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760"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720"/>
            <w:col w:w="4720" w:space="720"/>
            <w:col w:w="2140" w:space="720"/>
            <w:col w:w="740"/>
          </w:cols>
          <w:pgMar w:left="240" w:top="76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60" w:space="720"/>
            <w:col w:w="160" w:space="80"/>
            <w:col w:w="4480" w:space="720"/>
            <w:col w:w="2140" w:space="720"/>
            <w:col w:w="740"/>
          </w:cols>
          <w:pgMar w:left="240" w:top="76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760"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October 26, 2015</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148,448,758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34</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847,957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857,310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98,681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1,147,613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1,163,208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219,382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79,305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2,874,625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67,438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57,063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251,028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279,239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788,191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848,994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282,919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2,690,995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152,808,714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2015 and 150,237,675 shares at March 31, 2015; outstanding, 148,448,758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2015 and 147,238,282 shares at March 31, 2015</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0 shares at September 30, 2015 and 1,851,589 shares at March 31, 2015</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1"/>
              </w:rPr>
              <w:t>Treasury stock, at cost — 4,359,956 shares at September 30, 2015 and 2,999,393 shares at March 31, 2015</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(72,293)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174,985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186,710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104,457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268,984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186,498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2,874,625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1,322,154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1,304,841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2,673,758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2,627,138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626,155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1,269,187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1,287,426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363,690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347,651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742,340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698,623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208,141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396,802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348,041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1,213,338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1,182,858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2,438,798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2,366,132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108,816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234,960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261,006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90,953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34,737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79,017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520"/>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120,522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56,740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121,570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120,522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96,032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88,687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(208,813)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198,438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187,401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241,824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80,742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82,161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September 30, 2015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not-for-profit organizations, and international clients. The Company reports operating results and financial data in one operating segment. The Company is headquartered in McLean, Virginia, with approximately 22,200 employees as of September 30,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2015 filed with the Securities and Exchange Commission on May 21, 2015,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2015 are not necessarily indicative of results to be expected for the full fiscal year.</w:t>
      </w:r>
    </w:p>
    <w:p>
      <w:pPr>
        <w:spacing w:after="0" w:line="7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7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six months ended September 30, 2015 and through the filing date did not or are not believed by management to have a material impact on the Company's present or historical condensed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2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 currently has outstanding shares of Class A Common Stock. On September 30, 2015,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During fiscal 2015, the Company converted all issued and outstanding shares of Class B Non-Voting Common Stock and Class C Restricted Common Stock into shares of Class A Common Stock on a one-for-one basis. Unvested Class A Restricted Common Stock holders are entitled to participate in non-forfeitable dividends or other distributions. These unvested shares participated in the Company's dividends declared and were paid in the first quarter of fiscal 2016 and 2015.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5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3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133,715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146,176,944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144,557,638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145,718,004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143,382,252</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Weighted-average Class B Non-Voting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440,760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599,879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758,153</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146,176,944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145,502,291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145,718,004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144,581,165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55,452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62,791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118,934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133,715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3,211,612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4,901,605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3,278,665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4,956,395</w:t>
            </w:r>
          </w:p>
        </w:tc>
      </w:tr>
      <w:tr>
        <w:trPr>
          <w:trHeight w:val="209"/>
        </w:trPr>
        <w:tc>
          <w:tcPr>
            <w:tcW w:w="536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149,388,556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150,403,896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w w:val="97"/>
              </w:rPr>
              <w:t>148,996,669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149,537,560</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0.92</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5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8"/>
        <w:spacing w:after="0" w:line="271"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three months ended September 30, 2015 and 2014, approximately 2.0 million and 2.2 million participating securities were paid dividends totaling $266,000 and $2.5 million, respectively. During the six months ended September 30, 2015 and 2014, approximately 2.0 million and 2.2 million participating securities were paid dividends totaling $477,000 and $2.7 million, respectively. Additionally, for the three and six months ended September 30, 2015 there were undistributed earnings of $509,000 and $1.1 million, respectively, allocated to the participating class of securities in basic earnings per share, and $498,000 and $1.1 million, respectively, to diluted earnings per share. The allocated undistributed earnings and the dividends paid comprise the difference between net income presented on the condensed consolidated statements of operations for the three and six months ended September 30, 2015 and earnings for basic and diluted computations, while only the dividends paid comprise the difference in net income for the three and six months ended September 30, 2014 as there were no undistributed earnings.</w:t>
      </w:r>
    </w:p>
    <w:p>
      <w:pPr>
        <w:spacing w:after="0" w:line="2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EPS calculation for the three and six months ended September 30, 2015 excludes 542,000 and 577,000 options, respectively, as their impact was anti-dilutive. The EPS calculation for the three and six months ended September 30, 2014 excludes 202,000 and 212,000 options, respectively, as their impact was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355,812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318,464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539,203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884,287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875,806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and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$(2.1) million and $(0.5) million for the three months ended September 30, 2015 and 2014, respectively, and $0.8 million and $(1.0) million for the six months ended September 30, 2015 and 2014, respectively. The Company does not have material exposure to accounts receivable credit risk, because the Company's accounts receivable are primarily with the U.S. Government and its agencies.</w:t>
      </w:r>
    </w:p>
    <w:p>
      <w:pPr>
        <w:spacing w:after="0" w:line="282" w:lineRule="exact"/>
        <w:rPr>
          <w:sz w:val="20"/>
          <w:szCs w:val="20"/>
          <w:color w:val="auto"/>
        </w:rPr>
      </w:pPr>
    </w:p>
    <w:p>
      <w:pPr>
        <w:ind w:left="440" w:right="5700" w:hanging="432"/>
        <w:spacing w:after="0" w:line="428" w:lineRule="auto"/>
        <w:tabs>
          <w:tab w:leader="none" w:pos="18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246,856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265,820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445,299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481,815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29,285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liability (Note 13)</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31,732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251,028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279,239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September 30, 2015 and March 31, 2015, the Company recorded a stock-based compensation liability of $30.3 million and $31.7 million, respectively, expected to be paid within one year, related to special dividends paid in July and December 2009, June and August 2012, November 2013, and February and August 2014. Rollover options vested and not yet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4" w:right="239" w:bottom="1440" w:gutter="0" w:footer="0" w:header="0"/>
        </w:sectPr>
      </w:pPr>
    </w:p>
    <w:bookmarkStart w:id="9" w:name="page10"/>
    <w:bookmarkEnd w:id="9"/>
    <w:p>
      <w:pPr>
        <w:jc w:val="both"/>
        <w:ind w:right="200"/>
        <w:spacing w:after="0" w:line="264" w:lineRule="auto"/>
        <w:rPr>
          <w:sz w:val="20"/>
          <w:szCs w:val="20"/>
          <w:color w:val="auto"/>
        </w:rPr>
      </w:pPr>
      <w:r>
        <w:rPr>
          <w:rFonts w:ascii="Arial" w:cs="Arial" w:eastAsia="Arial" w:hAnsi="Arial"/>
          <w:sz w:val="18"/>
          <w:szCs w:val="18"/>
          <w:color w:val="auto"/>
        </w:rPr>
        <w:t>exercised that would have had an exercise price below zero as a result of the dividends were reduced to one cent, with the remaining reduction to be paid in cash upon exercise of the options. Payments of the special dividends to the Company's Second Amended and Restated Equity Incentive Plan, or EIP, option holders is linked to vesting. Refer to Note 13 for further discussion of the special dividends.</w:t>
      </w:r>
    </w:p>
    <w:p>
      <w:pPr>
        <w:sectPr>
          <w:pgSz w:w="11900" w:h="16838" w:orient="portrait"/>
          <w:cols w:equalWidth="0" w:num="1">
            <w:col w:w="11420"/>
          </w:cols>
          <w:pgMar w:left="240" w:top="530" w:right="2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Term Loan 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Term Loan B</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Less: Current portion of long-term debt</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March 31, 2015</w:t>
            </w:r>
          </w:p>
        </w:tc>
      </w:tr>
      <w:tr>
        <w:trPr>
          <w:trHeight w:val="152"/>
        </w:trPr>
        <w:tc>
          <w:tcPr>
            <w:tcW w:w="16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12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gridSpan w:val="2"/>
          </w:tcPr>
          <w:p>
            <w:pPr>
              <w:ind w:left="540"/>
              <w:spacing w:after="0" w:line="153"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12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15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Balance</w:t>
            </w:r>
          </w:p>
        </w:tc>
      </w:tr>
      <w:tr>
        <w:trPr>
          <w:trHeight w:val="243"/>
        </w:trPr>
        <w:tc>
          <w:tcPr>
            <w:tcW w:w="15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770,503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796,024</w:t>
            </w: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831,466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830,311</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1,601,969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1,626,335</w:t>
            </w:r>
          </w:p>
        </w:tc>
      </w:tr>
      <w:tr>
        <w:trPr>
          <w:trHeight w:val="270"/>
        </w:trPr>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(67,438)</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(57,063)</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1,534,531</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1,569,272</w:t>
            </w: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-908685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-556895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340"/>
          </w:cols>
          <w:pgMar w:left="240" w:top="530" w:right="239" w:bottom="1440" w:gutter="0" w:footer="0" w:header="0"/>
          <w:type w:val="continuous"/>
        </w:sectPr>
      </w:pPr>
    </w:p>
    <w:p>
      <w:pPr>
        <w:spacing w:after="0" w:line="11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The Credit Agreement, as amended, provides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 The rates for Term Loan A and Term Loan B, as amended, remain unchanged. The Second Amendment also extended the maturity date of Term Loan A and the revolving credit facility to May 31, 2019. The maturity date for Term Loan B remained unchanged at July 31, 2019. The Company also amended its existing debt covenants to provide for greater operational and financial flexibility.</w:t>
      </w:r>
    </w:p>
    <w:p>
      <w:pPr>
        <w:spacing w:after="0" w:line="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occasionally borrows under the revolving credit facility in anticipation of cash demands. On July 30, 2015 the Company's wholly-owned subsidiary Booz Allen Hamilton Inc. accessed $25.0 million of its $500.0 million revolving credit facility to support month-end transactions. On August 4, 2015, the Company repaid the $25.0 million borrowed from the revolving credit facility.</w:t>
      </w:r>
    </w:p>
    <w:p>
      <w:pPr>
        <w:spacing w:after="0" w:line="73"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September 30, 2015 and March 31, 2015, there were no amounts outstanding on the revolving credit facility.</w:t>
      </w:r>
    </w:p>
    <w:p>
      <w:pPr>
        <w:spacing w:after="0" w:line="50"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7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$12.2 million and $13.7 million as of September 30, 2015 and March 31, 2015, respectively. As of September 30, 2015 and March 31, 2015, the Company was in compliance with all of the Credit Agreement's debt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Company’s effective income tax rate was 38.2% and 37.8% for the three months ended September 30, 2015 and 2014, respectively, and 39.6% and 39.1% for the six months ended September 30, 2015 and 2014, respectively. The three and six months effective tax rates of 38.2% and 39.6% differ from the statutory rate of 35.0% primarily due to state income taxes and the effect of permanent rate differences, which primarily relate to meals and entertainment.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34,732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115,389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111,624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282,919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272,729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Balance at September 30, 2015 and March 31, 2015 includes a contingent earnout liability of $4.5 million related to business acquisitions. Refer to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14 for further discussion.</w:t>
      </w:r>
    </w:p>
    <w:p>
      <w:pPr>
        <w:spacing w:after="0" w:line="200" w:lineRule="exact"/>
        <w:rPr>
          <w:sz w:val="20"/>
          <w:szCs w:val="20"/>
          <w:color w:val="auto"/>
        </w:rPr>
      </w:pPr>
    </w:p>
    <w:p>
      <w:pPr>
        <w:spacing w:after="0" w:line="223" w:lineRule="exact"/>
        <w:rPr>
          <w:sz w:val="20"/>
          <w:szCs w:val="20"/>
          <w:color w:val="auto"/>
        </w:rPr>
      </w:pPr>
    </w:p>
    <w:p>
      <w:pPr>
        <w:ind w:left="340" w:right="8640" w:hanging="332"/>
        <w:spacing w:after="0" w:line="378"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8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$26.2 million and $27.9 million for the three months ended September 30, 2015 and 2014, respectively, and $54.5 million and $55.3 million for the six months ended September 30, 2015 and 2014, respectively. The Company-paid contributions were $15.8 million and $16.6 million for the three months ended September 30, 2015 and 2014, respectively, and $32.0 million and $38.2 million for the six months ended September 30, 2015 and 2014,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1,784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4,117</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As of September 30, 2015 and March 31, 2015, the unfunded status of the post-retirement medical plan was $110.9 million and $107.3 million, respectively, which is included in other long-term liabilities in the accompanying condensed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10)</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143,962,073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1,365,008</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3,392,643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 (1)</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1,517,951</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2,389,768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312,021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 (3)</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2,259,018</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(1,851,589)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(4)</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1,360,563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152,808,714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4,359,956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40" w:hanging="652"/>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50" w:lineRule="exact"/>
        <w:rPr>
          <w:rFonts w:ascii="Arial" w:cs="Arial" w:eastAsia="Arial" w:hAnsi="Arial"/>
          <w:sz w:val="16"/>
          <w:szCs w:val="16"/>
          <w:color w:val="auto"/>
        </w:rPr>
      </w:pPr>
    </w:p>
    <w:p>
      <w:pPr>
        <w:ind w:left="660" w:right="6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5, 2014, the Company entered into an agreement with an affiliate of The Carlyle Group to repurchase 1.0 million shares of the Company's Class A Common Stock. The shares were repurchased at a price of $25.10 per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4" w:right="239" w:bottom="1440" w:gutter="0" w:footer="0" w:header="0"/>
        </w:sectPr>
      </w:pPr>
    </w:p>
    <w:bookmarkStart w:id="12" w:name="page13"/>
    <w:bookmarkEnd w:id="12"/>
    <w:p>
      <w:pPr>
        <w:ind w:left="660" w:right="20"/>
        <w:spacing w:after="0" w:line="346" w:lineRule="auto"/>
        <w:rPr>
          <w:sz w:val="20"/>
          <w:szCs w:val="20"/>
          <w:color w:val="auto"/>
        </w:rPr>
      </w:pPr>
      <w:r>
        <w:rPr>
          <w:rFonts w:ascii="Arial" w:cs="Arial" w:eastAsia="Arial" w:hAnsi="Arial"/>
          <w:sz w:val="16"/>
          <w:szCs w:val="16"/>
          <w:color w:val="auto"/>
        </w:rPr>
        <w:t>share in a private non-underwritten transaction. On February 2, 2015, the Company entered into a similar agreement with an affiliate of the Carlyle Group to repurchase an additional 1.0 million shares of our Class A common stock pursuant to the repurchase program. The shares were repurchased from the Underwriter at a price of $28.36 per share. The repurchase of common stock above also reflects shares repurchased on June 30, 2014 to cover the minimum statutory withholding taxes on restricted stock awards that vested on June 30, 2014, shares repurchased on September 12, 2014 to cover the minimum statutory withholding taxes on rollover stock options exercised on September 12, 2014 and shares repurchased on multiple dates to cover the minimum statutory withholding taxes on accelerated restricted stock vesting for departing officers.</w:t>
      </w:r>
    </w:p>
    <w:p>
      <w:pPr>
        <w:spacing w:after="0" w:line="29" w:lineRule="exact"/>
        <w:rPr>
          <w:sz w:val="20"/>
          <w:szCs w:val="20"/>
          <w:color w:val="auto"/>
        </w:rPr>
      </w:pPr>
    </w:p>
    <w:p>
      <w:pPr>
        <w:ind w:left="660" w:right="72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62" w:lineRule="exact"/>
        <w:rPr>
          <w:rFonts w:ascii="Arial" w:cs="Arial" w:eastAsia="Arial" w:hAnsi="Arial"/>
          <w:sz w:val="18"/>
          <w:szCs w:val="18"/>
          <w:color w:val="auto"/>
        </w:rPr>
      </w:pPr>
    </w:p>
    <w:p>
      <w:pPr>
        <w:ind w:left="660" w:right="160" w:hanging="652"/>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first quarter of fiscal 2016, the Company purchased 1.2 million shares of the Company’s Class A Common Stock in a series of open market transactions for $30.5 million. In addition, the repurchase of common stock above reflects shares repurchased on June 30, 2015 to cover the minimum statutory withholding taxes on restricted stock awards and restricted stock units that vested on June 30, 2015, and shares repurchased to cover the minimum statutory withholding taxes on accelerated restricted stock vesting for departing officers.</w:t>
      </w:r>
    </w:p>
    <w:p>
      <w:pPr>
        <w:spacing w:after="0" w:line="63"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2015, 59,792 Class A Common Stock shares were purchased by employees under the Company's Employee Stock Purchase Plan, or ESPP. Since the program's inception, 1,626,202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8,589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10,105</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of September 30, 2015, there was $31.1 million of total unrecognized compensation cost related to unvested stock-based compensation agreements. The unrecognized compensation cost as of September 30, 2015 is expected to be fully amortized over the next 4.5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2015</w:t>
            </w: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Weighted Average Remaining</w:t>
            </w: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 (in years)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5,966</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25,169</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2.42</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31,135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July 29, 2015, 15,102 options were granted under the Second Amended and Restated Equity Incentive Plan, or EIP. The estimated fair value of the per-option grant was $6.62, resulting in a total fair value of $0.1 million. The fair value of our Class A Common Stock on July 29, 2015 at the time of the option grant was $27.99.</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there were 6,245,297 EIP options outstanding, of which 1,750,945 were unvested.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On July 1, 2015, the Board of Directors granted 401,307 Restricted Stock Units in conjunction with the 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the participant’s continued employment with the Company. The portion to be paid in the form of Restricted Stock Units will be recognized in the accompanying consolidated statements of operations based on grant date fair value over the vesting period of 3 years. The aggregate value was estimated at $10.3 million based on the stock price of $25.70 on the grant date.</w:t>
      </w:r>
    </w:p>
    <w:p>
      <w:pPr>
        <w:spacing w:after="0" w:line="7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On August 7, 2015, the Board of Directors granted 40,174 shares of Class A Restricted Common Stock to members of the Board of Directors. The aggregate value was estimated at $1.1 million based on the stock price of $26.76 on the grant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Compensation Committee, acting as the Administrator of the Officers' Rollover Stock Plan and the EIP have discretion in how to effect the required adjustment to keep option holders whole in the event of a distribution of dividends that trigger certain anti-dilution clauses within the respective plans. In the event the Board of Directors elects to grant option holders a cash payment equal to the amount of the special dividend, the Company accrues a stock-based compensation liability as the EIP options are scheduled to be vested. Rollover Options are fully vested, therefore the liability associated with these options is fully recorded on the condensed consolidated balance sheet. The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7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Total compensation expense recorded in conjunction with the payment of the dividend equivalents to EIP option holders for the three and six months ended September 30, 2015 was $0.1 million and $0.2 million, respectively, as compared to $0.7 million and $0.8 million recorded for the three and six months ended September 30, 2014, respectively . Future compensation expense related to the payment of the dividend equivalents to EIP option holders not yet recognized in the statement of operations is $0.3 million and is expected to be recognized over 1.75 years.</w:t>
      </w:r>
    </w:p>
    <w:p>
      <w:pPr>
        <w:spacing w:after="0" w:line="28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As of September 30, 2015 and March 31, 2015, the Company calculated a total recorded and unrecorded stock-based compensation liability of $32.0 million and $35.8 million, respectively, related to the special dividends paid in July and December 2009, June and August 2012, November 2013 and February and August 2014,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89"/>
              </w:rPr>
              <w:t>September 30, 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EIP 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liability (1)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r>
      <w:tr>
        <w:trPr>
          <w:trHeight w:val="27"/>
        </w:trPr>
        <w:tc>
          <w:tcPr>
            <w:tcW w:w="4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60" w:right="239" w:bottom="1440" w:gutter="0" w:footer="0" w:header="0"/>
        </w:sectPr>
      </w:pPr>
    </w:p>
    <w:bookmarkStart w:id="14" w:name="page15"/>
    <w:bookmarkEnd w:id="14"/>
    <w:p>
      <w:pPr>
        <w:jc w:val="both"/>
        <w:ind w:right="80" w:firstLine="405"/>
        <w:spacing w:after="0" w:line="264" w:lineRule="auto"/>
        <w:rPr>
          <w:sz w:val="20"/>
          <w:szCs w:val="20"/>
          <w:color w:val="auto"/>
        </w:rPr>
      </w:pPr>
      <w:r>
        <w:rPr>
          <w:rFonts w:ascii="Arial" w:cs="Arial" w:eastAsia="Arial" w:hAnsi="Arial"/>
          <w:sz w:val="18"/>
          <w:szCs w:val="18"/>
          <w:color w:val="auto"/>
        </w:rPr>
        <w:t>As of September 30, 2015, $1.6 million related to EIP options will be recorded as liabilities as the options vest over the next 3.5 years. As of March 31, 2015, there was an unrecorded liability of $4.1 million related to EIP options. There is no unrecorded liability related to Rollover options as of September 30, 2015 or March 31, 2015, as the Rollover options are fully vested.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as of September 30,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164,667</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187,401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Company's fair value measurements as of March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158,275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13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rFonts w:ascii="Arial" w:cs="Arial" w:eastAsia="Arial" w:hAnsi="Arial"/>
          <w:sz w:val="18"/>
          <w:szCs w:val="18"/>
          <w:color w:val="auto"/>
        </w:rPr>
      </w:pPr>
    </w:p>
    <w:p>
      <w:pPr>
        <w:ind w:right="4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March 31, 2015 and September 30, 2015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Since the initial recording of this liability as a part of the purchase accounting, there have been no subsequent changes in fair value recorded to-date. Any future changes in the fair value of this contingent consideration liability will be recognized in earnings during the applicable period.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8" w:right="239" w:bottom="1440" w:gutter="0" w:footer="0" w:header="0"/>
        </w:sectPr>
      </w:pPr>
    </w:p>
    <w:bookmarkStart w:id="15" w:name="page16"/>
    <w:bookmarkEnd w:id="15"/>
    <w:p>
      <w:pPr>
        <w:ind w:right="14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September 30, 2015 and March 31, 2015. The fair value of debt is determined based on interest rates available for debt with terms and maturities similar to the Company's existing debt arrangements (Level 2 inputs).</w:t>
      </w:r>
    </w:p>
    <w:p>
      <w:pPr>
        <w:spacing w:after="0" w:line="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contingent earnout liability categorized as Level 3 for the fiscal year ended September 30,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Contingent Earnout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00" w:type="dxa"/>
            <w:vAlign w:val="bottom"/>
          </w:tcPr>
          <w:p>
            <w:pPr>
              <w:ind w:left="26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RELATED-PARTY TRANSACTIONS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Carlyle Group is the largest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September 30, 2015 were $40,000 and $31,000, respectively, and $104,000 and $81,000 for the six months ended September 30, 2015, respectively. Revenue and cost associated with these related parties for the three months ended September 30, 2014 were $436,000 and $323,000, respectively, and $649,000 and $486,000 for the six months ended September 30, 2014, respectively.</w:t>
      </w:r>
    </w:p>
    <w:p>
      <w:pPr>
        <w:spacing w:after="0" w:line="8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 of $43.4 million and $47.0 million at September 30, 2015 and March 31, 2015, respectively. The participation by such investment vehicles in the syndication of the Company's debt was done on an arm’s length basis.</w:t>
      </w:r>
    </w:p>
    <w:p>
      <w:pPr>
        <w:spacing w:after="0" w:line="7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September 30, 2015 and 2014, the Company incurred $250,000 in advisory fees in each period. For the six months ended September 30, 2015 and 2014, the Company incurred $500,000 in advisory fees in each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3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As a result of the July 2008 acquisition, as described in the Company’s Annual Report, the Company assigned a total of nine leases to Booz &amp; Co, which has subsequently changed its name to Strategy&amp;. The Company remains liable for one lease, which expires in March 2017, for a facility located in London under the terms of the original lease should Strategy&amp; default on its obligations. All other leases assigned to Strategy&amp; have expired. There were no events of default under these leases as of September 30, 2015 or March 31, 2015. The maximum potential amount of undiscounted future payments is $8.8 million. Based on the Company’s assessment of the likelihood of future payment, no amounts have been recorded related to the Company’s contingent liability on such leases.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of September 30, 2015 and March 31, 2015, the Company was contingently liable under open standby letters of credit and bank guarantees issued by our banks in favor of third parties that totaled $6.1 million and $5.3 million, respectively. These letters of credit and bank guarantees primarily support insurance and bid and performance obligations. At September 30, 2015 and March 31, 2015, approximately $2.0 million and $5.2 million of these instruments reduce the available borrowings under the revolving credit facility. The remainder are guaranteed under a separate $5.0 million facility established in fiscal 2015 of which $4.1 million and $4.9 million, respectively, was available to the Company at September 30, 2015 and March 31, 2015.</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For the three and six months ended September 30, 2015 and 2014, approximately 97% and 98% respectively,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recorded the appropriate provision for any losses that may be experienced from any investigation of which it is aware. The Defense Contract Management Agency Administrative Contracting Officer has negotiated annual final indirect cost rates through fiscal year 2008. Audits of subsequent years may result in cost reductions and/or penalties. Management believes it has recorded the appropriate provision for the estimated losses that may be experienced from any such reductions and/or penalties. As of September 30, 2015 and March 31, 2015, the Company has recorded a liability of approximately $211.9 million and $205.3 million, respectively, for its current best estimate of amounts to be refunded to customers for potential adjustments from such audits or reviews of contract costs incurred subsequent to fiscal year 2008.</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2015, there are no material amounts accrued in the condensed consolidated financial statements related to these proceedings.</w:t>
      </w:r>
    </w:p>
    <w:p>
      <w:pPr>
        <w:spacing w:after="0" w:line="5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Six former officers and stockholders who had departed the company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against the Company and certain of the Company’s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4" w:right="23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As of September 30, 2015 and March 31, 2015, the aggregate alleged damages sought in these four remaining suits was approximately $291.7 million (which is sought to be trebled pursuant to RICO) plus punitive damages, costs, and fees.</w:t>
      </w:r>
    </w:p>
    <w:p>
      <w:pPr>
        <w:spacing w:after="0" w:line="30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2015 filed with the Securities and Exchange Commission on May 21, 2015,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 We are a well-known, trusted and long-term partner to our clients, who seek our expertise and objective advice to address their most important and complex problems. Leveraging our 100-year consulting heritage and a talent base of approximately 22,200 people, we deploy our deep domain knowledge, functional and technical expertise, expanding set of capabilities, and experience of innovative client service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clients in selected commercial markets, and international clients. Major government clients include the Department of Defense, all branches of the U.S. military, the U.S. Intelligence Community, and civil agencies such as the Department of Homeland Security, the Department of Health and Human Services, and the Department of the Treasury. We support these clients in addressing complex and pressing challenges such as combating global terrorism, improving cyber capabilities, transforming the healthcare system, improving efficiency and managing change within the government. In the commercial sector, we serve U.S. clients primarily in the financial services, healthcare, energy, retail, and automotive markets. Our international clients are primarily in the Middle East and south-east Asia.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During the second quarter of fiscal 2016, the Company made further progress on its long term growth strategy by continuing to invest in key capabilities and markets while also increasing spending on bid and proposal activity to address a strong pipeline of opportunities and to facilitate the transition of work under our expiring largest ID/IQ contract. Total headcount also grew by approximately 100 employees as compared to the prior year period.</w:t>
      </w:r>
    </w:p>
    <w:p>
      <w:pPr>
        <w:spacing w:after="0" w:line="3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Revenue increased 1.3% from the three months ended September 30, 2014 to the three months ended September 30, 2015 and increased 1.8% from the six months ended September 30, 2014 to the six months ended September 30, 2015. For the six months ended September 30, 2015, there was an increase in billable expenses of $43.7 million due to an increase in our use of subcontractors and other direct expenses incurred to perform on contracts. Confidence in the government contracting environment led the Company to increase indirect spending over the prior year period. In addition, with the ending of our largest ID/IQ contract in July 2015 there was increased indirect spending to position our work and affected staff on new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38" w:right="259" w:bottom="1440" w:gutter="0" w:footer="0" w:header="0"/>
        </w:sectPr>
      </w:pPr>
    </w:p>
    <w:bookmarkStart w:id="18" w:name="page19"/>
    <w:bookmarkEnd w:id="18"/>
    <w:p>
      <w:pPr>
        <w:ind w:right="40"/>
        <w:spacing w:after="0" w:line="264" w:lineRule="auto"/>
        <w:rPr>
          <w:sz w:val="20"/>
          <w:szCs w:val="20"/>
          <w:color w:val="auto"/>
        </w:rPr>
      </w:pPr>
      <w:r>
        <w:rPr>
          <w:rFonts w:ascii="Arial" w:cs="Arial" w:eastAsia="Arial" w:hAnsi="Arial"/>
          <w:sz w:val="18"/>
          <w:szCs w:val="18"/>
          <w:color w:val="auto"/>
        </w:rPr>
        <w:t>replacement task orders on contracts. Revenue on cost reimbursable contracts benefitted from this higher indirect spending compared to prior years. Total headcount also increased over the prior year as the Company hired to meet existing demand for qualified staff as well as implemented efforts to build a bench of staff for anticipated near term opportunities.</w:t>
      </w:r>
    </w:p>
    <w:p>
      <w:pPr>
        <w:spacing w:after="0" w:line="7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Operating income decreased 10.8% to $108.8 million in the three months ended September 30, 2015 from $122.0 million in the three months ended September 30, 2014, which reflects a 110 basis point decrease in operating margin to 8.2% from 9.3% in the comparable period. Operating income decreased 10.0% to $235.0 million in the six months ended September 30, 2015 from $261.0 million in the six months ended September 30, 2014, which reflects a 110 basis point decrease in operating margin to 8.8% from 9.9% in the comparable period The decrease in operating income was primarily attributable to the increase in indirect costs as discussed. The increased spending was primarily the result of increased bid and proposal costs to address a strong pipeline of opportunities, compared to prior years, to meet strong demand, and an increase in investment spending on growth platforms as compared to the prior years. As discussed above, the decrease also reflected the cost of retaining affected staff as they transitioned from work done under our largest ID/IQ contract to new or replacement task orders on contracts. In addition, operating income was impacted by a net decrease in the Company's provision for the potential recovery of allowable expenses recorded during the six months ended September 30, 2014 without a similar net change for the six months ended September 30, 2015. The decrease in operating income was partially offset by improved profitability on certain contracts.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83" w:lineRule="exact"/>
        <w:rPr>
          <w:sz w:val="20"/>
          <w:szCs w:val="20"/>
          <w:color w:val="auto"/>
        </w:rPr>
      </w:pPr>
    </w:p>
    <w:p>
      <w:pPr>
        <w:ind w:left="1300" w:right="12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280" w:hanging="644"/>
        <w:spacing w:after="0" w:line="30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transaction costs, fees, losses, and expenses, including fees associated with debt prepayments.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46" w:lineRule="exact"/>
        <w:rPr>
          <w:rFonts w:ascii="Arial" w:cs="Arial" w:eastAsia="Arial" w:hAnsi="Arial"/>
          <w:sz w:val="16"/>
          <w:szCs w:val="16"/>
          <w:color w:val="auto"/>
        </w:rPr>
      </w:pPr>
    </w:p>
    <w:p>
      <w:pPr>
        <w:ind w:left="1300" w:right="20" w:hanging="644"/>
        <w:spacing w:after="0" w:line="279"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Net Income" represents net income before: (i) transaction costs, fees, losses, and expenses, including fees associated with debt prepayments, (ii) adjustments related to the amortization of intangible assets, (iii) amortization or write-off of debt issuance costs and write-off of original issue discount, and (iv) any extraordinary, unusual, or non-recurring items, in each case net of the tax effect calculated using an assumed effective tax rate. We prepare Adjusted Net Income to eliminate the impact of items, net of tax, we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33" w:right="259" w:bottom="1440" w:gutter="0" w:footer="0" w:header="0"/>
        </w:sectPr>
      </w:pPr>
    </w:p>
    <w:bookmarkStart w:id="19" w:name="page20"/>
    <w:bookmarkEnd w:id="19"/>
    <w:p>
      <w:pPr>
        <w:ind w:left="1300" w:right="20"/>
        <w:spacing w:after="0" w:line="324" w:lineRule="auto"/>
        <w:rPr>
          <w:sz w:val="20"/>
          <w:szCs w:val="20"/>
          <w:color w:val="auto"/>
        </w:rPr>
      </w:pPr>
      <w:r>
        <w:rPr>
          <w:rFonts w:ascii="Arial" w:cs="Arial" w:eastAsia="Arial" w:hAnsi="Arial"/>
          <w:sz w:val="18"/>
          <w:szCs w:val="18"/>
          <w:color w:val="auto"/>
        </w:rPr>
        <w:t>do not consider indicative of ongoing operating performance due to their inherent unusual, extraordinary, or non-recurring nature or because they result from an event of a similar nature.</w:t>
      </w:r>
    </w:p>
    <w:p>
      <w:pPr>
        <w:spacing w:after="0" w:line="35" w:lineRule="exact"/>
        <w:rPr>
          <w:sz w:val="20"/>
          <w:szCs w:val="20"/>
          <w:color w:val="auto"/>
        </w:rPr>
      </w:pPr>
    </w:p>
    <w:p>
      <w:pPr>
        <w:ind w:left="1300" w:right="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6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108,816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121,983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234,960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261,006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237,072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136,399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265,429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293,048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265,429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136,399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rPr>
              <w:t>Amortization or write-off of debt issuance costs and write-off of</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original issue discount</w:t>
            </w:r>
          </w:p>
        </w:tc>
        <w:tc>
          <w:tcPr>
            <w:tcW w:w="2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(c)</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57,635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66,698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123,351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141,266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149,388,556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89"/>
              </w:rPr>
              <w:t>150,403,896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w w:val="99"/>
              </w:rPr>
              <w:t>148,996,669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89"/>
              </w:rPr>
              <w:t>149,537,560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200,529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640" w:hanging="652"/>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an adjustment of approximately $764,000 and $1.6 million of net earnings for the three and six months ended September 30, 2015, respectively, and excludes an adjustment of approximately $2.5 million and $2.7 million of net earnings for the three and six months ended September 30, 2014, respectively, associated with the application of the two-class method for computing diluted earnings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20" w:hanging="644"/>
        <w:spacing w:after="0" w:line="290"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and continued uncertainty around the timing, extent, nature and effect of Congressional and other U.S. government actions to address budgetary constraints. The discretionary budget is still constrained by the budget caps defined by the Bipartisan Budget Control Act 2011 and subsequently adjusted by the American Tax Payer Relief Act of 2012 and the Bipartisan Budget Act of 2013. While those caps allow very modest annual growth in the discretionary budget for defense and non-defense departments and agencies, the uncertainty arises in the ability to determine how to allocate the available budget authority and for Congress to pass appropriations bills to fund both U.S. government departments and agencies that are, and those that are not, subject to the caps. It is unclear whether the U.S. government’s fiscal year 2016, which began on October 1, 2015, will have a complete set of appropriations bills to fund the U.S. government, which is currently operating under a continuing resolution (CR) that is set to expire on December 11, 2015;</w:t>
      </w:r>
    </w:p>
    <w:p>
      <w:pPr>
        <w:spacing w:after="0" w:line="58"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80" w:hanging="644"/>
        <w:spacing w:after="0" w:line="289"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beyond December 11, 2015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4" w:right="239" w:bottom="1440" w:gutter="0" w:footer="0" w:header="0"/>
        </w:sectPr>
      </w:pPr>
    </w:p>
    <w:bookmarkStart w:id="21" w:name="page22"/>
    <w:bookmarkEnd w:id="21"/>
    <w:p>
      <w:pPr>
        <w:ind w:left="1300" w:right="1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200" w:hanging="644"/>
        <w:spacing w:after="0" w:line="31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40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Bipartisan Budget Act of 2013), provides for automatic spending cuts totaling approximately $1.2 trillion between 2013 and 2021, and requires an estimated $500 billion in federal defense spending cuts over this time period. Under the Budget Control Act, approximately $90 billion in spending cuts were mandated for government fiscal 2016, and the Department of Defense has estimated its share of these cuts at $54 billion, as the Bipartisan Budget Act of 2013 did not reduce the spending caps for fiscal 2016, as it had for fiscal 2015 and fiscal 2014. However, to date, no appropriation bills for fiscal 2016 have been enacted into law and the U.S. government is operating under a continuing resolution set to expire on December 11, 2015 that maintained government funding at the fiscal 2015 level, but prohibited the Department of Defense from entering into multi-year contracts or increasing production rates.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0"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400" w:hanging="655"/>
        <w:spacing w:after="0" w:line="277"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8" w:right="259" w:bottom="1440" w:gutter="0" w:footer="0" w:header="0"/>
        </w:sectPr>
      </w:pPr>
    </w:p>
    <w:bookmarkStart w:id="22" w:name="page23"/>
    <w:bookmarkEnd w:id="22"/>
    <w:p>
      <w:pPr>
        <w:ind w:left="1960" w:right="40"/>
        <w:spacing w:after="0" w:line="311" w:lineRule="auto"/>
        <w:rPr>
          <w:sz w:val="20"/>
          <w:szCs w:val="20"/>
          <w:color w:val="auto"/>
        </w:rPr>
      </w:pPr>
      <w:r>
        <w:rPr>
          <w:rFonts w:ascii="Arial" w:cs="Arial" w:eastAsia="Arial" w:hAnsi="Arial"/>
          <w:sz w:val="18"/>
          <w:szCs w:val="18"/>
          <w:color w:val="auto"/>
        </w:rPr>
        <w:t>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46" w:lineRule="exact"/>
        <w:rPr>
          <w:sz w:val="20"/>
          <w:szCs w:val="20"/>
          <w:color w:val="auto"/>
        </w:rPr>
      </w:pPr>
    </w:p>
    <w:p>
      <w:pPr>
        <w:ind w:left="1960" w:right="100" w:hanging="655"/>
        <w:spacing w:after="0" w:line="255" w:lineRule="auto"/>
        <w:tabs>
          <w:tab w:leader="none" w:pos="19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214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4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43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50%</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4"/>
              </w:rPr>
              <w:t>52%</w:t>
            </w:r>
          </w:p>
        </w:tc>
        <w:tc>
          <w:tcPr>
            <w:tcW w:w="2140" w:type="dxa"/>
            <w:vAlign w:val="bottom"/>
            <w:tcBorders>
              <w:bottom w:val="single" w:sz="8" w:color="CCEEFF"/>
            </w:tcBorders>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56%</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26%</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940" w:type="dxa"/>
            <w:vAlign w:val="bottom"/>
          </w:tcPr>
          <w:p>
            <w:pPr>
              <w:jc w:val="center"/>
              <w:ind w:left="474"/>
              <w:spacing w:after="0"/>
              <w:rPr>
                <w:sz w:val="20"/>
                <w:szCs w:val="20"/>
                <w:color w:val="auto"/>
              </w:rPr>
            </w:pPr>
            <w:r>
              <w:rPr>
                <w:rFonts w:ascii="Arial" w:cs="Arial" w:eastAsia="Arial" w:hAnsi="Arial"/>
                <w:sz w:val="18"/>
                <w:szCs w:val="18"/>
                <w:color w:val="auto"/>
                <w:w w:val="94"/>
              </w:rPr>
              <w:t>26%</w:t>
            </w:r>
          </w:p>
        </w:tc>
        <w:tc>
          <w:tcPr>
            <w:tcW w:w="2140" w:type="dxa"/>
            <w:vAlign w:val="bottom"/>
            <w:gridSpan w:val="3"/>
          </w:tcPr>
          <w:p>
            <w:pPr>
              <w:jc w:val="center"/>
              <w:ind w:left="577"/>
              <w:spacing w:after="0"/>
              <w:rPr>
                <w:sz w:val="20"/>
                <w:szCs w:val="20"/>
                <w:color w:val="auto"/>
              </w:rPr>
            </w:pPr>
            <w:r>
              <w:rPr>
                <w:rFonts w:ascii="Arial" w:cs="Arial" w:eastAsia="Arial" w:hAnsi="Arial"/>
                <w:sz w:val="18"/>
                <w:szCs w:val="18"/>
                <w:color w:val="auto"/>
                <w:w w:val="88"/>
              </w:rPr>
              <w:t>26%</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24%</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19%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94"/>
              </w:rPr>
              <w:t>22%</w:t>
            </w:r>
          </w:p>
        </w:tc>
        <w:tc>
          <w:tcPr>
            <w:tcW w:w="2140" w:type="dxa"/>
            <w:vAlign w:val="bottom"/>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18%</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Our largest ID/IQ contract expired on July 8, 2015 with several task orders that extend beyond that date, the latest ending in September 2016. We are in the process of transitioning work from the expired contract to new contracts and task orders under a number of existing multiple award ID/IQ vehicles. The loss, without replacement, of certain of these contract vehicles could have a material adverse effect on our ability to win new business and our operating results.</w:t>
      </w:r>
    </w:p>
    <w:p>
      <w:pPr>
        <w:spacing w:after="0" w:line="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65" w:right="27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2015 and 2014, we employed approximately 22,200 and 22,100 people, respectively, of which approximately 20,000 and 20,100,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36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3,337</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4,711</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300" w:right="14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provided as of September 30, 2014 reflects a reduction by management to the revenue value of orders for services under one existing single award ID/IQ contract the Company has had for several years, based on an established pattern of funding under this contract by the U.S. government.</w:t>
      </w:r>
    </w:p>
    <w:p>
      <w:pPr>
        <w:spacing w:after="0" w:line="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15.2% from September 30, 2014 to September 30, 2015. Additions to funded backlog during the twelve months ended September 30, 2015 totaled $5.2 billion in comparison to $5.4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8" w:right="239" w:bottom="1440" w:gutter="0" w:footer="0" w:header="0"/>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t>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7.7% of funded backlog as of the end of any of the four fiscal quarters preceding the fiscal quarter ended September 30, 2015.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38" w:right="239" w:bottom="1440" w:gutter="0" w:footer="0" w:header="0"/>
        </w:sectPr>
      </w:pPr>
    </w:p>
    <w:bookmarkStart w:id="25" w:name="page26"/>
    <w:bookmarkEnd w:id="25"/>
    <w:p>
      <w:pPr>
        <w:ind w:right="140"/>
        <w:spacing w:after="0" w:line="257" w:lineRule="auto"/>
        <w:rPr>
          <w:sz w:val="20"/>
          <w:szCs w:val="20"/>
          <w:color w:val="auto"/>
        </w:rPr>
      </w:pPr>
      <w:r>
        <w:rPr>
          <w:rFonts w:ascii="Arial" w:cs="Arial" w:eastAsia="Arial" w:hAnsi="Arial"/>
          <w:sz w:val="18"/>
          <w:szCs w:val="18"/>
          <w:color w:val="auto"/>
        </w:rPr>
        <w:t>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financial statements.</w:t>
      </w:r>
    </w:p>
    <w:p>
      <w:pPr>
        <w:spacing w:after="0" w:line="80"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six months ended September 30, 2015 and through the filing date did not or are not believed by management to have a material impact on the Company's present or historical condensed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right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340" w:type="dxa"/>
            <w:vAlign w:val="bottom"/>
            <w:tcBorders>
              <w:right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right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1,322,154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1,304,841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2,673,758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2,627,138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642,425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1,269,187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1,287,426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363,690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347,651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742,340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698,623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176,972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396,802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348,041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32,042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1,213,338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1,182,858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2,438,798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2,366,132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108,816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121,983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234,960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261,006</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104,973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224,022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34,737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39,689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79,017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87,623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65,284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120,522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136,399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396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September 30, 2015 Compared to Three Months Ended September 30, 2014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Revenue increased to $1,322.2 million from $1,304.8 million, or a 1.3% increase. During the quarter revenue increased due to an increase in billable expenses of $16.0 million due to an increase in our use of subcontractors and other direct expenses incurred to perform on contracts. Confidence in the government contracting environment led the Company to increase indirect spending over the prior year period, which also had the effect of increasing revenue on cost reimbursable contracts. Total headcount also increased over the prior year as the Company hired to meet existing demand for qualified staff as well as implemented efforts to build a bench of staff for anticipated near term opportunities. Conversions to funded backlog during the twelve months ended September 30, 2015 totaled $5.2 billion in comparison to $5.4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Cost of revenue decreased to $626.2 million from $642.4 million, or a 2.5% decrease. The decrease was primarily due to a decrease in salaries and salary-related benefits of $12.8 million and a decrease in incentive compensation of $3.2 million. The decrease in salaries and salary-related benefits was due to consulting staff time spent on strategic investment and bid and proposal activities, in lieu of direct contract activities, over the prior year period. As proposal activity is a general and administrative activity, this contributes to a decrease within cost of revenue. Cost of revenue as a percentage of revenue was 47.4% and 49.2% for the three months ended September 30, 2015 and 2014,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38"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Billable expenses increased to $363.7 million from $347.7 million, or a 4.6% increase. The overall increase was primarily due to increases in subcontractor-related expenses and other direct expenses of $16.0 million incurred to perform on contracts. Billable expenses as a percentage of revenue were 27.5% and 26.6% for the three months ended September 30, 2015 and 2014,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General and administrative expenses increased to $208.1 million from $177.0 million, or a 17.6% increase. This increase was primarily due to an increase in salaries and salary-related benefits of $21.5 million primarily due to an increase in consulting staff time spent on strategic investment and bid and proposal activities, in lieu of direct contract activities, over the prior year period. In addition, there was an increase in professional fees and other business expenses of $14.8 million, partially offset by a decrease in incentive compensation of $4.5 million. General and administrative expenses as a percentage of revenue were 15.7% and 13.6% for the three months ended September 30, 2015 and 2014, respectively.</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Depreciation and amortization decreased to $15.4 million from $15.8 million, or an 2.9% decrease, primarily due to a reduction in amortization of intangible assets.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decreased to $17.7 million from $17.8 million, or a 0.7% decrease.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Income tax expense decreased to $34.7 million from $39.7 million, or a 12.5% decrease, primarily due to a decrease in pre-tax income, partially offset by an increase in the effective tax rate.</w:t>
      </w:r>
    </w:p>
    <w:p>
      <w:pPr>
        <w:spacing w:after="0" w:line="387" w:lineRule="exact"/>
        <w:rPr>
          <w:sz w:val="20"/>
          <w:szCs w:val="20"/>
          <w:color w:val="auto"/>
        </w:rPr>
      </w:pPr>
    </w:p>
    <w:p>
      <w:pPr>
        <w:ind w:left="260" w:right="4320"/>
        <w:spacing w:after="0" w:line="375" w:lineRule="auto"/>
        <w:rPr>
          <w:sz w:val="20"/>
          <w:szCs w:val="20"/>
          <w:color w:val="auto"/>
        </w:rPr>
      </w:pPr>
      <w:r>
        <w:rPr>
          <w:rFonts w:ascii="Arial" w:cs="Arial" w:eastAsia="Arial" w:hAnsi="Arial"/>
          <w:sz w:val="18"/>
          <w:szCs w:val="18"/>
          <w:b w:val="1"/>
          <w:bCs w:val="1"/>
          <w:i w:val="1"/>
          <w:iCs w:val="1"/>
          <w:color w:val="auto"/>
        </w:rPr>
        <w:t xml:space="preserve">Six Months Ended September 30, 2015 Compared to Six Months Ended September 30, 2014 </w:t>
      </w:r>
      <w:r>
        <w:rPr>
          <w:rFonts w:ascii="Arial" w:cs="Arial" w:eastAsia="Arial" w:hAnsi="Arial"/>
          <w:sz w:val="18"/>
          <w:szCs w:val="18"/>
          <w:i w:val="1"/>
          <w:iCs w:val="1"/>
          <w:color w:val="auto"/>
        </w:rPr>
        <w:t>Revenue</w:t>
      </w:r>
    </w:p>
    <w:p>
      <w:pPr>
        <w:spacing w:after="0" w:line="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Revenue increased to $2,673.8 million from $2,627.1 million, or a 1.8% increase. During the period, there was an increase in billable expenses of $43.7 million due to an increase in our use of subcontractors and other direct expenses incurred to perform on contracts. Confidence in the government contracting environment led the Company to increase indirect spending over the prior year periods which had the effect of increasing revenue on cost reimbursable contracts. Total headcount also increased over the prior year as the Company hired to meet existing demand for qualified staff as well as implemented efforts to build a bench of staff for anticipated near term opportunities. Conversions to funded backlog during the twelve months ended September 30, 2015 totaled $5.2 billion in comparison to $5.4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Cost of revenue decreased to $1,269.2 million from $1,287.4 million, or a 1.4% decrease. The decrease was primarily due to a decrease in salaries and salary-related benefits of $15.0 million, despite an increase in total headcount of approximately 1.0%. In addition there was a decrease in incentive compensation of $1.7 million. The decrease in salaries and salary-related benefits was primarily due to an increase in consulting staff time spent on strategic investment and bid and proposal activities, in lieu of direct contract activities, over the prior year period. Cost of revenue as a percentage of revenue was 47.5% and 49.0% for the six months ended September 30, 2015 and 2014, respectively.</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Billable expenses increased to $742.3 million from $698.6 million, or a 6.3% increase. The overall increase was primarily due to increases in subcontractor-related expenses and other direct expenses of $43.7 million incurred to perform on contracts. Billable expenses as a percentage of revenue were 27.8% and 26.6% for the six months ended September 30, 2015 and 2014,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General and administrative expenses increased to $396.8 million from $348.0 million, or a 14.0% increase. This increase was primarily due to an increase in salaries and salary-related benefits of $33.3 million primarily due to an increase in consulting staff time spent on strategic investment and bid and proposal activities, in lieu of direct contract activities, over the prior year period. In addition, there was an increase in professional fees and other business expenses of $19.3 million.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38" w:right="27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increases were partially offset by a decrease in incentive compensation of $4.6 million. General and administrative expenses as a percentage of revenue were 14.8% and 13.2% for the six months ended September 30, 2015 and 2014,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560" w:firstLine="405"/>
        <w:spacing w:after="0" w:line="342" w:lineRule="auto"/>
        <w:rPr>
          <w:sz w:val="20"/>
          <w:szCs w:val="20"/>
          <w:color w:val="auto"/>
        </w:rPr>
      </w:pPr>
      <w:r>
        <w:rPr>
          <w:rFonts w:ascii="Arial" w:cs="Arial" w:eastAsia="Arial" w:hAnsi="Arial"/>
          <w:sz w:val="16"/>
          <w:szCs w:val="16"/>
          <w:color w:val="auto"/>
        </w:rPr>
        <w:t>Depreciation and amortization decreased to $30.5 million from $32.0 million, or a 4.9% decrease, primarily due to a reduction in amortization of intangible assets, as well as a decrease in depreciation expense resulting from the effect of lower capital expenditures in prior years.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Interest expense decreased to $35.2 million from $36.7 million, or a 4.1% decrease, primarily as a result of the Second Amendment to the Credit Agreement consummated in May 2014. The Company increased its borrowing under Term Loan A by approximately $168.4 million, the proceeds of which were used to pay outstanding principal on the Term Loan B which has a higher interest rate than Term Loan A.</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Income tax expense decreased to $79.0 million from $87.6 million, or a 9.8% decrease, primarily due to a decrease in pre-tax income, partially offset by an increase in the effective tax rate.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$187.4 million and $207.2 million in cash and cash equivalents as of September 30, 2015 and March 31, 2015,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stockholders in the form of payment of recurring and special dividends and share repurchases. On December 12, 2011, the Board of Directors authorized the repurchase of up to $30.0 million of our shares. On January 27, 2015, the share repurchase authorization was increased to $180.0 million. During the first quarter of fiscal 2016, the Company purchased 1.2 million shares of the Company’s Class A Common Stock in a series of open market transactions for an aggregate of $30.5 million. Following the aforementioned repurchase of 1.2 million shares, our repurchase of 1.0 million shares of our Class A Common Stock on November 5, 2014 and an additional 1.0 million shares of our Class A Common Stock on February 2, 2015, the Company currently has approximately $96.0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38" w:right="25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3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35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19,217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38,269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32,244</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8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147,248</w:t>
            </w:r>
          </w:p>
        </w:tc>
      </w:tr>
      <w:tr>
        <w:trPr>
          <w:trHeight w:val="27"/>
        </w:trPr>
        <w:tc>
          <w:tcPr>
            <w:tcW w:w="3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46,797</w:t>
            </w:r>
          </w:p>
        </w:tc>
      </w:tr>
      <w:tr>
        <w:trPr>
          <w:trHeight w:val="257"/>
        </w:trPr>
        <w:tc>
          <w:tcPr>
            <w:tcW w:w="358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87"/>
              </w:rPr>
              <w:t>19,217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205,769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41,862</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226,289</w:t>
            </w:r>
          </w:p>
        </w:tc>
      </w:tr>
      <w:tr>
        <w:trPr>
          <w:trHeight w:val="20"/>
        </w:trPr>
        <w:tc>
          <w:tcPr>
            <w:tcW w:w="3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represent recurring dividends of $0.13 per share and $0.11 per share that were declared and paid during fiscal 2016 and fiscal 2015,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represent a special dividend of $1.00 per share that was declared and paid for during fiscal 2015.</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October 28, 2015, the Company announced a regular quarterly cash dividend in the amount of $0.13 per share, payable on November 30, 2015 to stockholders of record on November 10, 2015.</w:t>
      </w:r>
    </w:p>
    <w:p>
      <w:pPr>
        <w:spacing w:after="0" w:line="14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Amended and Restated Equity Incentive Plan, or EIP, is required to make a determination under the respective plan's antidilution provision to adjust the outstanding options.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September 30, 2015 includes all special dividends declared through September 30, 2015. As of September 30, 2015 and</w:t>
      </w:r>
    </w:p>
    <w:p>
      <w:pPr>
        <w:spacing w:after="0" w:line="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March 31, 2015, the Company calculated a total recorded and unrecorded stock-based compensation liability of $32.0 million and $35.8 million, respectively, related to the special dividends paid in July and December 2009, June and August 2012, November 2013, and February and August 2014.</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month-end, we bill to customers accounts receivables reclassed from our unbilled account that was recognized along with corresponding revenue in the preceding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62 as of September 30, 2015 and 59 as of March 31, 2015.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38" w:right="25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7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487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2014</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2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88,687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200,529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(209,768)</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(18,170)</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$88.7 million in the six months ended September 30, 2015 compared to $200.5 million in the prior year period, or a 55.8% decrease. The decrease in net cash provided by operations was primarily due to the following:</w:t>
      </w:r>
    </w:p>
    <w:p>
      <w:pPr>
        <w:spacing w:after="0" w:line="3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working capital needs as we begin our transition to growth, and</w:t>
      </w:r>
    </w:p>
    <w:p>
      <w:pPr>
        <w:spacing w:after="0" w:line="23"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days sales outstanding as a result of an increase in accounts receivable relative to our increase in revenue, driven by changes in certain new contract billing terms and government administrative delays in the processing of invoices.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Net cash used in investing activities was $30.6 million in the six months ended September 30, 2015 compared to $8.9 million in the prior year period, or a 242.2% increase. The increase in net cash used in investing activities was due to an increase in capital expenditures over the prior year primarily due to leasehold improvements related to the reconfiguration of our facilities footprint.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Net cash used in financing activities was $77.9 million in the six months ended September 30, 2015 compared to $209.8 million in the prior year period, or a 62.8% decrease. The decrease in net cash used in financing activities was primarily due to a lack of a special cash dividend paid in fiscal 2016 as compared to fiscal 2015 and a decrease in the payment of dividend equivalents to option holders primarily due to the timing of such payments. These decreases were partially offset by an increase in regular cash dividends paid in fiscal 2016 and by repurchases of 1.2 million shares of our Class A Common Stock for $30.5 million on the open market in the first quarter of fiscal 2016, as well as increased principal payments of approximately $10 million on our debt primarily driven by the May 2014 debt refinancing in which a principal payment was not required in the first quarter of fiscal 2015.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 First Amendment to the Credit Agreement, dated as of August 16, 2013). The Credit Agreement, as amended, provides the Company with an $830.0 million Term Loan A and an $841.2 million Term Loan B, and a $500.0 million revolving credit facility, with a sublimit for letters of credit of $100.0 million.</w:t>
      </w:r>
    </w:p>
    <w:p>
      <w:pPr>
        <w:spacing w:after="0" w:line="3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debt totaled $1,602.0 million and $1,626.3 million as of September 30, 2015 and March 31, 2015, respectively. The interest rate in effect for Term Loan A was 2.71% and for Term Loan B was 3.75% as of September 30, 2015. The interest rate in effect for Term Loan A was 2.68% and for Term Loan B was 3.75% as of March 31, 2015. As of September 30, 2015 and March 31, 2015, there were no amounts outstanding under our revolving credit facility of $500.0 million. As of September 30, 2015 and March 31, 2015, the Company was in compliance with all of the Credit Agreement's debt covenants.</w:t>
      </w:r>
    </w:p>
    <w:p>
      <w:pPr>
        <w:spacing w:after="0" w:line="4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occasionally borrow under our revolving credit facility in anticipation of cash demands. On July 30, 2015 the Company's wholly-owned subsidiary Booz Allen Hamilton Inc. accessed $25.0 million of its $500.0 million revolving credit facility to support month-end transactions. On August 4, 2015, we repaid the $25.0 million borrowed from the revolving credit facility.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38" w:right="259" w:bottom="1440" w:gutter="0" w:footer="0" w:header="0"/>
        </w:sectPr>
      </w:pPr>
    </w:p>
    <w:bookmarkStart w:id="30" w:name="page31"/>
    <w:bookmarkEnd w:id="30"/>
    <w:p>
      <w:pPr>
        <w:ind w:right="48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6,798</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May 7, 2014 Second Amendment, no additional principal payments are required until the remaining balance is due on Term Loan B's maturity date of July 31, 2019. The revolving credit facility matures on May 31, 2019, at which time any outstanding principal balance will be due in full.</w:t>
      </w:r>
    </w:p>
    <w:p>
      <w:pPr>
        <w:spacing w:after="0" w:line="80"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w:t>
      </w:r>
    </w:p>
    <w:p>
      <w:pPr>
        <w:ind w:right="60"/>
        <w:spacing w:after="0" w:line="268" w:lineRule="auto"/>
        <w:rPr>
          <w:sz w:val="20"/>
          <w:szCs w:val="20"/>
          <w:color w:val="auto"/>
        </w:rPr>
      </w:pPr>
      <w:r>
        <w:rPr>
          <w:rFonts w:ascii="Arial" w:cs="Arial" w:eastAsia="Arial" w:hAnsi="Arial"/>
          <w:sz w:val="17"/>
          <w:szCs w:val="17"/>
          <w:color w:val="auto"/>
        </w:rPr>
        <w:t>3.00% based upon either an ABR or LIBOR borrowing. The revolving credit facility margin and commitment fee are subject to the leveraged based pricing grid, as set forth in the Credit Agreement, as amended. As of September 30, 2015 and March 31, 2015, the Company was contingently liable under open standby letters of credit and bank guarantees issued by our banks in favor of third parties that totaled $6.1 million and $5.3 million, respectively. These letters of credit and bank guarantees primarily support insurance and bid and performance obligations. At September 30, 2015 and March 31, 2015, approximately $2.0 million and $5.2 million of these instruments reduce the available borrowings under the revolving credit facility. The remainder are guaranteed under a separate $5.0 million facility established in fiscal 2015 of which $4.1 million and $4.9 million, respectively, was available to the Company at September 30, 2015 and March 31, 2015. As of September 30, 2015 and March 31, 2015, we had $498 million and $494.8 million, respectively, of capacity available for additional borrowings under the revolving credit facility.</w:t>
      </w:r>
    </w:p>
    <w:p>
      <w:pPr>
        <w:spacing w:after="0" w:line="76"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2015, we were compliant with these covenants.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stockholders’ equity amounted to $269.0 million as of September 30, 2015, an increase of $82.5 million compared to stockholders’ equity of $186.5 million as of March 31, 2015. The increase is primarily due to net income of $120.5 million in the six months ended September 30, 2015, and stock-based compensation expense of $11.5 million, partially offset by $38.3 million in recurring and special dividend payments and a $34.6 million increase in treasury stock resulting from the repurchase of 1.2 million shares of our Class A Common Stock during the six months ended September 30, 2015.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2015,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2015 and 2014 were $29.6 million and $8.9 million, respectively, and the majority of such capital expenditures related to facilities infrastructure, equipment, and information technology. Expenditures for facilities infrastructure and equipment are generally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8" w:right="239" w:bottom="1440" w:gutter="0" w:footer="0" w:header="0"/>
        </w:sectPr>
      </w:pPr>
    </w:p>
    <w:bookmarkStart w:id="31" w:name="page32"/>
    <w:bookmarkEnd w:id="31"/>
    <w:p>
      <w:pPr>
        <w:ind w:right="260"/>
        <w:spacing w:after="0" w:line="277" w:lineRule="auto"/>
        <w:rPr>
          <w:sz w:val="20"/>
          <w:szCs w:val="20"/>
          <w:color w:val="auto"/>
        </w:rPr>
      </w:pPr>
      <w:r>
        <w:rPr>
          <w:rFonts w:ascii="Arial" w:cs="Arial" w:eastAsia="Arial" w:hAnsi="Arial"/>
          <w:sz w:val="18"/>
          <w:szCs w:val="18"/>
          <w:color w:val="auto"/>
        </w:rPr>
        <w:t>incurred to support new and existing programs across our business. We also incur capital expenditures for information technology to support programs and general enterprise information technology infrastructure.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84" w:lineRule="exact"/>
        <w:rPr>
          <w:sz w:val="20"/>
          <w:szCs w:val="20"/>
          <w:color w:val="auto"/>
        </w:rPr>
      </w:pPr>
    </w:p>
    <w:p>
      <w:pPr>
        <w:ind w:right="20" w:firstLine="405"/>
        <w:spacing w:after="0" w:line="283"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Bipartisan Budget Act of 2013),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approve funding of the U.S. government beyond December 11, 2015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approve funding of the U.S. government beyond December 11, 2015 and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3" w:right="239" w:bottom="1440" w:gutter="0" w:footer="0" w:header="0"/>
        </w:sectPr>
      </w:pPr>
    </w:p>
    <w:bookmarkStart w:id="32" w:name="page33"/>
    <w:bookmarkEnd w:id="32"/>
    <w:p>
      <w:pPr>
        <w:spacing w:after="0" w:line="290" w:lineRule="auto"/>
        <w:rPr>
          <w:sz w:val="20"/>
          <w:szCs w:val="20"/>
          <w:color w:val="auto"/>
        </w:rPr>
      </w:pPr>
      <w:r>
        <w:rPr>
          <w:rFonts w:ascii="Arial" w:cs="Arial" w:eastAsia="Arial" w:hAnsi="Arial"/>
          <w:sz w:val="16"/>
          <w:szCs w:val="16"/>
          <w:color w:val="auto"/>
        </w:rPr>
        <w:t>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58"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2015 filed with the Securities and Exchange Commission on May 21, 2015.</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33"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2015 and March 31, 2015, there were no material amounts accrued in the condensed consolidated financial statements related to these proceedings.</w:t>
      </w:r>
    </w:p>
    <w:p>
      <w:pPr>
        <w:spacing w:after="0" w:line="15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00" w:lineRule="exact"/>
        <w:rPr>
          <w:sz w:val="20"/>
          <w:szCs w:val="20"/>
          <w:color w:val="auto"/>
        </w:rPr>
      </w:pP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2015 filed with the Securities and Exchange Commission on May 21, 2015.</w:t>
      </w:r>
    </w:p>
    <w:p>
      <w:pPr>
        <w:spacing w:after="0" w:line="3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63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vMerge w:val="restart"/>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458"/>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400"/>
          </w:cols>
          <w:pgMar w:left="240" w:top="526" w:right="25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80" w:top="692" w:right="279" w:bottom="1440" w:gutter="0" w:footer="0" w:header="0"/>
          <w:type w:val="continuous"/>
        </w:sectPr>
      </w:pPr>
    </w:p>
    <w:bookmarkStart w:id="37" w:name="page38"/>
    <w:bookmarkEnd w:id="37"/>
    <w:tbl>
      <w:tblPr>
        <w:tblLayout w:type="fixed"/>
        <w:tblInd w:w="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Form of Restricted Stock Unit Agreement under the Amended and Restated Equity Incentive Plan of Booz Allen Hamilton Holding Corporation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10.29 to the Company’s Annual Report for the year ended March 31, 2014 on Form 10-K (File No. 001-</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(Incorporated by reference to Exhibit 10.29 to the Company’s Quarterly Report for the period ended June 30, 2015 on Form 10-Q</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001-34972))</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120" w:hanging="925"/>
        <w:spacing w:after="0" w:line="25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six months ended September 30, 2015 formatted in XBRL (eXtensible Business Reporting Language): (i) Condensed Consolidated Balance Sheets at September 30, 2015 and March 31, 2015; (ii) Condensed Consolidated Statements of Operations for the three and six months ended September 30, 2015 and 2014; (iii) Condensed Consolidated Statements of Comprehensive Income for the three and six months ended September 30, 2015 and 2014; (iv) Condensed Consolidated Statements of Cash Flows for the three and six months ended September 30, 2015 and 2014;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814" w:right="299" w:bottom="1440" w:gutter="0" w:footer="0" w:header="0"/>
        </w:sectPr>
      </w:pPr>
    </w:p>
    <w:bookmarkStart w:id="38" w:name="page39"/>
    <w:bookmarkEnd w:id="38"/>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526" w:right="5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2015,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5"/>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0"/>
    </w:lvl>
  </w:abstractNum>
  <w:abstractNum w:abstractNumId="6">
    <w:nsid w:val="721DA317"/>
    <w:multiLevelType w:val="hybridMultilevel"/>
    <w:lvl w:ilvl="0">
      <w:lvlJc w:val="left"/>
      <w:lvlText w:val="%1."/>
      <w:numFmt w:val="decimal"/>
      <w:start w:val="12"/>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0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2019-12-29T16:16:18Z</dcterms:created>
  <dcterms:modified xsi:type="dcterms:W3CDTF">2019-12-29T16:16:18Z</dcterms:modified>
</cp:coreProperties>
</file>