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311150</wp:posOffset>
            </wp:positionH>
            <wp:positionV relativeFrom="page">
              <wp:posOffset>611505</wp:posOffset>
            </wp:positionV>
            <wp:extent cx="69265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637540</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46"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ind w:left="4020"/>
        <w:spacing w:after="0"/>
        <w:rPr>
          <w:sz w:val="20"/>
          <w:szCs w:val="20"/>
          <w:color w:val="auto"/>
        </w:rPr>
      </w:pPr>
      <w:r>
        <w:rPr>
          <w:rFonts w:ascii="Arial" w:cs="Arial" w:eastAsia="Arial" w:hAnsi="Arial"/>
          <w:sz w:val="18"/>
          <w:szCs w:val="18"/>
          <w:color w:val="auto"/>
        </w:rPr>
        <w:t>___________________________________</w:t>
      </w:r>
    </w:p>
    <w:p>
      <w:pPr>
        <w:spacing w:after="0" w:line="79" w:lineRule="exact"/>
        <w:rPr>
          <w:sz w:val="24"/>
          <w:szCs w:val="24"/>
          <w:color w:val="auto"/>
        </w:rPr>
      </w:pPr>
    </w:p>
    <w:p>
      <w:pPr>
        <w:jc w:val="center"/>
        <w:ind w:right="-17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ectPr>
          <w:pgSz w:w="11900" w:h="16838" w:orient="portrait"/>
          <w:cols w:equalWidth="0" w:num="1">
            <w:col w:w="11080"/>
          </w:cols>
          <w:pgMar w:left="320" w:top="1070" w:right="499" w:bottom="1440" w:gutter="0" w:footer="0" w:header="0"/>
        </w:sectPr>
      </w:pPr>
    </w:p>
    <w:p>
      <w:pPr>
        <w:spacing w:after="0" w:line="200" w:lineRule="exact"/>
        <w:rPr>
          <w:sz w:val="24"/>
          <w:szCs w:val="24"/>
          <w:color w:val="auto"/>
        </w:rPr>
      </w:pPr>
    </w:p>
    <w:p>
      <w:pPr>
        <w:spacing w:after="0" w:line="301" w:lineRule="exact"/>
        <w:rPr>
          <w:sz w:val="24"/>
          <w:szCs w:val="24"/>
          <w:color w:val="auto"/>
        </w:rPr>
      </w:pPr>
    </w:p>
    <w:p>
      <w:pPr>
        <w:ind w:left="2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ind w:right="40"/>
        <w:spacing w:after="0" w:line="235" w:lineRule="auto"/>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4"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47"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w:t>
      </w:r>
    </w:p>
    <w:p>
      <w:pPr>
        <w:spacing w:after="0" w:line="1" w:lineRule="exact"/>
        <w:rPr>
          <w:sz w:val="24"/>
          <w:szCs w:val="24"/>
          <w:color w:val="auto"/>
        </w:rPr>
      </w:pPr>
    </w:p>
    <w:p>
      <w:pPr>
        <w:sectPr>
          <w:pgSz w:w="11900" w:h="16838" w:orient="portrait"/>
          <w:cols w:equalWidth="0" w:num="2">
            <w:col w:w="180" w:space="680"/>
            <w:col w:w="10220"/>
          </w:cols>
          <w:pgMar w:left="320" w:top="1070" w:right="499" w:bottom="1440" w:gutter="0" w:footer="0" w:header="0"/>
          <w:type w:val="continuous"/>
        </w:sectPr>
      </w:pPr>
    </w:p>
    <w:p>
      <w:pPr>
        <w:ind w:left="860" w:hanging="834"/>
        <w:spacing w:after="0"/>
        <w:tabs>
          <w:tab w:leader="none" w:pos="86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OF 1934</w:t>
      </w:r>
    </w:p>
    <w:p>
      <w:pPr>
        <w:spacing w:after="0" w:line="218" w:lineRule="exact"/>
        <w:rPr>
          <w:sz w:val="24"/>
          <w:szCs w:val="24"/>
          <w:color w:val="auto"/>
        </w:rPr>
      </w:pPr>
    </w:p>
    <w:p>
      <w:pPr>
        <w:ind w:left="38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w:t>
      </w:r>
    </w:p>
    <w:p>
      <w:pPr>
        <w:spacing w:after="0" w:line="126" w:lineRule="exact"/>
        <w:rPr>
          <w:sz w:val="24"/>
          <w:szCs w:val="24"/>
          <w:color w:val="auto"/>
        </w:rPr>
      </w:pPr>
    </w:p>
    <w:p>
      <w:pPr>
        <w:ind w:left="1780"/>
        <w:spacing w:after="0"/>
        <w:tabs>
          <w:tab w:leader="none" w:pos="892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26-2634160</w:t>
      </w:r>
    </w:p>
    <w:p>
      <w:pPr>
        <w:spacing w:after="0" w:line="8" w:lineRule="exact"/>
        <w:rPr>
          <w:sz w:val="24"/>
          <w:szCs w:val="24"/>
          <w:color w:val="auto"/>
        </w:rPr>
      </w:pPr>
    </w:p>
    <w:p>
      <w:pPr>
        <w:ind w:left="1240"/>
        <w:spacing w:after="0"/>
        <w:tabs>
          <w:tab w:leader="none" w:pos="884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200"/>
        <w:spacing w:after="0"/>
        <w:tabs>
          <w:tab w:leader="none" w:pos="880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70" w:lineRule="exact"/>
        <w:rPr>
          <w:sz w:val="24"/>
          <w:szCs w:val="24"/>
          <w:color w:val="auto"/>
        </w:rPr>
      </w:pPr>
    </w:p>
    <w:p>
      <w:pPr>
        <w:ind w:left="280"/>
        <w:spacing w:after="0"/>
        <w:tabs>
          <w:tab w:leader="none" w:pos="2500" w:val="left"/>
          <w:tab w:leader="none" w:pos="3480" w:val="left"/>
          <w:tab w:leader="none" w:pos="9140" w:val="left"/>
        </w:tabs>
        <w:rPr>
          <w:sz w:val="20"/>
          <w:szCs w:val="20"/>
          <w:color w:val="auto"/>
        </w:rPr>
      </w:pPr>
      <w:r>
        <w:rPr>
          <w:rFonts w:ascii="Arial" w:cs="Arial" w:eastAsia="Arial" w:hAnsi="Arial"/>
          <w:sz w:val="18"/>
          <w:szCs w:val="18"/>
          <w:b w:val="1"/>
          <w:bCs w:val="1"/>
          <w:color w:val="auto"/>
        </w:rPr>
        <w:t>8283 Greensboro Drive,</w:t>
      </w:r>
      <w:r>
        <w:rPr>
          <w:sz w:val="20"/>
          <w:szCs w:val="20"/>
          <w:color w:val="auto"/>
        </w:rPr>
        <w:tab/>
      </w:r>
      <w:r>
        <w:rPr>
          <w:rFonts w:ascii="Arial" w:cs="Arial" w:eastAsia="Arial" w:hAnsi="Arial"/>
          <w:sz w:val="18"/>
          <w:szCs w:val="18"/>
          <w:b w:val="1"/>
          <w:bCs w:val="1"/>
          <w:color w:val="auto"/>
        </w:rPr>
        <w:t>McLean,</w:t>
      </w:r>
      <w:r>
        <w:rPr>
          <w:sz w:val="20"/>
          <w:szCs w:val="20"/>
          <w:color w:val="auto"/>
        </w:rPr>
        <w:tab/>
      </w:r>
      <w:r>
        <w:rPr>
          <w:rFonts w:ascii="Arial" w:cs="Arial" w:eastAsia="Arial" w:hAnsi="Arial"/>
          <w:sz w:val="18"/>
          <w:szCs w:val="18"/>
          <w:b w:val="1"/>
          <w:bCs w:val="1"/>
          <w:color w:val="auto"/>
        </w:rPr>
        <w:t>Virginia</w:t>
      </w:r>
      <w:r>
        <w:rPr>
          <w:sz w:val="20"/>
          <w:szCs w:val="20"/>
          <w:color w:val="auto"/>
        </w:rPr>
        <w:tab/>
      </w:r>
      <w:r>
        <w:rPr>
          <w:rFonts w:ascii="Arial" w:cs="Arial" w:eastAsia="Arial" w:hAnsi="Arial"/>
          <w:sz w:val="15"/>
          <w:szCs w:val="15"/>
          <w:b w:val="1"/>
          <w:bCs w:val="1"/>
          <w:color w:val="auto"/>
        </w:rPr>
        <w:t>22102</w:t>
      </w:r>
    </w:p>
    <w:p>
      <w:pPr>
        <w:spacing w:after="0" w:line="27" w:lineRule="exact"/>
        <w:rPr>
          <w:sz w:val="24"/>
          <w:szCs w:val="24"/>
          <w:color w:val="auto"/>
        </w:rPr>
      </w:pPr>
    </w:p>
    <w:p>
      <w:pPr>
        <w:ind w:left="960"/>
        <w:spacing w:after="0"/>
        <w:tabs>
          <w:tab w:leader="none" w:pos="9020" w:val="left"/>
        </w:tabs>
        <w:rPr>
          <w:sz w:val="20"/>
          <w:szCs w:val="20"/>
          <w:color w:val="auto"/>
        </w:rPr>
      </w:pPr>
      <w:r>
        <w:rPr>
          <w:rFonts w:ascii="Arial" w:cs="Arial" w:eastAsia="Arial" w:hAnsi="Arial"/>
          <w:sz w:val="14"/>
          <w:szCs w:val="14"/>
          <w:b w:val="1"/>
          <w:bCs w:val="1"/>
          <w:color w:val="auto"/>
        </w:rPr>
        <w:t>(Address of principal executive offices)</w:t>
      </w:r>
      <w:r>
        <w:rPr>
          <w:sz w:val="20"/>
          <w:szCs w:val="20"/>
          <w:color w:val="auto"/>
        </w:rPr>
        <w:tab/>
      </w:r>
      <w:r>
        <w:rPr>
          <w:rFonts w:ascii="Arial" w:cs="Arial" w:eastAsia="Arial" w:hAnsi="Arial"/>
          <w:sz w:val="13"/>
          <w:szCs w:val="13"/>
          <w:b w:val="1"/>
          <w:bCs w:val="1"/>
          <w:color w:val="auto"/>
        </w:rPr>
        <w:t>(Zip Code)</w:t>
      </w:r>
    </w:p>
    <w:p>
      <w:pPr>
        <w:spacing w:after="0" w:line="9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(703) 902-5000</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8"/>
          <w:szCs w:val="18"/>
          <w:color w:val="auto"/>
        </w:rPr>
        <w:t>___________________________________</w:t>
      </w:r>
    </w:p>
    <w:p>
      <w:pPr>
        <w:spacing w:after="0" w:line="8" w:lineRule="exact"/>
        <w:rPr>
          <w:sz w:val="24"/>
          <w:szCs w:val="24"/>
          <w:color w:val="auto"/>
        </w:rPr>
      </w:pPr>
    </w:p>
    <w:p>
      <w:pPr>
        <w:jc w:val="center"/>
        <w:ind w:right="-17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5" w:lineRule="exact"/>
        <w:rPr>
          <w:sz w:val="24"/>
          <w:szCs w:val="24"/>
          <w:color w:val="auto"/>
        </w:rPr>
      </w:pPr>
    </w:p>
    <w:tbl>
      <w:tblPr>
        <w:tblLayout w:type="fixed"/>
        <w:tblInd w:w="18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Title of Each Class</w:t>
            </w:r>
          </w:p>
        </w:tc>
        <w:tc>
          <w:tcPr>
            <w:tcW w:w="1780" w:type="dxa"/>
            <w:vAlign w:val="bottom"/>
          </w:tcPr>
          <w:p>
            <w:pPr>
              <w:spacing w:after="0"/>
              <w:rPr>
                <w:sz w:val="14"/>
                <w:szCs w:val="14"/>
                <w:color w:val="auto"/>
              </w:rPr>
            </w:pPr>
          </w:p>
        </w:tc>
        <w:tc>
          <w:tcPr>
            <w:tcW w:w="204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2"/>
              </w:rPr>
              <w:t>Trading Symbol</w:t>
            </w: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20"/>
        </w:trPr>
        <w:tc>
          <w:tcPr>
            <w:tcW w:w="2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20" w:type="dxa"/>
            <w:vAlign w:val="bottom"/>
            <w:shd w:val="clear" w:color="auto" w:fill="000000"/>
          </w:tcPr>
          <w:p>
            <w:pPr>
              <w:spacing w:after="0" w:line="20" w:lineRule="exact"/>
              <w:rPr>
                <w:sz w:val="1"/>
                <w:szCs w:val="1"/>
                <w:color w:val="auto"/>
              </w:rPr>
            </w:pPr>
          </w:p>
        </w:tc>
      </w:tr>
      <w:tr>
        <w:trPr>
          <w:trHeight w:val="250"/>
        </w:trPr>
        <w:tc>
          <w:tcPr>
            <w:tcW w:w="3220" w:type="dxa"/>
            <w:vAlign w:val="bottom"/>
            <w:gridSpan w:val="3"/>
          </w:tcPr>
          <w:p>
            <w:pPr>
              <w:jc w:val="center"/>
              <w:ind w:right="1500"/>
              <w:spacing w:after="0"/>
              <w:rPr>
                <w:sz w:val="20"/>
                <w:szCs w:val="20"/>
                <w:color w:val="auto"/>
              </w:rPr>
            </w:pPr>
            <w:r>
              <w:rPr>
                <w:rFonts w:ascii="Arial" w:cs="Arial" w:eastAsia="Arial" w:hAnsi="Arial"/>
                <w:sz w:val="18"/>
                <w:szCs w:val="18"/>
                <w:color w:val="auto"/>
                <w:w w:val="90"/>
              </w:rPr>
              <w:t>Class A Common Stock</w:t>
            </w:r>
          </w:p>
        </w:tc>
        <w:tc>
          <w:tcPr>
            <w:tcW w:w="2040" w:type="dxa"/>
            <w:vAlign w:val="bottom"/>
            <w:gridSpan w:val="2"/>
          </w:tcPr>
          <w:p>
            <w:pPr>
              <w:jc w:val="center"/>
              <w:ind w:right="1060"/>
              <w:spacing w:after="0"/>
              <w:rPr>
                <w:sz w:val="20"/>
                <w:szCs w:val="20"/>
                <w:color w:val="auto"/>
              </w:rPr>
            </w:pPr>
            <w:r>
              <w:rPr>
                <w:rFonts w:ascii="Arial" w:cs="Arial" w:eastAsia="Arial" w:hAnsi="Arial"/>
                <w:sz w:val="14"/>
                <w:szCs w:val="14"/>
                <w:color w:val="auto"/>
              </w:rPr>
              <w:t>BAH</w:t>
            </w:r>
          </w:p>
        </w:tc>
        <w:tc>
          <w:tcPr>
            <w:tcW w:w="282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94" w:lineRule="exact"/>
        <w:rPr>
          <w:sz w:val="24"/>
          <w:szCs w:val="24"/>
          <w:color w:val="auto"/>
        </w:rPr>
      </w:pPr>
    </w:p>
    <w:p>
      <w:pPr>
        <w:ind w:right="1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19" w:lineRule="exact"/>
        <w:rPr>
          <w:sz w:val="24"/>
          <w:szCs w:val="24"/>
          <w:color w:val="auto"/>
        </w:rPr>
      </w:pPr>
    </w:p>
    <w:tbl>
      <w:tblPr>
        <w:tblLayout w:type="fixed"/>
        <w:tblInd w:w="20" w:type="dxa"/>
        <w:tblCellMar>
          <w:top w:w="0" w:type="dxa"/>
          <w:left w:w="0" w:type="dxa"/>
          <w:bottom w:w="0" w:type="dxa"/>
          <w:right w:w="0" w:type="dxa"/>
        </w:tblCellMar>
      </w:tblPr>
      <w:tr>
        <w:trPr>
          <w:trHeight w:val="350"/>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500"/>
              <w:spacing w:after="0" w:line="181" w:lineRule="exact"/>
              <w:rPr>
                <w:sz w:val="20"/>
                <w:szCs w:val="20"/>
                <w:color w:val="auto"/>
              </w:rPr>
            </w:pPr>
            <w:r>
              <w:rPr>
                <w:rFonts w:ascii="MS PGothic" w:cs="MS PGothic" w:eastAsia="MS PGothic" w:hAnsi="MS PGothic"/>
                <w:sz w:val="18"/>
                <w:szCs w:val="18"/>
                <w:color w:val="auto"/>
              </w:rPr>
              <w:t>☒</w:t>
            </w:r>
          </w:p>
        </w:tc>
        <w:tc>
          <w:tcPr>
            <w:tcW w:w="5000" w:type="dxa"/>
            <w:vAlign w:val="bottom"/>
          </w:tcPr>
          <w:p>
            <w:pPr>
              <w:ind w:left="2440"/>
              <w:spacing w:after="0"/>
              <w:rPr>
                <w:sz w:val="20"/>
                <w:szCs w:val="20"/>
                <w:color w:val="auto"/>
              </w:rPr>
            </w:pPr>
            <w:r>
              <w:rPr>
                <w:rFonts w:ascii="Arial" w:cs="Arial" w:eastAsia="Arial" w:hAnsi="Arial"/>
                <w:sz w:val="18"/>
                <w:szCs w:val="18"/>
                <w:color w:val="auto"/>
              </w:rPr>
              <w:t>Accelerated Filer</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spacing w:after="0"/>
              <w:rPr>
                <w:sz w:val="22"/>
                <w:szCs w:val="22"/>
                <w:color w:val="auto"/>
              </w:rPr>
            </w:pPr>
          </w:p>
        </w:tc>
        <w:tc>
          <w:tcPr>
            <w:tcW w:w="5000" w:type="dxa"/>
            <w:vAlign w:val="bottom"/>
          </w:tcPr>
          <w:p>
            <w:pPr>
              <w:ind w:left="2440"/>
              <w:spacing w:after="0"/>
              <w:rPr>
                <w:sz w:val="20"/>
                <w:szCs w:val="20"/>
                <w:color w:val="auto"/>
              </w:rPr>
            </w:pPr>
            <w:r>
              <w:rPr>
                <w:rFonts w:ascii="Arial" w:cs="Arial" w:eastAsia="Arial" w:hAnsi="Arial"/>
                <w:sz w:val="18"/>
                <w:szCs w:val="18"/>
                <w:color w:val="auto"/>
              </w:rPr>
              <w:t>Smaller Reporting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000" w:type="dxa"/>
            <w:vAlign w:val="bottom"/>
          </w:tcPr>
          <w:p>
            <w:pPr>
              <w:ind w:left="2440"/>
              <w:spacing w:after="0"/>
              <w:rPr>
                <w:sz w:val="20"/>
                <w:szCs w:val="20"/>
                <w:color w:val="auto"/>
              </w:rPr>
            </w:pPr>
            <w:r>
              <w:rPr>
                <w:rFonts w:ascii="Arial" w:cs="Arial" w:eastAsia="Arial" w:hAnsi="Arial"/>
                <w:sz w:val="18"/>
                <w:szCs w:val="18"/>
                <w:color w:val="auto"/>
              </w:rPr>
              <w:t>Emerging Growth Company</w:t>
            </w:r>
          </w:p>
        </w:tc>
        <w:tc>
          <w:tcPr>
            <w:tcW w:w="660" w:type="dxa"/>
            <w:vAlign w:val="bottom"/>
          </w:tcPr>
          <w:p>
            <w:pPr>
              <w:ind w:left="5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207" w:lineRule="exact"/>
        <w:tabs>
          <w:tab w:leader="none" w:pos="890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70" w:right="4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5820" w:type="dxa"/>
            <w:vAlign w:val="bottom"/>
            <w:gridSpan w:val="2"/>
          </w:tcPr>
          <w:p>
            <w:pPr>
              <w:jc w:val="center"/>
              <w:ind w:left="2842"/>
              <w:spacing w:after="0"/>
              <w:rPr>
                <w:sz w:val="20"/>
                <w:szCs w:val="20"/>
                <w:color w:val="auto"/>
              </w:rPr>
            </w:pPr>
            <w:r>
              <w:rPr>
                <w:rFonts w:ascii="Arial" w:cs="Arial" w:eastAsia="Arial" w:hAnsi="Arial"/>
                <w:sz w:val="14"/>
                <w:szCs w:val="14"/>
                <w:b w:val="1"/>
                <w:bCs w:val="1"/>
                <w:color w:val="auto"/>
                <w:w w:val="91"/>
              </w:rPr>
              <w:t>Shares Outstanding</w:t>
            </w:r>
          </w:p>
        </w:tc>
      </w:tr>
      <w:tr>
        <w:trPr>
          <w:trHeight w:val="188"/>
        </w:trPr>
        <w:tc>
          <w:tcPr>
            <w:tcW w:w="5420" w:type="dxa"/>
            <w:vAlign w:val="bottom"/>
          </w:tcPr>
          <w:p>
            <w:pPr>
              <w:spacing w:after="0"/>
              <w:rPr>
                <w:sz w:val="16"/>
                <w:szCs w:val="16"/>
                <w:color w:val="auto"/>
              </w:rPr>
            </w:pPr>
          </w:p>
        </w:tc>
        <w:tc>
          <w:tcPr>
            <w:tcW w:w="5820" w:type="dxa"/>
            <w:vAlign w:val="bottom"/>
            <w:gridSpan w:val="2"/>
          </w:tcPr>
          <w:p>
            <w:pPr>
              <w:jc w:val="center"/>
              <w:ind w:left="2822"/>
              <w:spacing w:after="0"/>
              <w:rPr>
                <w:sz w:val="20"/>
                <w:szCs w:val="20"/>
                <w:color w:val="auto"/>
              </w:rPr>
            </w:pPr>
            <w:r>
              <w:rPr>
                <w:rFonts w:ascii="Arial" w:cs="Arial" w:eastAsia="Arial" w:hAnsi="Arial"/>
                <w:sz w:val="14"/>
                <w:szCs w:val="14"/>
                <w:b w:val="1"/>
                <w:bCs w:val="1"/>
                <w:color w:val="auto"/>
                <w:w w:val="91"/>
              </w:rPr>
              <w:t>as of October 27, 2020</w:t>
            </w:r>
          </w:p>
        </w:tc>
      </w:tr>
      <w:tr>
        <w:trPr>
          <w:trHeight w:val="231"/>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54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137,900,150</w:t>
            </w:r>
          </w:p>
        </w:tc>
        <w:tc>
          <w:tcPr>
            <w:tcW w:w="360" w:type="dxa"/>
            <w:vAlign w:val="bottom"/>
          </w:tcPr>
          <w:p>
            <w:pPr>
              <w:spacing w:after="0"/>
              <w:rPr>
                <w:sz w:val="20"/>
                <w:szCs w:val="20"/>
                <w:color w:val="auto"/>
              </w:rPr>
            </w:pPr>
          </w:p>
        </w:tc>
      </w:tr>
      <w:tr>
        <w:trPr>
          <w:trHeight w:val="763"/>
        </w:trPr>
        <w:tc>
          <w:tcPr>
            <w:tcW w:w="54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480" w:type="dxa"/>
            <w:vAlign w:val="bottom"/>
            <w:gridSpan w:val="2"/>
          </w:tcPr>
          <w:p>
            <w:pPr>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80" w:type="dxa"/>
            <w:vAlign w:val="bottom"/>
            <w:gridSpan w:val="2"/>
            <w:vMerge w:val="restart"/>
          </w:tcPr>
          <w:p>
            <w:pPr>
              <w:ind w:left="20"/>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Financial Information</w:t>
              </w:r>
            </w:hyperlink>
          </w:p>
        </w:tc>
        <w:tc>
          <w:tcPr>
            <w:tcW w:w="760" w:type="dxa"/>
            <w:vAlign w:val="bottom"/>
            <w:gridSpan w:val="2"/>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8"/>
        </w:trPr>
        <w:tc>
          <w:tcPr>
            <w:tcW w:w="10480" w:type="dxa"/>
            <w:vAlign w:val="bottom"/>
            <w:gridSpan w:val="2"/>
            <w:vMerge w:val="continue"/>
          </w:tcPr>
          <w:p>
            <w:pPr>
              <w:spacing w:after="0"/>
              <w:rPr>
                <w:sz w:val="18"/>
                <w:szCs w:val="18"/>
                <w:color w:val="auto"/>
              </w:rPr>
            </w:pPr>
          </w:p>
        </w:tc>
        <w:tc>
          <w:tcPr>
            <w:tcW w:w="740" w:type="dxa"/>
            <w:vAlign w:val="bottom"/>
            <w:tcBorders>
              <w:top w:val="single" w:sz="8" w:color="auto"/>
            </w:tcBorders>
          </w:tcPr>
          <w:p>
            <w:pPr>
              <w:jc w:val="right"/>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160" w:type="dxa"/>
            <w:vAlign w:val="bottom"/>
          </w:tcPr>
          <w:p>
            <w:pPr>
              <w:ind w:left="26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Financial Statements</w:t>
              </w:r>
            </w:hyperlink>
          </w:p>
        </w:tc>
        <w:tc>
          <w:tcPr>
            <w:tcW w:w="740" w:type="dxa"/>
            <w:vAlign w:val="bottom"/>
          </w:tcPr>
          <w:p>
            <w:pPr>
              <w:jc w:val="right"/>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160" w:type="dxa"/>
            <w:vAlign w:val="bottom"/>
          </w:tcPr>
          <w:p>
            <w:pPr>
              <w:ind w:left="260"/>
              <w:spacing w:after="0"/>
              <w:rPr>
                <w:rFonts w:ascii="Arial" w:cs="Arial" w:eastAsia="Arial" w:hAnsi="Arial"/>
                <w:sz w:val="18"/>
                <w:szCs w:val="18"/>
                <w:b w:val="1"/>
                <w:bCs w:val="1"/>
                <w:u w:val="single" w:color="auto"/>
                <w:color w:val="0000FF"/>
              </w:rPr>
            </w:pPr>
            <w:hyperlink w:anchor="page28">
              <w:r>
                <w:rPr>
                  <w:rFonts w:ascii="Arial" w:cs="Arial" w:eastAsia="Arial" w:hAnsi="Arial"/>
                  <w:sz w:val="18"/>
                  <w:szCs w:val="18"/>
                  <w:b w:val="1"/>
                  <w:bCs w:val="1"/>
                  <w:u w:val="single" w:color="auto"/>
                  <w:color w:val="0000FF"/>
                </w:rPr>
                <w:t>Management's Discussion and Analysis of Financial Condition and Results of Operations</w:t>
              </w:r>
            </w:hyperlink>
          </w:p>
        </w:tc>
        <w:tc>
          <w:tcPr>
            <w:tcW w:w="740" w:type="dxa"/>
            <w:vAlign w:val="bottom"/>
          </w:tcPr>
          <w:p>
            <w:pPr>
              <w:jc w:val="right"/>
              <w:spacing w:after="0"/>
              <w:rPr>
                <w:rFonts w:ascii="Arial" w:cs="Arial" w:eastAsia="Arial" w:hAnsi="Arial"/>
                <w:sz w:val="18"/>
                <w:szCs w:val="18"/>
                <w:b w:val="1"/>
                <w:bCs w:val="1"/>
                <w:u w:val="single" w:color="auto"/>
                <w:color w:val="0000FF"/>
              </w:rPr>
            </w:pPr>
            <w:hyperlink w:anchor="page28">
              <w:r>
                <w:rPr>
                  <w:rFonts w:ascii="Arial" w:cs="Arial" w:eastAsia="Arial" w:hAnsi="Arial"/>
                  <w:sz w:val="18"/>
                  <w:szCs w:val="18"/>
                  <w:b w:val="1"/>
                  <w:bCs w:val="1"/>
                  <w:u w:val="single" w:color="auto"/>
                  <w:color w:val="0000FF"/>
                </w:rPr>
                <w:t>25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160" w:type="dxa"/>
            <w:vAlign w:val="bottom"/>
          </w:tcPr>
          <w:p>
            <w:pPr>
              <w:ind w:left="260"/>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Quantitative and Qualitative Disclosures About Market Risk</w:t>
              </w:r>
            </w:hyperlink>
          </w:p>
        </w:tc>
        <w:tc>
          <w:tcPr>
            <w:tcW w:w="740" w:type="dxa"/>
            <w:vAlign w:val="bottom"/>
          </w:tcPr>
          <w:p>
            <w:pPr>
              <w:jc w:val="right"/>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43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9160" w:type="dxa"/>
            <w:vAlign w:val="bottom"/>
          </w:tcPr>
          <w:p>
            <w:pPr>
              <w:ind w:left="260"/>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Controls and Procedures</w:t>
              </w:r>
            </w:hyperlink>
          </w:p>
        </w:tc>
        <w:tc>
          <w:tcPr>
            <w:tcW w:w="740" w:type="dxa"/>
            <w:vAlign w:val="bottom"/>
          </w:tcPr>
          <w:p>
            <w:pPr>
              <w:jc w:val="right"/>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43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480" w:type="dxa"/>
            <w:vAlign w:val="bottom"/>
            <w:gridSpan w:val="2"/>
          </w:tcPr>
          <w:p>
            <w:pPr>
              <w:ind w:left="20"/>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PART II. Other Information</w:t>
              </w:r>
            </w:hyperlink>
          </w:p>
        </w:tc>
        <w:tc>
          <w:tcPr>
            <w:tcW w:w="740" w:type="dxa"/>
            <w:vAlign w:val="bottom"/>
          </w:tcPr>
          <w:p>
            <w:pPr>
              <w:jc w:val="right"/>
              <w:spacing w:after="0"/>
              <w:rPr>
                <w:rFonts w:ascii="Arial" w:cs="Arial" w:eastAsia="Arial" w:hAnsi="Arial"/>
                <w:sz w:val="18"/>
                <w:szCs w:val="18"/>
                <w:b w:val="1"/>
                <w:bCs w:val="1"/>
                <w:u w:val="single" w:color="auto"/>
                <w:color w:val="0000FF"/>
              </w:rPr>
            </w:pPr>
            <w:hyperlink w:anchor="page47">
              <w:r>
                <w:rPr>
                  <w:rFonts w:ascii="Arial" w:cs="Arial" w:eastAsia="Arial" w:hAnsi="Arial"/>
                  <w:sz w:val="18"/>
                  <w:szCs w:val="18"/>
                  <w:b w:val="1"/>
                  <w:bCs w:val="1"/>
                  <w:u w:val="single" w:color="auto"/>
                  <w:color w:val="0000FF"/>
                </w:rPr>
                <w:t>44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160" w:type="dxa"/>
            <w:vAlign w:val="bottom"/>
          </w:tcPr>
          <w:p>
            <w:pPr>
              <w:ind w:left="260"/>
              <w:spacing w:after="0"/>
              <w:rPr>
                <w:rFonts w:ascii="Arial" w:cs="Arial" w:eastAsia="Arial" w:hAnsi="Arial"/>
                <w:sz w:val="18"/>
                <w:szCs w:val="18"/>
                <w:b w:val="1"/>
                <w:bCs w:val="1"/>
                <w:u w:val="single" w:color="auto"/>
                <w:color w:val="0000FF"/>
              </w:rPr>
            </w:pPr>
            <w:hyperlink w:anchor="page48">
              <w:r>
                <w:rPr>
                  <w:rFonts w:ascii="Arial" w:cs="Arial" w:eastAsia="Arial" w:hAnsi="Arial"/>
                  <w:sz w:val="18"/>
                  <w:szCs w:val="18"/>
                  <w:b w:val="1"/>
                  <w:bCs w:val="1"/>
                  <w:u w:val="single" w:color="auto"/>
                  <w:color w:val="0000FF"/>
                </w:rPr>
                <w:t>Legal Proceedings</w:t>
              </w:r>
            </w:hyperlink>
          </w:p>
        </w:tc>
        <w:tc>
          <w:tcPr>
            <w:tcW w:w="740" w:type="dxa"/>
            <w:vAlign w:val="bottom"/>
          </w:tcPr>
          <w:p>
            <w:pPr>
              <w:jc w:val="right"/>
              <w:spacing w:after="0"/>
              <w:rPr>
                <w:rFonts w:ascii="Arial" w:cs="Arial" w:eastAsia="Arial" w:hAnsi="Arial"/>
                <w:sz w:val="18"/>
                <w:szCs w:val="18"/>
                <w:b w:val="1"/>
                <w:bCs w:val="1"/>
                <w:u w:val="single" w:color="auto"/>
                <w:color w:val="0000FF"/>
              </w:rPr>
            </w:pPr>
            <w:hyperlink w:anchor="page48">
              <w:r>
                <w:rPr>
                  <w:rFonts w:ascii="Arial" w:cs="Arial" w:eastAsia="Arial" w:hAnsi="Arial"/>
                  <w:sz w:val="18"/>
                  <w:szCs w:val="18"/>
                  <w:b w:val="1"/>
                  <w:bCs w:val="1"/>
                  <w:u w:val="single" w:color="auto"/>
                  <w:color w:val="0000FF"/>
                </w:rPr>
                <w:t>44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160" w:type="dxa"/>
            <w:vAlign w:val="bottom"/>
          </w:tcPr>
          <w:p>
            <w:pPr>
              <w:ind w:left="260"/>
              <w:spacing w:after="0"/>
              <w:rPr>
                <w:rFonts w:ascii="Arial" w:cs="Arial" w:eastAsia="Arial" w:hAnsi="Arial"/>
                <w:sz w:val="18"/>
                <w:szCs w:val="18"/>
                <w:b w:val="1"/>
                <w:bCs w:val="1"/>
                <w:u w:val="single" w:color="auto"/>
                <w:color w:val="0000FF"/>
              </w:rPr>
            </w:pPr>
            <w:hyperlink w:anchor="page48">
              <w:r>
                <w:rPr>
                  <w:rFonts w:ascii="Arial" w:cs="Arial" w:eastAsia="Arial" w:hAnsi="Arial"/>
                  <w:sz w:val="18"/>
                  <w:szCs w:val="18"/>
                  <w:b w:val="1"/>
                  <w:bCs w:val="1"/>
                  <w:u w:val="single" w:color="auto"/>
                  <w:color w:val="0000FF"/>
                </w:rPr>
                <w:t>Risk Factors</w:t>
              </w:r>
            </w:hyperlink>
          </w:p>
        </w:tc>
        <w:tc>
          <w:tcPr>
            <w:tcW w:w="740" w:type="dxa"/>
            <w:vAlign w:val="bottom"/>
          </w:tcPr>
          <w:p>
            <w:pPr>
              <w:jc w:val="right"/>
              <w:spacing w:after="0"/>
              <w:rPr>
                <w:rFonts w:ascii="Arial" w:cs="Arial" w:eastAsia="Arial" w:hAnsi="Arial"/>
                <w:sz w:val="18"/>
                <w:szCs w:val="18"/>
                <w:b w:val="1"/>
                <w:bCs w:val="1"/>
                <w:u w:val="single" w:color="auto"/>
                <w:color w:val="0000FF"/>
              </w:rPr>
            </w:pPr>
            <w:hyperlink w:anchor="page48">
              <w:r>
                <w:rPr>
                  <w:rFonts w:ascii="Arial" w:cs="Arial" w:eastAsia="Arial" w:hAnsi="Arial"/>
                  <w:sz w:val="18"/>
                  <w:szCs w:val="18"/>
                  <w:b w:val="1"/>
                  <w:bCs w:val="1"/>
                  <w:u w:val="single" w:color="auto"/>
                  <w:color w:val="0000FF"/>
                </w:rPr>
                <w:t>45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160" w:type="dxa"/>
            <w:vAlign w:val="bottom"/>
          </w:tcPr>
          <w:p>
            <w:pPr>
              <w:ind w:left="260"/>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Unregistered Sales of Equity Securities and Use of Proceeds</w:t>
              </w:r>
            </w:hyperlink>
          </w:p>
        </w:tc>
        <w:tc>
          <w:tcPr>
            <w:tcW w:w="740" w:type="dxa"/>
            <w:vAlign w:val="bottom"/>
          </w:tcPr>
          <w:p>
            <w:pPr>
              <w:jc w:val="right"/>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45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160" w:type="dxa"/>
            <w:vAlign w:val="bottom"/>
          </w:tcPr>
          <w:p>
            <w:pPr>
              <w:ind w:left="260"/>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Defaults Upon Senior Securities</w:t>
              </w:r>
            </w:hyperlink>
          </w:p>
        </w:tc>
        <w:tc>
          <w:tcPr>
            <w:tcW w:w="740" w:type="dxa"/>
            <w:vAlign w:val="bottom"/>
          </w:tcPr>
          <w:p>
            <w:pPr>
              <w:jc w:val="right"/>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45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9160" w:type="dxa"/>
            <w:vAlign w:val="bottom"/>
          </w:tcPr>
          <w:p>
            <w:pPr>
              <w:ind w:left="260"/>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Mine Safety Disclosures</w:t>
              </w:r>
            </w:hyperlink>
          </w:p>
        </w:tc>
        <w:tc>
          <w:tcPr>
            <w:tcW w:w="740" w:type="dxa"/>
            <w:vAlign w:val="bottom"/>
          </w:tcPr>
          <w:p>
            <w:pPr>
              <w:jc w:val="right"/>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45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160" w:type="dxa"/>
            <w:vAlign w:val="bottom"/>
          </w:tcPr>
          <w:p>
            <w:pPr>
              <w:ind w:left="260"/>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Other Information</w:t>
              </w:r>
            </w:hyperlink>
          </w:p>
        </w:tc>
        <w:tc>
          <w:tcPr>
            <w:tcW w:w="740" w:type="dxa"/>
            <w:vAlign w:val="bottom"/>
          </w:tcPr>
          <w:p>
            <w:pPr>
              <w:jc w:val="right"/>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45</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2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9160" w:type="dxa"/>
            <w:vAlign w:val="bottom"/>
          </w:tcPr>
          <w:p>
            <w:pPr>
              <w:ind w:left="260"/>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Exhibits</w:t>
              </w:r>
            </w:hyperlink>
          </w:p>
        </w:tc>
        <w:tc>
          <w:tcPr>
            <w:tcW w:w="740" w:type="dxa"/>
            <w:vAlign w:val="bottom"/>
          </w:tcPr>
          <w:p>
            <w:pPr>
              <w:jc w:val="right"/>
              <w:spacing w:after="0"/>
              <w:rPr>
                <w:rFonts w:ascii="Arial" w:cs="Arial" w:eastAsia="Arial" w:hAnsi="Arial"/>
                <w:sz w:val="18"/>
                <w:szCs w:val="18"/>
                <w:b w:val="1"/>
                <w:bCs w:val="1"/>
                <w:u w:val="single" w:color="auto"/>
                <w:color w:val="0000FF"/>
              </w:rPr>
            </w:pPr>
            <w:hyperlink w:anchor="page49">
              <w:r>
                <w:rPr>
                  <w:rFonts w:ascii="Arial" w:cs="Arial" w:eastAsia="Arial" w:hAnsi="Arial"/>
                  <w:sz w:val="18"/>
                  <w:szCs w:val="18"/>
                  <w:b w:val="1"/>
                  <w:bCs w:val="1"/>
                  <w:u w:val="single" w:color="auto"/>
                  <w:color w:val="0000FF"/>
                </w:rPr>
                <w:t>46</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2"/>
        </w:trPr>
        <w:tc>
          <w:tcPr>
            <w:tcW w:w="132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500" w:type="dxa"/>
            <w:vAlign w:val="bottom"/>
            <w:gridSpan w:val="2"/>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769"/>
        </w:trPr>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0" w:type="dxa"/>
            <w:vAlign w:val="bottom"/>
          </w:tcPr>
          <w:p>
            <w:pPr>
              <w:jc w:val="center"/>
              <w:ind w:right="1330"/>
              <w:spacing w:after="0"/>
              <w:rPr>
                <w:sz w:val="20"/>
                <w:szCs w:val="20"/>
                <w:color w:val="auto"/>
              </w:rPr>
            </w:pPr>
            <w:r>
              <w:rPr>
                <w:rFonts w:ascii="Arial" w:cs="Arial" w:eastAsia="Arial" w:hAnsi="Arial"/>
                <w:sz w:val="18"/>
                <w:szCs w:val="18"/>
                <w:b w:val="1"/>
                <w:bCs w:val="1"/>
                <w:color w:val="auto"/>
              </w:rPr>
              <w:t>PART I. FINANCIAL INFORMATION</w:t>
            </w:r>
          </w:p>
        </w:tc>
        <w:tc>
          <w:tcPr>
            <w:tcW w:w="1200" w:type="dxa"/>
            <w:vAlign w:val="bottom"/>
          </w:tcPr>
          <w:p>
            <w:pPr>
              <w:spacing w:after="0"/>
              <w:rPr>
                <w:sz w:val="24"/>
                <w:szCs w:val="24"/>
                <w:color w:val="auto"/>
              </w:rPr>
            </w:pPr>
          </w:p>
        </w:tc>
      </w:tr>
      <w:tr>
        <w:trPr>
          <w:trHeight w:val="459"/>
        </w:trPr>
        <w:tc>
          <w:tcPr>
            <w:tcW w:w="10040" w:type="dxa"/>
            <w:vAlign w:val="bottom"/>
            <w:gridSpan w:val="9"/>
          </w:tcPr>
          <w:p>
            <w:pPr>
              <w:spacing w:after="0"/>
              <w:rPr>
                <w:sz w:val="20"/>
                <w:szCs w:val="20"/>
                <w:color w:val="auto"/>
              </w:rPr>
            </w:pPr>
            <w:r>
              <w:rPr>
                <w:rFonts w:ascii="Arial" w:cs="Arial" w:eastAsia="Arial" w:hAnsi="Arial"/>
                <w:sz w:val="18"/>
                <w:szCs w:val="18"/>
                <w:b w:val="1"/>
                <w:bCs w:val="1"/>
                <w:color w:val="auto"/>
              </w:rPr>
              <w:t>Item 1</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Financial Statements</w:t>
            </w:r>
          </w:p>
        </w:tc>
        <w:tc>
          <w:tcPr>
            <w:tcW w:w="1200" w:type="dxa"/>
            <w:vAlign w:val="bottom"/>
          </w:tcPr>
          <w:p>
            <w:pPr>
              <w:spacing w:after="0"/>
              <w:rPr>
                <w:sz w:val="24"/>
                <w:szCs w:val="24"/>
                <w:color w:val="auto"/>
              </w:rPr>
            </w:pPr>
          </w:p>
        </w:tc>
      </w:tr>
      <w:tr>
        <w:trPr>
          <w:trHeight w:val="459"/>
        </w:trPr>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60" w:type="dxa"/>
            <w:vAlign w:val="bottom"/>
            <w:gridSpan w:val="4"/>
          </w:tcPr>
          <w:p>
            <w:pPr>
              <w:jc w:val="center"/>
              <w:ind w:right="570"/>
              <w:spacing w:after="0"/>
              <w:rPr>
                <w:sz w:val="20"/>
                <w:szCs w:val="20"/>
                <w:color w:val="auto"/>
              </w:rPr>
            </w:pPr>
            <w:r>
              <w:rPr>
                <w:rFonts w:ascii="Arial" w:cs="Arial" w:eastAsia="Arial" w:hAnsi="Arial"/>
                <w:sz w:val="18"/>
                <w:szCs w:val="18"/>
                <w:b w:val="1"/>
                <w:bCs w:val="1"/>
                <w:color w:val="auto"/>
              </w:rPr>
              <w:t>INDEX TO THE UNAUDITED CONDENSED CONSOLIDATED FINANCIAL STATEMENTS</w:t>
            </w:r>
          </w:p>
        </w:tc>
        <w:tc>
          <w:tcPr>
            <w:tcW w:w="1200" w:type="dxa"/>
            <w:vAlign w:val="bottom"/>
          </w:tcPr>
          <w:p>
            <w:pPr>
              <w:spacing w:after="0"/>
              <w:rPr>
                <w:sz w:val="24"/>
                <w:szCs w:val="24"/>
                <w:color w:val="auto"/>
              </w:rPr>
            </w:pPr>
          </w:p>
        </w:tc>
      </w:tr>
      <w:tr>
        <w:trPr>
          <w:trHeight w:val="256"/>
        </w:trPr>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400" w:type="dxa"/>
            <w:vAlign w:val="bottom"/>
          </w:tcPr>
          <w:p>
            <w:pPr>
              <w:spacing w:after="0"/>
              <w:rPr>
                <w:sz w:val="22"/>
                <w:szCs w:val="22"/>
                <w:color w:val="auto"/>
              </w:rPr>
            </w:pPr>
          </w:p>
        </w:tc>
        <w:tc>
          <w:tcPr>
            <w:tcW w:w="120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Page</w:t>
            </w:r>
          </w:p>
        </w:tc>
      </w:tr>
      <w:tr>
        <w:trPr>
          <w:trHeight w:val="218"/>
        </w:trPr>
        <w:tc>
          <w:tcPr>
            <w:tcW w:w="10040" w:type="dxa"/>
            <w:vAlign w:val="bottom"/>
            <w:gridSpan w:val="9"/>
          </w:tcPr>
          <w:p>
            <w:pPr>
              <w:ind w:left="1000"/>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Condensed Consolidated Balance Sheets</w:t>
              </w:r>
            </w:hyperlink>
          </w:p>
        </w:tc>
        <w:tc>
          <w:tcPr>
            <w:tcW w:w="1200" w:type="dxa"/>
            <w:vAlign w:val="bottom"/>
          </w:tcPr>
          <w:p>
            <w:pPr>
              <w:jc w:val="center"/>
              <w:spacing w:after="0"/>
              <w:rPr>
                <w:rFonts w:ascii="Arial" w:cs="Arial" w:eastAsia="Arial" w:hAnsi="Arial"/>
                <w:sz w:val="18"/>
                <w:szCs w:val="18"/>
                <w:b w:val="1"/>
                <w:bCs w:val="1"/>
                <w:u w:val="single" w:color="auto"/>
                <w:color w:val="0000FF"/>
                <w:w w:val="79"/>
              </w:rPr>
            </w:pPr>
            <w:hyperlink w:anchor="page4">
              <w:r>
                <w:rPr>
                  <w:rFonts w:ascii="Arial" w:cs="Arial" w:eastAsia="Arial" w:hAnsi="Arial"/>
                  <w:sz w:val="18"/>
                  <w:szCs w:val="18"/>
                  <w:b w:val="1"/>
                  <w:bCs w:val="1"/>
                  <w:u w:val="single" w:color="auto"/>
                  <w:color w:val="0000FF"/>
                  <w:w w:val="79"/>
                </w:rPr>
                <w:t>1</w:t>
              </w:r>
            </w:hyperlink>
          </w:p>
        </w:tc>
      </w:tr>
      <w:tr>
        <w:trPr>
          <w:trHeight w:val="229"/>
        </w:trPr>
        <w:tc>
          <w:tcPr>
            <w:tcW w:w="10040" w:type="dxa"/>
            <w:vAlign w:val="bottom"/>
            <w:gridSpan w:val="9"/>
          </w:tcPr>
          <w:p>
            <w:pPr>
              <w:ind w:left="1000"/>
              <w:spacing w:after="0"/>
              <w:rPr>
                <w:rFonts w:ascii="Arial" w:cs="Arial" w:eastAsia="Arial" w:hAnsi="Arial"/>
                <w:sz w:val="18"/>
                <w:szCs w:val="18"/>
                <w:b w:val="1"/>
                <w:bCs w:val="1"/>
                <w:u w:val="single" w:color="auto"/>
                <w:color w:val="0000FF"/>
              </w:rPr>
            </w:pPr>
            <w:hyperlink w:anchor="page5">
              <w:r>
                <w:rPr>
                  <w:rFonts w:ascii="Arial" w:cs="Arial" w:eastAsia="Arial" w:hAnsi="Arial"/>
                  <w:sz w:val="18"/>
                  <w:szCs w:val="18"/>
                  <w:b w:val="1"/>
                  <w:bCs w:val="1"/>
                  <w:u w:val="single" w:color="auto"/>
                  <w:color w:val="0000FF"/>
                </w:rPr>
                <w:t>Condensed Consolidated Statements of Operations</w:t>
              </w:r>
            </w:hyperlink>
          </w:p>
        </w:tc>
        <w:tc>
          <w:tcPr>
            <w:tcW w:w="1200" w:type="dxa"/>
            <w:vAlign w:val="bottom"/>
          </w:tcPr>
          <w:p>
            <w:pPr>
              <w:jc w:val="center"/>
              <w:spacing w:after="0"/>
              <w:rPr>
                <w:rFonts w:ascii="Arial" w:cs="Arial" w:eastAsia="Arial" w:hAnsi="Arial"/>
                <w:sz w:val="18"/>
                <w:szCs w:val="18"/>
                <w:b w:val="1"/>
                <w:bCs w:val="1"/>
                <w:u w:val="single" w:color="auto"/>
                <w:color w:val="0000FF"/>
                <w:w w:val="79"/>
              </w:rPr>
            </w:pPr>
            <w:hyperlink w:anchor="page5">
              <w:r>
                <w:rPr>
                  <w:rFonts w:ascii="Arial" w:cs="Arial" w:eastAsia="Arial" w:hAnsi="Arial"/>
                  <w:sz w:val="18"/>
                  <w:szCs w:val="18"/>
                  <w:b w:val="1"/>
                  <w:bCs w:val="1"/>
                  <w:u w:val="single" w:color="auto"/>
                  <w:color w:val="0000FF"/>
                  <w:w w:val="79"/>
                </w:rPr>
                <w:t>2</w:t>
              </w:r>
            </w:hyperlink>
          </w:p>
        </w:tc>
      </w:tr>
      <w:tr>
        <w:trPr>
          <w:trHeight w:val="230"/>
        </w:trPr>
        <w:tc>
          <w:tcPr>
            <w:tcW w:w="10040" w:type="dxa"/>
            <w:vAlign w:val="bottom"/>
            <w:gridSpan w:val="9"/>
          </w:tcPr>
          <w:p>
            <w:pPr>
              <w:ind w:left="1000"/>
              <w:spacing w:after="0"/>
              <w:rPr>
                <w:rFonts w:ascii="Arial" w:cs="Arial" w:eastAsia="Arial" w:hAnsi="Arial"/>
                <w:sz w:val="18"/>
                <w:szCs w:val="18"/>
                <w:b w:val="1"/>
                <w:bCs w:val="1"/>
                <w:u w:val="single" w:color="auto"/>
                <w:color w:val="0000FF"/>
              </w:rPr>
            </w:pPr>
            <w:hyperlink w:anchor="page6">
              <w:r>
                <w:rPr>
                  <w:rFonts w:ascii="Arial" w:cs="Arial" w:eastAsia="Arial" w:hAnsi="Arial"/>
                  <w:sz w:val="18"/>
                  <w:szCs w:val="18"/>
                  <w:b w:val="1"/>
                  <w:bCs w:val="1"/>
                  <w:u w:val="single" w:color="auto"/>
                  <w:color w:val="0000FF"/>
                </w:rPr>
                <w:t>Condensed Consolidated Statements of Comprehensive Income</w:t>
              </w:r>
            </w:hyperlink>
          </w:p>
        </w:tc>
        <w:tc>
          <w:tcPr>
            <w:tcW w:w="1200" w:type="dxa"/>
            <w:vAlign w:val="bottom"/>
          </w:tcPr>
          <w:p>
            <w:pPr>
              <w:jc w:val="center"/>
              <w:spacing w:after="0"/>
              <w:rPr>
                <w:rFonts w:ascii="Arial" w:cs="Arial" w:eastAsia="Arial" w:hAnsi="Arial"/>
                <w:sz w:val="18"/>
                <w:szCs w:val="18"/>
                <w:b w:val="1"/>
                <w:bCs w:val="1"/>
                <w:u w:val="single" w:color="auto"/>
                <w:color w:val="0000FF"/>
                <w:w w:val="79"/>
              </w:rPr>
            </w:pPr>
            <w:hyperlink w:anchor="page6">
              <w:r>
                <w:rPr>
                  <w:rFonts w:ascii="Arial" w:cs="Arial" w:eastAsia="Arial" w:hAnsi="Arial"/>
                  <w:sz w:val="18"/>
                  <w:szCs w:val="18"/>
                  <w:b w:val="1"/>
                  <w:bCs w:val="1"/>
                  <w:u w:val="single" w:color="auto"/>
                  <w:color w:val="0000FF"/>
                  <w:w w:val="79"/>
                </w:rPr>
                <w:t>3</w:t>
              </w:r>
            </w:hyperlink>
          </w:p>
        </w:tc>
      </w:tr>
      <w:tr>
        <w:trPr>
          <w:trHeight w:val="229"/>
        </w:trPr>
        <w:tc>
          <w:tcPr>
            <w:tcW w:w="10040" w:type="dxa"/>
            <w:vAlign w:val="bottom"/>
            <w:gridSpan w:val="9"/>
          </w:tcPr>
          <w:p>
            <w:pPr>
              <w:ind w:left="1000"/>
              <w:spacing w:after="0"/>
              <w:rPr>
                <w:rFonts w:ascii="Arial" w:cs="Arial" w:eastAsia="Arial" w:hAnsi="Arial"/>
                <w:sz w:val="18"/>
                <w:szCs w:val="18"/>
                <w:b w:val="1"/>
                <w:bCs w:val="1"/>
                <w:u w:val="single" w:color="auto"/>
                <w:color w:val="0000FF"/>
              </w:rPr>
            </w:pPr>
            <w:hyperlink w:anchor="page7">
              <w:r>
                <w:rPr>
                  <w:rFonts w:ascii="Arial" w:cs="Arial" w:eastAsia="Arial" w:hAnsi="Arial"/>
                  <w:sz w:val="18"/>
                  <w:szCs w:val="18"/>
                  <w:b w:val="1"/>
                  <w:bCs w:val="1"/>
                  <w:u w:val="single" w:color="auto"/>
                  <w:color w:val="0000FF"/>
                </w:rPr>
                <w:t>Condensed Consolidated Statements of Cash Flows</w:t>
              </w:r>
            </w:hyperlink>
          </w:p>
        </w:tc>
        <w:tc>
          <w:tcPr>
            <w:tcW w:w="1200" w:type="dxa"/>
            <w:vAlign w:val="bottom"/>
          </w:tcPr>
          <w:p>
            <w:pPr>
              <w:jc w:val="center"/>
              <w:spacing w:after="0"/>
              <w:rPr>
                <w:rFonts w:ascii="Arial" w:cs="Arial" w:eastAsia="Arial" w:hAnsi="Arial"/>
                <w:sz w:val="18"/>
                <w:szCs w:val="18"/>
                <w:b w:val="1"/>
                <w:bCs w:val="1"/>
                <w:u w:val="single" w:color="auto"/>
                <w:color w:val="0000FF"/>
                <w:w w:val="79"/>
              </w:rPr>
            </w:pPr>
            <w:hyperlink w:anchor="page7">
              <w:r>
                <w:rPr>
                  <w:rFonts w:ascii="Arial" w:cs="Arial" w:eastAsia="Arial" w:hAnsi="Arial"/>
                  <w:sz w:val="18"/>
                  <w:szCs w:val="18"/>
                  <w:b w:val="1"/>
                  <w:bCs w:val="1"/>
                  <w:u w:val="single" w:color="auto"/>
                  <w:color w:val="0000FF"/>
                  <w:w w:val="79"/>
                </w:rPr>
                <w:t>4</w:t>
              </w:r>
            </w:hyperlink>
          </w:p>
        </w:tc>
      </w:tr>
      <w:tr>
        <w:trPr>
          <w:trHeight w:val="229"/>
        </w:trPr>
        <w:tc>
          <w:tcPr>
            <w:tcW w:w="10040" w:type="dxa"/>
            <w:vAlign w:val="bottom"/>
            <w:gridSpan w:val="9"/>
          </w:tcPr>
          <w:p>
            <w:pPr>
              <w:ind w:left="1000"/>
              <w:spacing w:after="0"/>
              <w:rPr>
                <w:rFonts w:ascii="Arial" w:cs="Arial" w:eastAsia="Arial" w:hAnsi="Arial"/>
                <w:sz w:val="18"/>
                <w:szCs w:val="18"/>
                <w:b w:val="1"/>
                <w:bCs w:val="1"/>
                <w:u w:val="single" w:color="auto"/>
                <w:color w:val="0000FF"/>
              </w:rPr>
            </w:pPr>
            <w:hyperlink w:anchor="page8">
              <w:r>
                <w:rPr>
                  <w:rFonts w:ascii="Arial" w:cs="Arial" w:eastAsia="Arial" w:hAnsi="Arial"/>
                  <w:sz w:val="18"/>
                  <w:szCs w:val="18"/>
                  <w:b w:val="1"/>
                  <w:bCs w:val="1"/>
                  <w:u w:val="single" w:color="auto"/>
                  <w:color w:val="0000FF"/>
                </w:rPr>
                <w:t>Condensed Consolidated Statement of Stockholders' Equity</w:t>
              </w:r>
            </w:hyperlink>
          </w:p>
        </w:tc>
        <w:tc>
          <w:tcPr>
            <w:tcW w:w="1200" w:type="dxa"/>
            <w:vAlign w:val="bottom"/>
          </w:tcPr>
          <w:p>
            <w:pPr>
              <w:jc w:val="center"/>
              <w:spacing w:after="0"/>
              <w:rPr>
                <w:rFonts w:ascii="Arial" w:cs="Arial" w:eastAsia="Arial" w:hAnsi="Arial"/>
                <w:sz w:val="18"/>
                <w:szCs w:val="18"/>
                <w:b w:val="1"/>
                <w:bCs w:val="1"/>
                <w:u w:val="single" w:color="auto"/>
                <w:color w:val="0000FF"/>
                <w:w w:val="79"/>
              </w:rPr>
            </w:pPr>
            <w:hyperlink w:anchor="page8">
              <w:r>
                <w:rPr>
                  <w:rFonts w:ascii="Arial" w:cs="Arial" w:eastAsia="Arial" w:hAnsi="Arial"/>
                  <w:sz w:val="18"/>
                  <w:szCs w:val="18"/>
                  <w:b w:val="1"/>
                  <w:bCs w:val="1"/>
                  <w:u w:val="single" w:color="auto"/>
                  <w:color w:val="0000FF"/>
                  <w:w w:val="79"/>
                </w:rPr>
                <w:t>5</w:t>
              </w:r>
            </w:hyperlink>
          </w:p>
        </w:tc>
      </w:tr>
      <w:tr>
        <w:trPr>
          <w:trHeight w:val="230"/>
        </w:trPr>
        <w:tc>
          <w:tcPr>
            <w:tcW w:w="10040" w:type="dxa"/>
            <w:vAlign w:val="bottom"/>
            <w:gridSpan w:val="9"/>
          </w:tcPr>
          <w:p>
            <w:pPr>
              <w:ind w:left="1000"/>
              <w:spacing w:after="0"/>
              <w:rPr>
                <w:rFonts w:ascii="Arial" w:cs="Arial" w:eastAsia="Arial" w:hAnsi="Arial"/>
                <w:sz w:val="18"/>
                <w:szCs w:val="18"/>
                <w:b w:val="1"/>
                <w:bCs w:val="1"/>
                <w:u w:val="single" w:color="auto"/>
                <w:color w:val="0000FF"/>
              </w:rPr>
            </w:pPr>
            <w:hyperlink w:anchor="page10">
              <w:r>
                <w:rPr>
                  <w:rFonts w:ascii="Arial" w:cs="Arial" w:eastAsia="Arial" w:hAnsi="Arial"/>
                  <w:sz w:val="18"/>
                  <w:szCs w:val="18"/>
                  <w:b w:val="1"/>
                  <w:bCs w:val="1"/>
                  <w:u w:val="single" w:color="auto"/>
                  <w:color w:val="0000FF"/>
                </w:rPr>
                <w:t>Notes to Unaudited Condensed Consolidated Financial Statements</w:t>
              </w:r>
            </w:hyperlink>
          </w:p>
        </w:tc>
        <w:tc>
          <w:tcPr>
            <w:tcW w:w="1200" w:type="dxa"/>
            <w:vAlign w:val="bottom"/>
          </w:tcPr>
          <w:p>
            <w:pPr>
              <w:spacing w:after="0"/>
              <w:rPr>
                <w:sz w:val="19"/>
                <w:szCs w:val="19"/>
                <w:color w:val="auto"/>
              </w:rPr>
            </w:pPr>
          </w:p>
        </w:tc>
      </w:tr>
      <w:tr>
        <w:trPr>
          <w:trHeight w:val="229"/>
        </w:trPr>
        <w:tc>
          <w:tcPr>
            <w:tcW w:w="1500" w:type="dxa"/>
            <w:vAlign w:val="bottom"/>
            <w:gridSpan w:val="2"/>
          </w:tcPr>
          <w:p>
            <w:pPr>
              <w:ind w:left="1320"/>
              <w:spacing w:after="0"/>
              <w:rPr>
                <w:rFonts w:ascii="Arial" w:cs="Arial" w:eastAsia="Arial" w:hAnsi="Arial"/>
                <w:sz w:val="18"/>
                <w:szCs w:val="18"/>
                <w:b w:val="1"/>
                <w:bCs w:val="1"/>
                <w:u w:val="single" w:color="auto"/>
                <w:color w:val="0000FF"/>
              </w:rPr>
            </w:pPr>
            <w:hyperlink w:anchor="page10">
              <w:r>
                <w:rPr>
                  <w:rFonts w:ascii="Arial" w:cs="Arial" w:eastAsia="Arial" w:hAnsi="Arial"/>
                  <w:sz w:val="18"/>
                  <w:szCs w:val="18"/>
                  <w:b w:val="1"/>
                  <w:bCs w:val="1"/>
                  <w:u w:val="single" w:color="auto"/>
                  <w:color w:val="0000FF"/>
                </w:rPr>
                <w:t>1.</w:t>
              </w:r>
            </w:hyperlink>
          </w:p>
        </w:tc>
        <w:tc>
          <w:tcPr>
            <w:tcW w:w="8540" w:type="dxa"/>
            <w:vAlign w:val="bottom"/>
            <w:gridSpan w:val="7"/>
          </w:tcPr>
          <w:p>
            <w:pPr>
              <w:spacing w:after="0"/>
              <w:rPr>
                <w:rFonts w:ascii="Arial" w:cs="Arial" w:eastAsia="Arial" w:hAnsi="Arial"/>
                <w:sz w:val="18"/>
                <w:szCs w:val="18"/>
                <w:b w:val="1"/>
                <w:bCs w:val="1"/>
                <w:u w:val="single" w:color="auto"/>
                <w:color w:val="0000FF"/>
              </w:rPr>
            </w:pPr>
            <w:hyperlink w:anchor="page10">
              <w:r>
                <w:rPr>
                  <w:rFonts w:ascii="Arial" w:cs="Arial" w:eastAsia="Arial" w:hAnsi="Arial"/>
                  <w:sz w:val="18"/>
                  <w:szCs w:val="18"/>
                  <w:b w:val="1"/>
                  <w:bCs w:val="1"/>
                  <w:u w:val="single" w:color="auto"/>
                  <w:color w:val="0000FF"/>
                </w:rPr>
                <w:t>Business Overview</w:t>
              </w:r>
            </w:hyperlink>
          </w:p>
        </w:tc>
        <w:tc>
          <w:tcPr>
            <w:tcW w:w="1200" w:type="dxa"/>
            <w:vAlign w:val="bottom"/>
          </w:tcPr>
          <w:p>
            <w:pPr>
              <w:jc w:val="center"/>
              <w:spacing w:after="0"/>
              <w:rPr>
                <w:rFonts w:ascii="Arial" w:cs="Arial" w:eastAsia="Arial" w:hAnsi="Arial"/>
                <w:sz w:val="18"/>
                <w:szCs w:val="18"/>
                <w:b w:val="1"/>
                <w:bCs w:val="1"/>
                <w:u w:val="single" w:color="auto"/>
                <w:color w:val="0000FF"/>
                <w:w w:val="79"/>
              </w:rPr>
            </w:pPr>
            <w:hyperlink w:anchor="page10">
              <w:r>
                <w:rPr>
                  <w:rFonts w:ascii="Arial" w:cs="Arial" w:eastAsia="Arial" w:hAnsi="Arial"/>
                  <w:sz w:val="18"/>
                  <w:szCs w:val="18"/>
                  <w:b w:val="1"/>
                  <w:bCs w:val="1"/>
                  <w:u w:val="single" w:color="auto"/>
                  <w:color w:val="0000FF"/>
                  <w:w w:val="79"/>
                </w:rPr>
                <w:t>7</w:t>
              </w:r>
            </w:hyperlink>
          </w:p>
        </w:tc>
      </w:tr>
      <w:tr>
        <w:trPr>
          <w:trHeight w:val="230"/>
        </w:trPr>
        <w:tc>
          <w:tcPr>
            <w:tcW w:w="1500" w:type="dxa"/>
            <w:vAlign w:val="bottom"/>
            <w:gridSpan w:val="2"/>
          </w:tcPr>
          <w:p>
            <w:pPr>
              <w:ind w:left="1320"/>
              <w:spacing w:after="0"/>
              <w:rPr>
                <w:rFonts w:ascii="Arial" w:cs="Arial" w:eastAsia="Arial" w:hAnsi="Arial"/>
                <w:sz w:val="18"/>
                <w:szCs w:val="18"/>
                <w:b w:val="1"/>
                <w:bCs w:val="1"/>
                <w:u w:val="single" w:color="auto"/>
                <w:color w:val="0000FF"/>
              </w:rPr>
            </w:pPr>
            <w:hyperlink w:anchor="page11">
              <w:r>
                <w:rPr>
                  <w:rFonts w:ascii="Arial" w:cs="Arial" w:eastAsia="Arial" w:hAnsi="Arial"/>
                  <w:sz w:val="18"/>
                  <w:szCs w:val="18"/>
                  <w:b w:val="1"/>
                  <w:bCs w:val="1"/>
                  <w:u w:val="single" w:color="auto"/>
                  <w:color w:val="0000FF"/>
                </w:rPr>
                <w:t>2.</w:t>
              </w:r>
            </w:hyperlink>
          </w:p>
        </w:tc>
        <w:tc>
          <w:tcPr>
            <w:tcW w:w="8540" w:type="dxa"/>
            <w:vAlign w:val="bottom"/>
            <w:gridSpan w:val="7"/>
          </w:tcPr>
          <w:p>
            <w:pPr>
              <w:spacing w:after="0"/>
              <w:rPr>
                <w:rFonts w:ascii="Arial" w:cs="Arial" w:eastAsia="Arial" w:hAnsi="Arial"/>
                <w:sz w:val="18"/>
                <w:szCs w:val="18"/>
                <w:b w:val="1"/>
                <w:bCs w:val="1"/>
                <w:u w:val="single" w:color="auto"/>
                <w:color w:val="0000FF"/>
              </w:rPr>
            </w:pPr>
            <w:hyperlink w:anchor="page11">
              <w:r>
                <w:rPr>
                  <w:rFonts w:ascii="Arial" w:cs="Arial" w:eastAsia="Arial" w:hAnsi="Arial"/>
                  <w:sz w:val="18"/>
                  <w:szCs w:val="18"/>
                  <w:b w:val="1"/>
                  <w:bCs w:val="1"/>
                  <w:u w:val="single" w:color="auto"/>
                  <w:color w:val="0000FF"/>
                </w:rPr>
                <w:t>Basis of Presentation</w:t>
              </w:r>
            </w:hyperlink>
          </w:p>
        </w:tc>
        <w:tc>
          <w:tcPr>
            <w:tcW w:w="1200" w:type="dxa"/>
            <w:vAlign w:val="bottom"/>
          </w:tcPr>
          <w:p>
            <w:pPr>
              <w:jc w:val="center"/>
              <w:spacing w:after="0"/>
              <w:rPr>
                <w:rFonts w:ascii="Arial" w:cs="Arial" w:eastAsia="Arial" w:hAnsi="Arial"/>
                <w:sz w:val="18"/>
                <w:szCs w:val="18"/>
                <w:b w:val="1"/>
                <w:bCs w:val="1"/>
                <w:u w:val="single" w:color="auto"/>
                <w:color w:val="0000FF"/>
                <w:w w:val="79"/>
              </w:rPr>
            </w:pPr>
            <w:hyperlink w:anchor="page11">
              <w:r>
                <w:rPr>
                  <w:rFonts w:ascii="Arial" w:cs="Arial" w:eastAsia="Arial" w:hAnsi="Arial"/>
                  <w:sz w:val="18"/>
                  <w:szCs w:val="18"/>
                  <w:b w:val="1"/>
                  <w:bCs w:val="1"/>
                  <w:u w:val="single" w:color="auto"/>
                  <w:color w:val="0000FF"/>
                  <w:w w:val="79"/>
                </w:rPr>
                <w:t>7</w:t>
              </w:r>
            </w:hyperlink>
          </w:p>
        </w:tc>
      </w:tr>
      <w:tr>
        <w:trPr>
          <w:trHeight w:val="229"/>
        </w:trPr>
        <w:tc>
          <w:tcPr>
            <w:tcW w:w="1500" w:type="dxa"/>
            <w:vAlign w:val="bottom"/>
            <w:gridSpan w:val="2"/>
          </w:tcPr>
          <w:p>
            <w:pPr>
              <w:ind w:left="1320"/>
              <w:spacing w:after="0"/>
              <w:rPr>
                <w:rFonts w:ascii="Arial" w:cs="Arial" w:eastAsia="Arial" w:hAnsi="Arial"/>
                <w:sz w:val="18"/>
                <w:szCs w:val="18"/>
                <w:b w:val="1"/>
                <w:bCs w:val="1"/>
                <w:u w:val="single" w:color="auto"/>
                <w:color w:val="0000FF"/>
              </w:rPr>
            </w:pPr>
            <w:hyperlink w:anchor="page12">
              <w:r>
                <w:rPr>
                  <w:rFonts w:ascii="Arial" w:cs="Arial" w:eastAsia="Arial" w:hAnsi="Arial"/>
                  <w:sz w:val="18"/>
                  <w:szCs w:val="18"/>
                  <w:b w:val="1"/>
                  <w:bCs w:val="1"/>
                  <w:u w:val="single" w:color="auto"/>
                  <w:color w:val="0000FF"/>
                </w:rPr>
                <w:t>3.</w:t>
              </w:r>
            </w:hyperlink>
          </w:p>
        </w:tc>
        <w:tc>
          <w:tcPr>
            <w:tcW w:w="8540" w:type="dxa"/>
            <w:vAlign w:val="bottom"/>
            <w:gridSpan w:val="7"/>
          </w:tcPr>
          <w:p>
            <w:pPr>
              <w:spacing w:after="0"/>
              <w:rPr>
                <w:rFonts w:ascii="Arial" w:cs="Arial" w:eastAsia="Arial" w:hAnsi="Arial"/>
                <w:sz w:val="18"/>
                <w:szCs w:val="18"/>
                <w:b w:val="1"/>
                <w:bCs w:val="1"/>
                <w:u w:val="single" w:color="auto"/>
                <w:color w:val="0000FF"/>
              </w:rPr>
            </w:pPr>
            <w:hyperlink w:anchor="page12">
              <w:r>
                <w:rPr>
                  <w:rFonts w:ascii="Arial" w:cs="Arial" w:eastAsia="Arial" w:hAnsi="Arial"/>
                  <w:sz w:val="18"/>
                  <w:szCs w:val="18"/>
                  <w:b w:val="1"/>
                  <w:bCs w:val="1"/>
                  <w:u w:val="single" w:color="auto"/>
                  <w:color w:val="0000FF"/>
                </w:rPr>
                <w:t>Revenue</w:t>
              </w:r>
            </w:hyperlink>
          </w:p>
        </w:tc>
        <w:tc>
          <w:tcPr>
            <w:tcW w:w="1200" w:type="dxa"/>
            <w:vAlign w:val="bottom"/>
          </w:tcPr>
          <w:p>
            <w:pPr>
              <w:jc w:val="center"/>
              <w:spacing w:after="0"/>
              <w:rPr>
                <w:rFonts w:ascii="Arial" w:cs="Arial" w:eastAsia="Arial" w:hAnsi="Arial"/>
                <w:sz w:val="18"/>
                <w:szCs w:val="18"/>
                <w:b w:val="1"/>
                <w:bCs w:val="1"/>
                <w:u w:val="single" w:color="auto"/>
                <w:color w:val="0000FF"/>
                <w:w w:val="79"/>
              </w:rPr>
            </w:pPr>
            <w:hyperlink w:anchor="page12">
              <w:r>
                <w:rPr>
                  <w:rFonts w:ascii="Arial" w:cs="Arial" w:eastAsia="Arial" w:hAnsi="Arial"/>
                  <w:sz w:val="18"/>
                  <w:szCs w:val="18"/>
                  <w:b w:val="1"/>
                  <w:bCs w:val="1"/>
                  <w:u w:val="single" w:color="auto"/>
                  <w:color w:val="0000FF"/>
                  <w:w w:val="79"/>
                </w:rPr>
                <w:t>8</w:t>
              </w:r>
            </w:hyperlink>
          </w:p>
        </w:tc>
      </w:tr>
      <w:tr>
        <w:trPr>
          <w:trHeight w:val="229"/>
        </w:trPr>
        <w:tc>
          <w:tcPr>
            <w:tcW w:w="1500" w:type="dxa"/>
            <w:vAlign w:val="bottom"/>
            <w:gridSpan w:val="2"/>
          </w:tcPr>
          <w:p>
            <w:pPr>
              <w:ind w:left="1320"/>
              <w:spacing w:after="0"/>
              <w:rPr>
                <w:rFonts w:ascii="Arial" w:cs="Arial" w:eastAsia="Arial" w:hAnsi="Arial"/>
                <w:sz w:val="18"/>
                <w:szCs w:val="18"/>
                <w:b w:val="1"/>
                <w:bCs w:val="1"/>
                <w:u w:val="single" w:color="auto"/>
                <w:color w:val="0000FF"/>
              </w:rPr>
            </w:pPr>
            <w:hyperlink w:anchor="page14">
              <w:r>
                <w:rPr>
                  <w:rFonts w:ascii="Arial" w:cs="Arial" w:eastAsia="Arial" w:hAnsi="Arial"/>
                  <w:sz w:val="18"/>
                  <w:szCs w:val="18"/>
                  <w:b w:val="1"/>
                  <w:bCs w:val="1"/>
                  <w:u w:val="single" w:color="auto"/>
                  <w:color w:val="0000FF"/>
                </w:rPr>
                <w:t>4.</w:t>
              </w:r>
            </w:hyperlink>
          </w:p>
        </w:tc>
        <w:tc>
          <w:tcPr>
            <w:tcW w:w="8540" w:type="dxa"/>
            <w:vAlign w:val="bottom"/>
            <w:gridSpan w:val="7"/>
          </w:tcPr>
          <w:p>
            <w:pPr>
              <w:spacing w:after="0"/>
              <w:rPr>
                <w:rFonts w:ascii="Arial" w:cs="Arial" w:eastAsia="Arial" w:hAnsi="Arial"/>
                <w:sz w:val="18"/>
                <w:szCs w:val="18"/>
                <w:b w:val="1"/>
                <w:bCs w:val="1"/>
                <w:u w:val="single" w:color="auto"/>
                <w:color w:val="0000FF"/>
              </w:rPr>
            </w:pPr>
            <w:hyperlink w:anchor="page14">
              <w:r>
                <w:rPr>
                  <w:rFonts w:ascii="Arial" w:cs="Arial" w:eastAsia="Arial" w:hAnsi="Arial"/>
                  <w:sz w:val="18"/>
                  <w:szCs w:val="18"/>
                  <w:b w:val="1"/>
                  <w:bCs w:val="1"/>
                  <w:u w:val="single" w:color="auto"/>
                  <w:color w:val="0000FF"/>
                </w:rPr>
                <w:t>Earnings Per Share</w:t>
              </w:r>
            </w:hyperlink>
          </w:p>
        </w:tc>
        <w:tc>
          <w:tcPr>
            <w:tcW w:w="1200" w:type="dxa"/>
            <w:vAlign w:val="bottom"/>
          </w:tcPr>
          <w:p>
            <w:pPr>
              <w:jc w:val="center"/>
              <w:spacing w:after="0"/>
              <w:rPr>
                <w:rFonts w:ascii="Arial" w:cs="Arial" w:eastAsia="Arial" w:hAnsi="Arial"/>
                <w:sz w:val="18"/>
                <w:szCs w:val="18"/>
                <w:b w:val="1"/>
                <w:bCs w:val="1"/>
                <w:u w:val="single" w:color="auto"/>
                <w:color w:val="0000FF"/>
                <w:w w:val="89"/>
              </w:rPr>
            </w:pPr>
            <w:hyperlink w:anchor="page14">
              <w:r>
                <w:rPr>
                  <w:rFonts w:ascii="Arial" w:cs="Arial" w:eastAsia="Arial" w:hAnsi="Arial"/>
                  <w:sz w:val="18"/>
                  <w:szCs w:val="18"/>
                  <w:b w:val="1"/>
                  <w:bCs w:val="1"/>
                  <w:u w:val="single" w:color="auto"/>
                  <w:color w:val="0000FF"/>
                  <w:w w:val="89"/>
                </w:rPr>
                <w:t>10</w:t>
              </w:r>
            </w:hyperlink>
          </w:p>
        </w:tc>
      </w:tr>
      <w:tr>
        <w:trPr>
          <w:trHeight w:val="230"/>
        </w:trPr>
        <w:tc>
          <w:tcPr>
            <w:tcW w:w="1500" w:type="dxa"/>
            <w:vAlign w:val="bottom"/>
            <w:gridSpan w:val="2"/>
          </w:tcPr>
          <w:p>
            <w:pPr>
              <w:ind w:left="1320"/>
              <w:spacing w:after="0"/>
              <w:rPr>
                <w:rFonts w:ascii="Arial" w:cs="Arial" w:eastAsia="Arial" w:hAnsi="Arial"/>
                <w:sz w:val="18"/>
                <w:szCs w:val="18"/>
                <w:b w:val="1"/>
                <w:bCs w:val="1"/>
                <w:u w:val="single" w:color="auto"/>
                <w:color w:val="0000FF"/>
              </w:rPr>
            </w:pPr>
            <w:hyperlink w:anchor="page15">
              <w:r>
                <w:rPr>
                  <w:rFonts w:ascii="Arial" w:cs="Arial" w:eastAsia="Arial" w:hAnsi="Arial"/>
                  <w:sz w:val="18"/>
                  <w:szCs w:val="18"/>
                  <w:b w:val="1"/>
                  <w:bCs w:val="1"/>
                  <w:u w:val="single" w:color="auto"/>
                  <w:color w:val="0000FF"/>
                </w:rPr>
                <w:t>5.</w:t>
              </w:r>
            </w:hyperlink>
          </w:p>
        </w:tc>
        <w:tc>
          <w:tcPr>
            <w:tcW w:w="8540" w:type="dxa"/>
            <w:vAlign w:val="bottom"/>
            <w:gridSpan w:val="7"/>
          </w:tcPr>
          <w:p>
            <w:pPr>
              <w:spacing w:after="0"/>
              <w:rPr>
                <w:rFonts w:ascii="Arial" w:cs="Arial" w:eastAsia="Arial" w:hAnsi="Arial"/>
                <w:sz w:val="18"/>
                <w:szCs w:val="18"/>
                <w:b w:val="1"/>
                <w:bCs w:val="1"/>
                <w:u w:val="single" w:color="auto"/>
                <w:color w:val="0000FF"/>
              </w:rPr>
            </w:pPr>
            <w:hyperlink w:anchor="page15">
              <w:r>
                <w:rPr>
                  <w:rFonts w:ascii="Arial" w:cs="Arial" w:eastAsia="Arial" w:hAnsi="Arial"/>
                  <w:sz w:val="18"/>
                  <w:szCs w:val="18"/>
                  <w:b w:val="1"/>
                  <w:bCs w:val="1"/>
                  <w:u w:val="single" w:color="auto"/>
                  <w:color w:val="0000FF"/>
                </w:rPr>
                <w:t>Accounts Receivable, Net</w:t>
              </w:r>
            </w:hyperlink>
          </w:p>
        </w:tc>
        <w:tc>
          <w:tcPr>
            <w:tcW w:w="1200" w:type="dxa"/>
            <w:vAlign w:val="bottom"/>
          </w:tcPr>
          <w:p>
            <w:pPr>
              <w:jc w:val="center"/>
              <w:spacing w:after="0"/>
              <w:rPr>
                <w:rFonts w:ascii="Arial" w:cs="Arial" w:eastAsia="Arial" w:hAnsi="Arial"/>
                <w:sz w:val="18"/>
                <w:szCs w:val="18"/>
                <w:b w:val="1"/>
                <w:bCs w:val="1"/>
                <w:u w:val="single" w:color="auto"/>
                <w:color w:val="0000FF"/>
                <w:w w:val="79"/>
              </w:rPr>
            </w:pPr>
            <w:hyperlink w:anchor="page15">
              <w:r>
                <w:rPr>
                  <w:rFonts w:ascii="Arial" w:cs="Arial" w:eastAsia="Arial" w:hAnsi="Arial"/>
                  <w:sz w:val="18"/>
                  <w:szCs w:val="18"/>
                  <w:b w:val="1"/>
                  <w:bCs w:val="1"/>
                  <w:u w:val="single" w:color="auto"/>
                  <w:color w:val="0000FF"/>
                  <w:w w:val="79"/>
                </w:rPr>
                <w:t>11</w:t>
              </w:r>
            </w:hyperlink>
          </w:p>
        </w:tc>
      </w:tr>
      <w:tr>
        <w:trPr>
          <w:trHeight w:val="229"/>
        </w:trPr>
        <w:tc>
          <w:tcPr>
            <w:tcW w:w="1500" w:type="dxa"/>
            <w:vAlign w:val="bottom"/>
            <w:gridSpan w:val="2"/>
          </w:tcPr>
          <w:p>
            <w:pPr>
              <w:ind w:left="1320"/>
              <w:spacing w:after="0"/>
              <w:rPr>
                <w:rFonts w:ascii="Arial" w:cs="Arial" w:eastAsia="Arial" w:hAnsi="Arial"/>
                <w:sz w:val="18"/>
                <w:szCs w:val="18"/>
                <w:b w:val="1"/>
                <w:bCs w:val="1"/>
                <w:u w:val="single" w:color="auto"/>
                <w:color w:val="0000FF"/>
              </w:rPr>
            </w:pPr>
            <w:hyperlink w:anchor="page15">
              <w:r>
                <w:rPr>
                  <w:rFonts w:ascii="Arial" w:cs="Arial" w:eastAsia="Arial" w:hAnsi="Arial"/>
                  <w:sz w:val="18"/>
                  <w:szCs w:val="18"/>
                  <w:b w:val="1"/>
                  <w:bCs w:val="1"/>
                  <w:u w:val="single" w:color="auto"/>
                  <w:color w:val="0000FF"/>
                </w:rPr>
                <w:t>6.</w:t>
              </w:r>
            </w:hyperlink>
          </w:p>
        </w:tc>
        <w:tc>
          <w:tcPr>
            <w:tcW w:w="8540" w:type="dxa"/>
            <w:vAlign w:val="bottom"/>
            <w:gridSpan w:val="7"/>
          </w:tcPr>
          <w:p>
            <w:pPr>
              <w:spacing w:after="0"/>
              <w:rPr>
                <w:rFonts w:ascii="Arial" w:cs="Arial" w:eastAsia="Arial" w:hAnsi="Arial"/>
                <w:sz w:val="18"/>
                <w:szCs w:val="18"/>
                <w:b w:val="1"/>
                <w:bCs w:val="1"/>
                <w:u w:val="single" w:color="auto"/>
                <w:color w:val="0000FF"/>
              </w:rPr>
            </w:pPr>
            <w:hyperlink w:anchor="page15">
              <w:r>
                <w:rPr>
                  <w:rFonts w:ascii="Arial" w:cs="Arial" w:eastAsia="Arial" w:hAnsi="Arial"/>
                  <w:sz w:val="18"/>
                  <w:szCs w:val="18"/>
                  <w:b w:val="1"/>
                  <w:bCs w:val="1"/>
                  <w:u w:val="single" w:color="auto"/>
                  <w:color w:val="0000FF"/>
                </w:rPr>
                <w:t>Accounts Payable and Other Accrued Expenses</w:t>
              </w:r>
            </w:hyperlink>
          </w:p>
        </w:tc>
        <w:tc>
          <w:tcPr>
            <w:tcW w:w="1200" w:type="dxa"/>
            <w:vAlign w:val="bottom"/>
          </w:tcPr>
          <w:p>
            <w:pPr>
              <w:jc w:val="center"/>
              <w:spacing w:after="0"/>
              <w:rPr>
                <w:rFonts w:ascii="Arial" w:cs="Arial" w:eastAsia="Arial" w:hAnsi="Arial"/>
                <w:sz w:val="18"/>
                <w:szCs w:val="18"/>
                <w:b w:val="1"/>
                <w:bCs w:val="1"/>
                <w:u w:val="single" w:color="auto"/>
                <w:color w:val="0000FF"/>
                <w:w w:val="79"/>
              </w:rPr>
            </w:pPr>
            <w:hyperlink w:anchor="page15">
              <w:r>
                <w:rPr>
                  <w:rFonts w:ascii="Arial" w:cs="Arial" w:eastAsia="Arial" w:hAnsi="Arial"/>
                  <w:sz w:val="18"/>
                  <w:szCs w:val="18"/>
                  <w:b w:val="1"/>
                  <w:bCs w:val="1"/>
                  <w:u w:val="single" w:color="auto"/>
                  <w:color w:val="0000FF"/>
                  <w:w w:val="79"/>
                </w:rPr>
                <w:t>11</w:t>
              </w:r>
            </w:hyperlink>
          </w:p>
        </w:tc>
      </w:tr>
      <w:tr>
        <w:trPr>
          <w:trHeight w:val="229"/>
        </w:trPr>
        <w:tc>
          <w:tcPr>
            <w:tcW w:w="1500" w:type="dxa"/>
            <w:vAlign w:val="bottom"/>
            <w:gridSpan w:val="2"/>
          </w:tcPr>
          <w:p>
            <w:pPr>
              <w:ind w:left="1320"/>
              <w:spacing w:after="0"/>
              <w:rPr>
                <w:rFonts w:ascii="Arial" w:cs="Arial" w:eastAsia="Arial" w:hAnsi="Arial"/>
                <w:sz w:val="18"/>
                <w:szCs w:val="18"/>
                <w:b w:val="1"/>
                <w:bCs w:val="1"/>
                <w:u w:val="single" w:color="auto"/>
                <w:color w:val="0000FF"/>
              </w:rPr>
            </w:pPr>
            <w:hyperlink w:anchor="page16">
              <w:r>
                <w:rPr>
                  <w:rFonts w:ascii="Arial" w:cs="Arial" w:eastAsia="Arial" w:hAnsi="Arial"/>
                  <w:sz w:val="18"/>
                  <w:szCs w:val="18"/>
                  <w:b w:val="1"/>
                  <w:bCs w:val="1"/>
                  <w:u w:val="single" w:color="auto"/>
                  <w:color w:val="0000FF"/>
                </w:rPr>
                <w:t>7.</w:t>
              </w:r>
            </w:hyperlink>
          </w:p>
        </w:tc>
        <w:tc>
          <w:tcPr>
            <w:tcW w:w="8540" w:type="dxa"/>
            <w:vAlign w:val="bottom"/>
            <w:gridSpan w:val="7"/>
          </w:tcPr>
          <w:p>
            <w:pPr>
              <w:spacing w:after="0"/>
              <w:rPr>
                <w:rFonts w:ascii="Arial" w:cs="Arial" w:eastAsia="Arial" w:hAnsi="Arial"/>
                <w:sz w:val="18"/>
                <w:szCs w:val="18"/>
                <w:b w:val="1"/>
                <w:bCs w:val="1"/>
                <w:u w:val="single" w:color="auto"/>
                <w:color w:val="0000FF"/>
              </w:rPr>
            </w:pPr>
            <w:hyperlink w:anchor="page16">
              <w:r>
                <w:rPr>
                  <w:rFonts w:ascii="Arial" w:cs="Arial" w:eastAsia="Arial" w:hAnsi="Arial"/>
                  <w:sz w:val="18"/>
                  <w:szCs w:val="18"/>
                  <w:b w:val="1"/>
                  <w:bCs w:val="1"/>
                  <w:u w:val="single" w:color="auto"/>
                  <w:color w:val="0000FF"/>
                </w:rPr>
                <w:t>Accrued Compensation and Benefits</w:t>
              </w:r>
            </w:hyperlink>
          </w:p>
        </w:tc>
        <w:tc>
          <w:tcPr>
            <w:tcW w:w="1200" w:type="dxa"/>
            <w:vAlign w:val="bottom"/>
          </w:tcPr>
          <w:p>
            <w:pPr>
              <w:jc w:val="center"/>
              <w:spacing w:after="0"/>
              <w:rPr>
                <w:rFonts w:ascii="Arial" w:cs="Arial" w:eastAsia="Arial" w:hAnsi="Arial"/>
                <w:sz w:val="18"/>
                <w:szCs w:val="18"/>
                <w:b w:val="1"/>
                <w:bCs w:val="1"/>
                <w:u w:val="single" w:color="auto"/>
                <w:color w:val="0000FF"/>
                <w:w w:val="89"/>
              </w:rPr>
            </w:pPr>
            <w:hyperlink w:anchor="page16">
              <w:r>
                <w:rPr>
                  <w:rFonts w:ascii="Arial" w:cs="Arial" w:eastAsia="Arial" w:hAnsi="Arial"/>
                  <w:sz w:val="18"/>
                  <w:szCs w:val="18"/>
                  <w:b w:val="1"/>
                  <w:bCs w:val="1"/>
                  <w:u w:val="single" w:color="auto"/>
                  <w:color w:val="0000FF"/>
                  <w:w w:val="89"/>
                </w:rPr>
                <w:t>12</w:t>
              </w:r>
            </w:hyperlink>
          </w:p>
        </w:tc>
      </w:tr>
      <w:tr>
        <w:trPr>
          <w:trHeight w:val="194"/>
        </w:trPr>
        <w:tc>
          <w:tcPr>
            <w:tcW w:w="1320" w:type="dxa"/>
            <w:vAlign w:val="bottom"/>
          </w:tcPr>
          <w:p>
            <w:pPr>
              <w:spacing w:after="0"/>
              <w:rPr>
                <w:sz w:val="16"/>
                <w:szCs w:val="16"/>
                <w:color w:val="auto"/>
              </w:rPr>
            </w:pPr>
          </w:p>
        </w:tc>
        <w:tc>
          <w:tcPr>
            <w:tcW w:w="180" w:type="dxa"/>
            <w:vAlign w:val="bottom"/>
            <w:tcBorders>
              <w:bottom w:val="single" w:sz="8" w:color="0000FF"/>
            </w:tcBorders>
          </w:tcPr>
          <w:p>
            <w:pPr>
              <w:spacing w:after="0" w:line="194" w:lineRule="exact"/>
              <w:rPr>
                <w:rFonts w:ascii="Arial" w:cs="Arial" w:eastAsia="Arial" w:hAnsi="Arial"/>
                <w:sz w:val="18"/>
                <w:szCs w:val="18"/>
                <w:b w:val="1"/>
                <w:bCs w:val="1"/>
                <w:color w:val="0000FF"/>
              </w:rPr>
            </w:pPr>
            <w:hyperlink w:anchor="page16">
              <w:r>
                <w:rPr>
                  <w:rFonts w:ascii="Arial" w:cs="Arial" w:eastAsia="Arial" w:hAnsi="Arial"/>
                  <w:sz w:val="18"/>
                  <w:szCs w:val="18"/>
                  <w:b w:val="1"/>
                  <w:bCs w:val="1"/>
                  <w:color w:val="0000FF"/>
                </w:rPr>
                <w:t>8.</w:t>
              </w:r>
            </w:hyperlink>
          </w:p>
        </w:tc>
        <w:tc>
          <w:tcPr>
            <w:tcW w:w="380" w:type="dxa"/>
            <w:vAlign w:val="bottom"/>
            <w:tcBorders>
              <w:bottom w:val="single" w:sz="8" w:color="0000FF"/>
            </w:tcBorders>
            <w:gridSpan w:val="3"/>
          </w:tcPr>
          <w:p>
            <w:pPr>
              <w:spacing w:after="0" w:line="194" w:lineRule="exact"/>
              <w:rPr>
                <w:rFonts w:ascii="Arial" w:cs="Arial" w:eastAsia="Arial" w:hAnsi="Arial"/>
                <w:sz w:val="18"/>
                <w:szCs w:val="18"/>
                <w:b w:val="1"/>
                <w:bCs w:val="1"/>
                <w:color w:val="0000FF"/>
                <w:w w:val="89"/>
              </w:rPr>
            </w:pPr>
            <w:hyperlink w:anchor="page16">
              <w:r>
                <w:rPr>
                  <w:rFonts w:ascii="Arial" w:cs="Arial" w:eastAsia="Arial" w:hAnsi="Arial"/>
                  <w:sz w:val="18"/>
                  <w:szCs w:val="18"/>
                  <w:b w:val="1"/>
                  <w:bCs w:val="1"/>
                  <w:color w:val="0000FF"/>
                  <w:w w:val="89"/>
                </w:rPr>
                <w:t>Debt</w:t>
              </w:r>
            </w:hyperlink>
          </w:p>
        </w:tc>
        <w:tc>
          <w:tcPr>
            <w:tcW w:w="8160" w:type="dxa"/>
            <w:vAlign w:val="bottom"/>
            <w:gridSpan w:val="4"/>
          </w:tcPr>
          <w:p>
            <w:pPr>
              <w:spacing w:after="0"/>
              <w:rPr>
                <w:sz w:val="16"/>
                <w:szCs w:val="16"/>
                <w:color w:val="auto"/>
              </w:rPr>
            </w:pPr>
          </w:p>
        </w:tc>
        <w:tc>
          <w:tcPr>
            <w:tcW w:w="1200" w:type="dxa"/>
            <w:vAlign w:val="bottom"/>
          </w:tcPr>
          <w:p>
            <w:pPr>
              <w:jc w:val="center"/>
              <w:spacing w:after="0" w:line="194" w:lineRule="exact"/>
              <w:rPr>
                <w:rFonts w:ascii="Arial" w:cs="Arial" w:eastAsia="Arial" w:hAnsi="Arial"/>
                <w:sz w:val="18"/>
                <w:szCs w:val="18"/>
                <w:b w:val="1"/>
                <w:bCs w:val="1"/>
                <w:u w:val="single" w:color="auto"/>
                <w:color w:val="0000FF"/>
                <w:w w:val="89"/>
              </w:rPr>
            </w:pPr>
            <w:hyperlink w:anchor="page16">
              <w:r>
                <w:rPr>
                  <w:rFonts w:ascii="Arial" w:cs="Arial" w:eastAsia="Arial" w:hAnsi="Arial"/>
                  <w:sz w:val="18"/>
                  <w:szCs w:val="18"/>
                  <w:b w:val="1"/>
                  <w:bCs w:val="1"/>
                  <w:u w:val="single" w:color="auto"/>
                  <w:color w:val="0000FF"/>
                  <w:w w:val="89"/>
                </w:rPr>
                <w:t>12</w:t>
              </w:r>
            </w:hyperlink>
          </w:p>
        </w:tc>
      </w:tr>
      <w:tr>
        <w:trPr>
          <w:trHeight w:val="209"/>
        </w:trPr>
        <w:tc>
          <w:tcPr>
            <w:tcW w:w="1320" w:type="dxa"/>
            <w:vAlign w:val="bottom"/>
          </w:tcPr>
          <w:p>
            <w:pPr>
              <w:spacing w:after="0"/>
              <w:rPr>
                <w:sz w:val="18"/>
                <w:szCs w:val="18"/>
                <w:color w:val="auto"/>
              </w:rPr>
            </w:pPr>
          </w:p>
        </w:tc>
        <w:tc>
          <w:tcPr>
            <w:tcW w:w="180" w:type="dxa"/>
            <w:vAlign w:val="bottom"/>
            <w:tcBorders>
              <w:bottom w:val="single" w:sz="8" w:color="0000FF"/>
            </w:tcBorders>
          </w:tcPr>
          <w:p>
            <w:pPr>
              <w:spacing w:after="0"/>
              <w:rPr>
                <w:rFonts w:ascii="Arial" w:cs="Arial" w:eastAsia="Arial" w:hAnsi="Arial"/>
                <w:sz w:val="18"/>
                <w:szCs w:val="18"/>
                <w:b w:val="1"/>
                <w:bCs w:val="1"/>
                <w:color w:val="0000FF"/>
              </w:rPr>
            </w:pPr>
            <w:hyperlink w:anchor="page19">
              <w:r>
                <w:rPr>
                  <w:rFonts w:ascii="Arial" w:cs="Arial" w:eastAsia="Arial" w:hAnsi="Arial"/>
                  <w:sz w:val="18"/>
                  <w:szCs w:val="18"/>
                  <w:b w:val="1"/>
                  <w:bCs w:val="1"/>
                  <w:color w:val="0000FF"/>
                </w:rPr>
                <w:t>9.</w:t>
              </w:r>
            </w:hyperlink>
          </w:p>
        </w:tc>
        <w:tc>
          <w:tcPr>
            <w:tcW w:w="880" w:type="dxa"/>
            <w:vAlign w:val="bottom"/>
            <w:tcBorders>
              <w:bottom w:val="single" w:sz="8" w:color="0000FF"/>
            </w:tcBorders>
            <w:gridSpan w:val="5"/>
          </w:tcPr>
          <w:p>
            <w:pPr>
              <w:spacing w:after="0"/>
              <w:rPr>
                <w:rFonts w:ascii="Arial" w:cs="Arial" w:eastAsia="Arial" w:hAnsi="Arial"/>
                <w:sz w:val="18"/>
                <w:szCs w:val="18"/>
                <w:b w:val="1"/>
                <w:bCs w:val="1"/>
                <w:color w:val="0000FF"/>
                <w:w w:val="89"/>
              </w:rPr>
            </w:pPr>
            <w:hyperlink w:anchor="page19">
              <w:r>
                <w:rPr>
                  <w:rFonts w:ascii="Arial" w:cs="Arial" w:eastAsia="Arial" w:hAnsi="Arial"/>
                  <w:sz w:val="18"/>
                  <w:szCs w:val="18"/>
                  <w:b w:val="1"/>
                  <w:bCs w:val="1"/>
                  <w:color w:val="0000FF"/>
                  <w:w w:val="89"/>
                </w:rPr>
                <w:t>Derivatives</w:t>
              </w:r>
            </w:hyperlink>
          </w:p>
        </w:tc>
        <w:tc>
          <w:tcPr>
            <w:tcW w:w="7660" w:type="dxa"/>
            <w:vAlign w:val="bottom"/>
            <w:gridSpan w:val="2"/>
          </w:tcPr>
          <w:p>
            <w:pPr>
              <w:spacing w:after="0"/>
              <w:rPr>
                <w:sz w:val="18"/>
                <w:szCs w:val="18"/>
                <w:color w:val="auto"/>
              </w:rPr>
            </w:pPr>
          </w:p>
        </w:tc>
        <w:tc>
          <w:tcPr>
            <w:tcW w:w="1200" w:type="dxa"/>
            <w:vAlign w:val="bottom"/>
          </w:tcPr>
          <w:p>
            <w:pPr>
              <w:jc w:val="center"/>
              <w:spacing w:after="0"/>
              <w:rPr>
                <w:rFonts w:ascii="Arial" w:cs="Arial" w:eastAsia="Arial" w:hAnsi="Arial"/>
                <w:sz w:val="18"/>
                <w:szCs w:val="18"/>
                <w:b w:val="1"/>
                <w:bCs w:val="1"/>
                <w:u w:val="single" w:color="auto"/>
                <w:color w:val="0000FF"/>
                <w:w w:val="89"/>
              </w:rPr>
            </w:pPr>
            <w:hyperlink w:anchor="page19">
              <w:r>
                <w:rPr>
                  <w:rFonts w:ascii="Arial" w:cs="Arial" w:eastAsia="Arial" w:hAnsi="Arial"/>
                  <w:sz w:val="18"/>
                  <w:szCs w:val="18"/>
                  <w:b w:val="1"/>
                  <w:bCs w:val="1"/>
                  <w:u w:val="single" w:color="auto"/>
                  <w:color w:val="0000FF"/>
                  <w:w w:val="89"/>
                </w:rPr>
                <w:t>15</w:t>
              </w:r>
            </w:hyperlink>
          </w:p>
        </w:tc>
      </w:tr>
      <w:tr>
        <w:trPr>
          <w:trHeight w:val="210"/>
        </w:trPr>
        <w:tc>
          <w:tcPr>
            <w:tcW w:w="1320" w:type="dxa"/>
            <w:vAlign w:val="bottom"/>
          </w:tcPr>
          <w:p>
            <w:pPr>
              <w:spacing w:after="0"/>
              <w:rPr>
                <w:sz w:val="18"/>
                <w:szCs w:val="18"/>
                <w:color w:val="auto"/>
              </w:rPr>
            </w:pPr>
          </w:p>
        </w:tc>
        <w:tc>
          <w:tcPr>
            <w:tcW w:w="240" w:type="dxa"/>
            <w:vAlign w:val="bottom"/>
            <w:gridSpan w:val="3"/>
          </w:tcPr>
          <w:p>
            <w:pPr>
              <w:spacing w:after="0"/>
              <w:rPr>
                <w:rFonts w:ascii="Arial" w:cs="Arial" w:eastAsia="Arial" w:hAnsi="Arial"/>
                <w:sz w:val="18"/>
                <w:szCs w:val="18"/>
                <w:b w:val="1"/>
                <w:bCs w:val="1"/>
                <w:color w:val="0000FF"/>
                <w:w w:val="87"/>
              </w:rPr>
            </w:pPr>
            <w:hyperlink w:anchor="page20">
              <w:r>
                <w:rPr>
                  <w:rFonts w:ascii="Arial" w:cs="Arial" w:eastAsia="Arial" w:hAnsi="Arial"/>
                  <w:sz w:val="18"/>
                  <w:szCs w:val="18"/>
                  <w:b w:val="1"/>
                  <w:bCs w:val="1"/>
                  <w:color w:val="0000FF"/>
                  <w:w w:val="87"/>
                </w:rPr>
                <w:t>10.</w:t>
              </w:r>
            </w:hyperlink>
          </w:p>
        </w:tc>
        <w:tc>
          <w:tcPr>
            <w:tcW w:w="8480" w:type="dxa"/>
            <w:vAlign w:val="bottom"/>
            <w:gridSpan w:val="5"/>
          </w:tcPr>
          <w:p>
            <w:pPr>
              <w:ind w:left="40"/>
              <w:spacing w:after="0"/>
              <w:rPr>
                <w:rFonts w:ascii="Arial" w:cs="Arial" w:eastAsia="Arial" w:hAnsi="Arial"/>
                <w:sz w:val="18"/>
                <w:szCs w:val="18"/>
                <w:b w:val="1"/>
                <w:bCs w:val="1"/>
                <w:color w:val="0000FF"/>
              </w:rPr>
            </w:pPr>
            <w:hyperlink w:anchor="page20">
              <w:r>
                <w:rPr>
                  <w:rFonts w:ascii="Arial" w:cs="Arial" w:eastAsia="Arial" w:hAnsi="Arial"/>
                  <w:sz w:val="18"/>
                  <w:szCs w:val="18"/>
                  <w:b w:val="1"/>
                  <w:bCs w:val="1"/>
                  <w:color w:val="0000FF"/>
                </w:rPr>
                <w:t>Leases</w:t>
              </w:r>
            </w:hyperlink>
          </w:p>
        </w:tc>
        <w:tc>
          <w:tcPr>
            <w:tcW w:w="1200" w:type="dxa"/>
            <w:vAlign w:val="bottom"/>
          </w:tcPr>
          <w:p>
            <w:pPr>
              <w:jc w:val="center"/>
              <w:spacing w:after="0"/>
              <w:rPr>
                <w:rFonts w:ascii="Arial" w:cs="Arial" w:eastAsia="Arial" w:hAnsi="Arial"/>
                <w:sz w:val="18"/>
                <w:szCs w:val="18"/>
                <w:b w:val="1"/>
                <w:bCs w:val="1"/>
                <w:u w:val="single" w:color="auto"/>
                <w:color w:val="0000FF"/>
                <w:w w:val="89"/>
              </w:rPr>
            </w:pPr>
            <w:hyperlink w:anchor="page20">
              <w:r>
                <w:rPr>
                  <w:rFonts w:ascii="Arial" w:cs="Arial" w:eastAsia="Arial" w:hAnsi="Arial"/>
                  <w:sz w:val="18"/>
                  <w:szCs w:val="18"/>
                  <w:b w:val="1"/>
                  <w:bCs w:val="1"/>
                  <w:u w:val="single" w:color="auto"/>
                  <w:color w:val="0000FF"/>
                  <w:w w:val="89"/>
                </w:rPr>
                <w:t>16</w:t>
              </w:r>
            </w:hyperlink>
          </w:p>
        </w:tc>
      </w:tr>
      <w:tr>
        <w:trPr>
          <w:trHeight w:val="20"/>
        </w:trPr>
        <w:tc>
          <w:tcPr>
            <w:tcW w:w="13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09"/>
        </w:trPr>
        <w:tc>
          <w:tcPr>
            <w:tcW w:w="1320" w:type="dxa"/>
            <w:vAlign w:val="bottom"/>
          </w:tcPr>
          <w:p>
            <w:pPr>
              <w:spacing w:after="0"/>
              <w:rPr>
                <w:sz w:val="18"/>
                <w:szCs w:val="18"/>
                <w:color w:val="auto"/>
              </w:rPr>
            </w:pPr>
          </w:p>
        </w:tc>
        <w:tc>
          <w:tcPr>
            <w:tcW w:w="2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79"/>
              </w:rPr>
              <w:t>11.</w:t>
            </w:r>
          </w:p>
        </w:tc>
        <w:tc>
          <w:tcPr>
            <w:tcW w:w="20" w:type="dxa"/>
            <w:vAlign w:val="bottom"/>
            <w:tcBorders>
              <w:bottom w:val="single" w:sz="8" w:color="0000FF"/>
            </w:tcBorders>
          </w:tcPr>
          <w:p>
            <w:pPr>
              <w:spacing w:after="0"/>
              <w:rPr>
                <w:sz w:val="18"/>
                <w:szCs w:val="18"/>
                <w:color w:val="auto"/>
              </w:rPr>
            </w:pPr>
          </w:p>
        </w:tc>
        <w:tc>
          <w:tcPr>
            <w:tcW w:w="1080" w:type="dxa"/>
            <w:vAlign w:val="bottom"/>
            <w:tcBorders>
              <w:bottom w:val="single" w:sz="8" w:color="0000FF"/>
            </w:tcBorders>
            <w:gridSpan w:val="4"/>
          </w:tcPr>
          <w:p>
            <w:pPr>
              <w:ind w:left="40"/>
              <w:spacing w:after="0"/>
              <w:rPr>
                <w:rFonts w:ascii="Arial" w:cs="Arial" w:eastAsia="Arial" w:hAnsi="Arial"/>
                <w:sz w:val="18"/>
                <w:szCs w:val="18"/>
                <w:b w:val="1"/>
                <w:bCs w:val="1"/>
                <w:color w:val="0000FF"/>
                <w:w w:val="85"/>
              </w:rPr>
            </w:pPr>
            <w:hyperlink w:anchor="page21">
              <w:r>
                <w:rPr>
                  <w:rFonts w:ascii="Arial" w:cs="Arial" w:eastAsia="Arial" w:hAnsi="Arial"/>
                  <w:sz w:val="18"/>
                  <w:szCs w:val="18"/>
                  <w:b w:val="1"/>
                  <w:bCs w:val="1"/>
                  <w:color w:val="0000FF"/>
                  <w:w w:val="85"/>
                </w:rPr>
                <w:t>Income Taxes</w:t>
              </w:r>
            </w:hyperlink>
          </w:p>
        </w:tc>
        <w:tc>
          <w:tcPr>
            <w:tcW w:w="7400" w:type="dxa"/>
            <w:vAlign w:val="bottom"/>
          </w:tcPr>
          <w:p>
            <w:pPr>
              <w:spacing w:after="0"/>
              <w:rPr>
                <w:sz w:val="18"/>
                <w:szCs w:val="18"/>
                <w:color w:val="auto"/>
              </w:rPr>
            </w:pPr>
          </w:p>
        </w:tc>
        <w:tc>
          <w:tcPr>
            <w:tcW w:w="1200" w:type="dxa"/>
            <w:vAlign w:val="bottom"/>
          </w:tcPr>
          <w:p>
            <w:pPr>
              <w:jc w:val="center"/>
              <w:spacing w:after="0"/>
              <w:rPr>
                <w:rFonts w:ascii="Arial" w:cs="Arial" w:eastAsia="Arial" w:hAnsi="Arial"/>
                <w:sz w:val="18"/>
                <w:szCs w:val="18"/>
                <w:b w:val="1"/>
                <w:bCs w:val="1"/>
                <w:u w:val="single" w:color="auto"/>
                <w:color w:val="0000FF"/>
                <w:w w:val="89"/>
              </w:rPr>
            </w:pPr>
            <w:hyperlink w:anchor="page21">
              <w:r>
                <w:rPr>
                  <w:rFonts w:ascii="Arial" w:cs="Arial" w:eastAsia="Arial" w:hAnsi="Arial"/>
                  <w:sz w:val="18"/>
                  <w:szCs w:val="18"/>
                  <w:b w:val="1"/>
                  <w:bCs w:val="1"/>
                  <w:u w:val="single" w:color="auto"/>
                  <w:color w:val="0000FF"/>
                  <w:w w:val="89"/>
                </w:rPr>
                <w:t>17</w:t>
              </w:r>
            </w:hyperlink>
          </w:p>
        </w:tc>
      </w:tr>
      <w:tr>
        <w:trPr>
          <w:trHeight w:val="210"/>
        </w:trPr>
        <w:tc>
          <w:tcPr>
            <w:tcW w:w="1320" w:type="dxa"/>
            <w:vAlign w:val="bottom"/>
          </w:tcPr>
          <w:p>
            <w:pPr>
              <w:spacing w:after="0"/>
              <w:rPr>
                <w:sz w:val="18"/>
                <w:szCs w:val="18"/>
                <w:color w:val="auto"/>
              </w:rPr>
            </w:pPr>
          </w:p>
        </w:tc>
        <w:tc>
          <w:tcPr>
            <w:tcW w:w="8720" w:type="dxa"/>
            <w:vAlign w:val="bottom"/>
            <w:gridSpan w:val="8"/>
          </w:tcPr>
          <w:p>
            <w:pPr>
              <w:spacing w:after="0"/>
              <w:rPr>
                <w:rFonts w:ascii="Arial" w:cs="Arial" w:eastAsia="Arial" w:hAnsi="Arial"/>
                <w:sz w:val="18"/>
                <w:szCs w:val="18"/>
                <w:b w:val="1"/>
                <w:bCs w:val="1"/>
                <w:color w:val="0000FF"/>
              </w:rPr>
            </w:pPr>
            <w:r>
              <w:rPr>
                <w:rFonts w:ascii="Arial" w:cs="Arial" w:eastAsia="Arial" w:hAnsi="Arial"/>
                <w:sz w:val="18"/>
                <w:szCs w:val="18"/>
                <w:b w:val="1"/>
                <w:bCs w:val="1"/>
                <w:color w:val="0000FF"/>
              </w:rPr>
              <w:t>12</w:t>
            </w:r>
            <w:hyperlink w:anchor="page21">
              <w:r>
                <w:rPr>
                  <w:rFonts w:ascii="Arial" w:cs="Arial" w:eastAsia="Arial" w:hAnsi="Arial"/>
                  <w:sz w:val="18"/>
                  <w:szCs w:val="18"/>
                  <w:b w:val="1"/>
                  <w:bCs w:val="1"/>
                  <w:color w:val="0000FF"/>
                </w:rPr>
                <w:t xml:space="preserve">. </w:t>
              </w:r>
              <w:r>
                <w:rPr>
                  <w:rFonts w:ascii="Arial" w:cs="Arial" w:eastAsia="Arial" w:hAnsi="Arial"/>
                  <w:sz w:val="18"/>
                  <w:szCs w:val="18"/>
                  <w:b w:val="1"/>
                  <w:bCs w:val="1"/>
                  <w:u w:val="single" w:color="auto"/>
                  <w:color w:val="0000FF"/>
                </w:rPr>
                <w:t>Other Long Term Liabilities</w:t>
              </w:r>
            </w:hyperlink>
          </w:p>
        </w:tc>
        <w:tc>
          <w:tcPr>
            <w:tcW w:w="1200" w:type="dxa"/>
            <w:vAlign w:val="bottom"/>
          </w:tcPr>
          <w:p>
            <w:pPr>
              <w:jc w:val="center"/>
              <w:spacing w:after="0"/>
              <w:rPr>
                <w:rFonts w:ascii="Arial" w:cs="Arial" w:eastAsia="Arial" w:hAnsi="Arial"/>
                <w:sz w:val="18"/>
                <w:szCs w:val="18"/>
                <w:b w:val="1"/>
                <w:bCs w:val="1"/>
                <w:u w:val="single" w:color="auto"/>
                <w:color w:val="0000FF"/>
                <w:w w:val="89"/>
              </w:rPr>
            </w:pPr>
            <w:hyperlink w:anchor="page21">
              <w:r>
                <w:rPr>
                  <w:rFonts w:ascii="Arial" w:cs="Arial" w:eastAsia="Arial" w:hAnsi="Arial"/>
                  <w:sz w:val="18"/>
                  <w:szCs w:val="18"/>
                  <w:b w:val="1"/>
                  <w:bCs w:val="1"/>
                  <w:u w:val="single" w:color="auto"/>
                  <w:color w:val="0000FF"/>
                  <w:w w:val="89"/>
                </w:rPr>
                <w:t>17</w:t>
              </w:r>
            </w:hyperlink>
          </w:p>
        </w:tc>
      </w:tr>
      <w:tr>
        <w:trPr>
          <w:trHeight w:val="20"/>
        </w:trPr>
        <w:tc>
          <w:tcPr>
            <w:tcW w:w="1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80" w:type="dxa"/>
            <w:vAlign w:val="bottom"/>
            <w:gridSpan w:val="5"/>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245"/>
        </w:trPr>
        <w:tc>
          <w:tcPr>
            <w:tcW w:w="1320" w:type="dxa"/>
            <w:vAlign w:val="bottom"/>
          </w:tcPr>
          <w:p>
            <w:pPr>
              <w:spacing w:after="0"/>
              <w:rPr>
                <w:sz w:val="21"/>
                <w:szCs w:val="21"/>
                <w:color w:val="auto"/>
              </w:rPr>
            </w:pPr>
          </w:p>
        </w:tc>
        <w:tc>
          <w:tcPr>
            <w:tcW w:w="240" w:type="dxa"/>
            <w:vAlign w:val="bottom"/>
            <w:gridSpan w:val="3"/>
          </w:tcPr>
          <w:p>
            <w:pPr>
              <w:spacing w:after="0"/>
              <w:rPr>
                <w:rFonts w:ascii="Arial" w:cs="Arial" w:eastAsia="Arial" w:hAnsi="Arial"/>
                <w:sz w:val="18"/>
                <w:szCs w:val="18"/>
                <w:b w:val="1"/>
                <w:bCs w:val="1"/>
                <w:u w:val="single" w:color="auto"/>
                <w:color w:val="0000FF"/>
                <w:w w:val="87"/>
              </w:rPr>
            </w:pPr>
            <w:hyperlink w:anchor="page21">
              <w:r>
                <w:rPr>
                  <w:rFonts w:ascii="Arial" w:cs="Arial" w:eastAsia="Arial" w:hAnsi="Arial"/>
                  <w:sz w:val="18"/>
                  <w:szCs w:val="18"/>
                  <w:b w:val="1"/>
                  <w:bCs w:val="1"/>
                  <w:u w:val="single" w:color="auto"/>
                  <w:color w:val="0000FF"/>
                  <w:w w:val="87"/>
                </w:rPr>
                <w:t>13.</w:t>
              </w:r>
            </w:hyperlink>
          </w:p>
        </w:tc>
        <w:tc>
          <w:tcPr>
            <w:tcW w:w="8480" w:type="dxa"/>
            <w:vAlign w:val="bottom"/>
            <w:gridSpan w:val="5"/>
          </w:tcPr>
          <w:p>
            <w:pPr>
              <w:ind w:left="40"/>
              <w:spacing w:after="0"/>
              <w:rPr>
                <w:rFonts w:ascii="Arial" w:cs="Arial" w:eastAsia="Arial" w:hAnsi="Arial"/>
                <w:sz w:val="18"/>
                <w:szCs w:val="18"/>
                <w:b w:val="1"/>
                <w:bCs w:val="1"/>
                <w:u w:val="single" w:color="auto"/>
                <w:color w:val="0000FF"/>
              </w:rPr>
            </w:pPr>
            <w:hyperlink w:anchor="page21">
              <w:r>
                <w:rPr>
                  <w:rFonts w:ascii="Arial" w:cs="Arial" w:eastAsia="Arial" w:hAnsi="Arial"/>
                  <w:sz w:val="18"/>
                  <w:szCs w:val="18"/>
                  <w:b w:val="1"/>
                  <w:bCs w:val="1"/>
                  <w:u w:val="single" w:color="auto"/>
                  <w:color w:val="0000FF"/>
                </w:rPr>
                <w:t>Employee Benefit Plans</w:t>
              </w:r>
            </w:hyperlink>
          </w:p>
        </w:tc>
        <w:tc>
          <w:tcPr>
            <w:tcW w:w="1200" w:type="dxa"/>
            <w:vAlign w:val="bottom"/>
          </w:tcPr>
          <w:p>
            <w:pPr>
              <w:jc w:val="center"/>
              <w:spacing w:after="0"/>
              <w:rPr>
                <w:rFonts w:ascii="Arial" w:cs="Arial" w:eastAsia="Arial" w:hAnsi="Arial"/>
                <w:sz w:val="18"/>
                <w:szCs w:val="18"/>
                <w:b w:val="1"/>
                <w:bCs w:val="1"/>
                <w:u w:val="single" w:color="auto"/>
                <w:color w:val="0000FF"/>
                <w:w w:val="89"/>
              </w:rPr>
            </w:pPr>
            <w:hyperlink w:anchor="page21">
              <w:r>
                <w:rPr>
                  <w:rFonts w:ascii="Arial" w:cs="Arial" w:eastAsia="Arial" w:hAnsi="Arial"/>
                  <w:sz w:val="18"/>
                  <w:szCs w:val="18"/>
                  <w:b w:val="1"/>
                  <w:bCs w:val="1"/>
                  <w:u w:val="single" w:color="auto"/>
                  <w:color w:val="0000FF"/>
                  <w:w w:val="89"/>
                </w:rPr>
                <w:t>17</w:t>
              </w:r>
            </w:hyperlink>
          </w:p>
        </w:tc>
      </w:tr>
      <w:tr>
        <w:trPr>
          <w:trHeight w:val="230"/>
        </w:trPr>
        <w:tc>
          <w:tcPr>
            <w:tcW w:w="1320" w:type="dxa"/>
            <w:vAlign w:val="bottom"/>
          </w:tcPr>
          <w:p>
            <w:pPr>
              <w:spacing w:after="0"/>
              <w:rPr>
                <w:sz w:val="19"/>
                <w:szCs w:val="19"/>
                <w:color w:val="auto"/>
              </w:rPr>
            </w:pPr>
          </w:p>
        </w:tc>
        <w:tc>
          <w:tcPr>
            <w:tcW w:w="8720" w:type="dxa"/>
            <w:vAlign w:val="bottom"/>
            <w:gridSpan w:val="8"/>
          </w:tcPr>
          <w:p>
            <w:pPr>
              <w:spacing w:after="0"/>
              <w:rPr>
                <w:rFonts w:ascii="Arial" w:cs="Arial" w:eastAsia="Arial" w:hAnsi="Arial"/>
                <w:sz w:val="18"/>
                <w:szCs w:val="18"/>
                <w:b w:val="1"/>
                <w:bCs w:val="1"/>
                <w:u w:val="single" w:color="auto"/>
                <w:color w:val="0000FF"/>
              </w:rPr>
            </w:pPr>
            <w:hyperlink w:anchor="page22">
              <w:r>
                <w:rPr>
                  <w:rFonts w:ascii="Arial" w:cs="Arial" w:eastAsia="Arial" w:hAnsi="Arial"/>
                  <w:sz w:val="18"/>
                  <w:szCs w:val="18"/>
                  <w:b w:val="1"/>
                  <w:bCs w:val="1"/>
                  <w:u w:val="single" w:color="auto"/>
                  <w:color w:val="0000FF"/>
                </w:rPr>
                <w:t>14. Accumulated Other Comprehensive Loss</w:t>
              </w:r>
            </w:hyperlink>
          </w:p>
        </w:tc>
        <w:tc>
          <w:tcPr>
            <w:tcW w:w="1200" w:type="dxa"/>
            <w:vAlign w:val="bottom"/>
          </w:tcPr>
          <w:p>
            <w:pPr>
              <w:jc w:val="center"/>
              <w:spacing w:after="0"/>
              <w:rPr>
                <w:rFonts w:ascii="Arial" w:cs="Arial" w:eastAsia="Arial" w:hAnsi="Arial"/>
                <w:sz w:val="18"/>
                <w:szCs w:val="18"/>
                <w:b w:val="1"/>
                <w:bCs w:val="1"/>
                <w:u w:val="single" w:color="auto"/>
                <w:color w:val="0000FF"/>
                <w:w w:val="89"/>
              </w:rPr>
            </w:pPr>
            <w:hyperlink w:anchor="page22">
              <w:r>
                <w:rPr>
                  <w:rFonts w:ascii="Arial" w:cs="Arial" w:eastAsia="Arial" w:hAnsi="Arial"/>
                  <w:sz w:val="18"/>
                  <w:szCs w:val="18"/>
                  <w:b w:val="1"/>
                  <w:bCs w:val="1"/>
                  <w:u w:val="single" w:color="auto"/>
                  <w:color w:val="0000FF"/>
                  <w:w w:val="89"/>
                </w:rPr>
                <w:t>19</w:t>
              </w:r>
            </w:hyperlink>
          </w:p>
        </w:tc>
      </w:tr>
      <w:tr>
        <w:trPr>
          <w:trHeight w:val="230"/>
        </w:trPr>
        <w:tc>
          <w:tcPr>
            <w:tcW w:w="1560" w:type="dxa"/>
            <w:vAlign w:val="bottom"/>
            <w:gridSpan w:val="4"/>
          </w:tcPr>
          <w:p>
            <w:pPr>
              <w:ind w:left="1320"/>
              <w:spacing w:after="0"/>
              <w:rPr>
                <w:rFonts w:ascii="Arial" w:cs="Arial" w:eastAsia="Arial" w:hAnsi="Arial"/>
                <w:sz w:val="18"/>
                <w:szCs w:val="18"/>
                <w:b w:val="1"/>
                <w:bCs w:val="1"/>
                <w:u w:val="single" w:color="auto"/>
                <w:color w:val="0000FF"/>
                <w:w w:val="87"/>
              </w:rPr>
            </w:pPr>
            <w:hyperlink w:anchor="page24">
              <w:r>
                <w:rPr>
                  <w:rFonts w:ascii="Arial" w:cs="Arial" w:eastAsia="Arial" w:hAnsi="Arial"/>
                  <w:sz w:val="18"/>
                  <w:szCs w:val="18"/>
                  <w:b w:val="1"/>
                  <w:bCs w:val="1"/>
                  <w:u w:val="single" w:color="auto"/>
                  <w:color w:val="0000FF"/>
                  <w:w w:val="87"/>
                </w:rPr>
                <w:t>15.</w:t>
              </w:r>
            </w:hyperlink>
          </w:p>
        </w:tc>
        <w:tc>
          <w:tcPr>
            <w:tcW w:w="8480" w:type="dxa"/>
            <w:vAlign w:val="bottom"/>
            <w:gridSpan w:val="5"/>
          </w:tcPr>
          <w:p>
            <w:pPr>
              <w:ind w:left="40"/>
              <w:spacing w:after="0"/>
              <w:rPr>
                <w:rFonts w:ascii="Arial" w:cs="Arial" w:eastAsia="Arial" w:hAnsi="Arial"/>
                <w:sz w:val="18"/>
                <w:szCs w:val="18"/>
                <w:b w:val="1"/>
                <w:bCs w:val="1"/>
                <w:u w:val="single" w:color="auto"/>
                <w:color w:val="0000FF"/>
              </w:rPr>
            </w:pPr>
            <w:hyperlink w:anchor="page24">
              <w:r>
                <w:rPr>
                  <w:rFonts w:ascii="Arial" w:cs="Arial" w:eastAsia="Arial" w:hAnsi="Arial"/>
                  <w:sz w:val="18"/>
                  <w:szCs w:val="18"/>
                  <w:b w:val="1"/>
                  <w:bCs w:val="1"/>
                  <w:u w:val="single" w:color="auto"/>
                  <w:color w:val="0000FF"/>
                </w:rPr>
                <w:t>Stock Based Compensation</w:t>
              </w:r>
            </w:hyperlink>
          </w:p>
        </w:tc>
        <w:tc>
          <w:tcPr>
            <w:tcW w:w="1200" w:type="dxa"/>
            <w:vAlign w:val="bottom"/>
          </w:tcPr>
          <w:p>
            <w:pPr>
              <w:jc w:val="center"/>
              <w:spacing w:after="0"/>
              <w:rPr>
                <w:rFonts w:ascii="Arial" w:cs="Arial" w:eastAsia="Arial" w:hAnsi="Arial"/>
                <w:sz w:val="18"/>
                <w:szCs w:val="18"/>
                <w:b w:val="1"/>
                <w:bCs w:val="1"/>
                <w:u w:val="single" w:color="auto"/>
                <w:color w:val="0000FF"/>
                <w:w w:val="89"/>
              </w:rPr>
            </w:pPr>
            <w:hyperlink w:anchor="page24">
              <w:r>
                <w:rPr>
                  <w:rFonts w:ascii="Arial" w:cs="Arial" w:eastAsia="Arial" w:hAnsi="Arial"/>
                  <w:sz w:val="18"/>
                  <w:szCs w:val="18"/>
                  <w:b w:val="1"/>
                  <w:bCs w:val="1"/>
                  <w:u w:val="single" w:color="auto"/>
                  <w:color w:val="0000FF"/>
                  <w:w w:val="89"/>
                </w:rPr>
                <w:t>20</w:t>
              </w:r>
            </w:hyperlink>
          </w:p>
        </w:tc>
      </w:tr>
      <w:tr>
        <w:trPr>
          <w:trHeight w:val="230"/>
        </w:trPr>
        <w:tc>
          <w:tcPr>
            <w:tcW w:w="1560" w:type="dxa"/>
            <w:vAlign w:val="bottom"/>
            <w:gridSpan w:val="4"/>
          </w:tcPr>
          <w:p>
            <w:pPr>
              <w:ind w:left="1320"/>
              <w:spacing w:after="0"/>
              <w:rPr>
                <w:rFonts w:ascii="Arial" w:cs="Arial" w:eastAsia="Arial" w:hAnsi="Arial"/>
                <w:sz w:val="18"/>
                <w:szCs w:val="18"/>
                <w:b w:val="1"/>
                <w:bCs w:val="1"/>
                <w:u w:val="single" w:color="auto"/>
                <w:color w:val="0000FF"/>
                <w:w w:val="87"/>
              </w:rPr>
            </w:pPr>
            <w:hyperlink w:anchor="page25">
              <w:r>
                <w:rPr>
                  <w:rFonts w:ascii="Arial" w:cs="Arial" w:eastAsia="Arial" w:hAnsi="Arial"/>
                  <w:sz w:val="18"/>
                  <w:szCs w:val="18"/>
                  <w:b w:val="1"/>
                  <w:bCs w:val="1"/>
                  <w:u w:val="single" w:color="auto"/>
                  <w:color w:val="0000FF"/>
                  <w:w w:val="87"/>
                </w:rPr>
                <w:t>16.</w:t>
              </w:r>
            </w:hyperlink>
          </w:p>
        </w:tc>
        <w:tc>
          <w:tcPr>
            <w:tcW w:w="8480" w:type="dxa"/>
            <w:vAlign w:val="bottom"/>
            <w:gridSpan w:val="5"/>
          </w:tcPr>
          <w:p>
            <w:pPr>
              <w:ind w:left="40"/>
              <w:spacing w:after="0"/>
              <w:rPr>
                <w:rFonts w:ascii="Arial" w:cs="Arial" w:eastAsia="Arial" w:hAnsi="Arial"/>
                <w:sz w:val="18"/>
                <w:szCs w:val="18"/>
                <w:b w:val="1"/>
                <w:bCs w:val="1"/>
                <w:u w:val="single" w:color="auto"/>
                <w:color w:val="0000FF"/>
              </w:rPr>
            </w:pPr>
            <w:hyperlink w:anchor="page25">
              <w:r>
                <w:rPr>
                  <w:rFonts w:ascii="Arial" w:cs="Arial" w:eastAsia="Arial" w:hAnsi="Arial"/>
                  <w:sz w:val="18"/>
                  <w:szCs w:val="18"/>
                  <w:b w:val="1"/>
                  <w:bCs w:val="1"/>
                  <w:u w:val="single" w:color="auto"/>
                  <w:color w:val="0000FF"/>
                </w:rPr>
                <w:t>Fair Value Measurements</w:t>
              </w:r>
            </w:hyperlink>
          </w:p>
        </w:tc>
        <w:tc>
          <w:tcPr>
            <w:tcW w:w="1200" w:type="dxa"/>
            <w:vAlign w:val="bottom"/>
          </w:tcPr>
          <w:p>
            <w:pPr>
              <w:jc w:val="center"/>
              <w:spacing w:after="0"/>
              <w:rPr>
                <w:rFonts w:ascii="Arial" w:cs="Arial" w:eastAsia="Arial" w:hAnsi="Arial"/>
                <w:sz w:val="18"/>
                <w:szCs w:val="18"/>
                <w:b w:val="1"/>
                <w:bCs w:val="1"/>
                <w:u w:val="single" w:color="auto"/>
                <w:color w:val="0000FF"/>
                <w:w w:val="89"/>
              </w:rPr>
            </w:pPr>
            <w:hyperlink w:anchor="page25">
              <w:r>
                <w:rPr>
                  <w:rFonts w:ascii="Arial" w:cs="Arial" w:eastAsia="Arial" w:hAnsi="Arial"/>
                  <w:sz w:val="18"/>
                  <w:szCs w:val="18"/>
                  <w:b w:val="1"/>
                  <w:bCs w:val="1"/>
                  <w:u w:val="single" w:color="auto"/>
                  <w:color w:val="0000FF"/>
                  <w:w w:val="89"/>
                </w:rPr>
                <w:t>21</w:t>
              </w:r>
            </w:hyperlink>
          </w:p>
        </w:tc>
      </w:tr>
      <w:tr>
        <w:trPr>
          <w:trHeight w:val="229"/>
        </w:trPr>
        <w:tc>
          <w:tcPr>
            <w:tcW w:w="1560" w:type="dxa"/>
            <w:vAlign w:val="bottom"/>
            <w:gridSpan w:val="4"/>
          </w:tcPr>
          <w:p>
            <w:pPr>
              <w:ind w:left="1320"/>
              <w:spacing w:after="0"/>
              <w:rPr>
                <w:rFonts w:ascii="Arial" w:cs="Arial" w:eastAsia="Arial" w:hAnsi="Arial"/>
                <w:sz w:val="18"/>
                <w:szCs w:val="18"/>
                <w:b w:val="1"/>
                <w:bCs w:val="1"/>
                <w:u w:val="single" w:color="auto"/>
                <w:color w:val="0000FF"/>
                <w:w w:val="87"/>
              </w:rPr>
            </w:pPr>
            <w:hyperlink w:anchor="page26">
              <w:r>
                <w:rPr>
                  <w:rFonts w:ascii="Arial" w:cs="Arial" w:eastAsia="Arial" w:hAnsi="Arial"/>
                  <w:sz w:val="18"/>
                  <w:szCs w:val="18"/>
                  <w:b w:val="1"/>
                  <w:bCs w:val="1"/>
                  <w:u w:val="single" w:color="auto"/>
                  <w:color w:val="0000FF"/>
                  <w:w w:val="87"/>
                </w:rPr>
                <w:t>17.</w:t>
              </w:r>
            </w:hyperlink>
          </w:p>
        </w:tc>
        <w:tc>
          <w:tcPr>
            <w:tcW w:w="8480" w:type="dxa"/>
            <w:vAlign w:val="bottom"/>
            <w:gridSpan w:val="5"/>
          </w:tcPr>
          <w:p>
            <w:pPr>
              <w:ind w:left="40"/>
              <w:spacing w:after="0"/>
              <w:rPr>
                <w:rFonts w:ascii="Arial" w:cs="Arial" w:eastAsia="Arial" w:hAnsi="Arial"/>
                <w:sz w:val="18"/>
                <w:szCs w:val="18"/>
                <w:b w:val="1"/>
                <w:bCs w:val="1"/>
                <w:u w:val="single" w:color="auto"/>
                <w:color w:val="0000FF"/>
              </w:rPr>
            </w:pPr>
            <w:hyperlink w:anchor="page26">
              <w:r>
                <w:rPr>
                  <w:rFonts w:ascii="Arial" w:cs="Arial" w:eastAsia="Arial" w:hAnsi="Arial"/>
                  <w:sz w:val="18"/>
                  <w:szCs w:val="18"/>
                  <w:b w:val="1"/>
                  <w:bCs w:val="1"/>
                  <w:u w:val="single" w:color="auto"/>
                  <w:color w:val="0000FF"/>
                </w:rPr>
                <w:t>Related Party Transactions</w:t>
              </w:r>
            </w:hyperlink>
          </w:p>
        </w:tc>
        <w:tc>
          <w:tcPr>
            <w:tcW w:w="1200" w:type="dxa"/>
            <w:vAlign w:val="bottom"/>
          </w:tcPr>
          <w:p>
            <w:pPr>
              <w:jc w:val="center"/>
              <w:spacing w:after="0"/>
              <w:rPr>
                <w:rFonts w:ascii="Arial" w:cs="Arial" w:eastAsia="Arial" w:hAnsi="Arial"/>
                <w:sz w:val="18"/>
                <w:szCs w:val="18"/>
                <w:b w:val="1"/>
                <w:bCs w:val="1"/>
                <w:u w:val="single" w:color="auto"/>
                <w:color w:val="0000FF"/>
                <w:w w:val="89"/>
              </w:rPr>
            </w:pPr>
            <w:hyperlink w:anchor="page26">
              <w:r>
                <w:rPr>
                  <w:rFonts w:ascii="Arial" w:cs="Arial" w:eastAsia="Arial" w:hAnsi="Arial"/>
                  <w:sz w:val="18"/>
                  <w:szCs w:val="18"/>
                  <w:b w:val="1"/>
                  <w:bCs w:val="1"/>
                  <w:u w:val="single" w:color="auto"/>
                  <w:color w:val="0000FF"/>
                  <w:w w:val="89"/>
                </w:rPr>
                <w:t>22</w:t>
              </w:r>
            </w:hyperlink>
          </w:p>
        </w:tc>
      </w:tr>
      <w:tr>
        <w:trPr>
          <w:trHeight w:val="194"/>
        </w:trPr>
        <w:tc>
          <w:tcPr>
            <w:tcW w:w="1560" w:type="dxa"/>
            <w:vAlign w:val="bottom"/>
            <w:gridSpan w:val="4"/>
          </w:tcPr>
          <w:p>
            <w:pPr>
              <w:ind w:left="1320"/>
              <w:spacing w:after="0" w:line="194" w:lineRule="exact"/>
              <w:rPr>
                <w:rFonts w:ascii="Arial" w:cs="Arial" w:eastAsia="Arial" w:hAnsi="Arial"/>
                <w:sz w:val="18"/>
                <w:szCs w:val="18"/>
                <w:b w:val="1"/>
                <w:bCs w:val="1"/>
                <w:color w:val="0000FF"/>
                <w:w w:val="87"/>
              </w:rPr>
            </w:pPr>
            <w:hyperlink w:anchor="page26">
              <w:r>
                <w:rPr>
                  <w:rFonts w:ascii="Arial" w:cs="Arial" w:eastAsia="Arial" w:hAnsi="Arial"/>
                  <w:sz w:val="18"/>
                  <w:szCs w:val="18"/>
                  <w:b w:val="1"/>
                  <w:bCs w:val="1"/>
                  <w:color w:val="0000FF"/>
                  <w:w w:val="87"/>
                </w:rPr>
                <w:t>18.</w:t>
              </w:r>
            </w:hyperlink>
          </w:p>
        </w:tc>
        <w:tc>
          <w:tcPr>
            <w:tcW w:w="8480" w:type="dxa"/>
            <w:vAlign w:val="bottom"/>
            <w:gridSpan w:val="5"/>
          </w:tcPr>
          <w:p>
            <w:pPr>
              <w:ind w:left="40"/>
              <w:spacing w:after="0" w:line="194" w:lineRule="exact"/>
              <w:rPr>
                <w:rFonts w:ascii="Arial" w:cs="Arial" w:eastAsia="Arial" w:hAnsi="Arial"/>
                <w:sz w:val="18"/>
                <w:szCs w:val="18"/>
                <w:b w:val="1"/>
                <w:bCs w:val="1"/>
                <w:u w:val="single" w:color="auto"/>
                <w:color w:val="0000FF"/>
              </w:rPr>
            </w:pPr>
            <w:hyperlink w:anchor="page26">
              <w:r>
                <w:rPr>
                  <w:rFonts w:ascii="Arial" w:cs="Arial" w:eastAsia="Arial" w:hAnsi="Arial"/>
                  <w:sz w:val="18"/>
                  <w:szCs w:val="18"/>
                  <w:b w:val="1"/>
                  <w:bCs w:val="1"/>
                  <w:u w:val="single" w:color="auto"/>
                  <w:color w:val="0000FF"/>
                </w:rPr>
                <w:t>Commitments and Contingencies</w:t>
              </w:r>
            </w:hyperlink>
          </w:p>
        </w:tc>
        <w:tc>
          <w:tcPr>
            <w:tcW w:w="1200" w:type="dxa"/>
            <w:vAlign w:val="bottom"/>
          </w:tcPr>
          <w:p>
            <w:pPr>
              <w:jc w:val="center"/>
              <w:spacing w:after="0" w:line="194" w:lineRule="exact"/>
              <w:rPr>
                <w:rFonts w:ascii="Arial" w:cs="Arial" w:eastAsia="Arial" w:hAnsi="Arial"/>
                <w:sz w:val="18"/>
                <w:szCs w:val="18"/>
                <w:b w:val="1"/>
                <w:bCs w:val="1"/>
                <w:u w:val="single" w:color="auto"/>
                <w:color w:val="0000FF"/>
                <w:w w:val="89"/>
              </w:rPr>
            </w:pPr>
            <w:hyperlink w:anchor="page26">
              <w:r>
                <w:rPr>
                  <w:rFonts w:ascii="Arial" w:cs="Arial" w:eastAsia="Arial" w:hAnsi="Arial"/>
                  <w:sz w:val="18"/>
                  <w:szCs w:val="18"/>
                  <w:b w:val="1"/>
                  <w:bCs w:val="1"/>
                  <w:u w:val="single" w:color="auto"/>
                  <w:color w:val="0000FF"/>
                  <w:w w:val="89"/>
                </w:rPr>
                <w:t>22</w:t>
              </w:r>
            </w:hyperlink>
          </w:p>
        </w:tc>
      </w:tr>
      <w:tr>
        <w:trPr>
          <w:trHeight w:val="1013"/>
        </w:trPr>
        <w:tc>
          <w:tcPr>
            <w:tcW w:w="132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4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17"/>
                <w:szCs w:val="17"/>
                <w:color w:val="auto"/>
              </w:rPr>
            </w:pPr>
          </w:p>
        </w:tc>
        <w:tc>
          <w:tcPr>
            <w:tcW w:w="1240" w:type="dxa"/>
            <w:vAlign w:val="bottom"/>
          </w:tcPr>
          <w:p>
            <w:pPr>
              <w:jc w:val="right"/>
              <w:ind w:right="25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29"/>
        </w:trPr>
        <w:tc>
          <w:tcPr>
            <w:tcW w:w="8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8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center"/>
              <w:ind w:right="71"/>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4"/>
          </w:tcPr>
          <w:p>
            <w:pPr>
              <w:jc w:val="right"/>
              <w:ind w:right="370"/>
              <w:spacing w:after="0" w:line="162" w:lineRule="exact"/>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8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90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235"/>
        </w:trPr>
        <w:tc>
          <w:tcPr>
            <w:tcW w:w="8140" w:type="dxa"/>
            <w:vAlign w:val="bottom"/>
          </w:tcPr>
          <w:p>
            <w:pPr>
              <w:ind w:left="37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1,275,190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741,901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 of allowance</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1,459,471</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126,816</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2,811,043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2,328,188</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Property and equipment, net of accumulated depreciation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201,784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208,077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240,122</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Intangible assets, net of accumulated amortization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303,769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300,987</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1,581,160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1,581,160</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assets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135,432</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5,284,898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4,793,966</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1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3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77,865</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177,865</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other accrued expenses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852,885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698,011</w:t>
            </w:r>
          </w:p>
        </w:tc>
        <w:tc>
          <w:tcPr>
            <w:tcW w:w="0" w:type="dxa"/>
            <w:vAlign w:val="bottom"/>
          </w:tcPr>
          <w:p>
            <w:pPr>
              <w:spacing w:after="0"/>
              <w:rPr>
                <w:sz w:val="1"/>
                <w:szCs w:val="1"/>
                <w:color w:val="auto"/>
              </w:rPr>
            </w:pPr>
          </w:p>
        </w:tc>
      </w:tr>
      <w:tr>
        <w:trPr>
          <w:trHeight w:val="230"/>
        </w:trPr>
        <w:tc>
          <w:tcPr>
            <w:tcW w:w="8140" w:type="dxa"/>
            <w:vAlign w:val="bottom"/>
          </w:tcPr>
          <w:p>
            <w:pPr>
              <w:ind w:left="34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360,547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348,775</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49,021</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57,306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54,006</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1,401,591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1,327,678</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Long-term debt, net of current portion</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2,315,739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2,007,979</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270,266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331,687</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4,312,941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3,937,610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Commitments and contingencies (Note 18)</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40" w:type="dxa"/>
            <w:vAlign w:val="bottom"/>
          </w:tcPr>
          <w:p>
            <w:pPr>
              <w:ind w:left="300"/>
              <w:spacing w:after="0" w:line="176" w:lineRule="exact"/>
              <w:rPr>
                <w:sz w:val="20"/>
                <w:szCs w:val="20"/>
                <w:color w:val="auto"/>
              </w:rPr>
            </w:pPr>
            <w:r>
              <w:rPr>
                <w:rFonts w:ascii="Arial" w:cs="Arial" w:eastAsia="Arial" w:hAnsi="Arial"/>
                <w:sz w:val="18"/>
                <w:szCs w:val="18"/>
                <w:color w:val="auto"/>
                <w:w w:val="91"/>
              </w:rPr>
              <w:t>Common stock, Class A — $0.01 par value — authorized, 600,000,000 shares; issued, 162,079,334 shares</w:t>
            </w: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140" w:type="dxa"/>
            <w:vAlign w:val="bottom"/>
          </w:tcPr>
          <w:p>
            <w:pPr>
              <w:ind w:left="300"/>
              <w:spacing w:after="0" w:line="176" w:lineRule="exact"/>
              <w:rPr>
                <w:sz w:val="20"/>
                <w:szCs w:val="20"/>
                <w:color w:val="auto"/>
              </w:rPr>
            </w:pPr>
            <w:r>
              <w:rPr>
                <w:rFonts w:ascii="Arial" w:cs="Arial" w:eastAsia="Arial" w:hAnsi="Arial"/>
                <w:sz w:val="18"/>
                <w:szCs w:val="18"/>
                <w:color w:val="auto"/>
                <w:w w:val="94"/>
              </w:rPr>
              <w:t>at September 30, 2020 and 161,333,973 shares at March 31, 2020; outstanding, 138,024,601 shares at</w:t>
            </w:r>
          </w:p>
        </w:tc>
        <w:tc>
          <w:tcPr>
            <w:tcW w:w="16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30"/>
        </w:trPr>
        <w:tc>
          <w:tcPr>
            <w:tcW w:w="8140" w:type="dxa"/>
            <w:vAlign w:val="bottom"/>
          </w:tcPr>
          <w:p>
            <w:pPr>
              <w:ind w:left="300"/>
              <w:spacing w:after="0"/>
              <w:rPr>
                <w:sz w:val="20"/>
                <w:szCs w:val="20"/>
                <w:color w:val="auto"/>
              </w:rPr>
            </w:pPr>
            <w:r>
              <w:rPr>
                <w:rFonts w:ascii="Arial" w:cs="Arial" w:eastAsia="Arial" w:hAnsi="Arial"/>
                <w:sz w:val="18"/>
                <w:szCs w:val="18"/>
                <w:color w:val="auto"/>
              </w:rPr>
              <w:t>September 30, 2020 and 138,719,921 shares at March 31, 2020</w:t>
            </w:r>
          </w:p>
        </w:tc>
        <w:tc>
          <w:tcPr>
            <w:tcW w:w="1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4"/>
              </w:rPr>
              <w:t>Treasury stock, at cost — 24,054,733 at September 30, 2020 and 22,614,052 shares at March 31, 2020</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(898,095)</w:t>
            </w:r>
          </w:p>
        </w:tc>
        <w:tc>
          <w:tcPr>
            <w:tcW w:w="0" w:type="dxa"/>
            <w:vAlign w:val="bottom"/>
          </w:tcPr>
          <w:p>
            <w:pPr>
              <w:spacing w:after="0"/>
              <w:rPr>
                <w:sz w:val="1"/>
                <w:szCs w:val="1"/>
                <w:color w:val="auto"/>
              </w:rPr>
            </w:pPr>
          </w:p>
        </w:tc>
      </w:tr>
      <w:tr>
        <w:trPr>
          <w:trHeight w:val="230"/>
        </w:trPr>
        <w:tc>
          <w:tcPr>
            <w:tcW w:w="814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509,512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468,027</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1,508,206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1,330,812</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(43,732)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(46,001)</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971,957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856,356</w:t>
            </w:r>
          </w:p>
        </w:tc>
        <w:tc>
          <w:tcPr>
            <w:tcW w:w="0" w:type="dxa"/>
            <w:vAlign w:val="bottom"/>
          </w:tcPr>
          <w:p>
            <w:pPr>
              <w:spacing w:after="0"/>
              <w:rPr>
                <w:sz w:val="1"/>
                <w:szCs w:val="1"/>
                <w:color w:val="auto"/>
              </w:rPr>
            </w:pPr>
          </w:p>
        </w:tc>
      </w:tr>
      <w:tr>
        <w:trPr>
          <w:trHeight w:val="223"/>
        </w:trPr>
        <w:tc>
          <w:tcPr>
            <w:tcW w:w="8140" w:type="dxa"/>
            <w:vAlign w:val="bottom"/>
          </w:tcPr>
          <w:p>
            <w:pPr>
              <w:ind w:left="66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5,284,898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4,793,966</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40" w:type="dxa"/>
            <w:vAlign w:val="bottom"/>
          </w:tcPr>
          <w:p>
            <w:pPr>
              <w:spacing w:after="0"/>
              <w:rPr>
                <w:sz w:val="14"/>
                <w:szCs w:val="14"/>
                <w:color w:val="auto"/>
              </w:rPr>
            </w:pPr>
          </w:p>
        </w:tc>
        <w:tc>
          <w:tcPr>
            <w:tcW w:w="176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35"/>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75"/>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30"/>
        </w:trPr>
        <w:tc>
          <w:tcPr>
            <w:tcW w:w="5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20" w:type="dxa"/>
            <w:vAlign w:val="bottom"/>
            <w:gridSpan w:val="4"/>
          </w:tcPr>
          <w:p>
            <w:pPr>
              <w:jc w:val="center"/>
              <w:ind w:right="271"/>
              <w:spacing w:after="0" w:line="130" w:lineRule="exact"/>
              <w:rPr>
                <w:sz w:val="20"/>
                <w:szCs w:val="20"/>
                <w:color w:val="auto"/>
              </w:rPr>
            </w:pPr>
            <w:r>
              <w:rPr>
                <w:rFonts w:ascii="Arial" w:cs="Arial" w:eastAsia="Arial" w:hAnsi="Arial"/>
                <w:sz w:val="14"/>
                <w:szCs w:val="14"/>
                <w:b w:val="1"/>
                <w:bCs w:val="1"/>
                <w:color w:val="auto"/>
                <w:w w:val="91"/>
              </w:rPr>
              <w:t>(Amounts in thousands,</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40" w:type="dxa"/>
            <w:vAlign w:val="bottom"/>
            <w:gridSpan w:val="4"/>
          </w:tcPr>
          <w:p>
            <w:pPr>
              <w:jc w:val="center"/>
              <w:ind w:right="251"/>
              <w:spacing w:after="0" w:line="130"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40" w:type="dxa"/>
            <w:vAlign w:val="bottom"/>
          </w:tcPr>
          <w:p>
            <w:pPr>
              <w:spacing w:after="0"/>
              <w:rPr>
                <w:sz w:val="16"/>
                <w:szCs w:val="16"/>
                <w:color w:val="auto"/>
              </w:rPr>
            </w:pPr>
          </w:p>
        </w:tc>
        <w:tc>
          <w:tcPr>
            <w:tcW w:w="2640" w:type="dxa"/>
            <w:vAlign w:val="bottom"/>
            <w:gridSpan w:val="4"/>
          </w:tcPr>
          <w:p>
            <w:pPr>
              <w:jc w:val="center"/>
              <w:ind w:right="23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3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2,019,185</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1,819,577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3,975,638</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3,644,753</w:t>
            </w:r>
          </w:p>
        </w:tc>
        <w:tc>
          <w:tcPr>
            <w:tcW w:w="0" w:type="dxa"/>
            <w:vAlign w:val="bottom"/>
          </w:tcPr>
          <w:p>
            <w:pPr>
              <w:spacing w:after="0"/>
              <w:rPr>
                <w:sz w:val="1"/>
                <w:szCs w:val="1"/>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843,942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1,891,499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1,684,596</w:t>
            </w:r>
          </w:p>
        </w:tc>
        <w:tc>
          <w:tcPr>
            <w:tcW w:w="0" w:type="dxa"/>
            <w:vAlign w:val="bottom"/>
          </w:tcPr>
          <w:p>
            <w:pPr>
              <w:spacing w:after="0"/>
              <w:rPr>
                <w:sz w:val="1"/>
                <w:szCs w:val="1"/>
                <w:color w:val="auto"/>
              </w:rPr>
            </w:pPr>
          </w:p>
        </w:tc>
      </w:tr>
      <w:tr>
        <w:trPr>
          <w:trHeight w:val="229"/>
        </w:trPr>
        <w:tc>
          <w:tcPr>
            <w:tcW w:w="5200" w:type="dxa"/>
            <w:vAlign w:val="bottom"/>
          </w:tcPr>
          <w:p>
            <w:pPr>
              <w:ind w:left="340"/>
              <w:spacing w:after="0"/>
              <w:rPr>
                <w:sz w:val="20"/>
                <w:szCs w:val="20"/>
                <w:color w:val="auto"/>
              </w:rPr>
            </w:pPr>
            <w:r>
              <w:rPr>
                <w:rFonts w:ascii="Arial" w:cs="Arial" w:eastAsia="Arial" w:hAnsi="Arial"/>
                <w:sz w:val="18"/>
                <w:szCs w:val="18"/>
                <w:color w:val="auto"/>
              </w:rPr>
              <w:t>Billable expenses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603,652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539,846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1,152,729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1,091,021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490,555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478,402</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41,747</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39,653</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1,811,964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1,647,542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3,576,530</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3,293,672</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207,221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399,108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351,081</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(51,050)</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(12,034)</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304,007</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39,319</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80,806</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72,296</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136,081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265,410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231,711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common share (Note 4):</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vMerge w:val="continue"/>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0.98</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50"/>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right="2300"/>
        <w:spacing w:after="0" w:line="328"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20" w:type="dxa"/>
            <w:vAlign w:val="bottom"/>
            <w:gridSpan w:val="3"/>
          </w:tcPr>
          <w:p>
            <w:pPr>
              <w:jc w:val="center"/>
              <w:ind w:left="458"/>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58"/>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438"/>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83"/>
        </w:trPr>
        <w:tc>
          <w:tcPr>
            <w:tcW w:w="5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90"/>
              </w:rPr>
              <w:t>(Amounts in thousands)</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90"/>
              </w:rPr>
              <w:t>(Amounts in thousands)</w:t>
            </w:r>
          </w:p>
        </w:tc>
        <w:tc>
          <w:tcPr>
            <w:tcW w:w="0" w:type="dxa"/>
            <w:vAlign w:val="bottom"/>
          </w:tcPr>
          <w:p>
            <w:pPr>
              <w:spacing w:after="0"/>
              <w:rPr>
                <w:sz w:val="1"/>
                <w:szCs w:val="1"/>
                <w:color w:val="auto"/>
              </w:rPr>
            </w:pPr>
          </w:p>
        </w:tc>
      </w:tr>
      <w:tr>
        <w:trPr>
          <w:trHeight w:val="231"/>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136,081</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114,325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265,410</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231,711</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24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5"/>
              </w:rPr>
              <w:t>Change in unrealized gain (loss) on derivatives designated as cash</w:t>
            </w: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3,664</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(19,979)</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flow hedges</w:t>
            </w: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Change in postretirement plan costs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3"/>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(4,998)</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(19,929)</w:t>
            </w:r>
          </w:p>
        </w:tc>
        <w:tc>
          <w:tcPr>
            <w:tcW w:w="0" w:type="dxa"/>
            <w:vAlign w:val="bottom"/>
          </w:tcPr>
          <w:p>
            <w:pPr>
              <w:spacing w:after="0"/>
              <w:rPr>
                <w:sz w:val="1"/>
                <w:szCs w:val="1"/>
                <w:color w:val="auto"/>
              </w:rPr>
            </w:pPr>
          </w:p>
        </w:tc>
      </w:tr>
      <w:tr>
        <w:trPr>
          <w:trHeight w:val="223"/>
        </w:trPr>
        <w:tc>
          <w:tcPr>
            <w:tcW w:w="5240" w:type="dxa"/>
            <w:vAlign w:val="bottom"/>
          </w:tcPr>
          <w:p>
            <w:pPr>
              <w:ind w:left="340"/>
              <w:spacing w:after="0"/>
              <w:rPr>
                <w:sz w:val="20"/>
                <w:szCs w:val="20"/>
                <w:color w:val="auto"/>
              </w:rPr>
            </w:pPr>
            <w:r>
              <w:rPr>
                <w:rFonts w:ascii="Arial" w:cs="Arial" w:eastAsia="Arial" w:hAnsi="Arial"/>
                <w:sz w:val="18"/>
                <w:szCs w:val="18"/>
                <w:color w:val="auto"/>
              </w:rPr>
              <w:t>Comprehensive income</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139,767</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109,327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267,679</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211,782</w:t>
            </w: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0" w:lineRule="exact"/>
        <w:rPr>
          <w:sz w:val="20"/>
          <w:szCs w:val="20"/>
          <w:color w:val="auto"/>
        </w:rPr>
      </w:pPr>
    </w:p>
    <w:p>
      <w:pPr>
        <w:jc w:val="center"/>
        <w:ind w:left="8080"/>
        <w:spacing w:after="0"/>
        <w:rPr>
          <w:sz w:val="20"/>
          <w:szCs w:val="20"/>
          <w:color w:val="auto"/>
        </w:rPr>
      </w:pPr>
      <w:r>
        <w:rPr>
          <w:rFonts w:ascii="Arial" w:cs="Arial" w:eastAsia="Arial" w:hAnsi="Arial"/>
          <w:sz w:val="14"/>
          <w:szCs w:val="14"/>
          <w:b w:val="1"/>
          <w:bCs w:val="1"/>
          <w:color w:val="auto"/>
        </w:rPr>
        <w:t>Six Months Ended</w:t>
      </w:r>
    </w:p>
    <w:p>
      <w:pPr>
        <w:jc w:val="center"/>
        <w:ind w:left="80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13335</wp:posOffset>
            </wp:positionV>
            <wp:extent cx="193738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2019</w:t>
            </w:r>
          </w:p>
        </w:tc>
      </w:tr>
      <w:tr>
        <w:trPr>
          <w:trHeight w:val="209"/>
        </w:trPr>
        <w:tc>
          <w:tcPr>
            <w:tcW w:w="8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0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r>
      <w:tr>
        <w:trPr>
          <w:trHeight w:val="23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29"/>
        </w:trPr>
        <w:tc>
          <w:tcPr>
            <w:tcW w:w="81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265,410</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231,711</w:t>
            </w:r>
          </w:p>
        </w:tc>
      </w:tr>
      <w:tr>
        <w:trPr>
          <w:trHeight w:val="230"/>
        </w:trPr>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4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41,747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39,653</w:t>
            </w:r>
          </w:p>
        </w:tc>
      </w:tr>
      <w:tr>
        <w:trPr>
          <w:trHeight w:val="230"/>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Noncash lease expense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27,711</w:t>
            </w:r>
          </w:p>
        </w:tc>
      </w:tr>
      <w:tr>
        <w:trPr>
          <w:trHeight w:val="229"/>
        </w:trPr>
        <w:tc>
          <w:tcPr>
            <w:tcW w:w="8140" w:type="dxa"/>
            <w:vAlign w:val="bottom"/>
          </w:tcPr>
          <w:p>
            <w:pPr>
              <w:ind w:left="66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25,632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15,808</w:t>
            </w:r>
          </w:p>
        </w:tc>
      </w:tr>
      <w:tr>
        <w:trPr>
          <w:trHeight w:val="229"/>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Amortization of debt issuance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r>
      <w:tr>
        <w:trPr>
          <w:trHeight w:val="230"/>
        </w:trPr>
        <w:tc>
          <w:tcPr>
            <w:tcW w:w="8140" w:type="dxa"/>
            <w:vAlign w:val="bottom"/>
          </w:tcPr>
          <w:p>
            <w:pPr>
              <w:ind w:left="660"/>
              <w:spacing w:after="0"/>
              <w:rPr>
                <w:sz w:val="20"/>
                <w:szCs w:val="20"/>
                <w:color w:val="auto"/>
              </w:rPr>
            </w:pPr>
            <w:r>
              <w:rPr>
                <w:rFonts w:ascii="Arial" w:cs="Arial" w:eastAsia="Arial" w:hAnsi="Arial"/>
                <w:sz w:val="18"/>
                <w:szCs w:val="18"/>
                <w:color w:val="auto"/>
              </w:rPr>
              <w:t>Loss on debt extinguishment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13,239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Losses on dispositions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r>
      <w:tr>
        <w:trPr>
          <w:trHeight w:val="229"/>
        </w:trPr>
        <w:tc>
          <w:tcPr>
            <w:tcW w:w="814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 net of allowance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w:t>
            </w:r>
          </w:p>
        </w:tc>
      </w:tr>
      <w:tr>
        <w:trPr>
          <w:trHeight w:val="229"/>
        </w:trPr>
        <w:tc>
          <w:tcPr>
            <w:tcW w:w="8140" w:type="dxa"/>
            <w:vAlign w:val="bottom"/>
          </w:tcPr>
          <w:p>
            <w:pPr>
              <w:ind w:left="660"/>
              <w:spacing w:after="0"/>
              <w:rPr>
                <w:sz w:val="20"/>
                <w:szCs w:val="20"/>
                <w:color w:val="auto"/>
              </w:rPr>
            </w:pPr>
            <w:r>
              <w:rPr>
                <w:rFonts w:ascii="Arial" w:cs="Arial" w:eastAsia="Arial" w:hAnsi="Arial"/>
                <w:sz w:val="18"/>
                <w:szCs w:val="18"/>
                <w:color w:val="auto"/>
              </w:rPr>
              <w:t>Deferred income taxes and income taxes receivable / payable</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51,846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(30,322)</w:t>
            </w:r>
          </w:p>
        </w:tc>
      </w:tr>
      <w:tr>
        <w:trPr>
          <w:trHeight w:val="230"/>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(16,696)</w:t>
            </w:r>
          </w:p>
        </w:tc>
      </w:tr>
      <w:tr>
        <w:trPr>
          <w:trHeight w:val="229"/>
        </w:trPr>
        <w:tc>
          <w:tcPr>
            <w:tcW w:w="8140" w:type="dxa"/>
            <w:vAlign w:val="bottom"/>
          </w:tcPr>
          <w:p>
            <w:pPr>
              <w:ind w:left="66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(28,805)</w:t>
            </w:r>
          </w:p>
        </w:tc>
      </w:tr>
      <w:tr>
        <w:trPr>
          <w:trHeight w:val="230"/>
        </w:trPr>
        <w:tc>
          <w:tcPr>
            <w:tcW w:w="8140" w:type="dxa"/>
            <w:vAlign w:val="bottom"/>
          </w:tcPr>
          <w:p>
            <w:pPr>
              <w:ind w:left="66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154,140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34,623</w:t>
            </w:r>
          </w:p>
        </w:tc>
      </w:tr>
      <w:tr>
        <w:trPr>
          <w:trHeight w:val="229"/>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current liabilities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r>
      <w:tr>
        <w:trPr>
          <w:trHeight w:val="230"/>
        </w:trPr>
        <w:tc>
          <w:tcPr>
            <w:tcW w:w="8140" w:type="dxa"/>
            <w:vAlign w:val="bottom"/>
          </w:tcPr>
          <w:p>
            <w:pPr>
              <w:ind w:left="660"/>
              <w:spacing w:after="0"/>
              <w:rPr>
                <w:sz w:val="20"/>
                <w:szCs w:val="20"/>
                <w:color w:val="auto"/>
              </w:rPr>
            </w:pPr>
            <w:r>
              <w:rPr>
                <w:rFonts w:ascii="Arial" w:cs="Arial" w:eastAsia="Arial" w:hAnsi="Arial"/>
                <w:sz w:val="18"/>
                <w:szCs w:val="18"/>
                <w:color w:val="auto"/>
              </w:rPr>
              <w:t>Operating lease liabilities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(28,355)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(24,529)</w:t>
            </w:r>
          </w:p>
        </w:tc>
      </w:tr>
      <w:tr>
        <w:trPr>
          <w:trHeight w:val="230"/>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r>
      <w:tr>
        <w:trPr>
          <w:trHeight w:val="223"/>
        </w:trPr>
        <w:tc>
          <w:tcPr>
            <w:tcW w:w="8140" w:type="dxa"/>
            <w:vAlign w:val="bottom"/>
          </w:tcPr>
          <w:p>
            <w:pPr>
              <w:ind w:left="110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566,024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266,679</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1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Purchases of property, equipment, and software</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(59,978)</w:t>
            </w:r>
          </w:p>
        </w:tc>
      </w:tr>
      <w:tr>
        <w:trPr>
          <w:trHeight w:val="223"/>
        </w:trPr>
        <w:tc>
          <w:tcPr>
            <w:tcW w:w="81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(59,978)</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issuance of common stock</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r>
      <w:tr>
        <w:trPr>
          <w:trHeight w:val="230"/>
        </w:trPr>
        <w:tc>
          <w:tcPr>
            <w:tcW w:w="8140" w:type="dxa"/>
            <w:vAlign w:val="bottom"/>
          </w:tcPr>
          <w:p>
            <w:pPr>
              <w:ind w:left="660"/>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3,687</w:t>
            </w:r>
          </w:p>
        </w:tc>
      </w:tr>
      <w:tr>
        <w:trPr>
          <w:trHeight w:val="230"/>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Repurchases of common stock</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(14,658)</w:t>
            </w:r>
          </w:p>
        </w:tc>
      </w:tr>
      <w:tr>
        <w:trPr>
          <w:trHeight w:val="229"/>
        </w:trPr>
        <w:tc>
          <w:tcPr>
            <w:tcW w:w="8140" w:type="dxa"/>
            <w:vAlign w:val="bottom"/>
          </w:tcPr>
          <w:p>
            <w:pPr>
              <w:ind w:left="660"/>
              <w:spacing w:after="0"/>
              <w:rPr>
                <w:sz w:val="20"/>
                <w:szCs w:val="20"/>
                <w:color w:val="auto"/>
              </w:rPr>
            </w:pPr>
            <w:r>
              <w:rPr>
                <w:rFonts w:ascii="Arial" w:cs="Arial" w:eastAsia="Arial" w:hAnsi="Arial"/>
                <w:sz w:val="18"/>
                <w:szCs w:val="18"/>
                <w:color w:val="auto"/>
              </w:rPr>
              <w:t>Cash dividends paid</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(86,836)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(64,848)</w:t>
            </w:r>
          </w:p>
        </w:tc>
      </w:tr>
      <w:tr>
        <w:trPr>
          <w:trHeight w:val="230"/>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Debt extinguishment costs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tcPr>
          <w:p>
            <w:pPr>
              <w:ind w:left="660"/>
              <w:spacing w:after="0"/>
              <w:rPr>
                <w:sz w:val="20"/>
                <w:szCs w:val="20"/>
                <w:color w:val="auto"/>
              </w:rPr>
            </w:pPr>
            <w:r>
              <w:rPr>
                <w:rFonts w:ascii="Arial" w:cs="Arial" w:eastAsia="Arial" w:hAnsi="Arial"/>
                <w:sz w:val="18"/>
                <w:szCs w:val="18"/>
                <w:color w:val="auto"/>
              </w:rPr>
              <w:t>Repayment of debt</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(488,933)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(38,962)</w:t>
            </w:r>
          </w:p>
        </w:tc>
      </w:tr>
      <w:tr>
        <w:trPr>
          <w:trHeight w:val="230"/>
        </w:trPr>
        <w:tc>
          <w:tcPr>
            <w:tcW w:w="8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Proceeds from debt issuance</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691,496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29"/>
        </w:trPr>
        <w:tc>
          <w:tcPr>
            <w:tcW w:w="814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financing activities</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(1,413)</w:t>
            </w:r>
          </w:p>
        </w:tc>
      </w:tr>
      <w:tr>
        <w:trPr>
          <w:trHeight w:val="223"/>
        </w:trPr>
        <w:tc>
          <w:tcPr>
            <w:tcW w:w="81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290,855</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533,289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497,556</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741,901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283,990</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1,275,190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781,546</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7"/>
        </w:trPr>
        <w:tc>
          <w:tcPr>
            <w:tcW w:w="8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Net cash paid during the period for:</w:t>
            </w: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44,965</w:t>
            </w:r>
          </w:p>
        </w:tc>
      </w:tr>
      <w:tr>
        <w:trPr>
          <w:trHeight w:val="229"/>
        </w:trPr>
        <w:tc>
          <w:tcPr>
            <w:tcW w:w="814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24,451</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102,151</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140" w:type="dxa"/>
            <w:vAlign w:val="bottom"/>
          </w:tcPr>
          <w:p>
            <w:pPr>
              <w:ind w:left="340"/>
              <w:spacing w:after="0"/>
              <w:rPr>
                <w:sz w:val="20"/>
                <w:szCs w:val="20"/>
                <w:color w:val="auto"/>
              </w:rPr>
            </w:pPr>
            <w:r>
              <w:rPr>
                <w:rFonts w:ascii="Arial" w:cs="Arial" w:eastAsia="Arial" w:hAnsi="Arial"/>
                <w:sz w:val="18"/>
                <w:szCs w:val="18"/>
                <w:color w:val="auto"/>
              </w:rPr>
              <w:t>Noncash financing activities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2,110</w:t>
            </w:r>
          </w:p>
        </w:tc>
      </w:tr>
    </w:tbl>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00"/>
          </w:cols>
          <w:pgMar w:left="320" w:top="125" w:right="3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(UNAUDITED)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140" w:type="dxa"/>
            <w:vAlign w:val="bottom"/>
          </w:tcPr>
          <w:p>
            <w:pPr>
              <w:spacing w:after="0"/>
              <w:rPr>
                <w:sz w:val="14"/>
                <w:szCs w:val="14"/>
                <w:color w:val="auto"/>
              </w:rPr>
            </w:pPr>
          </w:p>
        </w:tc>
        <w:tc>
          <w:tcPr>
            <w:tcW w:w="1600" w:type="dxa"/>
            <w:vAlign w:val="bottom"/>
            <w:gridSpan w:val="4"/>
          </w:tcPr>
          <w:p>
            <w:pPr>
              <w:ind w:left="560"/>
              <w:spacing w:after="0"/>
              <w:rPr>
                <w:sz w:val="20"/>
                <w:szCs w:val="20"/>
                <w:color w:val="auto"/>
              </w:rPr>
            </w:pPr>
            <w:r>
              <w:rPr>
                <w:rFonts w:ascii="Arial" w:cs="Arial" w:eastAsia="Arial" w:hAnsi="Arial"/>
                <w:sz w:val="13"/>
                <w:szCs w:val="13"/>
                <w:b w:val="1"/>
                <w:bCs w:val="1"/>
                <w:color w:val="auto"/>
              </w:rPr>
              <w:t>Class A</w:t>
            </w:r>
          </w:p>
        </w:tc>
        <w:tc>
          <w:tcPr>
            <w:tcW w:w="1980" w:type="dxa"/>
            <w:vAlign w:val="bottom"/>
            <w:gridSpan w:val="5"/>
          </w:tcPr>
          <w:p>
            <w:pPr>
              <w:ind w:left="700"/>
              <w:spacing w:after="0"/>
              <w:rPr>
                <w:sz w:val="20"/>
                <w:szCs w:val="20"/>
                <w:color w:val="auto"/>
              </w:rPr>
            </w:pPr>
            <w:r>
              <w:rPr>
                <w:rFonts w:ascii="Arial" w:cs="Arial" w:eastAsia="Arial" w:hAnsi="Arial"/>
                <w:sz w:val="13"/>
                <w:szCs w:val="13"/>
                <w:b w:val="1"/>
                <w:bCs w:val="1"/>
                <w:color w:val="auto"/>
              </w:rPr>
              <w:t>Treasury</w:t>
            </w: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1"/>
              </w:rPr>
              <w:t>Additional</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4"/>
                <w:szCs w:val="14"/>
                <w:color w:val="auto"/>
              </w:rPr>
            </w:pPr>
          </w:p>
        </w:tc>
        <w:tc>
          <w:tcPr>
            <w:tcW w:w="700" w:type="dxa"/>
            <w:vAlign w:val="bottom"/>
            <w:vMerge w:val="restart"/>
          </w:tcPr>
          <w:p>
            <w:pPr>
              <w:jc w:val="center"/>
              <w:ind w:right="41"/>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1"/>
        </w:trPr>
        <w:tc>
          <w:tcPr>
            <w:tcW w:w="4140" w:type="dxa"/>
            <w:vAlign w:val="bottom"/>
          </w:tcPr>
          <w:p>
            <w:pPr>
              <w:spacing w:after="0"/>
              <w:rPr>
                <w:sz w:val="10"/>
                <w:szCs w:val="10"/>
                <w:color w:val="auto"/>
              </w:rPr>
            </w:pPr>
          </w:p>
        </w:tc>
        <w:tc>
          <w:tcPr>
            <w:tcW w:w="1600" w:type="dxa"/>
            <w:vAlign w:val="bottom"/>
            <w:gridSpan w:val="4"/>
          </w:tcPr>
          <w:p>
            <w:pPr>
              <w:ind w:left="340"/>
              <w:spacing w:after="0" w:line="122" w:lineRule="exact"/>
              <w:rPr>
                <w:sz w:val="20"/>
                <w:szCs w:val="20"/>
                <w:color w:val="auto"/>
              </w:rPr>
            </w:pPr>
            <w:r>
              <w:rPr>
                <w:rFonts w:ascii="Arial" w:cs="Arial" w:eastAsia="Arial" w:hAnsi="Arial"/>
                <w:sz w:val="13"/>
                <w:szCs w:val="13"/>
                <w:b w:val="1"/>
                <w:bCs w:val="1"/>
                <w:color w:val="auto"/>
              </w:rPr>
              <w:t>Common Stock</w:t>
            </w:r>
          </w:p>
        </w:tc>
        <w:tc>
          <w:tcPr>
            <w:tcW w:w="1100" w:type="dxa"/>
            <w:vAlign w:val="bottom"/>
            <w:gridSpan w:val="3"/>
          </w:tcPr>
          <w:p>
            <w:pPr>
              <w:jc w:val="right"/>
              <w:spacing w:after="0" w:line="122" w:lineRule="exact"/>
              <w:rPr>
                <w:sz w:val="20"/>
                <w:szCs w:val="20"/>
                <w:color w:val="auto"/>
              </w:rPr>
            </w:pPr>
            <w:r>
              <w:rPr>
                <w:rFonts w:ascii="Arial" w:cs="Arial" w:eastAsia="Arial" w:hAnsi="Arial"/>
                <w:sz w:val="13"/>
                <w:szCs w:val="13"/>
                <w:b w:val="1"/>
                <w:bCs w:val="1"/>
                <w:color w:val="auto"/>
              </w:rPr>
              <w:t>Stock</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140" w:type="dxa"/>
            <w:vAlign w:val="bottom"/>
          </w:tcPr>
          <w:p>
            <w:pPr>
              <w:ind w:left="20"/>
              <w:spacing w:after="0" w:line="54" w:lineRule="exact"/>
              <w:rPr>
                <w:sz w:val="20"/>
                <w:szCs w:val="20"/>
                <w:color w:val="auto"/>
              </w:rPr>
            </w:pPr>
            <w:r>
              <w:rPr>
                <w:rFonts w:ascii="Arial" w:cs="Arial" w:eastAsia="Arial" w:hAnsi="Arial"/>
                <w:sz w:val="6"/>
                <w:szCs w:val="6"/>
                <w:b w:val="1"/>
                <w:bCs w:val="1"/>
                <w:color w:val="auto"/>
              </w:rPr>
              <w:t>(Amounts in thousands, except</w:t>
            </w: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tcPr>
          <w:p>
            <w:pPr>
              <w:jc w:val="center"/>
              <w:ind w:right="80"/>
              <w:spacing w:after="0" w:line="54" w:lineRule="exact"/>
              <w:rPr>
                <w:sz w:val="20"/>
                <w:szCs w:val="20"/>
                <w:color w:val="auto"/>
              </w:rPr>
            </w:pPr>
            <w:r>
              <w:rPr>
                <w:rFonts w:ascii="Arial" w:cs="Arial" w:eastAsia="Arial" w:hAnsi="Arial"/>
                <w:sz w:val="6"/>
                <w:szCs w:val="6"/>
                <w:b w:val="1"/>
                <w:bCs w:val="1"/>
                <w:color w:val="auto"/>
              </w:rPr>
              <w:t>Paid-In</w:t>
            </w:r>
          </w:p>
        </w:tc>
        <w:tc>
          <w:tcPr>
            <w:tcW w:w="920" w:type="dxa"/>
            <w:vAlign w:val="bottom"/>
            <w:gridSpan w:val="2"/>
          </w:tcPr>
          <w:p>
            <w:pPr>
              <w:ind w:left="180"/>
              <w:spacing w:after="0" w:line="54" w:lineRule="exact"/>
              <w:rPr>
                <w:sz w:val="20"/>
                <w:szCs w:val="20"/>
                <w:color w:val="auto"/>
              </w:rPr>
            </w:pPr>
            <w:r>
              <w:rPr>
                <w:rFonts w:ascii="Arial" w:cs="Arial" w:eastAsia="Arial" w:hAnsi="Arial"/>
                <w:sz w:val="6"/>
                <w:szCs w:val="6"/>
                <w:b w:val="1"/>
                <w:bCs w:val="1"/>
                <w:color w:val="auto"/>
              </w:rPr>
              <w:t>Retained</w:t>
            </w:r>
          </w:p>
        </w:tc>
        <w:tc>
          <w:tcPr>
            <w:tcW w:w="960" w:type="dxa"/>
            <w:vAlign w:val="bottom"/>
            <w:gridSpan w:val="3"/>
          </w:tcPr>
          <w:p>
            <w:pPr>
              <w:ind w:left="20"/>
              <w:spacing w:after="0" w:line="54" w:lineRule="exact"/>
              <w:rPr>
                <w:sz w:val="20"/>
                <w:szCs w:val="20"/>
                <w:color w:val="auto"/>
              </w:rPr>
            </w:pPr>
            <w:r>
              <w:rPr>
                <w:rFonts w:ascii="Arial" w:cs="Arial" w:eastAsia="Arial" w:hAnsi="Arial"/>
                <w:sz w:val="6"/>
                <w:szCs w:val="6"/>
                <w:b w:val="1"/>
                <w:bCs w:val="1"/>
                <w:color w:val="auto"/>
              </w:rPr>
              <w:t>Comprehensive</w:t>
            </w:r>
          </w:p>
        </w:tc>
        <w:tc>
          <w:tcPr>
            <w:tcW w:w="820" w:type="dxa"/>
            <w:vAlign w:val="bottom"/>
            <w:gridSpan w:val="2"/>
          </w:tcPr>
          <w:p>
            <w:pPr>
              <w:jc w:val="center"/>
              <w:spacing w:after="0" w:line="54"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4140" w:type="dxa"/>
            <w:vAlign w:val="bottom"/>
          </w:tcPr>
          <w:p>
            <w:pPr>
              <w:ind w:left="20"/>
              <w:spacing w:after="0"/>
              <w:rPr>
                <w:sz w:val="20"/>
                <w:szCs w:val="20"/>
                <w:color w:val="auto"/>
              </w:rPr>
            </w:pPr>
            <w:r>
              <w:rPr>
                <w:rFonts w:ascii="Arial" w:cs="Arial" w:eastAsia="Arial" w:hAnsi="Arial"/>
                <w:sz w:val="13"/>
                <w:szCs w:val="13"/>
                <w:b w:val="1"/>
                <w:bCs w:val="1"/>
                <w:color w:val="auto"/>
              </w:rPr>
              <w:t>share data)</w:t>
            </w:r>
          </w:p>
        </w:tc>
        <w:tc>
          <w:tcPr>
            <w:tcW w:w="940" w:type="dxa"/>
            <w:vAlign w:val="bottom"/>
            <w:gridSpan w:val="2"/>
          </w:tcPr>
          <w:p>
            <w:pPr>
              <w:ind w:left="26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tcPr>
          <w:p>
            <w:pPr>
              <w:ind w:left="28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5"/>
                <w:szCs w:val="15"/>
                <w:color w:val="auto"/>
              </w:rPr>
            </w:pPr>
          </w:p>
        </w:tc>
        <w:tc>
          <w:tcPr>
            <w:tcW w:w="880" w:type="dxa"/>
            <w:vAlign w:val="bottom"/>
            <w:gridSpan w:val="2"/>
          </w:tcPr>
          <w:p>
            <w:pPr>
              <w:ind w:left="12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Capital</w:t>
            </w:r>
          </w:p>
        </w:tc>
        <w:tc>
          <w:tcPr>
            <w:tcW w:w="920" w:type="dxa"/>
            <w:vAlign w:val="bottom"/>
            <w:gridSpan w:val="2"/>
          </w:tcPr>
          <w:p>
            <w:pPr>
              <w:ind w:left="180"/>
              <w:spacing w:after="0"/>
              <w:rPr>
                <w:sz w:val="20"/>
                <w:szCs w:val="20"/>
                <w:color w:val="auto"/>
              </w:rPr>
            </w:pPr>
            <w:r>
              <w:rPr>
                <w:rFonts w:ascii="Arial" w:cs="Arial" w:eastAsia="Arial" w:hAnsi="Arial"/>
                <w:sz w:val="13"/>
                <w:szCs w:val="13"/>
                <w:b w:val="1"/>
                <w:bCs w:val="1"/>
                <w:color w:val="auto"/>
              </w:rPr>
              <w:t>Earnings</w:t>
            </w: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Income (Loss)</w:t>
            </w:r>
          </w:p>
        </w:tc>
        <w:tc>
          <w:tcPr>
            <w:tcW w:w="120" w:type="dxa"/>
            <w:vAlign w:val="bottom"/>
          </w:tcPr>
          <w:p>
            <w:pPr>
              <w:spacing w:after="0"/>
              <w:rPr>
                <w:sz w:val="15"/>
                <w:szCs w:val="15"/>
                <w:color w:val="auto"/>
              </w:rPr>
            </w:pPr>
          </w:p>
        </w:tc>
        <w:tc>
          <w:tcPr>
            <w:tcW w:w="700" w:type="dxa"/>
            <w:vAlign w:val="bottom"/>
          </w:tcPr>
          <w:p>
            <w:pPr>
              <w:jc w:val="center"/>
              <w:ind w:right="6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15"/>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161,856,727</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$ 1,618</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(23,659,991)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(973,601)</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486,739</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7"/>
              </w:rPr>
              <w:t>$ 1,415,129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(47,418)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882,467</w:t>
            </w:r>
          </w:p>
        </w:tc>
        <w:tc>
          <w:tcPr>
            <w:tcW w:w="0" w:type="dxa"/>
            <w:vAlign w:val="bottom"/>
          </w:tcPr>
          <w:p>
            <w:pPr>
              <w:spacing w:after="0"/>
              <w:rPr>
                <w:sz w:val="1"/>
                <w:szCs w:val="1"/>
                <w:color w:val="auto"/>
              </w:rPr>
            </w:pPr>
          </w:p>
        </w:tc>
      </w:tr>
      <w:tr>
        <w:trPr>
          <w:trHeight w:val="206"/>
        </w:trPr>
        <w:tc>
          <w:tcPr>
            <w:tcW w:w="4140" w:type="dxa"/>
            <w:vAlign w:val="bottom"/>
          </w:tcPr>
          <w:p>
            <w:pPr>
              <w:ind w:left="120"/>
              <w:spacing w:after="0"/>
              <w:rPr>
                <w:sz w:val="20"/>
                <w:szCs w:val="20"/>
                <w:color w:val="auto"/>
              </w:rPr>
            </w:pPr>
            <w:r>
              <w:rPr>
                <w:rFonts w:ascii="Arial" w:cs="Arial" w:eastAsia="Arial" w:hAnsi="Arial"/>
                <w:sz w:val="16"/>
                <w:szCs w:val="16"/>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6"/>
                <w:szCs w:val="16"/>
                <w:color w:val="auto"/>
              </w:rPr>
              <w:t>81,482</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4,667</w:t>
            </w:r>
          </w:p>
        </w:tc>
        <w:tc>
          <w:tcPr>
            <w:tcW w:w="8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4,669</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 options 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141,125</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3,366</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3,367</w:t>
            </w:r>
          </w:p>
        </w:tc>
        <w:tc>
          <w:tcPr>
            <w:tcW w:w="0" w:type="dxa"/>
            <w:vAlign w:val="bottom"/>
          </w:tcPr>
          <w:p>
            <w:pPr>
              <w:spacing w:after="0"/>
              <w:rPr>
                <w:sz w:val="1"/>
                <w:szCs w:val="1"/>
                <w:color w:val="auto"/>
              </w:rPr>
            </w:pPr>
          </w:p>
        </w:tc>
      </w:tr>
      <w:tr>
        <w:trPr>
          <w:trHeight w:val="213"/>
        </w:trPr>
        <w:tc>
          <w:tcPr>
            <w:tcW w:w="4140" w:type="dxa"/>
            <w:vAlign w:val="bottom"/>
          </w:tcPr>
          <w:p>
            <w:pPr>
              <w:ind w:left="120"/>
              <w:spacing w:after="0"/>
              <w:rPr>
                <w:sz w:val="20"/>
                <w:szCs w:val="20"/>
                <w:color w:val="auto"/>
              </w:rPr>
            </w:pPr>
            <w:r>
              <w:rPr>
                <w:rFonts w:ascii="Arial" w:cs="Arial" w:eastAsia="Arial" w:hAnsi="Arial"/>
                <w:sz w:val="16"/>
                <w:szCs w:val="16"/>
                <w:color w:val="auto"/>
              </w:rPr>
              <w:t>Repurchase of common stock</w:t>
            </w: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(394,742)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(30,049)</w:t>
            </w:r>
          </w:p>
        </w:tc>
        <w:tc>
          <w:tcPr>
            <w:tcW w:w="8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(30,049)</w:t>
            </w:r>
          </w:p>
        </w:tc>
        <w:tc>
          <w:tcPr>
            <w:tcW w:w="0" w:type="dxa"/>
            <w:vAlign w:val="bottom"/>
          </w:tcPr>
          <w:p>
            <w:pPr>
              <w:spacing w:after="0"/>
              <w:rPr>
                <w:sz w:val="1"/>
                <w:szCs w:val="1"/>
                <w:color w:val="auto"/>
              </w:rPr>
            </w:pPr>
          </w:p>
        </w:tc>
      </w:tr>
      <w:tr>
        <w:trPr>
          <w:trHeight w:val="169"/>
        </w:trPr>
        <w:tc>
          <w:tcPr>
            <w:tcW w:w="4140" w:type="dxa"/>
            <w:vAlign w:val="bottom"/>
            <w:shd w:val="clear" w:color="auto" w:fill="CCEEFF"/>
          </w:tcPr>
          <w:p>
            <w:pPr>
              <w:ind w:left="120"/>
              <w:spacing w:after="0" w:line="169" w:lineRule="exact"/>
              <w:rPr>
                <w:sz w:val="20"/>
                <w:szCs w:val="20"/>
                <w:color w:val="auto"/>
              </w:rPr>
            </w:pPr>
            <w:r>
              <w:rPr>
                <w:rFonts w:ascii="Arial" w:cs="Arial" w:eastAsia="Arial" w:hAnsi="Arial"/>
                <w:sz w:val="16"/>
                <w:szCs w:val="16"/>
                <w:color w:val="auto"/>
              </w:rPr>
              <w:t>Recognition of liability related to future restricted stock</w:t>
            </w:r>
          </w:p>
        </w:tc>
        <w:tc>
          <w:tcPr>
            <w:tcW w:w="940" w:type="dxa"/>
            <w:vAlign w:val="bottom"/>
            <w:gridSpan w:val="2"/>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2"/>
        </w:trPr>
        <w:tc>
          <w:tcPr>
            <w:tcW w:w="4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units vesting</w:t>
            </w:r>
          </w:p>
        </w:tc>
        <w:tc>
          <w:tcPr>
            <w:tcW w:w="94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136,081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136,081</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comprehensive income (loss), net of tax</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w:t>
            </w:r>
          </w:p>
        </w:tc>
        <w:tc>
          <w:tcPr>
            <w:tcW w:w="0" w:type="dxa"/>
            <w:vAlign w:val="bottom"/>
          </w:tcPr>
          <w:p>
            <w:pPr>
              <w:spacing w:after="0"/>
              <w:rPr>
                <w:sz w:val="1"/>
                <w:szCs w:val="1"/>
                <w:color w:val="auto"/>
              </w:rPr>
            </w:pPr>
          </w:p>
        </w:tc>
      </w:tr>
      <w:tr>
        <w:trPr>
          <w:trHeight w:val="213"/>
        </w:trPr>
        <w:tc>
          <w:tcPr>
            <w:tcW w:w="4140" w:type="dxa"/>
            <w:vAlign w:val="bottom"/>
          </w:tcPr>
          <w:p>
            <w:pPr>
              <w:ind w:left="140"/>
              <w:spacing w:after="0"/>
              <w:rPr>
                <w:sz w:val="20"/>
                <w:szCs w:val="20"/>
                <w:color w:val="auto"/>
              </w:rPr>
            </w:pPr>
            <w:r>
              <w:rPr>
                <w:rFonts w:ascii="Arial" w:cs="Arial" w:eastAsia="Arial" w:hAnsi="Arial"/>
                <w:sz w:val="16"/>
                <w:szCs w:val="16"/>
                <w:color w:val="auto"/>
              </w:rPr>
              <w:t>Dividends paid of $0.31 per share of common stock</w:t>
            </w: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(43,004)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(43,004)</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Stock-based compensation expense</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14,799</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14,799</w:t>
            </w:r>
          </w:p>
        </w:tc>
        <w:tc>
          <w:tcPr>
            <w:tcW w:w="0" w:type="dxa"/>
            <w:vAlign w:val="bottom"/>
          </w:tcPr>
          <w:p>
            <w:pPr>
              <w:spacing w:after="0"/>
              <w:rPr>
                <w:sz w:val="1"/>
                <w:szCs w:val="1"/>
                <w:color w:val="auto"/>
              </w:rPr>
            </w:pPr>
          </w:p>
        </w:tc>
      </w:tr>
      <w:tr>
        <w:trPr>
          <w:trHeight w:val="207"/>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162,079,334</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$ 1,621</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(24,054,733)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8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(1,003,650)</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509,512</w:t>
            </w:r>
          </w:p>
        </w:tc>
        <w:tc>
          <w:tcPr>
            <w:tcW w:w="8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7"/>
              </w:rPr>
              <w:t>$ 1,508,206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(43,732)</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971,957</w:t>
            </w:r>
          </w:p>
        </w:tc>
        <w:tc>
          <w:tcPr>
            <w:tcW w:w="0" w:type="dxa"/>
            <w:vAlign w:val="bottom"/>
          </w:tcPr>
          <w:p>
            <w:pPr>
              <w:spacing w:after="0"/>
              <w:rPr>
                <w:sz w:val="1"/>
                <w:szCs w:val="1"/>
                <w:color w:val="auto"/>
              </w:rPr>
            </w:pPr>
          </w:p>
        </w:tc>
      </w:tr>
      <w:tr>
        <w:trPr>
          <w:trHeight w:val="199"/>
        </w:trPr>
        <w:tc>
          <w:tcPr>
            <w:tcW w:w="414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2020</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161,333,973</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$ 1,613</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(22,614,052)</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(898,095)</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468,027</w:t>
            </w: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7"/>
              </w:rPr>
              <w:t>$ 1,330,812</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(46,001)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856,356</w:t>
            </w:r>
          </w:p>
        </w:tc>
        <w:tc>
          <w:tcPr>
            <w:tcW w:w="0" w:type="dxa"/>
            <w:vAlign w:val="bottom"/>
          </w:tcPr>
          <w:p>
            <w:pPr>
              <w:spacing w:after="0"/>
              <w:rPr>
                <w:sz w:val="1"/>
                <w:szCs w:val="1"/>
                <w:color w:val="auto"/>
              </w:rPr>
            </w:pPr>
          </w:p>
        </w:tc>
      </w:tr>
      <w:tr>
        <w:trPr>
          <w:trHeight w:val="207"/>
        </w:trPr>
        <w:tc>
          <w:tcPr>
            <w:tcW w:w="4140" w:type="dxa"/>
            <w:vAlign w:val="bottom"/>
          </w:tcPr>
          <w:p>
            <w:pPr>
              <w:ind w:left="120"/>
              <w:spacing w:after="0"/>
              <w:rPr>
                <w:sz w:val="20"/>
                <w:szCs w:val="20"/>
                <w:color w:val="auto"/>
              </w:rPr>
            </w:pPr>
            <w:r>
              <w:rPr>
                <w:rFonts w:ascii="Arial" w:cs="Arial" w:eastAsia="Arial" w:hAnsi="Arial"/>
                <w:sz w:val="16"/>
                <w:szCs w:val="16"/>
                <w:color w:val="auto"/>
              </w:rPr>
              <w:t>Topic 326 adoption impact</w:t>
            </w: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(1,180)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Issuance of common stock</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443,338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9,087</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9,092</w:t>
            </w:r>
          </w:p>
        </w:tc>
        <w:tc>
          <w:tcPr>
            <w:tcW w:w="0" w:type="dxa"/>
            <w:vAlign w:val="bottom"/>
          </w:tcPr>
          <w:p>
            <w:pPr>
              <w:spacing w:after="0"/>
              <w:rPr>
                <w:sz w:val="1"/>
                <w:szCs w:val="1"/>
                <w:color w:val="auto"/>
              </w:rPr>
            </w:pPr>
          </w:p>
        </w:tc>
      </w:tr>
      <w:tr>
        <w:trPr>
          <w:trHeight w:val="213"/>
        </w:trPr>
        <w:tc>
          <w:tcPr>
            <w:tcW w:w="4140" w:type="dxa"/>
            <w:vAlign w:val="bottom"/>
          </w:tcPr>
          <w:p>
            <w:pPr>
              <w:ind w:left="120"/>
              <w:spacing w:after="0"/>
              <w:rPr>
                <w:sz w:val="20"/>
                <w:szCs w:val="20"/>
                <w:color w:val="auto"/>
              </w:rPr>
            </w:pPr>
            <w:r>
              <w:rPr>
                <w:rFonts w:ascii="Arial" w:cs="Arial" w:eastAsia="Arial" w:hAnsi="Arial"/>
                <w:sz w:val="16"/>
                <w:szCs w:val="16"/>
                <w:color w:val="auto"/>
              </w:rPr>
              <w:t>Stock options exercised</w:t>
            </w:r>
          </w:p>
        </w:tc>
        <w:tc>
          <w:tcPr>
            <w:tcW w:w="860" w:type="dxa"/>
            <w:vAlign w:val="bottom"/>
          </w:tcPr>
          <w:p>
            <w:pPr>
              <w:jc w:val="right"/>
              <w:spacing w:after="0"/>
              <w:rPr>
                <w:sz w:val="20"/>
                <w:szCs w:val="20"/>
                <w:color w:val="auto"/>
              </w:rPr>
            </w:pPr>
            <w:r>
              <w:rPr>
                <w:rFonts w:ascii="Arial" w:cs="Arial" w:eastAsia="Arial" w:hAnsi="Arial"/>
                <w:sz w:val="16"/>
                <w:szCs w:val="16"/>
                <w:color w:val="auto"/>
              </w:rPr>
              <w:t>302,023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6,489</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6,492</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Repurchase of common stock (1)</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(1,440,681)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(105,555)</w:t>
            </w:r>
          </w:p>
        </w:tc>
        <w:tc>
          <w:tcPr>
            <w:tcW w:w="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(105,555)</w:t>
            </w:r>
          </w:p>
        </w:tc>
        <w:tc>
          <w:tcPr>
            <w:tcW w:w="0" w:type="dxa"/>
            <w:vAlign w:val="bottom"/>
          </w:tcPr>
          <w:p>
            <w:pPr>
              <w:spacing w:after="0"/>
              <w:rPr>
                <w:sz w:val="1"/>
                <w:szCs w:val="1"/>
                <w:color w:val="auto"/>
              </w:rPr>
            </w:pPr>
          </w:p>
        </w:tc>
      </w:tr>
      <w:tr>
        <w:trPr>
          <w:trHeight w:val="166"/>
        </w:trPr>
        <w:tc>
          <w:tcPr>
            <w:tcW w:w="4140" w:type="dxa"/>
            <w:vAlign w:val="bottom"/>
          </w:tcPr>
          <w:p>
            <w:pPr>
              <w:ind w:left="120"/>
              <w:spacing w:after="0" w:line="166" w:lineRule="exact"/>
              <w:rPr>
                <w:sz w:val="20"/>
                <w:szCs w:val="20"/>
                <w:color w:val="auto"/>
              </w:rPr>
            </w:pPr>
            <w:r>
              <w:rPr>
                <w:rFonts w:ascii="Arial" w:cs="Arial" w:eastAsia="Arial" w:hAnsi="Arial"/>
                <w:sz w:val="16"/>
                <w:szCs w:val="16"/>
                <w:color w:val="auto"/>
              </w:rPr>
              <w:t>Recognition of liability related to future restricted stock</w:t>
            </w:r>
          </w:p>
        </w:tc>
        <w:tc>
          <w:tcPr>
            <w:tcW w:w="940" w:type="dxa"/>
            <w:vAlign w:val="bottom"/>
            <w:gridSpan w:val="2"/>
            <w:vMerge w:val="restart"/>
          </w:tcPr>
          <w:p>
            <w:pPr>
              <w:ind w:left="64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80" w:type="dxa"/>
            <w:vAlign w:val="bottom"/>
            <w:gridSpan w:val="2"/>
            <w:vMerge w:val="restart"/>
          </w:tcPr>
          <w:p>
            <w:pPr>
              <w:ind w:left="560"/>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9"/>
        </w:trPr>
        <w:tc>
          <w:tcPr>
            <w:tcW w:w="4140" w:type="dxa"/>
            <w:vAlign w:val="bottom"/>
          </w:tcPr>
          <w:p>
            <w:pPr>
              <w:ind w:left="120"/>
              <w:spacing w:after="0"/>
              <w:rPr>
                <w:sz w:val="20"/>
                <w:szCs w:val="20"/>
                <w:color w:val="auto"/>
              </w:rPr>
            </w:pPr>
            <w:r>
              <w:rPr>
                <w:rFonts w:ascii="Arial" w:cs="Arial" w:eastAsia="Arial" w:hAnsi="Arial"/>
                <w:sz w:val="16"/>
                <w:szCs w:val="16"/>
                <w:color w:val="auto"/>
              </w:rPr>
              <w:t>units vesting</w:t>
            </w:r>
          </w:p>
        </w:tc>
        <w:tc>
          <w:tcPr>
            <w:tcW w:w="940" w:type="dxa"/>
            <w:vAlign w:val="bottom"/>
            <w:gridSpan w:val="2"/>
            <w:vMerge w:val="continue"/>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income</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265,410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265,410</w:t>
            </w:r>
          </w:p>
        </w:tc>
        <w:tc>
          <w:tcPr>
            <w:tcW w:w="0" w:type="dxa"/>
            <w:vAlign w:val="bottom"/>
          </w:tcPr>
          <w:p>
            <w:pPr>
              <w:spacing w:after="0"/>
              <w:rPr>
                <w:sz w:val="1"/>
                <w:szCs w:val="1"/>
                <w:color w:val="auto"/>
              </w:rPr>
            </w:pPr>
          </w:p>
        </w:tc>
      </w:tr>
      <w:tr>
        <w:trPr>
          <w:trHeight w:val="213"/>
        </w:trPr>
        <w:tc>
          <w:tcPr>
            <w:tcW w:w="4140" w:type="dxa"/>
            <w:vAlign w:val="bottom"/>
          </w:tcPr>
          <w:p>
            <w:pPr>
              <w:ind w:left="120"/>
              <w:spacing w:after="0"/>
              <w:rPr>
                <w:sz w:val="20"/>
                <w:szCs w:val="20"/>
                <w:color w:val="auto"/>
              </w:rPr>
            </w:pPr>
            <w:r>
              <w:rPr>
                <w:rFonts w:ascii="Arial" w:cs="Arial" w:eastAsia="Arial" w:hAnsi="Arial"/>
                <w:sz w:val="16"/>
                <w:szCs w:val="16"/>
                <w:color w:val="auto"/>
              </w:rPr>
              <w:t>Other comprehensive income (loss), net of tax</w:t>
            </w: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2,269</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 of $0.62 per share of common stock</w:t>
            </w:r>
          </w:p>
        </w:tc>
        <w:tc>
          <w:tcPr>
            <w:tcW w:w="940" w:type="dxa"/>
            <w:vAlign w:val="bottom"/>
            <w:gridSpan w:val="2"/>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(86,836)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(86,836)</w:t>
            </w:r>
          </w:p>
        </w:tc>
        <w:tc>
          <w:tcPr>
            <w:tcW w:w="0" w:type="dxa"/>
            <w:vAlign w:val="bottom"/>
          </w:tcPr>
          <w:p>
            <w:pPr>
              <w:spacing w:after="0"/>
              <w:rPr>
                <w:sz w:val="1"/>
                <w:szCs w:val="1"/>
                <w:color w:val="auto"/>
              </w:rPr>
            </w:pPr>
          </w:p>
        </w:tc>
      </w:tr>
      <w:tr>
        <w:trPr>
          <w:trHeight w:val="213"/>
        </w:trPr>
        <w:tc>
          <w:tcPr>
            <w:tcW w:w="414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940" w:type="dxa"/>
            <w:vAlign w:val="bottom"/>
            <w:gridSpan w:val="2"/>
          </w:tcPr>
          <w:p>
            <w:pPr>
              <w:ind w:left="6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25,629</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25,629</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2020</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162,079,334</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$ 1,621</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(24,054,733)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(1,003,650)</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509,512</w:t>
            </w: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7"/>
              </w:rPr>
              <w:t>$ 1,508,206</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(43,732)</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971,957</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right="140" w:firstLine="8"/>
        <w:spacing w:after="0" w:line="286" w:lineRule="auto"/>
        <w:tabs>
          <w:tab w:leader="none" w:pos="255" w:val="left"/>
        </w:tabs>
        <w:numPr>
          <w:ilvl w:val="0"/>
          <w:numId w:val="2"/>
        </w:numPr>
        <w:rPr>
          <w:rFonts w:ascii="Arial" w:cs="Arial" w:eastAsia="Arial" w:hAnsi="Arial"/>
          <w:sz w:val="17"/>
          <w:szCs w:val="17"/>
          <w:color w:val="auto"/>
        </w:rPr>
      </w:pPr>
      <w:r>
        <w:rPr>
          <w:rFonts w:ascii="Arial" w:cs="Arial" w:eastAsia="Arial" w:hAnsi="Arial"/>
          <w:sz w:val="17"/>
          <w:szCs w:val="17"/>
          <w:color w:val="auto"/>
        </w:rPr>
        <w:t>During the six months ended September 30, 2020, the Company purchased 1.3 million shares of the Company’s Class A Common Stock in a series of open market transactions for $96.4 million. Additionally, the Company repurchased shares during the six months ended September 30, 2020 to cover the minimum statutory withholding taxes on restricted stock units that vested on various dates during the period.</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 (UNAUDITED) [CONTINUED]</w:t>
      </w:r>
    </w:p>
    <w:p>
      <w:pPr>
        <w:spacing w:after="0" w:line="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180" w:type="dxa"/>
            <w:vAlign w:val="bottom"/>
          </w:tcPr>
          <w:p>
            <w:pPr>
              <w:spacing w:after="0"/>
              <w:rPr>
                <w:sz w:val="13"/>
                <w:szCs w:val="13"/>
                <w:color w:val="auto"/>
              </w:rPr>
            </w:pPr>
          </w:p>
        </w:tc>
        <w:tc>
          <w:tcPr>
            <w:tcW w:w="1600" w:type="dxa"/>
            <w:vAlign w:val="bottom"/>
            <w:gridSpan w:val="4"/>
          </w:tcPr>
          <w:p>
            <w:pPr>
              <w:ind w:left="560"/>
              <w:spacing w:after="0"/>
              <w:rPr>
                <w:sz w:val="20"/>
                <w:szCs w:val="20"/>
                <w:color w:val="auto"/>
              </w:rPr>
            </w:pPr>
            <w:r>
              <w:rPr>
                <w:rFonts w:ascii="Arial" w:cs="Arial" w:eastAsia="Arial" w:hAnsi="Arial"/>
                <w:sz w:val="13"/>
                <w:szCs w:val="13"/>
                <w:b w:val="1"/>
                <w:bCs w:val="1"/>
                <w:color w:val="auto"/>
              </w:rPr>
              <w:t>Class A</w:t>
            </w: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Treasury</w:t>
            </w: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3"/>
                <w:szCs w:val="13"/>
                <w:color w:val="auto"/>
              </w:rPr>
            </w:pPr>
          </w:p>
        </w:tc>
        <w:tc>
          <w:tcPr>
            <w:tcW w:w="660" w:type="dxa"/>
            <w:vAlign w:val="bottom"/>
            <w:vMerge w:val="restart"/>
          </w:tcPr>
          <w:p>
            <w:pPr>
              <w:jc w:val="center"/>
              <w:ind w:right="81"/>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2"/>
        </w:trPr>
        <w:tc>
          <w:tcPr>
            <w:tcW w:w="4180" w:type="dxa"/>
            <w:vAlign w:val="bottom"/>
          </w:tcPr>
          <w:p>
            <w:pPr>
              <w:spacing w:after="0"/>
              <w:rPr>
                <w:sz w:val="10"/>
                <w:szCs w:val="10"/>
                <w:color w:val="auto"/>
              </w:rPr>
            </w:pPr>
          </w:p>
        </w:tc>
        <w:tc>
          <w:tcPr>
            <w:tcW w:w="1600" w:type="dxa"/>
            <w:vAlign w:val="bottom"/>
            <w:gridSpan w:val="4"/>
          </w:tcPr>
          <w:p>
            <w:pPr>
              <w:ind w:left="340"/>
              <w:spacing w:after="0" w:line="122" w:lineRule="exact"/>
              <w:rPr>
                <w:sz w:val="20"/>
                <w:szCs w:val="20"/>
                <w:color w:val="auto"/>
              </w:rPr>
            </w:pPr>
            <w:r>
              <w:rPr>
                <w:rFonts w:ascii="Arial" w:cs="Arial" w:eastAsia="Arial" w:hAnsi="Arial"/>
                <w:sz w:val="13"/>
                <w:szCs w:val="13"/>
                <w:b w:val="1"/>
                <w:bCs w:val="1"/>
                <w:color w:val="auto"/>
              </w:rPr>
              <w:t>Common Stock</w:t>
            </w:r>
          </w:p>
        </w:tc>
        <w:tc>
          <w:tcPr>
            <w:tcW w:w="1160" w:type="dxa"/>
            <w:vAlign w:val="bottom"/>
            <w:gridSpan w:val="3"/>
          </w:tcPr>
          <w:p>
            <w:pPr>
              <w:jc w:val="right"/>
              <w:ind w:right="19"/>
              <w:spacing w:after="0" w:line="122" w:lineRule="exact"/>
              <w:rPr>
                <w:sz w:val="20"/>
                <w:szCs w:val="20"/>
                <w:color w:val="auto"/>
              </w:rPr>
            </w:pPr>
            <w:r>
              <w:rPr>
                <w:rFonts w:ascii="Arial" w:cs="Arial" w:eastAsia="Arial" w:hAnsi="Arial"/>
                <w:sz w:val="13"/>
                <w:szCs w:val="13"/>
                <w:b w:val="1"/>
                <w:bCs w:val="1"/>
                <w:color w:val="auto"/>
              </w:rPr>
              <w:t>Stock</w:t>
            </w: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center"/>
              <w:ind w:right="260"/>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4180" w:type="dxa"/>
            <w:vAlign w:val="bottom"/>
            <w:vMerge w:val="restart"/>
          </w:tcPr>
          <w:p>
            <w:pPr>
              <w:spacing w:after="0" w:line="95" w:lineRule="exact"/>
              <w:rPr>
                <w:sz w:val="20"/>
                <w:szCs w:val="20"/>
                <w:color w:val="auto"/>
              </w:rPr>
            </w:pPr>
            <w:r>
              <w:rPr>
                <w:rFonts w:ascii="Arial" w:cs="Arial" w:eastAsia="Arial" w:hAnsi="Arial"/>
                <w:sz w:val="10"/>
                <w:szCs w:val="10"/>
                <w:b w:val="1"/>
                <w:bCs w:val="1"/>
                <w:color w:val="auto"/>
              </w:rPr>
              <w:t>(Amounts in thousands, except</w:t>
            </w:r>
          </w:p>
        </w:tc>
        <w:tc>
          <w:tcPr>
            <w:tcW w:w="8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gridSpan w:val="2"/>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Paid-In</w:t>
            </w:r>
          </w:p>
        </w:tc>
        <w:tc>
          <w:tcPr>
            <w:tcW w:w="100" w:type="dxa"/>
            <w:vAlign w:val="bottom"/>
          </w:tcPr>
          <w:p>
            <w:pPr>
              <w:spacing w:after="0"/>
              <w:rPr>
                <w:sz w:val="4"/>
                <w:szCs w:val="4"/>
                <w:color w:val="auto"/>
              </w:rPr>
            </w:pPr>
          </w:p>
        </w:tc>
        <w:tc>
          <w:tcPr>
            <w:tcW w:w="820" w:type="dxa"/>
            <w:vAlign w:val="bottom"/>
            <w:gridSpan w:val="2"/>
            <w:vMerge w:val="restart"/>
          </w:tcPr>
          <w:p>
            <w:pPr>
              <w:ind w:left="80"/>
              <w:spacing w:after="0" w:line="95" w:lineRule="exact"/>
              <w:rPr>
                <w:sz w:val="20"/>
                <w:szCs w:val="20"/>
                <w:color w:val="auto"/>
              </w:rPr>
            </w:pPr>
            <w:r>
              <w:rPr>
                <w:rFonts w:ascii="Arial" w:cs="Arial" w:eastAsia="Arial" w:hAnsi="Arial"/>
                <w:sz w:val="10"/>
                <w:szCs w:val="10"/>
                <w:b w:val="1"/>
                <w:bCs w:val="1"/>
                <w:color w:val="auto"/>
              </w:rPr>
              <w:t>Retained</w:t>
            </w:r>
          </w:p>
        </w:tc>
        <w:tc>
          <w:tcPr>
            <w:tcW w:w="960" w:type="dxa"/>
            <w:vAlign w:val="bottom"/>
            <w:gridSpan w:val="3"/>
            <w:vMerge w:val="restart"/>
          </w:tcPr>
          <w:p>
            <w:pPr>
              <w:ind w:left="20"/>
              <w:spacing w:after="0" w:line="95" w:lineRule="exact"/>
              <w:rPr>
                <w:sz w:val="20"/>
                <w:szCs w:val="20"/>
                <w:color w:val="auto"/>
              </w:rPr>
            </w:pPr>
            <w:r>
              <w:rPr>
                <w:rFonts w:ascii="Arial" w:cs="Arial" w:eastAsia="Arial" w:hAnsi="Arial"/>
                <w:sz w:val="10"/>
                <w:szCs w:val="10"/>
                <w:b w:val="1"/>
                <w:bCs w:val="1"/>
                <w:color w:val="auto"/>
              </w:rPr>
              <w:t>Comprehensive</w:t>
            </w:r>
          </w:p>
        </w:tc>
        <w:tc>
          <w:tcPr>
            <w:tcW w:w="820" w:type="dxa"/>
            <w:vAlign w:val="bottom"/>
            <w:gridSpan w:val="2"/>
            <w:vMerge w:val="restart"/>
          </w:tcPr>
          <w:p>
            <w:pPr>
              <w:jc w:val="center"/>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4180" w:type="dxa"/>
            <w:vAlign w:val="bottom"/>
            <w:vMerge w:val="continue"/>
          </w:tcPr>
          <w:p>
            <w:pPr>
              <w:spacing w:after="0" w:line="20" w:lineRule="exact"/>
              <w:rPr>
                <w:sz w:val="1"/>
                <w:szCs w:val="1"/>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Shares</w:t>
            </w: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Amount</w:t>
            </w:r>
          </w:p>
        </w:tc>
        <w:tc>
          <w:tcPr>
            <w:tcW w:w="100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line="20" w:lineRule="exact"/>
              <w:rPr>
                <w:sz w:val="1"/>
                <w:szCs w:val="1"/>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Amount</w:t>
            </w:r>
          </w:p>
        </w:tc>
        <w:tc>
          <w:tcPr>
            <w:tcW w:w="780" w:type="dxa"/>
            <w:vAlign w:val="bottom"/>
            <w:gridSpan w:val="2"/>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960" w:type="dxa"/>
            <w:vAlign w:val="bottom"/>
            <w:gridSpan w:val="3"/>
            <w:vMerge w:val="continue"/>
          </w:tcPr>
          <w:p>
            <w:pPr>
              <w:spacing w:after="0" w:line="20" w:lineRule="exact"/>
              <w:rPr>
                <w:sz w:val="1"/>
                <w:szCs w:val="1"/>
                <w:color w:val="auto"/>
              </w:rPr>
            </w:pPr>
          </w:p>
        </w:tc>
        <w:tc>
          <w:tcPr>
            <w:tcW w:w="8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180" w:type="dxa"/>
            <w:vAlign w:val="bottom"/>
          </w:tcPr>
          <w:p>
            <w:pPr>
              <w:spacing w:after="0"/>
              <w:rPr>
                <w:sz w:val="20"/>
                <w:szCs w:val="20"/>
                <w:color w:val="auto"/>
              </w:rPr>
            </w:pPr>
            <w:r>
              <w:rPr>
                <w:rFonts w:ascii="Arial" w:cs="Arial" w:eastAsia="Arial" w:hAnsi="Arial"/>
                <w:sz w:val="13"/>
                <w:szCs w:val="13"/>
                <w:b w:val="1"/>
                <w:bCs w:val="1"/>
                <w:color w:val="auto"/>
              </w:rPr>
              <w:t>share data)</w:t>
            </w:r>
          </w:p>
        </w:tc>
        <w:tc>
          <w:tcPr>
            <w:tcW w:w="94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b w:val="1"/>
                <w:bCs w:val="1"/>
                <w:color w:val="auto"/>
              </w:rPr>
              <w:t>Earnings</w:t>
            </w:r>
          </w:p>
        </w:tc>
        <w:tc>
          <w:tcPr>
            <w:tcW w:w="96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Pr>
          <w:p>
            <w:pPr>
              <w:spacing w:after="0"/>
              <w:rPr>
                <w:sz w:val="14"/>
                <w:szCs w:val="14"/>
                <w:color w:val="auto"/>
              </w:rPr>
            </w:pPr>
          </w:p>
        </w:tc>
        <w:tc>
          <w:tcPr>
            <w:tcW w:w="660" w:type="dxa"/>
            <w:vAlign w:val="bottom"/>
          </w:tcPr>
          <w:p>
            <w:pPr>
              <w:jc w:val="center"/>
              <w:ind w:right="81"/>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215"/>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June 30, 2019</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160,244,219</w:t>
            </w:r>
          </w:p>
        </w:tc>
        <w:tc>
          <w:tcPr>
            <w:tcW w:w="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$ 1,602</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(20,026,100)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(719,736)</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$413,293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1,079,785</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748,823</w:t>
            </w:r>
          </w:p>
        </w:tc>
        <w:tc>
          <w:tcPr>
            <w:tcW w:w="0" w:type="dxa"/>
            <w:vAlign w:val="bottom"/>
          </w:tcPr>
          <w:p>
            <w:pPr>
              <w:spacing w:after="0"/>
              <w:rPr>
                <w:sz w:val="1"/>
                <w:szCs w:val="1"/>
                <w:color w:val="auto"/>
              </w:rPr>
            </w:pPr>
          </w:p>
        </w:tc>
      </w:tr>
      <w:tr>
        <w:trPr>
          <w:trHeight w:val="213"/>
        </w:trPr>
        <w:tc>
          <w:tcPr>
            <w:tcW w:w="4180" w:type="dxa"/>
            <w:vAlign w:val="bottom"/>
          </w:tcPr>
          <w:p>
            <w:pPr>
              <w:ind w:left="100"/>
              <w:spacing w:after="0"/>
              <w:rPr>
                <w:sz w:val="20"/>
                <w:szCs w:val="20"/>
                <w:color w:val="auto"/>
              </w:rPr>
            </w:pPr>
            <w:r>
              <w:rPr>
                <w:rFonts w:ascii="Arial" w:cs="Arial" w:eastAsia="Arial" w:hAnsi="Arial"/>
                <w:sz w:val="16"/>
                <w:szCs w:val="16"/>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6"/>
                <w:szCs w:val="16"/>
                <w:color w:val="auto"/>
              </w:rPr>
              <w:t>88,141</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3,670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3,671</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options 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67,997</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0" w:type="dxa"/>
            <w:vAlign w:val="bottom"/>
          </w:tcPr>
          <w:p>
            <w:pPr>
              <w:spacing w:after="0"/>
              <w:rPr>
                <w:sz w:val="1"/>
                <w:szCs w:val="1"/>
                <w:color w:val="auto"/>
              </w:rPr>
            </w:pPr>
          </w:p>
        </w:tc>
      </w:tr>
      <w:tr>
        <w:trPr>
          <w:trHeight w:val="213"/>
        </w:trPr>
        <w:tc>
          <w:tcPr>
            <w:tcW w:w="4180" w:type="dxa"/>
            <w:vAlign w:val="bottom"/>
          </w:tcPr>
          <w:p>
            <w:pPr>
              <w:ind w:left="100"/>
              <w:spacing w:after="0"/>
              <w:rPr>
                <w:sz w:val="20"/>
                <w:szCs w:val="20"/>
                <w:color w:val="auto"/>
              </w:rPr>
            </w:pPr>
            <w:r>
              <w:rPr>
                <w:rFonts w:ascii="Arial" w:cs="Arial" w:eastAsia="Arial" w:hAnsi="Arial"/>
                <w:sz w:val="16"/>
                <w:szCs w:val="16"/>
                <w:color w:val="auto"/>
              </w:rPr>
              <w:t>Repurchase of common stock</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69"/>
        </w:trPr>
        <w:tc>
          <w:tcPr>
            <w:tcW w:w="418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Recognition of liability related to future restricted stock</w:t>
            </w: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units vesting</w:t>
            </w:r>
          </w:p>
        </w:tc>
        <w:tc>
          <w:tcPr>
            <w:tcW w:w="94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114,325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114,325</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comprehensive income (loss), net of tax</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0" w:type="dxa"/>
            <w:vAlign w:val="bottom"/>
          </w:tcPr>
          <w:p>
            <w:pPr>
              <w:spacing w:after="0"/>
              <w:rPr>
                <w:sz w:val="1"/>
                <w:szCs w:val="1"/>
                <w:color w:val="auto"/>
              </w:rPr>
            </w:pPr>
          </w:p>
        </w:tc>
      </w:tr>
      <w:tr>
        <w:trPr>
          <w:trHeight w:val="213"/>
        </w:trPr>
        <w:tc>
          <w:tcPr>
            <w:tcW w:w="4180" w:type="dxa"/>
            <w:vAlign w:val="bottom"/>
          </w:tcPr>
          <w:p>
            <w:pPr>
              <w:ind w:left="120"/>
              <w:spacing w:after="0"/>
              <w:rPr>
                <w:sz w:val="20"/>
                <w:szCs w:val="20"/>
                <w:color w:val="auto"/>
              </w:rPr>
            </w:pPr>
            <w:r>
              <w:rPr>
                <w:rFonts w:ascii="Arial" w:cs="Arial" w:eastAsia="Arial" w:hAnsi="Arial"/>
                <w:sz w:val="16"/>
                <w:szCs w:val="16"/>
                <w:color w:val="auto"/>
              </w:rPr>
              <w:t>Dividends paid of $0.23 per share of common stock</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(32,436)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(32,436)</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compensation expense</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9,364</w:t>
            </w:r>
          </w:p>
        </w:tc>
        <w:tc>
          <w:tcPr>
            <w:tcW w:w="0" w:type="dxa"/>
            <w:vAlign w:val="bottom"/>
          </w:tcPr>
          <w:p>
            <w:pPr>
              <w:spacing w:after="0"/>
              <w:rPr>
                <w:sz w:val="1"/>
                <w:szCs w:val="1"/>
                <w:color w:val="auto"/>
              </w:rPr>
            </w:pPr>
          </w:p>
        </w:tc>
      </w:tr>
      <w:tr>
        <w:trPr>
          <w:trHeight w:val="207"/>
        </w:trPr>
        <w:tc>
          <w:tcPr>
            <w:tcW w:w="4180" w:type="dxa"/>
            <w:vAlign w:val="bottom"/>
          </w:tcPr>
          <w:p>
            <w:pPr>
              <w:spacing w:after="0"/>
              <w:rPr>
                <w:sz w:val="20"/>
                <w:szCs w:val="20"/>
                <w:color w:val="auto"/>
              </w:rPr>
            </w:pPr>
            <w:r>
              <w:rPr>
                <w:rFonts w:ascii="Arial" w:cs="Arial" w:eastAsia="Arial" w:hAnsi="Arial"/>
                <w:sz w:val="16"/>
                <w:szCs w:val="16"/>
                <w:b w:val="1"/>
                <w:bCs w:val="1"/>
                <w:color w:val="auto"/>
              </w:rPr>
              <w:t>Balance at September 30,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160,400,357</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$ 1,604</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(20,026,907)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(719,793)</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427,817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1,161,674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(31,119)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840,183</w:t>
            </w:r>
          </w:p>
        </w:tc>
        <w:tc>
          <w:tcPr>
            <w:tcW w:w="0" w:type="dxa"/>
            <w:vAlign w:val="bottom"/>
          </w:tcPr>
          <w:p>
            <w:pPr>
              <w:spacing w:after="0"/>
              <w:rPr>
                <w:sz w:val="1"/>
                <w:szCs w:val="1"/>
                <w:color w:val="auto"/>
              </w:rPr>
            </w:pPr>
          </w:p>
        </w:tc>
      </w:tr>
      <w:tr>
        <w:trPr>
          <w:trHeight w:val="199"/>
        </w:trPr>
        <w:tc>
          <w:tcPr>
            <w:tcW w:w="41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March 31, 2019</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159,924,825</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$ 1,599</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(19,896,972)</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(711,450)</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401,596</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994,811</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(11,190)</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675,366</w:t>
            </w:r>
          </w:p>
        </w:tc>
        <w:tc>
          <w:tcPr>
            <w:tcW w:w="0" w:type="dxa"/>
            <w:vAlign w:val="bottom"/>
          </w:tcPr>
          <w:p>
            <w:pPr>
              <w:spacing w:after="0"/>
              <w:rPr>
                <w:sz w:val="1"/>
                <w:szCs w:val="1"/>
                <w:color w:val="auto"/>
              </w:rPr>
            </w:pPr>
          </w:p>
        </w:tc>
      </w:tr>
      <w:tr>
        <w:trPr>
          <w:trHeight w:val="207"/>
        </w:trPr>
        <w:tc>
          <w:tcPr>
            <w:tcW w:w="4180" w:type="dxa"/>
            <w:vAlign w:val="bottom"/>
          </w:tcPr>
          <w:p>
            <w:pPr>
              <w:ind w:left="100"/>
              <w:spacing w:after="0"/>
              <w:rPr>
                <w:sz w:val="20"/>
                <w:szCs w:val="20"/>
                <w:color w:val="auto"/>
              </w:rPr>
            </w:pPr>
            <w:r>
              <w:rPr>
                <w:rFonts w:ascii="Arial" w:cs="Arial" w:eastAsia="Arial" w:hAnsi="Arial"/>
                <w:sz w:val="16"/>
                <w:szCs w:val="16"/>
                <w:color w:val="auto"/>
              </w:rPr>
              <w:t>Issuance of common stock</w:t>
            </w:r>
          </w:p>
        </w:tc>
        <w:tc>
          <w:tcPr>
            <w:tcW w:w="860" w:type="dxa"/>
            <w:vAlign w:val="bottom"/>
          </w:tcPr>
          <w:p>
            <w:pPr>
              <w:jc w:val="right"/>
              <w:spacing w:after="0"/>
              <w:rPr>
                <w:sz w:val="20"/>
                <w:szCs w:val="20"/>
                <w:color w:val="auto"/>
              </w:rPr>
            </w:pPr>
            <w:r>
              <w:rPr>
                <w:rFonts w:ascii="Arial" w:cs="Arial" w:eastAsia="Arial" w:hAnsi="Arial"/>
                <w:sz w:val="16"/>
                <w:szCs w:val="16"/>
                <w:color w:val="auto"/>
              </w:rPr>
              <w:t>246,233</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7,046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7,049</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options exercised</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229,299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3,687</w:t>
            </w:r>
          </w:p>
        </w:tc>
        <w:tc>
          <w:tcPr>
            <w:tcW w:w="0" w:type="dxa"/>
            <w:vAlign w:val="bottom"/>
          </w:tcPr>
          <w:p>
            <w:pPr>
              <w:spacing w:after="0"/>
              <w:rPr>
                <w:sz w:val="1"/>
                <w:szCs w:val="1"/>
                <w:color w:val="auto"/>
              </w:rPr>
            </w:pPr>
          </w:p>
        </w:tc>
      </w:tr>
      <w:tr>
        <w:trPr>
          <w:trHeight w:val="213"/>
        </w:trPr>
        <w:tc>
          <w:tcPr>
            <w:tcW w:w="4180" w:type="dxa"/>
            <w:vAlign w:val="bottom"/>
          </w:tcPr>
          <w:p>
            <w:pPr>
              <w:ind w:left="100"/>
              <w:spacing w:after="0"/>
              <w:rPr>
                <w:sz w:val="20"/>
                <w:szCs w:val="20"/>
                <w:color w:val="auto"/>
              </w:rPr>
            </w:pPr>
            <w:r>
              <w:rPr>
                <w:rFonts w:ascii="Arial" w:cs="Arial" w:eastAsia="Arial" w:hAnsi="Arial"/>
                <w:sz w:val="16"/>
                <w:szCs w:val="16"/>
                <w:color w:val="auto"/>
              </w:rPr>
              <w:t>Repurchase of common stock (2)</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(129,935)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(8,343)</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(8,343)</w:t>
            </w:r>
          </w:p>
        </w:tc>
        <w:tc>
          <w:tcPr>
            <w:tcW w:w="0" w:type="dxa"/>
            <w:vAlign w:val="bottom"/>
          </w:tcPr>
          <w:p>
            <w:pPr>
              <w:spacing w:after="0"/>
              <w:rPr>
                <w:sz w:val="1"/>
                <w:szCs w:val="1"/>
                <w:color w:val="auto"/>
              </w:rPr>
            </w:pPr>
          </w:p>
        </w:tc>
      </w:tr>
      <w:tr>
        <w:trPr>
          <w:trHeight w:val="169"/>
        </w:trPr>
        <w:tc>
          <w:tcPr>
            <w:tcW w:w="418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rPr>
              <w:t>Recognition of liability related to future restricted stock</w:t>
            </w:r>
          </w:p>
        </w:tc>
        <w:tc>
          <w:tcPr>
            <w:tcW w:w="940" w:type="dxa"/>
            <w:vAlign w:val="bottom"/>
            <w:gridSpan w:val="2"/>
            <w:vMerge w:val="restart"/>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212"/>
        </w:trPr>
        <w:tc>
          <w:tcPr>
            <w:tcW w:w="4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units vesting</w:t>
            </w:r>
          </w:p>
        </w:tc>
        <w:tc>
          <w:tcPr>
            <w:tcW w:w="940" w:type="dxa"/>
            <w:vAlign w:val="bottom"/>
            <w:gridSpan w:val="2"/>
            <w:vMerge w:val="continue"/>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18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231,711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231,711</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Other comprehensive income (loss), net of tax</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(19,929)</w:t>
            </w:r>
          </w:p>
        </w:tc>
        <w:tc>
          <w:tcPr>
            <w:tcW w:w="0" w:type="dxa"/>
            <w:vAlign w:val="bottom"/>
          </w:tcPr>
          <w:p>
            <w:pPr>
              <w:spacing w:after="0"/>
              <w:rPr>
                <w:sz w:val="1"/>
                <w:szCs w:val="1"/>
                <w:color w:val="auto"/>
              </w:rPr>
            </w:pPr>
          </w:p>
        </w:tc>
      </w:tr>
      <w:tr>
        <w:trPr>
          <w:trHeight w:val="213"/>
        </w:trPr>
        <w:tc>
          <w:tcPr>
            <w:tcW w:w="4180" w:type="dxa"/>
            <w:vAlign w:val="bottom"/>
          </w:tcPr>
          <w:p>
            <w:pPr>
              <w:ind w:left="120"/>
              <w:spacing w:after="0"/>
              <w:rPr>
                <w:sz w:val="20"/>
                <w:szCs w:val="20"/>
                <w:color w:val="auto"/>
              </w:rPr>
            </w:pPr>
            <w:r>
              <w:rPr>
                <w:rFonts w:ascii="Arial" w:cs="Arial" w:eastAsia="Arial" w:hAnsi="Arial"/>
                <w:sz w:val="16"/>
                <w:szCs w:val="16"/>
                <w:color w:val="auto"/>
              </w:rPr>
              <w:t>Dividends paid of $0.46 per share of common stock</w:t>
            </w:r>
          </w:p>
        </w:tc>
        <w:tc>
          <w:tcPr>
            <w:tcW w:w="9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(64,848)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(64,848)</w:t>
            </w:r>
          </w:p>
        </w:tc>
        <w:tc>
          <w:tcPr>
            <w:tcW w:w="0" w:type="dxa"/>
            <w:vAlign w:val="bottom"/>
          </w:tcPr>
          <w:p>
            <w:pPr>
              <w:spacing w:after="0"/>
              <w:rPr>
                <w:sz w:val="1"/>
                <w:szCs w:val="1"/>
                <w:color w:val="auto"/>
              </w:rPr>
            </w:pPr>
          </w:p>
        </w:tc>
      </w:tr>
      <w:tr>
        <w:trPr>
          <w:trHeight w:val="219"/>
        </w:trPr>
        <w:tc>
          <w:tcPr>
            <w:tcW w:w="418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Stock-based compensation expense</w:t>
            </w:r>
          </w:p>
        </w:tc>
        <w:tc>
          <w:tcPr>
            <w:tcW w:w="94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15,808</w:t>
            </w:r>
          </w:p>
        </w:tc>
        <w:tc>
          <w:tcPr>
            <w:tcW w:w="0" w:type="dxa"/>
            <w:vAlign w:val="bottom"/>
          </w:tcPr>
          <w:p>
            <w:pPr>
              <w:spacing w:after="0"/>
              <w:rPr>
                <w:sz w:val="1"/>
                <w:szCs w:val="1"/>
                <w:color w:val="auto"/>
              </w:rPr>
            </w:pPr>
          </w:p>
        </w:tc>
      </w:tr>
      <w:tr>
        <w:trPr>
          <w:trHeight w:val="206"/>
        </w:trPr>
        <w:tc>
          <w:tcPr>
            <w:tcW w:w="4180" w:type="dxa"/>
            <w:vAlign w:val="bottom"/>
          </w:tcPr>
          <w:p>
            <w:pPr>
              <w:spacing w:after="0"/>
              <w:rPr>
                <w:sz w:val="20"/>
                <w:szCs w:val="20"/>
                <w:color w:val="auto"/>
              </w:rPr>
            </w:pPr>
            <w:r>
              <w:rPr>
                <w:rFonts w:ascii="Arial" w:cs="Arial" w:eastAsia="Arial" w:hAnsi="Arial"/>
                <w:sz w:val="16"/>
                <w:szCs w:val="16"/>
                <w:b w:val="1"/>
                <w:bCs w:val="1"/>
                <w:color w:val="auto"/>
              </w:rPr>
              <w:t>Balance at September 30,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2"/>
              </w:rPr>
              <w:t>160,400,357</w:t>
            </w:r>
          </w:p>
        </w:tc>
        <w:tc>
          <w:tcPr>
            <w:tcW w:w="8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$ 1,604</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6"/>
              </w:rPr>
              <w:t>(20,026,907)</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0"/>
              </w:rPr>
              <w:t>(719,793)</w:t>
            </w:r>
          </w:p>
        </w:tc>
        <w:tc>
          <w:tcPr>
            <w:tcW w:w="8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u w:val="single" w:color="auto"/>
                <w:color w:val="auto"/>
                <w:w w:val="92"/>
              </w:rPr>
              <w:t>$</w:t>
            </w:r>
            <w:r>
              <w:rPr>
                <w:rFonts w:ascii="Arial" w:cs="Arial" w:eastAsia="Arial" w:hAnsi="Arial"/>
                <w:sz w:val="16"/>
                <w:szCs w:val="16"/>
                <w:color w:val="auto"/>
                <w:w w:val="92"/>
              </w:rPr>
              <w:t>427,817</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1,161,674</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(31,119)</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840,183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80" w:firstLine="8"/>
        <w:spacing w:after="0" w:line="286" w:lineRule="auto"/>
        <w:tabs>
          <w:tab w:leader="none" w:pos="255" w:val="left"/>
        </w:tabs>
        <w:numPr>
          <w:ilvl w:val="0"/>
          <w:numId w:val="3"/>
        </w:numPr>
        <w:rPr>
          <w:rFonts w:ascii="Arial" w:cs="Arial" w:eastAsia="Arial" w:hAnsi="Arial"/>
          <w:sz w:val="17"/>
          <w:szCs w:val="17"/>
          <w:color w:val="auto"/>
        </w:rPr>
      </w:pPr>
      <w:r>
        <w:rPr>
          <w:rFonts w:ascii="Arial" w:cs="Arial" w:eastAsia="Arial" w:hAnsi="Arial"/>
          <w:sz w:val="17"/>
          <w:szCs w:val="17"/>
          <w:color w:val="auto"/>
        </w:rPr>
        <w:t>During the six months ended September 30, 2019, the Company purchased 93 thousand shares of the Company’s Class A Common Stock in a series of open market transactions for $5.9 million. Additionally, the Company repurchased shares during the six months ended September 30, 2019 to cover the minimum statutory withholding taxes on restricted stock units that vested on various dates during the period.</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OVERVIEW</w:t>
      </w:r>
    </w:p>
    <w:p>
      <w:pPr>
        <w:spacing w:after="0" w:line="121" w:lineRule="exact"/>
        <w:rPr>
          <w:sz w:val="20"/>
          <w:szCs w:val="20"/>
          <w:color w:val="auto"/>
        </w:rPr>
      </w:pPr>
    </w:p>
    <w:p>
      <w:pPr>
        <w:ind w:right="100" w:firstLine="405"/>
        <w:spacing w:after="0" w:line="301" w:lineRule="auto"/>
        <w:rPr>
          <w:sz w:val="20"/>
          <w:szCs w:val="20"/>
          <w:color w:val="auto"/>
        </w:rPr>
      </w:pPr>
      <w:r>
        <w:rPr>
          <w:rFonts w:ascii="Arial" w:cs="Arial" w:eastAsia="Arial" w:hAnsi="Arial"/>
          <w:sz w:val="16"/>
          <w:szCs w:val="16"/>
          <w:color w:val="auto"/>
        </w:rPr>
        <w:t>Booz Allen Hamilton Holding Corporation, including its wholly owned subsidiaries, or the Company, we, us, and our, was incorporated in Delaware in May 2008. The Company provides management and technology consulting, analytics, engineering, digital solutions, mission operations, and cyber services to U.S. and international governments, major corporations, and not-for-profit organizations. The Company reports operating results and financial data in one reportable segment. The Company is headquartered in McLean, Virginia, with approximately 27,600 employees as of September 30,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or GAAP, and pursuant to the rules and regulations of the U.S. Securities and Exchange Commission, or SEC, and should be read in conjunction with the information contained in the Company's Annual Report on Form 10-K for the year ended March 31, 2020. The interim period unaudited condensed consolidated financial statements are presented as described below. Certain information and disclosures normally required for annual financial statements have been condensed or omitted pursuant to GAAP and SEC rules and regulations. In the opinion of management, all adjustments considered necessary for fair presentation of the results of the interim period presented have been included. The Company’s fiscal year ends on March 31 and unless otherwise noted, references to fiscal year or fiscal are for fiscal years ended March 31. The results of operations for the six months ended September 30, 2020 are not necessarily indicative of results to be expected for the full fiscal year.</w:t>
      </w:r>
    </w:p>
    <w:p>
      <w:pPr>
        <w:spacing w:after="0" w:line="70"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condensed consolidated financial statements and notes of the Company include its subsidiaries, and the joint ventures and partnerships over which the Company has a controlling financial interest. The Company uses the equity method to account for investments in entities that it does not control if it is otherwise able to exert significant influence over the entities' operating and financial policies.</w:t>
      </w:r>
    </w:p>
    <w:p>
      <w:pPr>
        <w:spacing w:after="0" w:line="76"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Certain amounts reported in the Company's prior year condensed consolidated financial statements have been reclassified to conform to the current year presentation.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117"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the provision for claimed indirect costs, valuation and lives of tangible and intangible assets, impairment of long-lived assets, accrued liabilities, revenue recognition, including the accrual of indirect costs, bonus and other incentive compensation, stock-based compensation, reserves for uncertain tax positions and valuation allowances on deferred tax assets, provisions for income taxes, postretirement obligations, collectability of receivables, and loss accruals for litigation. Actual results experienced by the Company may differ materially from management's estimates.</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 - Credit Losses: Measurement of Credit Losses on Financial Instruments</w:t>
      </w:r>
      <w:r>
        <w:rPr>
          <w:rFonts w:ascii="Arial" w:cs="Arial" w:eastAsia="Arial" w:hAnsi="Arial"/>
          <w:sz w:val="18"/>
          <w:szCs w:val="18"/>
          <w:color w:val="auto"/>
        </w:rPr>
        <w:t xml:space="preserve"> (Topic 326). This guidance requires companies to record an allowance for expected credit losses over the contractual term of certain financial assets, including trade receivables and contract assets, and expands disclosure requirements for credit quality of financial assets. The Company adopted this standard effective April 1, 2020 using the modified retrospective method. The adoption of this standard did not have a material impact on the condensed consolidated financial statements and disclosures.</w:t>
      </w:r>
    </w:p>
    <w:p>
      <w:pPr>
        <w:spacing w:after="0" w:line="80"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Customer’s Accounting for Implementation Costs Incurred in a Cloud Computing Arrangement That</w:t>
      </w:r>
      <w:r>
        <w:rPr>
          <w:rFonts w:ascii="Arial" w:cs="Arial" w:eastAsia="Arial" w:hAnsi="Arial"/>
          <w:sz w:val="17"/>
          <w:szCs w:val="17"/>
          <w:color w:val="auto"/>
        </w:rPr>
        <w:t xml:space="preserve"> </w:t>
      </w:r>
      <w:r>
        <w:rPr>
          <w:rFonts w:ascii="Arial" w:cs="Arial" w:eastAsia="Arial" w:hAnsi="Arial"/>
          <w:sz w:val="17"/>
          <w:szCs w:val="17"/>
          <w:i w:val="1"/>
          <w:iCs w:val="1"/>
          <w:color w:val="auto"/>
        </w:rPr>
        <w:t>Is a Service Contract</w:t>
      </w:r>
      <w:r>
        <w:rPr>
          <w:rFonts w:ascii="Arial" w:cs="Arial" w:eastAsia="Arial" w:hAnsi="Arial"/>
          <w:sz w:val="17"/>
          <w:szCs w:val="17"/>
          <w:color w:val="auto"/>
        </w:rPr>
        <w:t>. This guidance requires a customer in a cloud computing arrangement that is a service contract to follow existing internal-use</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guidance to determine which implementation costs to defer and recognize as an asset. ASU 2018-15 generally aligns the guidance on capitalizing implementation costs incurred in a cloud computing arrangement that is a service contract with that of implementation costs incurred to develop or obtain internal-use software, including hosting arrangements that include an internal-use software license. ASU 2018-15 is effective for interim reporting periods for fiscal years beginning after December 15, 2019. The Company adopted this standard effective April 1, 2020 on a prospective basis, and adoption of this standard did not have a material impact on the condensed consolidated financial statements.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300"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This guidance includes removal of certain exceptions to the general principles of Topic 740, and simplification in several other areas such as accounting for a franchise tax (or similar tax) that is partially based on income. The provisions of this standard are effective for years beginning after December 15, 2020, with early adoption permitted. The Company early adopted the standard effective April 1, 2020, and applied most of the relevant amendments prospectively. The Company’s adoption did not have a material impact on the condensed consolidated financial statements.</w:t>
      </w:r>
    </w:p>
    <w:p>
      <w:pPr>
        <w:spacing w:after="0" w:line="68"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This guidance contains optional expedients and exceptions for applying GAAP to contracts, hedging relationships, and other areas or</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that are impacted by reference rate reform. The Company elected to adopt Topic 848 in fiscal 2020 and as of September 30, 2020, the Company has elected to apply the hedge accounting expedients related to probability and the assessments of effectiveness for future LIBOR-indexed cash flows to assume that the index upon which future hedged transactions will be based matches the index on the corresponding derivatives. Application of these expedients preserves the Company’s ability to apply hedge accounting to our derivative financial instruments. The Company continues to evaluate the impact of the guidance and may apply other elections, as applicable and as allowed by Topic 848.</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117"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Other accounting and reporting pronouncements effective after September 30, 2020 and issued through the filing date are not expected to have a material impact on the Company's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21" w:lineRule="exact"/>
        <w:rPr>
          <w:sz w:val="20"/>
          <w:szCs w:val="20"/>
          <w:color w:val="auto"/>
        </w:rPr>
      </w:pPr>
    </w:p>
    <w:p>
      <w:pPr>
        <w:ind w:right="140" w:firstLine="405"/>
        <w:spacing w:after="0" w:line="301" w:lineRule="auto"/>
        <w:rPr>
          <w:sz w:val="20"/>
          <w:szCs w:val="20"/>
          <w:color w:val="auto"/>
        </w:rPr>
      </w:pPr>
      <w:r>
        <w:rPr>
          <w:rFonts w:ascii="Arial" w:cs="Arial" w:eastAsia="Arial" w:hAnsi="Arial"/>
          <w:sz w:val="16"/>
          <w:szCs w:val="16"/>
          <w:color w:val="auto"/>
        </w:rPr>
        <w:t>The Company's revenues from contracts with customers (clients) are derived from offerings that include management and technology consulting services, analytics, digital solutions, engineering, mission operations, and cyber services, substantially with the U.S. government and its agencies and, to a lesser extent, subcontractors. The Company also serves foreign governments, as well as domestic and international commercial clients. The Company performs under various types of contracts, which include cost-reimbursable contracts, time-and-materials contracts, and fixed-price contracts.</w:t>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117"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Many of our contracts recognize revenue under a contract cost-based input method and require an Estimate-at-Completion (EAC) process, which management uses to review and monitor the progress towards the completion of our performance obligations. Under this process, management considers various inputs and assumptions related to the EAC, including, but not limited to, progress towards completion, labor costs and productivity, material and subcontractor costs, and identified risks. Estimating the total cost at completion of performance obligations is subjective and requires management to make assumptions about future activity and cost drivers under the contract. Changes in these estimates can occur for a variety of reasons and, if significant, may impact the profitability of the Company’s contracts. Changes in estimates related to contracts accounted for under the EAC process are recognized on a cumulative catch-up basis in the period when such changes are determinable and reasonably estimable. If the estimate of contract profitability indicates an anticipated loss on a contract, the Company recognizes the total loss at the time it is identified. For each of the three and six months ended September 30, 2020 and 2019, the aggregate impact of adjustments in contract estimates was not material.</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We disaggregate our revenue from contracts with customers by contract type, customer, as well as whether the Company acts as prime contractor or sub-contractor, as we believe these categories best depict how the nature, amount, timing and uncertainty of our revenue and cash flows are affected by economic factors. The following series of tables presents our revenue disaggregated by these categories.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Contract Type:</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760" w:hanging="656"/>
        <w:spacing w:after="0" w:line="342" w:lineRule="auto"/>
        <w:tabs>
          <w:tab w:leader="none" w:pos="1955" w:val="left"/>
        </w:tabs>
        <w:numPr>
          <w:ilvl w:val="0"/>
          <w:numId w:val="4"/>
        </w:numPr>
        <w:rPr>
          <w:rFonts w:ascii="Arial" w:cs="Arial" w:eastAsia="Arial" w:hAnsi="Arial"/>
          <w:sz w:val="16"/>
          <w:szCs w:val="16"/>
          <w:color w:val="auto"/>
        </w:rPr>
      </w:pPr>
      <w:r>
        <w:rPr>
          <w:rFonts w:ascii="Arial" w:cs="Arial" w:eastAsia="Arial" w:hAnsi="Arial"/>
          <w:sz w:val="16"/>
          <w:szCs w:val="16"/>
          <w:color w:val="auto"/>
        </w:rPr>
        <w:t>Cost-Reimbursable Contracts: Cost-reimbursable contracts provide for the payment of allowable costs incurred during performance of the contract, up to a ceiling based on the amount that has been funded, plus a fixed fee or award fee.</w:t>
      </w:r>
    </w:p>
    <w:p>
      <w:pPr>
        <w:spacing w:after="0" w:line="15" w:lineRule="exact"/>
        <w:rPr>
          <w:rFonts w:ascii="Arial" w:cs="Arial" w:eastAsia="Arial" w:hAnsi="Arial"/>
          <w:sz w:val="16"/>
          <w:szCs w:val="16"/>
          <w:color w:val="auto"/>
        </w:rPr>
      </w:pPr>
    </w:p>
    <w:p>
      <w:pPr>
        <w:ind w:left="1960" w:right="200" w:hanging="656"/>
        <w:spacing w:after="0" w:line="259" w:lineRule="auto"/>
        <w:tabs>
          <w:tab w:leader="none" w:pos="19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Time-and-Materials Contracts: Under contracts in this category, we are paid a fixed hourly rate for each direct labor hour expended, and we are reimbursed for billable material costs and billable out-of-pocket expenses inclusive of allocable indirect costs. We assume the financial risk on time-and-materials contracts because our costs of performance may exceed negotiated hourly rates.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300" w:lineRule="exact"/>
        <w:rPr>
          <w:sz w:val="20"/>
          <w:szCs w:val="20"/>
          <w:color w:val="auto"/>
        </w:rPr>
      </w:pPr>
    </w:p>
    <w:p>
      <w:pPr>
        <w:ind w:left="1960" w:right="40" w:hanging="656"/>
        <w:spacing w:after="0" w:line="263" w:lineRule="auto"/>
        <w:tabs>
          <w:tab w:leader="none" w:pos="1955" w:val="left"/>
        </w:tabs>
        <w:numPr>
          <w:ilvl w:val="0"/>
          <w:numId w:val="5"/>
        </w:numPr>
        <w:rPr>
          <w:rFonts w:ascii="Arial" w:cs="Arial" w:eastAsia="Arial" w:hAnsi="Arial"/>
          <w:sz w:val="18"/>
          <w:szCs w:val="18"/>
          <w:color w:val="auto"/>
        </w:rPr>
      </w:pPr>
      <w:r>
        <w:rPr>
          <w:rFonts w:ascii="Arial" w:cs="Arial" w:eastAsia="Arial" w:hAnsi="Arial"/>
          <w:sz w:val="18"/>
          <w:szCs w:val="18"/>
          <w:color w:val="auto"/>
        </w:rPr>
        <w:t>Fixed-Price Contracts: Under a fixed-price contract, we agree to perform the specified work for a predetermined price. To the extent our actual direct and allocated indirect costs decrease or increase from the estimates upon which the price was negotiated, we will generate more or less profit, respectively, or could incur a loss.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total revenue for each type of contract:</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20" w:type="dxa"/>
            <w:vAlign w:val="bottom"/>
            <w:gridSpan w:val="4"/>
          </w:tcPr>
          <w:p>
            <w:pPr>
              <w:jc w:val="center"/>
              <w:ind w:right="561"/>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0" w:type="dxa"/>
            <w:vAlign w:val="bottom"/>
            <w:gridSpan w:val="4"/>
          </w:tcPr>
          <w:p>
            <w:pPr>
              <w:jc w:val="center"/>
              <w:ind w:right="701"/>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center"/>
              <w:ind w:right="581"/>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222"/>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Cost-reimbursable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1,138,501</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1,026,055</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2,230,549</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95"/>
              </w:rPr>
              <w:t>2,052,648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6"/>
                <w:szCs w:val="16"/>
                <w:color w:val="auto"/>
              </w:rPr>
              <w:t>Time-and-materials</w:t>
            </w:r>
          </w:p>
        </w:tc>
        <w:tc>
          <w:tcPr>
            <w:tcW w:w="220" w:type="dxa"/>
            <w:vAlign w:val="bottom"/>
          </w:tcPr>
          <w:p>
            <w:pPr>
              <w:spacing w:after="0"/>
              <w:rPr>
                <w:sz w:val="18"/>
                <w:szCs w:val="18"/>
                <w:color w:val="auto"/>
              </w:rPr>
            </w:pPr>
          </w:p>
        </w:tc>
        <w:tc>
          <w:tcPr>
            <w:tcW w:w="1080" w:type="dxa"/>
            <w:vAlign w:val="bottom"/>
          </w:tcPr>
          <w:p>
            <w:pPr>
              <w:jc w:val="right"/>
              <w:ind w:right="221"/>
              <w:spacing w:after="0"/>
              <w:rPr>
                <w:sz w:val="20"/>
                <w:szCs w:val="20"/>
                <w:color w:val="auto"/>
              </w:rPr>
            </w:pPr>
            <w:r>
              <w:rPr>
                <w:rFonts w:ascii="Arial" w:cs="Arial" w:eastAsia="Arial" w:hAnsi="Arial"/>
                <w:sz w:val="16"/>
                <w:szCs w:val="16"/>
                <w:color w:val="auto"/>
              </w:rPr>
              <w:t>504,663</w:t>
            </w:r>
          </w:p>
        </w:tc>
        <w:tc>
          <w:tcPr>
            <w:tcW w:w="720" w:type="dxa"/>
            <w:vAlign w:val="bottom"/>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281"/>
              <w:spacing w:after="0"/>
              <w:rPr>
                <w:sz w:val="20"/>
                <w:szCs w:val="20"/>
                <w:color w:val="auto"/>
              </w:rPr>
            </w:pPr>
            <w:r>
              <w:rPr>
                <w:rFonts w:ascii="Arial" w:cs="Arial" w:eastAsia="Arial" w:hAnsi="Arial"/>
                <w:sz w:val="16"/>
                <w:szCs w:val="16"/>
                <w:color w:val="auto"/>
              </w:rPr>
              <w:t>423,605</w:t>
            </w:r>
          </w:p>
        </w:tc>
        <w:tc>
          <w:tcPr>
            <w:tcW w:w="66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ind w:right="301"/>
              <w:spacing w:after="0"/>
              <w:rPr>
                <w:sz w:val="20"/>
                <w:szCs w:val="20"/>
                <w:color w:val="auto"/>
              </w:rPr>
            </w:pPr>
            <w:r>
              <w:rPr>
                <w:rFonts w:ascii="Arial" w:cs="Arial" w:eastAsia="Arial" w:hAnsi="Arial"/>
                <w:sz w:val="16"/>
                <w:szCs w:val="16"/>
                <w:color w:val="auto"/>
              </w:rPr>
              <w:t>1,007,209</w:t>
            </w:r>
          </w:p>
        </w:tc>
        <w:tc>
          <w:tcPr>
            <w:tcW w:w="74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ind w:right="321"/>
              <w:spacing w:after="0"/>
              <w:rPr>
                <w:sz w:val="20"/>
                <w:szCs w:val="20"/>
                <w:color w:val="auto"/>
              </w:rPr>
            </w:pPr>
            <w:r>
              <w:rPr>
                <w:rFonts w:ascii="Arial" w:cs="Arial" w:eastAsia="Arial" w:hAnsi="Arial"/>
                <w:sz w:val="16"/>
                <w:szCs w:val="16"/>
                <w:color w:val="auto"/>
              </w:rPr>
              <w:t>844,200</w:t>
            </w:r>
          </w:p>
        </w:tc>
        <w:tc>
          <w:tcPr>
            <w:tcW w:w="72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Fixed-price</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376,021</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369,917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737,880</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rPr>
              <w:t>747,905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21 %</w:t>
            </w:r>
          </w:p>
        </w:tc>
        <w:tc>
          <w:tcPr>
            <w:tcW w:w="0" w:type="dxa"/>
            <w:vAlign w:val="bottom"/>
          </w:tcPr>
          <w:p>
            <w:pPr>
              <w:spacing w:after="0"/>
              <w:rPr>
                <w:sz w:val="1"/>
                <w:szCs w:val="1"/>
                <w:color w:val="auto"/>
              </w:rPr>
            </w:pPr>
          </w:p>
        </w:tc>
      </w:tr>
      <w:tr>
        <w:trPr>
          <w:trHeight w:val="204"/>
        </w:trPr>
        <w:tc>
          <w:tcPr>
            <w:tcW w:w="2320" w:type="dxa"/>
            <w:vAlign w:val="bottom"/>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2,019,185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1,819,577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3,975,638</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95"/>
              </w:rPr>
              <w:t>3,644,753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6"/>
        </w:trPr>
        <w:tc>
          <w:tcPr>
            <w:tcW w:w="2320" w:type="dxa"/>
            <w:vAlign w:val="bottom"/>
            <w:vMerge w:val="restart"/>
          </w:tcPr>
          <w:p>
            <w:pPr>
              <w:ind w:left="260"/>
              <w:spacing w:after="0"/>
              <w:rPr>
                <w:sz w:val="20"/>
                <w:szCs w:val="20"/>
                <w:color w:val="auto"/>
              </w:rPr>
            </w:pPr>
            <w:r>
              <w:rPr>
                <w:rFonts w:ascii="Arial" w:cs="Arial" w:eastAsia="Arial" w:hAnsi="Arial"/>
                <w:sz w:val="18"/>
                <w:szCs w:val="18"/>
                <w:i w:val="1"/>
                <w:iCs w:val="1"/>
                <w:color w:val="auto"/>
                <w:w w:val="89"/>
              </w:rPr>
              <w:t>Revenue by Customer Type:</w:t>
            </w: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2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20" w:type="dxa"/>
            <w:vAlign w:val="bottom"/>
            <w:gridSpan w:val="4"/>
          </w:tcPr>
          <w:p>
            <w:pPr>
              <w:jc w:val="center"/>
              <w:ind w:right="561"/>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0" w:type="dxa"/>
            <w:vAlign w:val="bottom"/>
            <w:gridSpan w:val="4"/>
          </w:tcPr>
          <w:p>
            <w:pPr>
              <w:jc w:val="center"/>
              <w:ind w:right="701"/>
              <w:spacing w:after="0"/>
              <w:rPr>
                <w:sz w:val="20"/>
                <w:szCs w:val="20"/>
                <w:color w:val="auto"/>
              </w:rPr>
            </w:pPr>
            <w:r>
              <w:rPr>
                <w:rFonts w:ascii="Arial" w:cs="Arial" w:eastAsia="Arial" w:hAnsi="Arial"/>
                <w:sz w:val="14"/>
                <w:szCs w:val="14"/>
                <w:b w:val="1"/>
                <w:bCs w:val="1"/>
                <w:color w:val="auto"/>
                <w:w w:val="93"/>
              </w:rPr>
              <w:t>Six Months Ended</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center"/>
              <w:ind w:right="581"/>
              <w:spacing w:after="0"/>
              <w:rPr>
                <w:sz w:val="20"/>
                <w:szCs w:val="20"/>
                <w:color w:val="auto"/>
              </w:rPr>
            </w:pPr>
            <w:r>
              <w:rPr>
                <w:rFonts w:ascii="Arial" w:cs="Arial" w:eastAsia="Arial" w:hAnsi="Arial"/>
                <w:sz w:val="14"/>
                <w:szCs w:val="14"/>
                <w:b w:val="1"/>
                <w:bCs w:val="1"/>
                <w:color w:val="auto"/>
                <w:w w:val="91"/>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222"/>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w:t>
            </w: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320" w:type="dxa"/>
            <w:vAlign w:val="bottom"/>
          </w:tcPr>
          <w:p>
            <w:pPr>
              <w:ind w:left="120"/>
              <w:spacing w:after="0"/>
              <w:rPr>
                <w:sz w:val="20"/>
                <w:szCs w:val="20"/>
                <w:color w:val="auto"/>
              </w:rPr>
            </w:pPr>
            <w:r>
              <w:rPr>
                <w:rFonts w:ascii="Arial" w:cs="Arial" w:eastAsia="Arial" w:hAnsi="Arial"/>
                <w:sz w:val="16"/>
                <w:szCs w:val="16"/>
                <w:color w:val="auto"/>
              </w:rPr>
              <w:t>Defense Clients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21"/>
              <w:spacing w:after="0"/>
              <w:rPr>
                <w:sz w:val="20"/>
                <w:szCs w:val="20"/>
                <w:color w:val="auto"/>
              </w:rPr>
            </w:pPr>
            <w:r>
              <w:rPr>
                <w:rFonts w:ascii="Arial" w:cs="Arial" w:eastAsia="Arial" w:hAnsi="Arial"/>
                <w:sz w:val="16"/>
                <w:szCs w:val="16"/>
                <w:color w:val="auto"/>
              </w:rPr>
              <w:t>1,000,340</w:t>
            </w:r>
          </w:p>
        </w:tc>
        <w:tc>
          <w:tcPr>
            <w:tcW w:w="720" w:type="dxa"/>
            <w:vAlign w:val="bottom"/>
          </w:tcPr>
          <w:p>
            <w:pPr>
              <w:jc w:val="right"/>
              <w:spacing w:after="0"/>
              <w:rPr>
                <w:sz w:val="20"/>
                <w:szCs w:val="20"/>
                <w:color w:val="auto"/>
              </w:rPr>
            </w:pPr>
            <w:r>
              <w:rPr>
                <w:rFonts w:ascii="Arial" w:cs="Arial" w:eastAsia="Arial" w:hAnsi="Arial"/>
                <w:sz w:val="16"/>
                <w:szCs w:val="16"/>
                <w:color w:val="auto"/>
              </w:rPr>
              <w:t>50 %</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81"/>
              <w:spacing w:after="0"/>
              <w:rPr>
                <w:sz w:val="20"/>
                <w:szCs w:val="20"/>
                <w:color w:val="auto"/>
              </w:rPr>
            </w:pPr>
            <w:r>
              <w:rPr>
                <w:rFonts w:ascii="Arial" w:cs="Arial" w:eastAsia="Arial" w:hAnsi="Arial"/>
                <w:sz w:val="16"/>
                <w:szCs w:val="16"/>
                <w:color w:val="auto"/>
              </w:rPr>
              <w:t>845,270</w:t>
            </w:r>
          </w:p>
        </w:tc>
        <w:tc>
          <w:tcPr>
            <w:tcW w:w="660" w:type="dxa"/>
            <w:vAlign w:val="bottom"/>
          </w:tcPr>
          <w:p>
            <w:pPr>
              <w:jc w:val="right"/>
              <w:spacing w:after="0"/>
              <w:rPr>
                <w:sz w:val="20"/>
                <w:szCs w:val="20"/>
                <w:color w:val="auto"/>
              </w:rPr>
            </w:pPr>
            <w:r>
              <w:rPr>
                <w:rFonts w:ascii="Arial" w:cs="Arial" w:eastAsia="Arial" w:hAnsi="Arial"/>
                <w:sz w:val="16"/>
                <w:szCs w:val="16"/>
                <w:color w:val="auto"/>
              </w:rPr>
              <w:t>47 %</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301"/>
              <w:spacing w:after="0"/>
              <w:rPr>
                <w:sz w:val="20"/>
                <w:szCs w:val="20"/>
                <w:color w:val="auto"/>
              </w:rPr>
            </w:pPr>
            <w:r>
              <w:rPr>
                <w:rFonts w:ascii="Arial" w:cs="Arial" w:eastAsia="Arial" w:hAnsi="Arial"/>
                <w:sz w:val="16"/>
                <w:szCs w:val="16"/>
                <w:color w:val="auto"/>
              </w:rPr>
              <w:t>1,931,676</w:t>
            </w:r>
          </w:p>
        </w:tc>
        <w:tc>
          <w:tcPr>
            <w:tcW w:w="740" w:type="dxa"/>
            <w:vAlign w:val="bottom"/>
          </w:tcPr>
          <w:p>
            <w:pPr>
              <w:jc w:val="right"/>
              <w:spacing w:after="0"/>
              <w:rPr>
                <w:sz w:val="20"/>
                <w:szCs w:val="20"/>
                <w:color w:val="auto"/>
              </w:rPr>
            </w:pPr>
            <w:r>
              <w:rPr>
                <w:rFonts w:ascii="Arial" w:cs="Arial" w:eastAsia="Arial" w:hAnsi="Arial"/>
                <w:sz w:val="16"/>
                <w:szCs w:val="16"/>
                <w:color w:val="auto"/>
              </w:rPr>
              <w:t>49 %</w:t>
            </w:r>
          </w:p>
        </w:tc>
        <w:tc>
          <w:tcPr>
            <w:tcW w:w="12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321"/>
              <w:spacing w:after="0"/>
              <w:rPr>
                <w:sz w:val="20"/>
                <w:szCs w:val="20"/>
                <w:color w:val="auto"/>
              </w:rPr>
            </w:pPr>
            <w:r>
              <w:rPr>
                <w:rFonts w:ascii="Arial" w:cs="Arial" w:eastAsia="Arial" w:hAnsi="Arial"/>
                <w:sz w:val="16"/>
                <w:szCs w:val="16"/>
                <w:color w:val="auto"/>
                <w:w w:val="95"/>
              </w:rPr>
              <w:t>1,704,206</w:t>
            </w:r>
          </w:p>
        </w:tc>
        <w:tc>
          <w:tcPr>
            <w:tcW w:w="720" w:type="dxa"/>
            <w:vAlign w:val="bottom"/>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19"/>
        </w:trPr>
        <w:tc>
          <w:tcPr>
            <w:tcW w:w="23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Intelligence Clients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396,110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405,220</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803,214</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rPr>
              <w:t>824,287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Civil Clients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570,213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511,012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1,128,136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w w:val="95"/>
              </w:rPr>
              <w:t>1,003,045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U.S. government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1,966,663</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1,761,502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3,863,026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95"/>
              </w:rPr>
              <w:t>3,531,538</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97 %</w:t>
            </w:r>
          </w:p>
        </w:tc>
        <w:tc>
          <w:tcPr>
            <w:tcW w:w="0" w:type="dxa"/>
            <w:vAlign w:val="bottom"/>
          </w:tcPr>
          <w:p>
            <w:pPr>
              <w:spacing w:after="0"/>
              <w:rPr>
                <w:sz w:val="1"/>
                <w:szCs w:val="1"/>
                <w:color w:val="auto"/>
              </w:rPr>
            </w:pPr>
          </w:p>
        </w:tc>
      </w:tr>
      <w:tr>
        <w:trPr>
          <w:trHeight w:val="213"/>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Global Commercial Clients</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52,522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58,075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112,612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113,215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37"/>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2,019,185</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1,819,577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3,975,638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95"/>
              </w:rPr>
              <w:t>3,644,753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by Whether the Company Acts as a Prime Contractor or a Sub-Contractor:</w:t>
      </w:r>
    </w:p>
    <w:p>
      <w:pPr>
        <w:spacing w:after="0" w:line="119"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40" w:type="dxa"/>
            <w:vAlign w:val="bottom"/>
            <w:gridSpan w:val="4"/>
          </w:tcPr>
          <w:p>
            <w:pPr>
              <w:jc w:val="right"/>
              <w:ind w:right="721"/>
              <w:spacing w:after="0"/>
              <w:rPr>
                <w:sz w:val="20"/>
                <w:szCs w:val="20"/>
                <w:color w:val="auto"/>
              </w:rPr>
            </w:pPr>
            <w:r>
              <w:rPr>
                <w:rFonts w:ascii="Arial" w:cs="Arial" w:eastAsia="Arial" w:hAnsi="Arial"/>
                <w:sz w:val="14"/>
                <w:szCs w:val="14"/>
                <w:b w:val="1"/>
                <w:bCs w:val="1"/>
                <w:color w:val="auto"/>
              </w:rPr>
              <w:t>Three Months Ended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0" w:type="dxa"/>
            <w:vAlign w:val="bottom"/>
            <w:gridSpan w:val="4"/>
          </w:tcPr>
          <w:p>
            <w:pPr>
              <w:jc w:val="right"/>
              <w:ind w:right="961"/>
              <w:spacing w:after="0"/>
              <w:rPr>
                <w:sz w:val="20"/>
                <w:szCs w:val="20"/>
                <w:color w:val="auto"/>
              </w:rPr>
            </w:pPr>
            <w:r>
              <w:rPr>
                <w:rFonts w:ascii="Arial" w:cs="Arial" w:eastAsia="Arial" w:hAnsi="Arial"/>
                <w:sz w:val="14"/>
                <w:szCs w:val="14"/>
                <w:b w:val="1"/>
                <w:bCs w:val="1"/>
                <w:color w:val="auto"/>
              </w:rPr>
              <w:t>Six Months Ended</w:t>
            </w:r>
          </w:p>
        </w:tc>
        <w:tc>
          <w:tcPr>
            <w:tcW w:w="720" w:type="dxa"/>
            <w:vAlign w:val="bottom"/>
          </w:tcPr>
          <w:p>
            <w:pPr>
              <w:spacing w:after="0"/>
              <w:rPr>
                <w:sz w:val="14"/>
                <w:szCs w:val="14"/>
                <w:color w:val="auto"/>
              </w:rPr>
            </w:pPr>
          </w:p>
        </w:tc>
      </w:tr>
      <w:tr>
        <w:trPr>
          <w:trHeight w:val="188"/>
        </w:trPr>
        <w:tc>
          <w:tcPr>
            <w:tcW w:w="2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921"/>
              <w:spacing w:after="0"/>
              <w:rPr>
                <w:sz w:val="20"/>
                <w:szCs w:val="20"/>
                <w:color w:val="auto"/>
              </w:rPr>
            </w:pPr>
            <w:r>
              <w:rPr>
                <w:rFonts w:ascii="Arial" w:cs="Arial" w:eastAsia="Arial" w:hAnsi="Arial"/>
                <w:sz w:val="14"/>
                <w:szCs w:val="14"/>
                <w:b w:val="1"/>
                <w:bCs w:val="1"/>
                <w:color w:val="auto"/>
              </w:rPr>
              <w:t>September 30,</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183"/>
        </w:trPr>
        <w:tc>
          <w:tcPr>
            <w:tcW w:w="2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5"/>
                <w:szCs w:val="15"/>
                <w:color w:val="auto"/>
              </w:rPr>
            </w:pPr>
          </w:p>
        </w:tc>
      </w:tr>
      <w:tr>
        <w:trPr>
          <w:trHeight w:val="211"/>
        </w:trPr>
        <w:tc>
          <w:tcPr>
            <w:tcW w:w="2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Prime Contractor</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1,880,778</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1,676,522</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3,684,382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93 %</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321"/>
              <w:spacing w:after="0"/>
              <w:rPr>
                <w:sz w:val="20"/>
                <w:szCs w:val="20"/>
                <w:color w:val="auto"/>
              </w:rPr>
            </w:pPr>
            <w:r>
              <w:rPr>
                <w:rFonts w:ascii="Arial" w:cs="Arial" w:eastAsia="Arial" w:hAnsi="Arial"/>
                <w:sz w:val="16"/>
                <w:szCs w:val="16"/>
                <w:color w:val="auto"/>
                <w:w w:val="95"/>
              </w:rPr>
              <w:t>3,349,952</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92 %</w:t>
            </w:r>
          </w:p>
        </w:tc>
      </w:tr>
      <w:tr>
        <w:trPr>
          <w:trHeight w:val="213"/>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Sub-contractor</w:t>
            </w: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138,407</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143,055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291,256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7 %</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294,801</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r>
      <w:tr>
        <w:trPr>
          <w:trHeight w:val="235"/>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2,019,185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1,819,577</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rPr>
              <w:t>3,975,638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ind w:right="321"/>
              <w:spacing w:after="0"/>
              <w:rPr>
                <w:sz w:val="20"/>
                <w:szCs w:val="20"/>
                <w:color w:val="auto"/>
              </w:rPr>
            </w:pPr>
            <w:r>
              <w:rPr>
                <w:rFonts w:ascii="Arial" w:cs="Arial" w:eastAsia="Arial" w:hAnsi="Arial"/>
                <w:sz w:val="16"/>
                <w:szCs w:val="16"/>
                <w:color w:val="auto"/>
                <w:w w:val="95"/>
              </w:rPr>
              <w:t>3,644,753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Remaining performance obligations represent the transaction price of exercised contracts for which work has not yet been performed, irrespective of whether funding has or has not been authorized and appropriated as of the date of exercise. Remaining performance obligations do not include negotiated but unexercised options or the unfunded value of expired contracts.</w:t>
      </w:r>
    </w:p>
    <w:p>
      <w:pPr>
        <w:spacing w:after="0" w:line="76" w:lineRule="exact"/>
        <w:rPr>
          <w:sz w:val="20"/>
          <w:szCs w:val="20"/>
          <w:color w:val="auto"/>
        </w:rPr>
      </w:pPr>
    </w:p>
    <w:p>
      <w:pPr>
        <w:ind w:right="280" w:firstLine="405"/>
        <w:spacing w:after="0" w:line="286" w:lineRule="auto"/>
        <w:rPr>
          <w:sz w:val="20"/>
          <w:szCs w:val="20"/>
          <w:color w:val="auto"/>
        </w:rPr>
      </w:pPr>
      <w:r>
        <w:rPr>
          <w:rFonts w:ascii="Arial" w:cs="Arial" w:eastAsia="Arial" w:hAnsi="Arial"/>
          <w:sz w:val="17"/>
          <w:szCs w:val="17"/>
          <w:color w:val="auto"/>
        </w:rPr>
        <w:t>As of September 30, 2020 and March 31, 2020, the Company had $8.4 billion and $6.3 billion, respectively, of remaining performance obligations and we expect to recognize more than half of the remaining performance obligations at September 30, 2020 as revenue over the next 12 months, and approximately three quarters over the next 24 months. The remainder is expected to be recognized thereafter.</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The Company's performance obligations are typically satisfied over time and revenue is generally recognized using a cost-based input method. Fixed-price contracts are typically billed to the customer using milestone or fixed monthly payments, while cost-reimbursable-plus-fee and time-and-material contracts are typically billed to the customer at periodic intervals (e.g. monthly or weekly) as indicated by the terms of the contract. Disparities between the timing of revenue recognition and customer billings and cash collections results in net contract assets or liabilities being recognized at the end of each reporting period.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300" w:lineRule="exact"/>
        <w:rPr>
          <w:sz w:val="20"/>
          <w:szCs w:val="20"/>
          <w:color w:val="auto"/>
        </w:rPr>
      </w:pPr>
    </w:p>
    <w:p>
      <w:pPr>
        <w:ind w:firstLine="405"/>
        <w:spacing w:after="0" w:line="296" w:lineRule="auto"/>
        <w:rPr>
          <w:sz w:val="20"/>
          <w:szCs w:val="20"/>
          <w:color w:val="auto"/>
        </w:rPr>
      </w:pPr>
      <w:r>
        <w:rPr>
          <w:rFonts w:ascii="Arial" w:cs="Arial" w:eastAsia="Arial" w:hAnsi="Arial"/>
          <w:sz w:val="16"/>
          <w:szCs w:val="16"/>
          <w:color w:val="auto"/>
        </w:rPr>
        <w:t xml:space="preserve">Contract assets primarily consist of unbilled receivables typically resulting from revenue recognized exceeding the amount billed to the customer and right to payment is not just subject to the passage of time. Contract liabilities primarily consist of advance payments, billings in excess of costs incurred and deferred revenue. Contract assets and liabilities are reported on a net contract basis at the end of each reporting period. The Company maintains an allowance for doubtful accounts to provide for an estimate of uncollected receivables. Refer to Note 5 for more information on receivables recognized from contracts accounted for under Accounting Standards Codification (ASC) No.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contract balances recognized on the Company’s condensed consolidated balance sheets: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500" w:type="dxa"/>
            <w:vAlign w:val="bottom"/>
            <w:vMerge w:val="restart"/>
          </w:tcPr>
          <w:p>
            <w:pPr>
              <w:ind w:left="1060"/>
              <w:spacing w:after="0"/>
              <w:rPr>
                <w:sz w:val="20"/>
                <w:szCs w:val="20"/>
                <w:color w:val="auto"/>
              </w:rPr>
            </w:pPr>
            <w:r>
              <w:rPr>
                <w:rFonts w:ascii="Arial" w:cs="Arial" w:eastAsia="Arial" w:hAnsi="Arial"/>
                <w:sz w:val="14"/>
                <w:szCs w:val="14"/>
                <w:b w:val="1"/>
                <w:bCs w:val="1"/>
                <w:color w:val="auto"/>
              </w:rPr>
              <w:t>Balance Sheet line item</w:t>
            </w: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160" w:type="dxa"/>
            <w:vAlign w:val="bottom"/>
          </w:tcPr>
          <w:p>
            <w:pPr>
              <w:jc w:val="right"/>
              <w:ind w:right="316"/>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8"/>
        </w:trPr>
        <w:tc>
          <w:tcPr>
            <w:tcW w:w="4340" w:type="dxa"/>
            <w:vAlign w:val="bottom"/>
            <w:tcBorders>
              <w:bottom w:val="single" w:sz="8" w:color="auto"/>
            </w:tcBorders>
          </w:tcPr>
          <w:p>
            <w:pPr>
              <w:spacing w:after="0"/>
              <w:rPr>
                <w:sz w:val="16"/>
                <w:szCs w:val="16"/>
                <w:color w:val="auto"/>
              </w:rPr>
            </w:pPr>
          </w:p>
        </w:tc>
        <w:tc>
          <w:tcPr>
            <w:tcW w:w="350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40"/>
              <w:spacing w:after="0"/>
              <w:rPr>
                <w:sz w:val="20"/>
                <w:szCs w:val="20"/>
                <w:color w:val="auto"/>
              </w:rPr>
            </w:pPr>
            <w:r>
              <w:rPr>
                <w:rFonts w:ascii="Arial" w:cs="Arial" w:eastAsia="Arial" w:hAnsi="Arial"/>
                <w:sz w:val="18"/>
                <w:szCs w:val="18"/>
                <w:color w:val="auto"/>
              </w:rPr>
              <w:t>Current</w:t>
            </w:r>
          </w:p>
        </w:tc>
        <w:tc>
          <w:tcPr>
            <w:tcW w:w="3500" w:type="dxa"/>
            <w:vAlign w:val="bottom"/>
          </w:tcPr>
          <w:p>
            <w:pPr>
              <w:ind w:left="40"/>
              <w:spacing w:after="0"/>
              <w:rPr>
                <w:sz w:val="20"/>
                <w:szCs w:val="20"/>
                <w:color w:val="auto"/>
              </w:rPr>
            </w:pPr>
            <w:r>
              <w:rPr>
                <w:rFonts w:ascii="Arial" w:cs="Arial" w:eastAsia="Arial" w:hAnsi="Arial"/>
                <w:sz w:val="18"/>
                <w:szCs w:val="18"/>
                <w:color w:val="auto"/>
              </w:rPr>
              <w:t>Accounts receivable, net of allowance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1,022,558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988,634</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w:t>
            </w:r>
          </w:p>
        </w:tc>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62,600</w:t>
            </w:r>
          </w:p>
        </w:tc>
        <w:tc>
          <w:tcPr>
            <w:tcW w:w="0" w:type="dxa"/>
            <w:vAlign w:val="bottom"/>
          </w:tcPr>
          <w:p>
            <w:pPr>
              <w:spacing w:after="0"/>
              <w:rPr>
                <w:sz w:val="1"/>
                <w:szCs w:val="1"/>
                <w:color w:val="auto"/>
              </w:rPr>
            </w:pPr>
          </w:p>
        </w:tc>
      </w:tr>
      <w:tr>
        <w:trPr>
          <w:trHeight w:val="223"/>
        </w:trPr>
        <w:tc>
          <w:tcPr>
            <w:tcW w:w="4340" w:type="dxa"/>
            <w:vAlign w:val="bottom"/>
          </w:tcPr>
          <w:p>
            <w:pPr>
              <w:ind w:left="540"/>
              <w:spacing w:after="0"/>
              <w:rPr>
                <w:sz w:val="20"/>
                <w:szCs w:val="20"/>
                <w:color w:val="auto"/>
              </w:rPr>
            </w:pPr>
            <w:r>
              <w:rPr>
                <w:rFonts w:ascii="Arial" w:cs="Arial" w:eastAsia="Arial" w:hAnsi="Arial"/>
                <w:sz w:val="18"/>
                <w:szCs w:val="18"/>
                <w:color w:val="auto"/>
              </w:rPr>
              <w:t>Total</w:t>
            </w:r>
          </w:p>
        </w:tc>
        <w:tc>
          <w:tcPr>
            <w:tcW w:w="35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1,085,852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1,051,234</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340" w:type="dxa"/>
            <w:vAlign w:val="bottom"/>
          </w:tcPr>
          <w:p>
            <w:pPr>
              <w:ind w:left="340"/>
              <w:spacing w:after="0" w:line="176" w:lineRule="exact"/>
              <w:rPr>
                <w:sz w:val="20"/>
                <w:szCs w:val="20"/>
                <w:color w:val="auto"/>
              </w:rPr>
            </w:pPr>
            <w:r>
              <w:rPr>
                <w:rFonts w:ascii="Arial" w:cs="Arial" w:eastAsia="Arial" w:hAnsi="Arial"/>
                <w:sz w:val="18"/>
                <w:szCs w:val="18"/>
                <w:color w:val="auto"/>
                <w:w w:val="91"/>
              </w:rPr>
              <w:t>Advance payments, billings in excess of costs incurred</w:t>
            </w:r>
          </w:p>
        </w:tc>
        <w:tc>
          <w:tcPr>
            <w:tcW w:w="3500" w:type="dxa"/>
            <w:vAlign w:val="bottom"/>
            <w:vMerge w:val="restart"/>
          </w:tcPr>
          <w:p>
            <w:pPr>
              <w:ind w:left="40"/>
              <w:spacing w:after="0"/>
              <w:rPr>
                <w:sz w:val="20"/>
                <w:szCs w:val="20"/>
                <w:color w:val="auto"/>
              </w:rPr>
            </w:pPr>
            <w:r>
              <w:rPr>
                <w:rFonts w:ascii="Arial" w:cs="Arial" w:eastAsia="Arial" w:hAnsi="Arial"/>
                <w:sz w:val="18"/>
                <w:szCs w:val="18"/>
                <w:color w:val="auto"/>
              </w:rPr>
              <w:t>Other current liabilities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28,840</w:t>
            </w:r>
          </w:p>
        </w:tc>
        <w:tc>
          <w:tcPr>
            <w:tcW w:w="120" w:type="dxa"/>
            <w:vAlign w:val="bottom"/>
          </w:tcPr>
          <w:p>
            <w:pPr>
              <w:spacing w:after="0"/>
              <w:rPr>
                <w:sz w:val="15"/>
                <w:szCs w:val="15"/>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26,018</w:t>
            </w:r>
          </w:p>
        </w:tc>
        <w:tc>
          <w:tcPr>
            <w:tcW w:w="0" w:type="dxa"/>
            <w:vAlign w:val="bottom"/>
          </w:tcPr>
          <w:p>
            <w:pPr>
              <w:spacing w:after="0"/>
              <w:rPr>
                <w:sz w:val="1"/>
                <w:szCs w:val="1"/>
                <w:color w:val="auto"/>
              </w:rPr>
            </w:pPr>
          </w:p>
        </w:tc>
      </w:tr>
      <w:tr>
        <w:trPr>
          <w:trHeight w:val="230"/>
        </w:trPr>
        <w:tc>
          <w:tcPr>
            <w:tcW w:w="4340" w:type="dxa"/>
            <w:vAlign w:val="bottom"/>
          </w:tcPr>
          <w:p>
            <w:pPr>
              <w:ind w:left="340"/>
              <w:spacing w:after="0"/>
              <w:rPr>
                <w:sz w:val="20"/>
                <w:szCs w:val="20"/>
                <w:color w:val="auto"/>
              </w:rPr>
            </w:pPr>
            <w:r>
              <w:rPr>
                <w:rFonts w:ascii="Arial" w:cs="Arial" w:eastAsia="Arial" w:hAnsi="Arial"/>
                <w:sz w:val="18"/>
                <w:szCs w:val="18"/>
                <w:color w:val="auto"/>
              </w:rPr>
              <w:t>and deferred revenue</w:t>
            </w:r>
          </w:p>
        </w:tc>
        <w:tc>
          <w:tcPr>
            <w:tcW w:w="3500" w:type="dxa"/>
            <w:vAlign w:val="bottom"/>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Changes in contract assets and contract liabilities are primarily due to the timing difference between the Company’s performance of services and payments from customers. For the three months ended September 30, 2020 and 2019, we recognized revenue of $2.5 million and $1.7 million, respectively, and for the six months ended September 30, 2020 and September 30, 2019, we recognized revenue of $22.0 million and $18.4 million, respectively, related to our contract liabilities on April 1, 2020 and 2019, respectively. To determine revenue recognized from contract liabilities during the reporting periods, the Company allocates revenue to individual contract liability balances and applies revenue recognized during the reporting periods first to the beginning balances of contract liabilities until the revenue exceeds the balances.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w:t>
      </w:r>
    </w:p>
    <w:p>
      <w:pPr>
        <w:spacing w:after="0" w:line="121" w:lineRule="exact"/>
        <w:rPr>
          <w:sz w:val="20"/>
          <w:szCs w:val="20"/>
          <w:color w:val="auto"/>
        </w:rPr>
      </w:pPr>
    </w:p>
    <w:p>
      <w:pPr>
        <w:ind w:right="100" w:firstLine="405"/>
        <w:spacing w:after="0" w:line="311" w:lineRule="auto"/>
        <w:rPr>
          <w:sz w:val="20"/>
          <w:szCs w:val="20"/>
          <w:color w:val="auto"/>
        </w:rPr>
      </w:pPr>
      <w:r>
        <w:rPr>
          <w:rFonts w:ascii="Arial" w:cs="Arial" w:eastAsia="Arial" w:hAnsi="Arial"/>
          <w:sz w:val="16"/>
          <w:szCs w:val="16"/>
          <w:color w:val="auto"/>
        </w:rPr>
        <w:t>The Company computes basic and diluted earnings per share amounts based on net income for the periods presented. The Company uses the weighted-average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4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 currently has outstanding shares of Class A Common Stock. Unvested Class A Restricted Common Stock holders are entitled to participate in non-forfeitable dividends or other distributions. These unvested restricted shares participated in the Company's dividends declared and were paid in the first and second quarters of fiscal 2021 and 2020.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5"/>
          </w:tcPr>
          <w:p>
            <w:pPr>
              <w:ind w:left="60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for basic computations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263,951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230,492</w:t>
            </w:r>
          </w:p>
        </w:tc>
        <w:tc>
          <w:tcPr>
            <w:tcW w:w="0" w:type="dxa"/>
            <w:vAlign w:val="bottom"/>
          </w:tcPr>
          <w:p>
            <w:pPr>
              <w:spacing w:after="0"/>
              <w:rPr>
                <w:sz w:val="1"/>
                <w:szCs w:val="1"/>
                <w:color w:val="auto"/>
              </w:rPr>
            </w:pPr>
          </w:p>
        </w:tc>
      </w:tr>
      <w:tr>
        <w:trPr>
          <w:trHeight w:val="175"/>
        </w:trPr>
        <w:tc>
          <w:tcPr>
            <w:tcW w:w="5200" w:type="dxa"/>
            <w:vAlign w:val="bottom"/>
          </w:tcPr>
          <w:p>
            <w:pPr>
              <w:ind w:left="340"/>
              <w:spacing w:after="0" w:line="176" w:lineRule="exact"/>
              <w:rPr>
                <w:sz w:val="20"/>
                <w:szCs w:val="20"/>
                <w:color w:val="auto"/>
              </w:rPr>
            </w:pPr>
            <w:r>
              <w:rPr>
                <w:rFonts w:ascii="Arial" w:cs="Arial" w:eastAsia="Arial" w:hAnsi="Arial"/>
                <w:sz w:val="18"/>
                <w:szCs w:val="18"/>
                <w:color w:val="auto"/>
              </w:rPr>
              <w:t>Weighted-average common shares outstanding for basic</w:t>
            </w:r>
          </w:p>
        </w:tc>
        <w:tc>
          <w:tcPr>
            <w:tcW w:w="2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137,882,906</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3"/>
              </w:rPr>
              <w:t>140,245,038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138,017,120</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w w:val="87"/>
              </w:rPr>
              <w:t>140,125,779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computations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for diluted computations (1)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135,286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113,728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263,958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230,499</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Dilutive stock options and restricted stock</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864,734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1,117,098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987,262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1,127,138</w:t>
            </w:r>
          </w:p>
        </w:tc>
        <w:tc>
          <w:tcPr>
            <w:tcW w:w="0" w:type="dxa"/>
            <w:vAlign w:val="bottom"/>
          </w:tcPr>
          <w:p>
            <w:pPr>
              <w:spacing w:after="0"/>
              <w:rPr>
                <w:sz w:val="1"/>
                <w:szCs w:val="1"/>
                <w:color w:val="auto"/>
              </w:rPr>
            </w:pPr>
          </w:p>
        </w:tc>
      </w:tr>
      <w:tr>
        <w:trPr>
          <w:trHeight w:val="155"/>
        </w:trPr>
        <w:tc>
          <w:tcPr>
            <w:tcW w:w="5200" w:type="dxa"/>
            <w:vAlign w:val="bottom"/>
            <w:shd w:val="clear" w:color="auto" w:fill="CCEEFF"/>
          </w:tcPr>
          <w:p>
            <w:pPr>
              <w:ind w:left="340"/>
              <w:spacing w:after="0" w:line="156" w:lineRule="exact"/>
              <w:rPr>
                <w:sz w:val="20"/>
                <w:szCs w:val="20"/>
                <w:color w:val="auto"/>
              </w:rPr>
            </w:pPr>
            <w:r>
              <w:rPr>
                <w:rFonts w:ascii="Arial" w:cs="Arial" w:eastAsia="Arial" w:hAnsi="Arial"/>
                <w:sz w:val="18"/>
                <w:szCs w:val="18"/>
                <w:color w:val="auto"/>
              </w:rPr>
              <w:t>Weighted-average common shares outstanding for diluted</w:t>
            </w:r>
          </w:p>
        </w:tc>
        <w:tc>
          <w:tcPr>
            <w:tcW w:w="22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138,747,640</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141,362,136</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139,004,382</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141,252,917</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computations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8"/>
                <w:szCs w:val="18"/>
                <w:color w:val="auto"/>
              </w:rPr>
              <w:t>Earnings per common share</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20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0.98</w:t>
            </w:r>
          </w:p>
        </w:tc>
        <w:tc>
          <w:tcPr>
            <w:tcW w:w="120" w:type="dxa"/>
            <w:vAlign w:val="bottom"/>
          </w:tcPr>
          <w:p>
            <w:pPr>
              <w:spacing w:after="0"/>
              <w:rPr>
                <w:sz w:val="17"/>
                <w:szCs w:val="17"/>
                <w:color w:val="auto"/>
              </w:rPr>
            </w:pPr>
          </w:p>
        </w:tc>
        <w:tc>
          <w:tcPr>
            <w:tcW w:w="4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0.80</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1.90</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jc w:val="right"/>
              <w:ind w:right="81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316" w:lineRule="exact"/>
        <w:rPr>
          <w:sz w:val="20"/>
          <w:szCs w:val="20"/>
          <w:color w:val="auto"/>
        </w:rPr>
      </w:pPr>
    </w:p>
    <w:p>
      <w:pPr>
        <w:ind w:left="420" w:right="180" w:hanging="7"/>
        <w:spacing w:after="0" w:line="253" w:lineRule="auto"/>
        <w:tabs>
          <w:tab w:leader="none" w:pos="675"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the three months ended September 30, 2020 and 2019, approximately 0.8 million and 0.7 million participating securities, respectively, were paid dividends totaling $0.3 million and $0.2 million, respectively. During the six months ended September 30, 2020 and 2019, approximately 0.8 million and 0.7 million participating securities, respectively, were paid dividends totaling $0.5 million and $0.3 million, respectively. For the three months ended September 30, 2020 and 2019, there were undistributed earnings of $0.5 million and $0.4 million, respectively, allocated to the participating class of securities in both basic and diluted EPS. For the six months ended September 30, 2020 and 2019, there were undistributed earnings of $1.0 million and $0.9 million, respectively, allocated to the participating class of securities in both basic and diluted EPS. The allocated undistributed earnings and the dividends paid comprise the difference between net income presented on the condensed consolidated statements of operations and earnings for basic and diluted computations for both the three and six months ended September 30, 2020 and 2019.</w:t>
      </w:r>
    </w:p>
    <w:p>
      <w:pPr>
        <w:spacing w:after="0" w:line="196" w:lineRule="exact"/>
        <w:rPr>
          <w:sz w:val="20"/>
          <w:szCs w:val="20"/>
          <w:color w:val="auto"/>
        </w:rPr>
      </w:pPr>
    </w:p>
    <w:p>
      <w:pPr>
        <w:jc w:val="both"/>
        <w:ind w:right="300" w:firstLine="405"/>
        <w:spacing w:after="0" w:line="263" w:lineRule="auto"/>
        <w:rPr>
          <w:sz w:val="20"/>
          <w:szCs w:val="20"/>
          <w:color w:val="auto"/>
        </w:rPr>
      </w:pPr>
      <w:r>
        <w:rPr>
          <w:rFonts w:ascii="Arial" w:cs="Arial" w:eastAsia="Arial" w:hAnsi="Arial"/>
          <w:sz w:val="18"/>
          <w:szCs w:val="18"/>
          <w:color w:val="auto"/>
        </w:rPr>
        <w:t>The EPS calculation for the three months ended September 30, 2020 and 2019 excludes 0.3 million and 0.2 million options, respectively, as their impact was anti-dilutive. The EPS calculation for both the six months ended September 30, 2020 and 2019 excludes 0.2 million options, as their impact was anti-dilutive.</w:t>
      </w:r>
    </w:p>
    <w:p>
      <w:pPr>
        <w:spacing w:after="0" w:line="180" w:lineRule="exact"/>
        <w:rPr>
          <w:sz w:val="20"/>
          <w:szCs w:val="20"/>
          <w:color w:val="auto"/>
        </w:rPr>
      </w:pPr>
    </w:p>
    <w:p>
      <w:pPr>
        <w:ind w:left="420" w:right="6100" w:hanging="412"/>
        <w:spacing w:after="0" w:line="445" w:lineRule="auto"/>
        <w:tabs>
          <w:tab w:leader="none" w:pos="19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RECEIVABLE, NET OF ALLOWANCE </w:t>
      </w:r>
      <w:r>
        <w:rPr>
          <w:rFonts w:ascii="Arial" w:cs="Arial" w:eastAsia="Arial" w:hAnsi="Arial"/>
          <w:sz w:val="17"/>
          <w:szCs w:val="17"/>
          <w:color w:val="auto"/>
        </w:rPr>
        <w:t>Accounts receivable, net of allowance consisted of the following:</w:t>
      </w:r>
    </w:p>
    <w:p>
      <w:pPr>
        <w:spacing w:after="0" w:line="3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00" w:type="dxa"/>
            <w:vAlign w:val="bottom"/>
          </w:tcPr>
          <w:p>
            <w:pPr>
              <w:jc w:val="right"/>
              <w:ind w:right="335"/>
              <w:spacing w:after="0"/>
              <w:rPr>
                <w:sz w:val="20"/>
                <w:szCs w:val="20"/>
                <w:color w:val="auto"/>
              </w:rPr>
            </w:pPr>
            <w:r>
              <w:rPr>
                <w:rFonts w:ascii="Arial" w:cs="Arial" w:eastAsia="Arial" w:hAnsi="Arial"/>
                <w:sz w:val="14"/>
                <w:szCs w:val="14"/>
                <w:b w:val="1"/>
                <w:bCs w:val="1"/>
                <w:color w:val="auto"/>
              </w:rPr>
              <w:t>March 31,</w:t>
            </w:r>
          </w:p>
        </w:tc>
      </w:tr>
      <w:tr>
        <w:trPr>
          <w:trHeight w:val="188"/>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2020</w:t>
            </w:r>
          </w:p>
        </w:tc>
      </w:tr>
      <w:tr>
        <w:trPr>
          <w:trHeight w:val="211"/>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8140" w:type="dxa"/>
            <w:vAlign w:val="bottom"/>
          </w:tcPr>
          <w:p>
            <w:pPr>
              <w:ind w:left="320"/>
              <w:spacing w:after="0"/>
              <w:rPr>
                <w:sz w:val="20"/>
                <w:szCs w:val="20"/>
                <w:color w:val="auto"/>
              </w:rPr>
            </w:pPr>
            <w:r>
              <w:rPr>
                <w:rFonts w:ascii="Arial" w:cs="Arial" w:eastAsia="Arial" w:hAnsi="Arial"/>
                <w:sz w:val="18"/>
                <w:szCs w:val="18"/>
                <w:color w:val="auto"/>
              </w:rPr>
              <w:t>Accounts receivable–billed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449,382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474,822</w:t>
            </w:r>
          </w:p>
        </w:tc>
      </w:tr>
      <w:tr>
        <w:trPr>
          <w:trHeight w:val="230"/>
        </w:trPr>
        <w:tc>
          <w:tcPr>
            <w:tcW w:w="8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receivable–unbilled</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1,022,558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988,634</w:t>
            </w:r>
          </w:p>
        </w:tc>
      </w:tr>
      <w:tr>
        <w:trPr>
          <w:trHeight w:val="229"/>
        </w:trPr>
        <w:tc>
          <w:tcPr>
            <w:tcW w:w="81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(3,985)</w:t>
            </w:r>
          </w:p>
        </w:tc>
      </w:tr>
      <w:tr>
        <w:trPr>
          <w:trHeight w:val="223"/>
        </w:trPr>
        <w:tc>
          <w:tcPr>
            <w:tcW w:w="8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Accounts receivable, net of allowance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1,467,581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1,459,471</w:t>
            </w: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1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receivable–unbilled</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63,294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62,600</w:t>
            </w:r>
          </w:p>
        </w:tc>
      </w:tr>
      <w:tr>
        <w:trPr>
          <w:trHeight w:val="223"/>
        </w:trPr>
        <w:tc>
          <w:tcPr>
            <w:tcW w:w="8140" w:type="dxa"/>
            <w:vAlign w:val="bottom"/>
          </w:tcPr>
          <w:p>
            <w:pPr>
              <w:ind w:left="640"/>
              <w:spacing w:after="0"/>
              <w:rPr>
                <w:sz w:val="20"/>
                <w:szCs w:val="20"/>
                <w:color w:val="auto"/>
              </w:rPr>
            </w:pPr>
            <w:r>
              <w:rPr>
                <w:rFonts w:ascii="Arial" w:cs="Arial" w:eastAsia="Arial" w:hAnsi="Arial"/>
                <w:sz w:val="18"/>
                <w:szCs w:val="18"/>
                <w:color w:val="auto"/>
              </w:rPr>
              <w:t>Total accounts receivable, net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1,530,875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1,522,071</w:t>
            </w:r>
          </w:p>
        </w:tc>
      </w:tr>
      <w:tr>
        <w:trPr>
          <w:trHeight w:val="20"/>
        </w:trPr>
        <w:tc>
          <w:tcPr>
            <w:tcW w:w="8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Unbilled amounts represent revenues for which billings have not been presented to customers at quarter-end or year-end. These amounts are generally billed and collected within one year subject to various conditions including, without limitation, appropriated and available funding. Long-term unbilled receivables not anticipated to be billed and collected within one year, which are primarily related to retainage, holdbacks, and long-term rate settlements to be billed at contract closeout, are included in other long-term assets in the accompanying condensed consolidated balance sheets. The Company recognized a (benefit) provision for doubtful accounts of $(0.09) million and $0.5 million for the three months ended September 30, 2020 and 2019, respectively, and $(0.12) million and $2.4 million for the six months ended September 30, 2020 and September 30, 2019, respectively.</w:t>
      </w:r>
    </w:p>
    <w:p>
      <w:pPr>
        <w:spacing w:after="0" w:line="5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primary financial instruments, other than derivatives, that potentially subject the Company to concentrations of credit risk are accounts receivable. The Company's primary customers are U.S. federal government agencies and prime contractors under contracts with the U.S. government. The Company is exposed to credit risk primarily through global commercial customers. The Company continuously monitors its credit exposure through review of customer balances against contract terms, historical cash collections, outstanding past due status, current economic conditions and dispute resolution. It records provisions for doubtful accounts based on its expected credit losses considering historical experience, current information and reasonable and supportable forecasts of future economic conditions.</w:t>
      </w:r>
    </w:p>
    <w:p>
      <w:pPr>
        <w:spacing w:after="0" w:line="200" w:lineRule="exact"/>
        <w:rPr>
          <w:sz w:val="20"/>
          <w:szCs w:val="20"/>
          <w:color w:val="auto"/>
        </w:rPr>
      </w:pPr>
    </w:p>
    <w:p>
      <w:pPr>
        <w:spacing w:after="0" w:line="231" w:lineRule="exact"/>
        <w:rPr>
          <w:sz w:val="20"/>
          <w:szCs w:val="20"/>
          <w:color w:val="auto"/>
        </w:rPr>
      </w:pPr>
    </w:p>
    <w:p>
      <w:pPr>
        <w:ind w:left="460" w:right="5500" w:hanging="452"/>
        <w:spacing w:after="0" w:line="445" w:lineRule="auto"/>
        <w:tabs>
          <w:tab w:leader="none" w:pos="195"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200" w:type="dxa"/>
            <w:vAlign w:val="bottom"/>
          </w:tcPr>
          <w:p>
            <w:pPr>
              <w:jc w:val="right"/>
              <w:ind w:right="337"/>
              <w:spacing w:after="0"/>
              <w:rPr>
                <w:sz w:val="20"/>
                <w:szCs w:val="20"/>
                <w:color w:val="auto"/>
              </w:rPr>
            </w:pPr>
            <w:r>
              <w:rPr>
                <w:rFonts w:ascii="Arial" w:cs="Arial" w:eastAsia="Arial" w:hAnsi="Arial"/>
                <w:sz w:val="14"/>
                <w:szCs w:val="14"/>
                <w:b w:val="1"/>
                <w:bCs w:val="1"/>
                <w:color w:val="auto"/>
              </w:rPr>
              <w:t>March 31,</w:t>
            </w:r>
          </w:p>
        </w:tc>
      </w:tr>
      <w:tr>
        <w:trPr>
          <w:trHeight w:val="188"/>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224"/>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Vendor payables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432,953</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400,081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265,058</w:t>
            </w:r>
          </w:p>
        </w:tc>
      </w:tr>
      <w:tr>
        <w:trPr>
          <w:trHeight w:val="248"/>
        </w:trPr>
        <w:tc>
          <w:tcPr>
            <w:tcW w:w="81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accounts payable and other accrued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852,885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698,011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80" w:firstLine="445"/>
        <w:spacing w:after="0" w:line="277" w:lineRule="auto"/>
        <w:rPr>
          <w:sz w:val="20"/>
          <w:szCs w:val="20"/>
          <w:color w:val="auto"/>
        </w:rPr>
      </w:pPr>
      <w:r>
        <w:rPr>
          <w:rFonts w:ascii="Arial" w:cs="Arial" w:eastAsia="Arial" w:hAnsi="Arial"/>
          <w:sz w:val="18"/>
          <w:szCs w:val="18"/>
          <w:color w:val="auto"/>
        </w:rPr>
        <w:t>Accrued expenses consisted primarily of the Company’s provision for claimed indirect costs, which were approximately $237.5 million and $224.6 million as of September 30, 2020 and March 31, 2020, respectively. See Note 18 for further discussion of this provision.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4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Bonus</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45,024</w:t>
            </w:r>
          </w:p>
        </w:tc>
        <w:tc>
          <w:tcPr>
            <w:tcW w:w="1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114,359</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Retirement</w:t>
            </w: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75,548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41,604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Vacation</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210,977</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28,998</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accrued compensation and benefits</w:t>
            </w:r>
          </w:p>
        </w:tc>
        <w:tc>
          <w:tcPr>
            <w:tcW w:w="14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360,547</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348,775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8. DEBT</w:t>
            </w: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280" w:type="dxa"/>
            <w:vAlign w:val="bottom"/>
            <w:gridSpan w:val="2"/>
            <w:vMerge w:val="continue"/>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0" w:type="dxa"/>
            <w:vAlign w:val="bottom"/>
          </w:tcPr>
          <w:p>
            <w:pPr>
              <w:spacing w:after="0"/>
              <w:rPr>
                <w:sz w:val="24"/>
                <w:szCs w:val="24"/>
                <w:color w:val="auto"/>
              </w:rPr>
            </w:pPr>
          </w:p>
        </w:tc>
        <w:tc>
          <w:tcPr>
            <w:tcW w:w="5240" w:type="dxa"/>
            <w:vAlign w:val="bottom"/>
          </w:tcPr>
          <w:p>
            <w:pPr>
              <w:ind w:left="380"/>
              <w:spacing w:after="0"/>
              <w:rPr>
                <w:sz w:val="20"/>
                <w:szCs w:val="20"/>
                <w:color w:val="auto"/>
              </w:rPr>
            </w:pPr>
            <w:r>
              <w:rPr>
                <w:rFonts w:ascii="Arial" w:cs="Arial" w:eastAsia="Arial" w:hAnsi="Arial"/>
                <w:sz w:val="18"/>
                <w:szCs w:val="18"/>
                <w:color w:val="auto"/>
              </w:rPr>
              <w:t>Debt consisted of the following:</w:t>
            </w: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302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September 30, 2020</w:t>
            </w:r>
          </w:p>
        </w:tc>
        <w:tc>
          <w:tcPr>
            <w:tcW w:w="2920" w:type="dxa"/>
            <w:vAlign w:val="bottom"/>
            <w:gridSpan w:val="6"/>
          </w:tcPr>
          <w:p>
            <w:pPr>
              <w:jc w:val="right"/>
              <w:ind w:right="894"/>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580" w:type="dxa"/>
            <w:vAlign w:val="bottom"/>
            <w:tcBorders>
              <w:top w:val="single" w:sz="8" w:color="auto"/>
            </w:tcBorders>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Interest</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00"/>
              <w:spacing w:after="0" w:line="135"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1"/>
                <w:szCs w:val="11"/>
                <w:color w:val="auto"/>
              </w:rPr>
            </w:pPr>
          </w:p>
        </w:tc>
        <w:tc>
          <w:tcPr>
            <w:tcW w:w="1460" w:type="dxa"/>
            <w:vAlign w:val="bottom"/>
            <w:tcBorders>
              <w:top w:val="single" w:sz="8" w:color="auto"/>
            </w:tcBorders>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rPr>
              <w:t>Interest</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194"/>
              <w:spacing w:after="0" w:line="135"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88"/>
        </w:trPr>
        <w:tc>
          <w:tcPr>
            <w:tcW w:w="4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180" w:type="dxa"/>
            <w:vAlign w:val="bottom"/>
          </w:tcPr>
          <w:p>
            <w:pPr>
              <w:spacing w:after="0"/>
              <w:rPr>
                <w:sz w:val="16"/>
                <w:szCs w:val="16"/>
                <w:color w:val="auto"/>
              </w:rPr>
            </w:pPr>
          </w:p>
        </w:tc>
        <w:tc>
          <w:tcPr>
            <w:tcW w:w="126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Balance</w:t>
            </w:r>
          </w:p>
        </w:tc>
        <w:tc>
          <w:tcPr>
            <w:tcW w:w="14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334"/>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24"/>
        </w:trPr>
        <w:tc>
          <w:tcPr>
            <w:tcW w:w="40" w:type="dxa"/>
            <w:vAlign w:val="bottom"/>
            <w:tcBorders>
              <w:right w:val="single" w:sz="8" w:color="CCEEFF"/>
            </w:tcBorders>
          </w:tcPr>
          <w:p>
            <w:pPr>
              <w:spacing w:after="0"/>
              <w:rPr>
                <w:sz w:val="19"/>
                <w:szCs w:val="19"/>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Term Loan A</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1,326,752</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1,363,739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Term Loan B</w:t>
            </w:r>
          </w:p>
        </w:tc>
        <w:tc>
          <w:tcPr>
            <w:tcW w:w="1460" w:type="dxa"/>
            <w:vAlign w:val="bottom"/>
          </w:tcPr>
          <w:p>
            <w:pPr>
              <w:jc w:val="right"/>
              <w:spacing w:after="0"/>
              <w:rPr>
                <w:sz w:val="20"/>
                <w:szCs w:val="20"/>
                <w:color w:val="auto"/>
              </w:rPr>
            </w:pPr>
            <w:r>
              <w:rPr>
                <w:rFonts w:ascii="Arial" w:cs="Arial" w:eastAsia="Arial" w:hAnsi="Arial"/>
                <w:sz w:val="18"/>
                <w:szCs w:val="18"/>
                <w:color w:val="auto"/>
              </w:rPr>
              <w:t>1.90 %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386,157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2.74 %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388,102</w:t>
            </w:r>
          </w:p>
        </w:tc>
        <w:tc>
          <w:tcPr>
            <w:tcW w:w="0" w:type="dxa"/>
            <w:vAlign w:val="bottom"/>
          </w:tcPr>
          <w:p>
            <w:pPr>
              <w:spacing w:after="0"/>
              <w:rPr>
                <w:sz w:val="1"/>
                <w:szCs w:val="1"/>
                <w:color w:val="auto"/>
              </w:rPr>
            </w:pPr>
          </w:p>
        </w:tc>
      </w:tr>
      <w:tr>
        <w:trPr>
          <w:trHeight w:val="230"/>
        </w:trPr>
        <w:tc>
          <w:tcPr>
            <w:tcW w:w="40" w:type="dxa"/>
            <w:vAlign w:val="bottom"/>
            <w:tcBorders>
              <w:right w:val="single" w:sz="8" w:color="CCEEFF"/>
            </w:tcBorders>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Revolver</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Senior Notes</w:t>
            </w:r>
          </w:p>
        </w:tc>
        <w:tc>
          <w:tcPr>
            <w:tcW w:w="1460" w:type="dxa"/>
            <w:vAlign w:val="bottom"/>
          </w:tcPr>
          <w:p>
            <w:pPr>
              <w:jc w:val="right"/>
              <w:spacing w:after="0"/>
              <w:rPr>
                <w:sz w:val="20"/>
                <w:szCs w:val="20"/>
                <w:color w:val="auto"/>
              </w:rPr>
            </w:pPr>
            <w:r>
              <w:rPr>
                <w:rFonts w:ascii="Arial" w:cs="Arial" w:eastAsia="Arial" w:hAnsi="Arial"/>
                <w:sz w:val="18"/>
                <w:szCs w:val="18"/>
                <w:color w:val="auto"/>
              </w:rPr>
              <w:t>3.88 %</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700,000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Borders>
              <w:right w:val="single" w:sz="8" w:color="CCEEFF"/>
            </w:tcBorders>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2017 Senior Notes</w:t>
            </w:r>
          </w:p>
        </w:tc>
        <w:tc>
          <w:tcPr>
            <w:tcW w:w="1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5.13 %</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Unamortized debt issuance costs and discount on debt</w:t>
            </w: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(15,997)</w:t>
            </w:r>
          </w:p>
        </w:tc>
        <w:tc>
          <w:tcPr>
            <w:tcW w:w="0" w:type="dxa"/>
            <w:vAlign w:val="bottom"/>
          </w:tcPr>
          <w:p>
            <w:pPr>
              <w:spacing w:after="0"/>
              <w:rPr>
                <w:sz w:val="1"/>
                <w:szCs w:val="1"/>
                <w:color w:val="auto"/>
              </w:rPr>
            </w:pPr>
          </w:p>
        </w:tc>
      </w:tr>
      <w:tr>
        <w:trPr>
          <w:trHeight w:val="223"/>
        </w:trPr>
        <w:tc>
          <w:tcPr>
            <w:tcW w:w="40" w:type="dxa"/>
            <w:vAlign w:val="bottom"/>
            <w:tcBorders>
              <w:right w:val="single" w:sz="8" w:color="CCEEFF"/>
            </w:tcBorders>
          </w:tcPr>
          <w:p>
            <w:pPr>
              <w:spacing w:after="0"/>
              <w:rPr>
                <w:sz w:val="19"/>
                <w:szCs w:val="19"/>
                <w:color w:val="auto"/>
              </w:rPr>
            </w:pPr>
          </w:p>
        </w:tc>
        <w:tc>
          <w:tcPr>
            <w:tcW w:w="52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w:t>
            </w: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2,393,604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2,185,844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2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Less: Current portion of long-term debt</w:t>
            </w: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(77,865)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(177,865)</w:t>
            </w:r>
          </w:p>
        </w:tc>
        <w:tc>
          <w:tcPr>
            <w:tcW w:w="0" w:type="dxa"/>
            <w:vAlign w:val="bottom"/>
          </w:tcPr>
          <w:p>
            <w:pPr>
              <w:spacing w:after="0"/>
              <w:rPr>
                <w:sz w:val="1"/>
                <w:szCs w:val="1"/>
                <w:color w:val="auto"/>
              </w:rPr>
            </w:pPr>
          </w:p>
        </w:tc>
      </w:tr>
      <w:tr>
        <w:trPr>
          <w:trHeight w:val="248"/>
        </w:trPr>
        <w:tc>
          <w:tcPr>
            <w:tcW w:w="40" w:type="dxa"/>
            <w:vAlign w:val="bottom"/>
            <w:tcBorders>
              <w:right w:val="single" w:sz="8" w:color="CCEEFF"/>
            </w:tcBorders>
          </w:tcPr>
          <w:p>
            <w:pPr>
              <w:spacing w:after="0"/>
              <w:rPr>
                <w:sz w:val="21"/>
                <w:szCs w:val="21"/>
                <w:color w:val="auto"/>
              </w:rPr>
            </w:pPr>
          </w:p>
        </w:tc>
        <w:tc>
          <w:tcPr>
            <w:tcW w:w="5240" w:type="dxa"/>
            <w:vAlign w:val="bottom"/>
            <w:tcBorders>
              <w:bottom w:val="single" w:sz="8" w:color="CCEEFF"/>
            </w:tcBorders>
            <w:shd w:val="clear" w:color="auto" w:fill="CCEEFF"/>
          </w:tcPr>
          <w:p>
            <w:pPr>
              <w:ind w:left="1080"/>
              <w:spacing w:after="0"/>
              <w:rPr>
                <w:sz w:val="20"/>
                <w:szCs w:val="20"/>
                <w:color w:val="auto"/>
              </w:rPr>
            </w:pPr>
            <w:r>
              <w:rPr>
                <w:rFonts w:ascii="Arial" w:cs="Arial" w:eastAsia="Arial" w:hAnsi="Arial"/>
                <w:sz w:val="18"/>
                <w:szCs w:val="18"/>
                <w:color w:val="auto"/>
              </w:rPr>
              <w:t>Long-term debt, net of current portion</w:t>
            </w: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2,315,739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2,007,979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Loans and Revolving Credit Facility</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November 26, 2019 (the "Amendment Effective Date"), Booz Allen Hamilton Inc. ("Booz Allen Hamilton"), Booz Allen Hamilton Investor Corporation ("Investor"), and certain wholly-owned subsidiaries of Booz Allen Hamilton, entered into the Seventh Amendment (the "Seventh Amendment") to the Credit Agreement (as amended, the "Credit Agreement"), dated as of July 31, 2012 among Booz Allen Hamilton, Investor, certain wholly-owned subsidiaries of Booz Allen Hamilton and Bank of America, N.A., as Administrative Agent and Collateral Agent and the other lenders and financial institutions from time to time party thereto (as previously amended by the First Amendment to the Credit Agreement, dated as of August 16, 2013, the Second Amendment to the Credit Agreement, dated as of May 7, 2014, the Third Amendment to the Credit Agreement, dated as of July 13, 2016, the Fourth Amendment to the Credit Agreement, dated as of February 6, 2017, the Fifth Amendment to the Credit Agreement, dated as of March 7, 2018, and the Sixth Amendment to the Credit Agreement, dated July 23, 2018). Pursuant to the Seventh Amendment, the Company reduced the applicable margin applicable to the Term Loan B ("Term Loan B" and, together with the Term Loan A, the "Term Loans") from 2.00% to 1.75% for LIBOR loans and from 1.00% to 0.75% for base rate loans and extended the maturity of the Term Loan B to November 26, 2026. The applicable margin and maturity date applicable to the Term Loan A (the "Term Loan A") remained unchanged.</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300" w:lineRule="exact"/>
        <w:rPr>
          <w:sz w:val="20"/>
          <w:szCs w:val="20"/>
          <w:color w:val="auto"/>
        </w:rPr>
      </w:pPr>
    </w:p>
    <w:p>
      <w:pPr>
        <w:ind w:right="120" w:firstLine="405"/>
        <w:spacing w:after="0" w:line="272" w:lineRule="auto"/>
        <w:rPr>
          <w:sz w:val="20"/>
          <w:szCs w:val="20"/>
          <w:color w:val="auto"/>
        </w:rPr>
      </w:pPr>
      <w:r>
        <w:rPr>
          <w:rFonts w:ascii="Arial" w:cs="Arial" w:eastAsia="Arial" w:hAnsi="Arial"/>
          <w:sz w:val="17"/>
          <w:szCs w:val="17"/>
          <w:color w:val="auto"/>
        </w:rPr>
        <w:t>Prior to the Seventh Amendment, approximately $389.0 million was outstanding under Term Loan B. Pursuant to the Seventh Amendment, certain lenders converted their existing Term Loan B loans into a new tranche of Term Loan B loans in an aggregate amount, along with Term Loan B loans advanced by certain new lenders, of approximately $389.0 million (the “New Refinancing Tranche B Term Loans”). The proceeds from the new lenders were used to prepay in full all of the existing Term Loan B loans that were not converted into the new Term Loan B tranche. Voluntary prepayments of the New Refinancing Tranche B Term Loans are permitted at any time, in minimum principal amounts, without premium or penalty, subject to a 1.00% premium payable in connection with certain repricing transactions within the first six months after the Seventh Amendment. The other terms of the New Refinancing Tranche B Term Loans are generally the same as the existing Term Loan B prior to the Seventh Amendment.</w:t>
      </w:r>
    </w:p>
    <w:p>
      <w:pPr>
        <w:spacing w:after="0" w:line="69"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As of September 30, 2020, the Credit Agreement provided Booz Allen Hamilton with a $1,326.8 million Term Loan A, a $386.2 million Term Loan B, and $500.0 million revolving credit facility (the "Revolving Credit Facility") with a sub-limit for letters of credit of $100.0 million (collectively, the "Secured Credit Facility"). As of September 30, 2020, the maturity date of Term Loan A and the termination date for the Revolving Credit Facility was July 23, 2023 and the maturity date of Term Loan B was November 26, 2026.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74"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at LIBOR (adjusted for maximum reserves, and subject to a floor of zero) for the applicable interest period or a base rate (equal to the highest of (x) the administrative agent’s prime corporate rate,</w:t>
      </w:r>
    </w:p>
    <w:p>
      <w:pPr>
        <w:ind w:right="20" w:firstLine="8"/>
        <w:spacing w:after="0" w:line="252" w:lineRule="auto"/>
        <w:tabs>
          <w:tab w:leader="none" w:pos="2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1.75% for LIBOR loans and 0.75% for base rate loans. Unused commitments under the Revolving Credit Facility are subject to a quarterly fee ranging from 0.20% to 0.35% based on Booz Allen Hamilton’s consolidated total net leverage ratio.</w:t>
      </w:r>
    </w:p>
    <w:p>
      <w:pPr>
        <w:spacing w:after="0" w:line="8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For both the three and six months ended September 30, 2020 and 2019, Booz Allen Hamilton accessed no amounts of its $500.0 million Revolving Credit Facility. As of September 30, 2020, there was no outstanding balance on the Revolving Credit Facility. As of March 31, 2020, $100.0 million was outstanding on the Revolving Credit Facility, which was repaid in June 2020.</w:t>
      </w:r>
    </w:p>
    <w:p>
      <w:pPr>
        <w:spacing w:after="0" w:line="79"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Credit Agreement, as amended,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spacing w:after="0" w:line="2"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investments; (vi) transactions with affiliates; (vii) change in fiscal periods; (viii) negative pledges; (ix) restrictive agreements; (x) line of business; and</w:t>
      </w:r>
    </w:p>
    <w:p>
      <w:pPr>
        <w:spacing w:after="0" w:line="32" w:lineRule="exact"/>
        <w:rPr>
          <w:rFonts w:ascii="Arial" w:cs="Arial" w:eastAsia="Arial" w:hAnsi="Arial"/>
          <w:sz w:val="16"/>
          <w:szCs w:val="16"/>
          <w:color w:val="auto"/>
        </w:rPr>
      </w:pPr>
    </w:p>
    <w:p>
      <w:pPr>
        <w:ind w:right="120" w:firstLine="8"/>
        <w:spacing w:after="0" w:line="281" w:lineRule="auto"/>
        <w:tabs>
          <w:tab w:leader="none" w:pos="305" w:val="left"/>
        </w:tabs>
        <w:numPr>
          <w:ilvl w:val="0"/>
          <w:numId w:val="11"/>
        </w:numPr>
        <w:rPr>
          <w:rFonts w:ascii="Arial" w:cs="Arial" w:eastAsia="Arial" w:hAnsi="Arial"/>
          <w:sz w:val="16"/>
          <w:szCs w:val="16"/>
          <w:color w:val="auto"/>
        </w:rPr>
      </w:pPr>
      <w:r>
        <w:rPr>
          <w:rFonts w:ascii="Arial" w:cs="Arial" w:eastAsia="Arial" w:hAnsi="Arial"/>
          <w:sz w:val="16"/>
          <w:szCs w:val="16"/>
          <w:color w:val="auto"/>
        </w:rPr>
        <w:t>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w:t>
      </w:r>
    </w:p>
    <w:p>
      <w:pPr>
        <w:spacing w:after="0" w:line="1" w:lineRule="exact"/>
        <w:rPr>
          <w:rFonts w:ascii="Arial" w:cs="Arial" w:eastAsia="Arial" w:hAnsi="Arial"/>
          <w:sz w:val="16"/>
          <w:szCs w:val="16"/>
          <w:color w:val="auto"/>
        </w:rPr>
      </w:pPr>
    </w:p>
    <w:p>
      <w:pPr>
        <w:ind w:right="220"/>
        <w:spacing w:after="0" w:line="253" w:lineRule="auto"/>
        <w:rPr>
          <w:rFonts w:ascii="Arial" w:cs="Arial" w:eastAsia="Arial" w:hAnsi="Arial"/>
          <w:sz w:val="16"/>
          <w:szCs w:val="16"/>
          <w:color w:val="auto"/>
        </w:rPr>
      </w:pPr>
      <w:r>
        <w:rPr>
          <w:rFonts w:ascii="Arial" w:cs="Arial" w:eastAsia="Arial" w:hAnsi="Arial"/>
          <w:sz w:val="18"/>
          <w:szCs w:val="18"/>
          <w:color w:val="auto"/>
        </w:rPr>
        <w:t>(f)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In addition, Booz Allen Hamilton is required to meet certain financial covenants at each quarter end, namely Consolidated Net Total Leverage and Consolidated Net Interest Coverage Ratios. As of September 30, 2020 and March 31, 2020, Booz Allen Hamilton was in compliance with all financial covenants associated with its debt and debt-like instruments.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300"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For the three months ended September 30, 2020 and 2019, interest payments of $5.8 million and $13.9 million were made for Term Loan A and $1.9 million and $4.4 million were made for Term Loan B, respectively. For the six months ended September 30, 2020 and 2019, interest payments of $12.7 million and $27.2 million were made for Term Loan A and $4.1 million and $8.8 million were made for Term Loan B, respectively.</w:t>
      </w:r>
    </w:p>
    <w:p>
      <w:pPr>
        <w:spacing w:after="0" w:line="57" w:lineRule="exact"/>
        <w:rPr>
          <w:sz w:val="20"/>
          <w:szCs w:val="20"/>
          <w:color w:val="auto"/>
        </w:rPr>
      </w:pPr>
    </w:p>
    <w:p>
      <w:pPr>
        <w:ind w:right="60" w:firstLine="405"/>
        <w:spacing w:after="0" w:line="296" w:lineRule="auto"/>
        <w:rPr>
          <w:sz w:val="20"/>
          <w:szCs w:val="20"/>
          <w:color w:val="auto"/>
        </w:rPr>
      </w:pPr>
      <w:r>
        <w:rPr>
          <w:rFonts w:ascii="Arial" w:cs="Arial" w:eastAsia="Arial" w:hAnsi="Arial"/>
          <w:sz w:val="16"/>
          <w:szCs w:val="16"/>
          <w:color w:val="auto"/>
        </w:rPr>
        <w:t>Borrowings under the Term Loans, and if used, the Revolving Credit Facility, incur interest at a variable rate. In accordance with Booz Allen Hamilton’s risk management strategy, between April 6, 2017 and April 4, 2019, Booz Allen Hamilton executed a series of interest rate swaps. As of September 30, 2020, Booz Allen Hamilton had interest rate swaps with an aggregate notional amount of $1 billion. These instruments hedge the variability of cash outflows for interest payments on the term loan debts and Revolving Credit Facility. The Company's objectives in using cash flow hedges are to reduce volatility due to interest rate movements and to add stability to interest expense (See Note 9 to our condensed consolidated financial statements).</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Senior Notes</w:t>
      </w:r>
    </w:p>
    <w:p>
      <w:pPr>
        <w:spacing w:after="0" w:line="117" w:lineRule="exact"/>
        <w:rPr>
          <w:sz w:val="20"/>
          <w:szCs w:val="20"/>
          <w:color w:val="auto"/>
        </w:rPr>
      </w:pPr>
    </w:p>
    <w:p>
      <w:pPr>
        <w:ind w:right="180" w:firstLine="405"/>
        <w:spacing w:after="0" w:line="290" w:lineRule="auto"/>
        <w:rPr>
          <w:sz w:val="20"/>
          <w:szCs w:val="20"/>
          <w:color w:val="auto"/>
        </w:rPr>
      </w:pPr>
      <w:r>
        <w:rPr>
          <w:rFonts w:ascii="Arial" w:cs="Arial" w:eastAsia="Arial" w:hAnsi="Arial"/>
          <w:sz w:val="16"/>
          <w:szCs w:val="16"/>
          <w:color w:val="auto"/>
        </w:rPr>
        <w:t>On August 24, 2020, Booz Allen Hamilton issued $700.0 million aggregate principal amount of its 3.875% Senior Notes due 2028 (the “Senior Notes”) under an Indenture, dated as of August 24, 2020, among Booz Allen Hamilton, certain subsidiaries of Booz Allen Hamilton, as guarantors (the “Subsidiary Guarantors”), and Wilmington Trust, National Association as trustee (the “Trustee”), as supplemented by the First Supplemental Indenture, dated as of August 24, 2020, among Booz Allen Hamilton, the Subsidiary Guarantors and the Trustee. Each of Booz Allen Hamilton's existing and future restricted subsidiaries that guarantee its obligations under the Secured Credit Facility or certain other indebtedness guarantee the Senior Notes on a senior unsecured basis. The Senior Notes and the guarantees are Booz Allen Hamilton’s and each Subsidiary Guarantors’ senior unsecured obligations and rank equally in right of payment with all of Booz Allen Hamilton’s and the Subsidiary Guarantors’ existing and future senior indebtedness and rank senior in right of payment to any of Booz Allen Hamilton’s and the Subsidiary Guarantors’ future subordinated indebtedness.</w:t>
      </w:r>
    </w:p>
    <w:p>
      <w:pPr>
        <w:spacing w:after="0" w:line="57"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Booz Allen Hamilton may redeem some or all of the Senior Notes at any time prior to September 1, 2023, at a price equal to 100.00% of the principal amount of the Senior Notes redeemed, plus accrued and unpaid interest, if any, to (but not including) the redemption date, plus an applicable “make-whole premium.” Booz Allen Hamilton may redeem the Senior Notes at its option, in whole at any time or in part from time to time, upon certain required notice, at any time (i) on and after September 1, 2023, at a price equal to 101.94% of the principal amount of the Senior Notes, (ii) on or after September 1, 2024, at a price equal to 100.97% of the principal amount of the Senior Notes, and (iii) on September 1, 2025 and thereafter, at a price equal to 100.00% of the principal amount of the Senior Notes, in each case, plus accrued and unpaid interest, if any, to (but not including) the applicable redemption date. In addition, at any time on or prior to September 1, 2023, Booz Allen Hamilton may redeem up to 40.00% of the original aggregate principal amount of the Senior Notes with the net cash proceeds of certain equity offerings at a redemption price equal to 103.88% of the principal amount of the Senior Notes, plus accrued and unpaid interest, if any, to (but not including) the redemption date, provided that at least 50.00% of the original aggregate principal amount of the Senior Notes remains outstanding after each such redemption; and the redemption occurs within 180 days of the closing date of such equity offering.</w:t>
      </w:r>
    </w:p>
    <w:p>
      <w:pPr>
        <w:spacing w:after="0" w:line="60"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Interest is payable on the Senior Notes semi-annually on March 1 and September 1 of each year, beginning on March 1, 2021, and principal is due at maturity on September 1, 2028. In connection with the issuance of the Senior Notes, the Company recognized $9.2 million of issuance costs, which were recorded as an offset against the carrying value of debt and will be amortized to interest expense over the term of the Senior Notes.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2017 Senior Notes</w:t>
      </w:r>
    </w:p>
    <w:p>
      <w:pPr>
        <w:spacing w:after="0" w:line="117" w:lineRule="exact"/>
        <w:rPr>
          <w:sz w:val="20"/>
          <w:szCs w:val="20"/>
          <w:color w:val="auto"/>
        </w:rPr>
      </w:pPr>
    </w:p>
    <w:p>
      <w:pPr>
        <w:ind w:right="240" w:firstLine="405"/>
        <w:spacing w:after="0" w:line="273" w:lineRule="auto"/>
        <w:rPr>
          <w:sz w:val="20"/>
          <w:szCs w:val="20"/>
          <w:color w:val="auto"/>
        </w:rPr>
      </w:pPr>
      <w:r>
        <w:rPr>
          <w:rFonts w:ascii="Arial" w:cs="Arial" w:eastAsia="Arial" w:hAnsi="Arial"/>
          <w:sz w:val="17"/>
          <w:szCs w:val="17"/>
          <w:color w:val="auto"/>
        </w:rPr>
        <w:t>On April 25, 2017, Booz Allen Hamilton issued $350.0 million aggregate principal amount of its 5.125% Senior Notes due 2025 (the "2017 Senior Notes"), under an Indenture, dated as of April 25, 2017, among Booz Allen Hamilton, certain subsidiaries of Booz Allen Hamilton, as guarantors, and Wilmington Trust, National Association, as trustee, as supplemented by the First Supplemental Indenture, dated as of April 25, 2017, among Booz Allen Hamilton, certain subsidiaries of Booz Allen Hamilton, as guarantors, and Wilmington Trust, National Association, as trustee. Each of Booz Allen Hamilton's existing and future domestic restricted subsidiaries that guaranteed its obligations under the Secured Credit Facility and certain other indebtedness guaranteed the 2017 Senior Notes on a senior unsecured basis.</w:t>
      </w:r>
    </w:p>
    <w:p>
      <w:pPr>
        <w:spacing w:after="0" w:line="70" w:lineRule="exact"/>
        <w:rPr>
          <w:sz w:val="20"/>
          <w:szCs w:val="20"/>
          <w:color w:val="auto"/>
        </w:rPr>
      </w:pPr>
    </w:p>
    <w:p>
      <w:pPr>
        <w:ind w:right="260" w:firstLine="405"/>
        <w:spacing w:after="0" w:line="279" w:lineRule="auto"/>
        <w:rPr>
          <w:sz w:val="20"/>
          <w:szCs w:val="20"/>
          <w:color w:val="auto"/>
        </w:rPr>
      </w:pPr>
      <w:r>
        <w:rPr>
          <w:rFonts w:ascii="Arial" w:cs="Arial" w:eastAsia="Arial" w:hAnsi="Arial"/>
          <w:sz w:val="17"/>
          <w:szCs w:val="17"/>
          <w:color w:val="auto"/>
        </w:rPr>
        <w:t>On August 24, 2020, Booz Allen Hamilton used a portion of the net proceeds from the sale of the Senior Notes to redeem in full $350.0 million aggregate principal amount of the outstanding 2017 Senior Notes at a redemption price of 102.563% of the principal amount thereof, plus accrued and unpaid interest thereon to (but excluding) the redemption date, and to pay all fees and expenses related to the foregoing. Booz Allen Hamilton intends to use the remaining net proceeds from the sale of the Senior Notes for working capital and other general corporate purposes.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300"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For the three month ended September 30, 2020, the Company recorded $13.2 million of loss on debt extinguishment in other (expense) income, net on the Condensed Consolidated Statements of Operations, including $9.0 million of the premium paid at redemption, and write-off of the unamortized debt issuance cost of the 2017 Senior Notes.</w:t>
      </w:r>
    </w:p>
    <w:p>
      <w:pPr>
        <w:spacing w:after="0" w:line="7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132"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Three Months Ended</w:t>
            </w:r>
          </w:p>
        </w:tc>
        <w:tc>
          <w:tcPr>
            <w:tcW w:w="320" w:type="dxa"/>
            <w:vAlign w:val="bottom"/>
          </w:tcPr>
          <w:p>
            <w:pPr>
              <w:spacing w:after="0"/>
              <w:rPr>
                <w:sz w:val="14"/>
                <w:szCs w:val="14"/>
                <w:color w:val="auto"/>
              </w:rPr>
            </w:pPr>
          </w:p>
        </w:tc>
        <w:tc>
          <w:tcPr>
            <w:tcW w:w="172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3"/>
              </w:rPr>
              <w:t>Six Months Ended</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496"/>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476"/>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84"/>
        </w:trPr>
        <w:tc>
          <w:tcPr>
            <w:tcW w:w="5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60" w:type="dxa"/>
            <w:vAlign w:val="bottom"/>
            <w:gridSpan w:val="3"/>
            <w:shd w:val="clear" w:color="auto" w:fill="CCEEFF"/>
          </w:tcPr>
          <w:p>
            <w:pPr>
              <w:jc w:val="center"/>
              <w:ind w:left="516"/>
              <w:spacing w:after="0"/>
              <w:rPr>
                <w:sz w:val="20"/>
                <w:szCs w:val="20"/>
                <w:color w:val="auto"/>
              </w:rPr>
            </w:pPr>
            <w:r>
              <w:rPr>
                <w:rFonts w:ascii="Arial" w:cs="Arial" w:eastAsia="Arial" w:hAnsi="Arial"/>
                <w:sz w:val="14"/>
                <w:szCs w:val="14"/>
                <w:b w:val="1"/>
                <w:bCs w:val="1"/>
                <w:color w:val="auto"/>
                <w:w w:val="93"/>
              </w:rPr>
              <w:t>(In thousands)</w:t>
            </w: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720" w:type="dxa"/>
            <w:vAlign w:val="bottom"/>
            <w:gridSpan w:val="3"/>
            <w:shd w:val="clear" w:color="auto" w:fill="CCEEFF"/>
          </w:tcPr>
          <w:p>
            <w:pPr>
              <w:jc w:val="center"/>
              <w:ind w:left="456"/>
              <w:spacing w:after="0"/>
              <w:rPr>
                <w:sz w:val="20"/>
                <w:szCs w:val="20"/>
                <w:color w:val="auto"/>
              </w:rPr>
            </w:pPr>
            <w:r>
              <w:rPr>
                <w:rFonts w:ascii="Arial" w:cs="Arial" w:eastAsia="Arial" w:hAnsi="Arial"/>
                <w:sz w:val="14"/>
                <w:szCs w:val="14"/>
                <w:b w:val="1"/>
                <w:bCs w:val="1"/>
                <w:color w:val="auto"/>
                <w:w w:val="93"/>
              </w:rPr>
              <w:t>(In thousands)</w:t>
            </w: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Term Loan A Interest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5,722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13,584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12,640</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27,034</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B 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8,652</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Interest on Revolving Credit Facility</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Interest Expense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Deferred Payment Obligation Interest </w:t>
            </w:r>
            <w:r>
              <w:rPr>
                <w:rFonts w:ascii="Arial" w:cs="Arial" w:eastAsia="Arial" w:hAnsi="Arial"/>
                <w:sz w:val="23"/>
                <w:szCs w:val="23"/>
                <w:color w:val="auto"/>
                <w:vertAlign w:val="superscript"/>
              </w:rPr>
              <w:t>(1)</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4,022</w:t>
            </w:r>
          </w:p>
        </w:tc>
        <w:tc>
          <w:tcPr>
            <w:tcW w:w="0" w:type="dxa"/>
            <w:vAlign w:val="bottom"/>
          </w:tcPr>
          <w:p>
            <w:pPr>
              <w:spacing w:after="0"/>
              <w:rPr>
                <w:sz w:val="1"/>
                <w:szCs w:val="1"/>
                <w:color w:val="auto"/>
              </w:rPr>
            </w:pPr>
          </w:p>
        </w:tc>
      </w:tr>
      <w:tr>
        <w:trPr>
          <w:trHeight w:val="175"/>
        </w:trPr>
        <w:tc>
          <w:tcPr>
            <w:tcW w:w="5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Amortization of Debt Issuance Cost (DIC) and Original Issue</w:t>
            </w:r>
          </w:p>
        </w:tc>
        <w:tc>
          <w:tcPr>
            <w:tcW w:w="34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Discount (OID)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Interest Swap Expense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3"/>
        </w:trPr>
        <w:tc>
          <w:tcPr>
            <w:tcW w:w="512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40,022</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51,050</w:t>
            </w: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80" w:right="420" w:hanging="10"/>
        <w:spacing w:after="0" w:line="227" w:lineRule="auto"/>
        <w:tabs>
          <w:tab w:leader="none" w:pos="361" w:val="left"/>
        </w:tabs>
        <w:numPr>
          <w:ilvl w:val="1"/>
          <w:numId w:val="12"/>
        </w:numPr>
        <w:rPr>
          <w:rFonts w:ascii="Arial" w:cs="Arial" w:eastAsia="Arial" w:hAnsi="Arial"/>
          <w:sz w:val="23"/>
          <w:szCs w:val="23"/>
          <w:color w:val="auto"/>
          <w:vertAlign w:val="superscript"/>
        </w:rPr>
      </w:pPr>
      <w:r>
        <w:rPr>
          <w:rFonts w:ascii="Arial" w:cs="Arial" w:eastAsia="Arial" w:hAnsi="Arial"/>
          <w:sz w:val="18"/>
          <w:szCs w:val="18"/>
          <w:color w:val="auto"/>
        </w:rPr>
        <w:t>Interest payments on the deferred payment obligation were made twice a year in January and July. The final payment was made on December 18, 2019.</w:t>
      </w:r>
    </w:p>
    <w:p>
      <w:pPr>
        <w:spacing w:after="0" w:line="94" w:lineRule="exact"/>
        <w:rPr>
          <w:rFonts w:ascii="Arial" w:cs="Arial" w:eastAsia="Arial" w:hAnsi="Arial"/>
          <w:sz w:val="23"/>
          <w:szCs w:val="23"/>
          <w:color w:val="auto"/>
          <w:vertAlign w:val="superscript"/>
        </w:rPr>
      </w:pPr>
    </w:p>
    <w:p>
      <w:pPr>
        <w:jc w:val="both"/>
        <w:ind w:left="180" w:right="200" w:hanging="10"/>
        <w:spacing w:after="0" w:line="269" w:lineRule="auto"/>
        <w:tabs>
          <w:tab w:leader="none" w:pos="345" w:val="left"/>
        </w:tabs>
        <w:numPr>
          <w:ilvl w:val="1"/>
          <w:numId w:val="12"/>
        </w:numPr>
        <w:rPr>
          <w:rFonts w:ascii="Arial" w:cs="Arial" w:eastAsia="Arial" w:hAnsi="Arial"/>
          <w:sz w:val="21"/>
          <w:szCs w:val="21"/>
          <w:color w:val="auto"/>
          <w:vertAlign w:val="superscript"/>
        </w:rPr>
      </w:pPr>
      <w:r>
        <w:rPr>
          <w:rFonts w:ascii="Arial" w:cs="Arial" w:eastAsia="Arial" w:hAnsi="Arial"/>
          <w:sz w:val="16"/>
          <w:szCs w:val="16"/>
          <w:color w:val="auto"/>
        </w:rPr>
        <w:t>DIC and OID on the Term Loans and senior notes are recorded as a reduction of long-term debt in the condensed consolidated balance sheet and are amortized ratably over the life of the related debt using the effective rate method. DIC on the Revolving Credit Facility is recorded as a long-term asset on the condensed consolidated balance sheet and amortized ratably over the term of the Revolving Credit Facility.</w:t>
      </w:r>
    </w:p>
    <w:p>
      <w:pPr>
        <w:spacing w:after="0" w:line="311"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The Company utilizes derivative financial instruments to manage interest rate risk related to its variable rate debt. The Company’s objectives in using these interest rate derivatives, which were designated as cash flow hedges, are to manage its exposure to interest rate movements and reduce volatility of interest expense. The aggregate notional amount of all interest rate swap agreements was $1.0 billion as of September 30, 2020. The swaps have staggered maturities, ranging from June 30, 2021 to June 30, 2025. These swaps mature within the last tranche of the Company's floating rate debt (November 26, 2026).</w:t>
      </w:r>
    </w:p>
    <w:p>
      <w:pPr>
        <w:spacing w:after="0" w:line="80"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The floating-to-fixed interest rate swaps involve the exchange of variable interest amounts from a counterparty for the Company making fixed-rate interest payments over the life of the agreements without exchange of the underlying notional amount and effectively convert a portion of the variable rate debt into fixed interest rate debt.</w:t>
      </w:r>
    </w:p>
    <w:p>
      <w:pPr>
        <w:spacing w:after="0" w:line="76"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Derivative instruments are recorded in the condensed consolidated balance sheet on a gross basis at estimated fair value. As of September 30, 2020, $19.8 million and $33.8 million were classified as other current liabilities and other long-term liabilities, respectively, on the condensed consolidated balance sheet. As of March 31, 2020, $18.8 million and $37.8 million were classified as other current liabilities, and other long-term liabilities, respectively, on the condensed consolidated balance sheet.</w:t>
      </w:r>
    </w:p>
    <w:p>
      <w:pPr>
        <w:spacing w:after="0" w:line="79" w:lineRule="exact"/>
        <w:rPr>
          <w:sz w:val="20"/>
          <w:szCs w:val="20"/>
          <w:color w:val="auto"/>
        </w:rPr>
      </w:pPr>
    </w:p>
    <w:p>
      <w:pPr>
        <w:jc w:val="both"/>
        <w:ind w:right="100" w:firstLine="405"/>
        <w:spacing w:after="0" w:line="259" w:lineRule="auto"/>
        <w:rPr>
          <w:sz w:val="20"/>
          <w:szCs w:val="20"/>
          <w:color w:val="auto"/>
        </w:rPr>
      </w:pPr>
      <w:r>
        <w:rPr>
          <w:rFonts w:ascii="Arial" w:cs="Arial" w:eastAsia="Arial" w:hAnsi="Arial"/>
          <w:sz w:val="18"/>
          <w:szCs w:val="18"/>
          <w:color w:val="auto"/>
        </w:rPr>
        <w:t>For interest rate swaps designated as cash flow hedges, the changes in the fair value of derivatives is recorded in Accumulated Other Comprehensive Loss, or AOCL, net of taxes, and is subsequently reclassified into interest expense in the period that the hedged forecasted interest payments are made on the Company's variable-rate debt. The effect of derivative instruments on the accompanying condensed consolidated financial statements for the three and six months ended September 30, 2020 and 2019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Three Months Ended September 30,</w:t>
            </w: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88"/>
        </w:trPr>
        <w:tc>
          <w:tcPr>
            <w:tcW w:w="2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93"/>
              </w:rPr>
              <w:t>Amount of Gain or (Loss)</w:t>
            </w:r>
          </w:p>
        </w:tc>
        <w:tc>
          <w:tcPr>
            <w:tcW w:w="160" w:type="dxa"/>
            <w:vAlign w:val="bottom"/>
          </w:tcPr>
          <w:p>
            <w:pPr>
              <w:spacing w:after="0"/>
              <w:rPr>
                <w:sz w:val="16"/>
                <w:szCs w:val="16"/>
                <w:color w:val="auto"/>
              </w:rPr>
            </w:pPr>
          </w:p>
        </w:tc>
        <w:tc>
          <w:tcPr>
            <w:tcW w:w="2080" w:type="dxa"/>
            <w:vAlign w:val="bottom"/>
            <w:gridSpan w:val="2"/>
          </w:tcPr>
          <w:p>
            <w:pPr>
              <w:jc w:val="center"/>
              <w:ind w:right="88"/>
              <w:spacing w:after="0"/>
              <w:rPr>
                <w:sz w:val="20"/>
                <w:szCs w:val="20"/>
                <w:color w:val="auto"/>
              </w:rPr>
            </w:pPr>
            <w:r>
              <w:rPr>
                <w:rFonts w:ascii="Arial" w:cs="Arial" w:eastAsia="Arial" w:hAnsi="Arial"/>
                <w:sz w:val="14"/>
                <w:szCs w:val="14"/>
                <w:b w:val="1"/>
                <w:bCs w:val="1"/>
                <w:color w:val="auto"/>
                <w:w w:val="94"/>
              </w:rPr>
              <w:t>Amount of Gain or (Loss)</w:t>
            </w:r>
          </w:p>
        </w:tc>
        <w:tc>
          <w:tcPr>
            <w:tcW w:w="100" w:type="dxa"/>
            <w:vAlign w:val="bottom"/>
          </w:tcPr>
          <w:p>
            <w:pPr>
              <w:spacing w:after="0"/>
              <w:rPr>
                <w:sz w:val="16"/>
                <w:szCs w:val="16"/>
                <w:color w:val="auto"/>
              </w:rPr>
            </w:pPr>
          </w:p>
        </w:tc>
        <w:tc>
          <w:tcPr>
            <w:tcW w:w="210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0"/>
              </w:rPr>
              <w:t>Interest Expense on Condensed</w:t>
            </w:r>
          </w:p>
        </w:tc>
      </w:tr>
      <w:tr>
        <w:trPr>
          <w:trHeight w:val="135"/>
        </w:trPr>
        <w:tc>
          <w:tcPr>
            <w:tcW w:w="2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gridSpan w:val="2"/>
          </w:tcPr>
          <w:p>
            <w:pPr>
              <w:jc w:val="center"/>
              <w:ind w:right="108"/>
              <w:spacing w:after="0" w:line="135" w:lineRule="exact"/>
              <w:rPr>
                <w:sz w:val="20"/>
                <w:szCs w:val="20"/>
                <w:color w:val="auto"/>
              </w:rPr>
            </w:pPr>
            <w:r>
              <w:rPr>
                <w:rFonts w:ascii="Arial" w:cs="Arial" w:eastAsia="Arial" w:hAnsi="Arial"/>
                <w:sz w:val="14"/>
                <w:szCs w:val="14"/>
                <w:b w:val="1"/>
                <w:bCs w:val="1"/>
                <w:color w:val="auto"/>
                <w:w w:val="94"/>
              </w:rPr>
              <w:t>Recognized in AOCL on</w:t>
            </w:r>
          </w:p>
        </w:tc>
        <w:tc>
          <w:tcPr>
            <w:tcW w:w="160" w:type="dxa"/>
            <w:vAlign w:val="bottom"/>
          </w:tcPr>
          <w:p>
            <w:pPr>
              <w:spacing w:after="0"/>
              <w:rPr>
                <w:sz w:val="11"/>
                <w:szCs w:val="11"/>
                <w:color w:val="auto"/>
              </w:rPr>
            </w:pPr>
          </w:p>
        </w:tc>
        <w:tc>
          <w:tcPr>
            <w:tcW w:w="2080" w:type="dxa"/>
            <w:vAlign w:val="bottom"/>
            <w:gridSpan w:val="2"/>
          </w:tcPr>
          <w:p>
            <w:pPr>
              <w:jc w:val="center"/>
              <w:ind w:right="88"/>
              <w:spacing w:after="0" w:line="135" w:lineRule="exact"/>
              <w:rPr>
                <w:sz w:val="20"/>
                <w:szCs w:val="20"/>
                <w:color w:val="auto"/>
              </w:rPr>
            </w:pPr>
            <w:r>
              <w:rPr>
                <w:rFonts w:ascii="Arial" w:cs="Arial" w:eastAsia="Arial" w:hAnsi="Arial"/>
                <w:sz w:val="14"/>
                <w:szCs w:val="14"/>
                <w:b w:val="1"/>
                <w:bCs w:val="1"/>
                <w:color w:val="auto"/>
                <w:w w:val="94"/>
              </w:rPr>
              <w:t>Reclassified from AOCL into</w:t>
            </w:r>
          </w:p>
        </w:tc>
        <w:tc>
          <w:tcPr>
            <w:tcW w:w="100" w:type="dxa"/>
            <w:vAlign w:val="bottom"/>
          </w:tcPr>
          <w:p>
            <w:pPr>
              <w:spacing w:after="0"/>
              <w:rPr>
                <w:sz w:val="11"/>
                <w:szCs w:val="11"/>
                <w:color w:val="auto"/>
              </w:rPr>
            </w:pPr>
          </w:p>
        </w:tc>
        <w:tc>
          <w:tcPr>
            <w:tcW w:w="2100" w:type="dxa"/>
            <w:vAlign w:val="bottom"/>
            <w:gridSpan w:val="2"/>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Consolidated Statements of</w:t>
            </w:r>
          </w:p>
        </w:tc>
      </w:tr>
      <w:tr>
        <w:trPr>
          <w:trHeight w:val="188"/>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w w:val="96"/>
              </w:rPr>
              <w:t>Derivatives in Cash Flow Hedging</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1"/>
              </w:rPr>
              <w:t>Location of Gain or Loss Recognized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3"/>
              </w:rPr>
              <w:t>Derivatives</w:t>
            </w: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b w:val="1"/>
                <w:bCs w:val="1"/>
                <w:color w:val="auto"/>
                <w:w w:val="89"/>
              </w:rPr>
              <w:t>Income</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b w:val="1"/>
                <w:bCs w:val="1"/>
                <w:color w:val="auto"/>
                <w:w w:val="94"/>
              </w:rPr>
              <w:t>Operations</w:t>
            </w:r>
          </w:p>
        </w:tc>
        <w:tc>
          <w:tcPr>
            <w:tcW w:w="740" w:type="dxa"/>
            <w:vAlign w:val="bottom"/>
            <w:tcBorders>
              <w:bottom w:val="single" w:sz="8" w:color="auto"/>
            </w:tcBorders>
          </w:tcPr>
          <w:p>
            <w:pPr>
              <w:spacing w:after="0"/>
              <w:rPr>
                <w:sz w:val="16"/>
                <w:szCs w:val="16"/>
                <w:color w:val="auto"/>
              </w:rPr>
            </w:pPr>
          </w:p>
        </w:tc>
      </w:tr>
      <w:tr>
        <w:trPr>
          <w:trHeight w:val="196"/>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Income on Derivatives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80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r>
      <w:tr>
        <w:trPr>
          <w:trHeight w:val="184"/>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2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Interest expense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(408) $</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(6,837)</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(5,364) $</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(19,787)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(25,863)</w:t>
            </w: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Six Months Ended September 30,</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48"/>
        </w:trPr>
        <w:tc>
          <w:tcPr>
            <w:tcW w:w="22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0" w:type="dxa"/>
            <w:vAlign w:val="bottom"/>
            <w:gridSpan w:val="2"/>
          </w:tcPr>
          <w:p>
            <w:pPr>
              <w:jc w:val="center"/>
              <w:ind w:right="108"/>
              <w:spacing w:after="0" w:line="148" w:lineRule="exact"/>
              <w:rPr>
                <w:sz w:val="20"/>
                <w:szCs w:val="20"/>
                <w:color w:val="auto"/>
              </w:rPr>
            </w:pPr>
            <w:r>
              <w:rPr>
                <w:rFonts w:ascii="Arial" w:cs="Arial" w:eastAsia="Arial" w:hAnsi="Arial"/>
                <w:sz w:val="14"/>
                <w:szCs w:val="14"/>
                <w:b w:val="1"/>
                <w:bCs w:val="1"/>
                <w:color w:val="auto"/>
                <w:w w:val="93"/>
              </w:rPr>
              <w:t>Amount of (Loss) or Gain</w:t>
            </w:r>
          </w:p>
        </w:tc>
        <w:tc>
          <w:tcPr>
            <w:tcW w:w="160" w:type="dxa"/>
            <w:vAlign w:val="bottom"/>
          </w:tcPr>
          <w:p>
            <w:pPr>
              <w:spacing w:after="0"/>
              <w:rPr>
                <w:sz w:val="12"/>
                <w:szCs w:val="12"/>
                <w:color w:val="auto"/>
              </w:rPr>
            </w:pPr>
          </w:p>
        </w:tc>
        <w:tc>
          <w:tcPr>
            <w:tcW w:w="2040" w:type="dxa"/>
            <w:vAlign w:val="bottom"/>
            <w:gridSpan w:val="2"/>
          </w:tcPr>
          <w:p>
            <w:pPr>
              <w:jc w:val="center"/>
              <w:ind w:right="48"/>
              <w:spacing w:after="0" w:line="148" w:lineRule="exact"/>
              <w:rPr>
                <w:sz w:val="20"/>
                <w:szCs w:val="20"/>
                <w:color w:val="auto"/>
              </w:rPr>
            </w:pPr>
            <w:r>
              <w:rPr>
                <w:rFonts w:ascii="Arial" w:cs="Arial" w:eastAsia="Arial" w:hAnsi="Arial"/>
                <w:sz w:val="14"/>
                <w:szCs w:val="14"/>
                <w:b w:val="1"/>
                <w:bCs w:val="1"/>
                <w:color w:val="auto"/>
                <w:w w:val="94"/>
              </w:rPr>
              <w:t>Amount of (Loss) or Gain</w:t>
            </w:r>
          </w:p>
        </w:tc>
        <w:tc>
          <w:tcPr>
            <w:tcW w:w="140" w:type="dxa"/>
            <w:vAlign w:val="bottom"/>
          </w:tcPr>
          <w:p>
            <w:pPr>
              <w:spacing w:after="0"/>
              <w:rPr>
                <w:sz w:val="12"/>
                <w:szCs w:val="12"/>
                <w:color w:val="auto"/>
              </w:rPr>
            </w:pPr>
          </w:p>
        </w:tc>
        <w:tc>
          <w:tcPr>
            <w:tcW w:w="2100" w:type="dxa"/>
            <w:vAlign w:val="bottom"/>
            <w:gridSpan w:val="2"/>
          </w:tcPr>
          <w:p>
            <w:pPr>
              <w:jc w:val="center"/>
              <w:ind w:right="48"/>
              <w:spacing w:after="0" w:line="148" w:lineRule="exact"/>
              <w:rPr>
                <w:sz w:val="20"/>
                <w:szCs w:val="20"/>
                <w:color w:val="auto"/>
              </w:rPr>
            </w:pPr>
            <w:r>
              <w:rPr>
                <w:rFonts w:ascii="Arial" w:cs="Arial" w:eastAsia="Arial" w:hAnsi="Arial"/>
                <w:sz w:val="14"/>
                <w:szCs w:val="14"/>
                <w:b w:val="1"/>
                <w:bCs w:val="1"/>
                <w:color w:val="auto"/>
                <w:w w:val="90"/>
              </w:rPr>
              <w:t>Interest Expense on Condensed</w:t>
            </w:r>
          </w:p>
        </w:tc>
      </w:tr>
      <w:tr>
        <w:trPr>
          <w:trHeight w:val="135"/>
        </w:trPr>
        <w:tc>
          <w:tcPr>
            <w:tcW w:w="2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0" w:type="dxa"/>
            <w:vAlign w:val="bottom"/>
            <w:gridSpan w:val="2"/>
          </w:tcPr>
          <w:p>
            <w:pPr>
              <w:jc w:val="center"/>
              <w:ind w:right="108"/>
              <w:spacing w:after="0" w:line="135" w:lineRule="exact"/>
              <w:rPr>
                <w:sz w:val="20"/>
                <w:szCs w:val="20"/>
                <w:color w:val="auto"/>
              </w:rPr>
            </w:pPr>
            <w:r>
              <w:rPr>
                <w:rFonts w:ascii="Arial" w:cs="Arial" w:eastAsia="Arial" w:hAnsi="Arial"/>
                <w:sz w:val="14"/>
                <w:szCs w:val="14"/>
                <w:b w:val="1"/>
                <w:bCs w:val="1"/>
                <w:color w:val="auto"/>
                <w:w w:val="94"/>
              </w:rPr>
              <w:t>Recognized in AOCL on</w:t>
            </w:r>
          </w:p>
        </w:tc>
        <w:tc>
          <w:tcPr>
            <w:tcW w:w="160" w:type="dxa"/>
            <w:vAlign w:val="bottom"/>
          </w:tcPr>
          <w:p>
            <w:pPr>
              <w:spacing w:after="0"/>
              <w:rPr>
                <w:sz w:val="11"/>
                <w:szCs w:val="11"/>
                <w:color w:val="auto"/>
              </w:rPr>
            </w:pPr>
          </w:p>
        </w:tc>
        <w:tc>
          <w:tcPr>
            <w:tcW w:w="2040" w:type="dxa"/>
            <w:vAlign w:val="bottom"/>
            <w:gridSpan w:val="2"/>
          </w:tcPr>
          <w:p>
            <w:pPr>
              <w:jc w:val="center"/>
              <w:ind w:right="48"/>
              <w:spacing w:after="0" w:line="135" w:lineRule="exact"/>
              <w:rPr>
                <w:sz w:val="20"/>
                <w:szCs w:val="20"/>
                <w:color w:val="auto"/>
              </w:rPr>
            </w:pPr>
            <w:r>
              <w:rPr>
                <w:rFonts w:ascii="Arial" w:cs="Arial" w:eastAsia="Arial" w:hAnsi="Arial"/>
                <w:sz w:val="14"/>
                <w:szCs w:val="14"/>
                <w:b w:val="1"/>
                <w:bCs w:val="1"/>
                <w:color w:val="auto"/>
                <w:w w:val="94"/>
              </w:rPr>
              <w:t>Reclassified from AOCL into</w:t>
            </w:r>
          </w:p>
        </w:tc>
        <w:tc>
          <w:tcPr>
            <w:tcW w:w="140" w:type="dxa"/>
            <w:vAlign w:val="bottom"/>
          </w:tcPr>
          <w:p>
            <w:pPr>
              <w:spacing w:after="0"/>
              <w:rPr>
                <w:sz w:val="11"/>
                <w:szCs w:val="11"/>
                <w:color w:val="auto"/>
              </w:rPr>
            </w:pPr>
          </w:p>
        </w:tc>
        <w:tc>
          <w:tcPr>
            <w:tcW w:w="2100" w:type="dxa"/>
            <w:vAlign w:val="bottom"/>
            <w:gridSpan w:val="2"/>
          </w:tcPr>
          <w:p>
            <w:pPr>
              <w:jc w:val="center"/>
              <w:ind w:right="28"/>
              <w:spacing w:after="0" w:line="135" w:lineRule="exact"/>
              <w:rPr>
                <w:sz w:val="20"/>
                <w:szCs w:val="20"/>
                <w:color w:val="auto"/>
              </w:rPr>
            </w:pPr>
            <w:r>
              <w:rPr>
                <w:rFonts w:ascii="Arial" w:cs="Arial" w:eastAsia="Arial" w:hAnsi="Arial"/>
                <w:sz w:val="14"/>
                <w:szCs w:val="14"/>
                <w:b w:val="1"/>
                <w:bCs w:val="1"/>
                <w:color w:val="auto"/>
                <w:w w:val="90"/>
              </w:rPr>
              <w:t>Consolidated Statements of</w:t>
            </w:r>
          </w:p>
        </w:tc>
      </w:tr>
      <w:tr>
        <w:trPr>
          <w:trHeight w:val="188"/>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w w:val="96"/>
              </w:rPr>
              <w:t>Derivatives in Cash Flow Hedging</w:t>
            </w:r>
          </w:p>
        </w:tc>
        <w:tc>
          <w:tcPr>
            <w:tcW w:w="2380" w:type="dxa"/>
            <w:vAlign w:val="bottom"/>
          </w:tcPr>
          <w:p>
            <w:pPr>
              <w:jc w:val="center"/>
              <w:ind w:left="8"/>
              <w:spacing w:after="0"/>
              <w:rPr>
                <w:sz w:val="20"/>
                <w:szCs w:val="20"/>
                <w:color w:val="auto"/>
              </w:rPr>
            </w:pPr>
            <w:r>
              <w:rPr>
                <w:rFonts w:ascii="Arial" w:cs="Arial" w:eastAsia="Arial" w:hAnsi="Arial"/>
                <w:sz w:val="14"/>
                <w:szCs w:val="14"/>
                <w:b w:val="1"/>
                <w:bCs w:val="1"/>
                <w:color w:val="auto"/>
                <w:w w:val="91"/>
              </w:rPr>
              <w:t>Location of Gain or Loss Recognized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b w:val="1"/>
                <w:bCs w:val="1"/>
                <w:color w:val="auto"/>
                <w:w w:val="93"/>
              </w:rPr>
              <w:t>Derivatives</w:t>
            </w: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left="568"/>
              <w:spacing w:after="0"/>
              <w:rPr>
                <w:sz w:val="20"/>
                <w:szCs w:val="20"/>
                <w:color w:val="auto"/>
              </w:rPr>
            </w:pPr>
            <w:r>
              <w:rPr>
                <w:rFonts w:ascii="Arial" w:cs="Arial" w:eastAsia="Arial" w:hAnsi="Arial"/>
                <w:sz w:val="14"/>
                <w:szCs w:val="14"/>
                <w:b w:val="1"/>
                <w:bCs w:val="1"/>
                <w:color w:val="auto"/>
                <w:w w:val="89"/>
              </w:rPr>
              <w:t>Income</w:t>
            </w: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left="548"/>
              <w:spacing w:after="0"/>
              <w:rPr>
                <w:sz w:val="20"/>
                <w:szCs w:val="20"/>
                <w:color w:val="auto"/>
              </w:rPr>
            </w:pPr>
            <w:r>
              <w:rPr>
                <w:rFonts w:ascii="Arial" w:cs="Arial" w:eastAsia="Arial" w:hAnsi="Arial"/>
                <w:sz w:val="14"/>
                <w:szCs w:val="14"/>
                <w:b w:val="1"/>
                <w:bCs w:val="1"/>
                <w:color w:val="auto"/>
                <w:w w:val="94"/>
              </w:rPr>
              <w:t>Operations</w:t>
            </w:r>
          </w:p>
        </w:tc>
        <w:tc>
          <w:tcPr>
            <w:tcW w:w="740" w:type="dxa"/>
            <w:vAlign w:val="bottom"/>
            <w:tcBorders>
              <w:bottom w:val="single" w:sz="8" w:color="auto"/>
            </w:tcBorders>
          </w:tcPr>
          <w:p>
            <w:pPr>
              <w:spacing w:after="0"/>
              <w:rPr>
                <w:sz w:val="16"/>
                <w:szCs w:val="16"/>
                <w:color w:val="auto"/>
              </w:rPr>
            </w:pPr>
          </w:p>
        </w:tc>
      </w:tr>
      <w:tr>
        <w:trPr>
          <w:trHeight w:val="196"/>
        </w:trPr>
        <w:tc>
          <w:tcPr>
            <w:tcW w:w="2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Relationships</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in Income on Derivatives</w:t>
            </w: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2020</w:t>
            </w:r>
          </w:p>
        </w:tc>
        <w:tc>
          <w:tcPr>
            <w:tcW w:w="7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2020</w:t>
            </w:r>
          </w:p>
        </w:tc>
        <w:tc>
          <w:tcPr>
            <w:tcW w:w="7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r>
      <w:tr>
        <w:trPr>
          <w:trHeight w:val="184"/>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rate swaps</w:t>
            </w:r>
          </w:p>
        </w:tc>
        <w:tc>
          <w:tcPr>
            <w:tcW w:w="2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Interest expense</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(6,795) $</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(26,585)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(9,805) $</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(40,022) $</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(51,050)</w:t>
            </w:r>
          </w:p>
        </w:tc>
      </w:tr>
    </w:tbl>
    <w:p>
      <w:pPr>
        <w:spacing w:after="0" w:line="200" w:lineRule="exact"/>
        <w:rPr>
          <w:sz w:val="20"/>
          <w:szCs w:val="20"/>
          <w:color w:val="auto"/>
        </w:rPr>
      </w:pPr>
    </w:p>
    <w:p>
      <w:pPr>
        <w:spacing w:after="0" w:line="245"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Over the next 12 months, the Company estimates that $20.0 million will be reclassified as an increase to interest expense. Cash flows associated with periodic settlements of interest rate swaps will be classified as operating activities in the condensed consolidated statement of cash flows.</w:t>
      </w:r>
    </w:p>
    <w:p>
      <w:pPr>
        <w:spacing w:after="0" w:line="16" w:lineRule="exact"/>
        <w:rPr>
          <w:sz w:val="20"/>
          <w:szCs w:val="20"/>
          <w:color w:val="auto"/>
        </w:rPr>
      </w:pPr>
    </w:p>
    <w:p>
      <w:pPr>
        <w:jc w:val="both"/>
        <w:ind w:right="120" w:firstLine="405"/>
        <w:spacing w:after="0" w:line="286" w:lineRule="auto"/>
        <w:rPr>
          <w:sz w:val="20"/>
          <w:szCs w:val="20"/>
          <w:color w:val="auto"/>
        </w:rPr>
      </w:pPr>
      <w:r>
        <w:rPr>
          <w:rFonts w:ascii="Arial" w:cs="Arial" w:eastAsia="Arial" w:hAnsi="Arial"/>
          <w:sz w:val="17"/>
          <w:szCs w:val="17"/>
          <w:color w:val="auto"/>
        </w:rPr>
        <w:t>The Company is subject to counterparty risk in connection with its interest rate swap derivative contracts. Credit risk related to a derivative financial instrument represents the possibility that the counterparty will not fulfill the terms of the contract. The Company mitigates this credit risk by entering into agreements with credit-worthy counterparties and regularly reviews its credit exposure and the creditworthiness of the counterparties.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ind w:right="700" w:firstLine="405"/>
        <w:spacing w:after="0" w:line="277" w:lineRule="auto"/>
        <w:rPr>
          <w:sz w:val="20"/>
          <w:szCs w:val="20"/>
          <w:color w:val="auto"/>
        </w:rPr>
      </w:pPr>
      <w:r>
        <w:rPr>
          <w:rFonts w:ascii="Arial" w:cs="Arial" w:eastAsia="Arial" w:hAnsi="Arial"/>
          <w:sz w:val="18"/>
          <w:szCs w:val="18"/>
          <w:color w:val="auto"/>
        </w:rPr>
        <w:t>The Company’s total lease cost is recorded primarily within general and administrative expenses on the condensed consolidated statement of operations and consisted of the following:</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17,214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35,720</w:t>
            </w: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3,027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4,750</w:t>
            </w: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r>
      <w:tr>
        <w:trPr>
          <w:trHeight w:val="223"/>
        </w:trPr>
        <w:tc>
          <w:tcPr>
            <w:tcW w:w="5200" w:type="dxa"/>
            <w:vAlign w:val="bottom"/>
          </w:tcPr>
          <w:p>
            <w:pPr>
              <w:ind w:left="120"/>
              <w:spacing w:after="0"/>
              <w:rPr>
                <w:sz w:val="20"/>
                <w:szCs w:val="20"/>
                <w:color w:val="auto"/>
              </w:rPr>
            </w:pPr>
            <w:r>
              <w:rPr>
                <w:rFonts w:ascii="Arial" w:cs="Arial" w:eastAsia="Arial" w:hAnsi="Arial"/>
                <w:sz w:val="18"/>
                <w:szCs w:val="18"/>
                <w:color w:val="auto"/>
              </w:rPr>
              <w:t>Total operating lease costs</w:t>
            </w:r>
          </w:p>
        </w:tc>
        <w:tc>
          <w:tcPr>
            <w:tcW w:w="860" w:type="dxa"/>
            <w:vAlign w:val="bottom"/>
            <w:tcBorders>
              <w:bottom w:val="single" w:sz="8" w:color="auto"/>
            </w:tcBorders>
          </w:tcPr>
          <w:p>
            <w:pPr>
              <w:jc w:val="right"/>
              <w:ind w:right="65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21,921</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23,109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44,183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46,048</w:t>
            </w: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Future minimum operating lease payments for noncancelable operating leases as of September 30, 2020 are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Fiscal Year Ending</w:t>
            </w:r>
          </w:p>
        </w:tc>
        <w:tc>
          <w:tcPr>
            <w:tcW w:w="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w w:val="95"/>
              </w:rPr>
              <w:t>Operating Lease Payments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Pr>
          <w:p>
            <w:pPr>
              <w:ind w:left="2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67,896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56,728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future lease payments</w:t>
            </w: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369,435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Less: imputed interest</w:t>
            </w:r>
          </w:p>
        </w:tc>
        <w:tc>
          <w:tcPr>
            <w:tcW w:w="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319,224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7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7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774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35,594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7740" w:type="dxa"/>
            <w:vAlign w:val="bottom"/>
          </w:tcPr>
          <w:p>
            <w:pPr>
              <w:ind w:left="20"/>
              <w:spacing w:after="0"/>
              <w:rPr>
                <w:sz w:val="20"/>
                <w:szCs w:val="20"/>
                <w:color w:val="auto"/>
              </w:rPr>
            </w:pPr>
            <w:r>
              <w:rPr>
                <w:rFonts w:ascii="Arial" w:cs="Arial" w:eastAsia="Arial" w:hAnsi="Arial"/>
                <w:sz w:val="18"/>
                <w:szCs w:val="18"/>
                <w:color w:val="auto"/>
              </w:rPr>
              <w:t xml:space="preserve">Operating lease liabilities arising from obtaining ROU assets </w:t>
            </w:r>
            <w:r>
              <w:rPr>
                <w:rFonts w:ascii="Arial" w:cs="Arial" w:eastAsia="Arial" w:hAnsi="Arial"/>
                <w:sz w:val="23"/>
                <w:szCs w:val="23"/>
                <w:color w:val="auto"/>
                <w:vertAlign w:val="superscript"/>
              </w:rPr>
              <w:t>(1)</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28,292</w:t>
            </w: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9,681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660" w:hanging="247"/>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Includes all noncash increases and decreases arising from new or remeasured operating lease arrangements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information related to leases was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80" w:type="dxa"/>
            <w:vAlign w:val="bottom"/>
            <w:tcBorders>
              <w:bottom w:val="single" w:sz="8" w:color="CCEEFF"/>
            </w:tcBorders>
          </w:tcPr>
          <w:p>
            <w:pPr>
              <w:spacing w:after="0"/>
              <w:rPr>
                <w:sz w:val="20"/>
                <w:szCs w:val="20"/>
                <w:color w:val="auto"/>
              </w:rPr>
            </w:pPr>
          </w:p>
        </w:tc>
        <w:tc>
          <w:tcPr>
            <w:tcW w:w="19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September 30, 2020</w:t>
            </w:r>
          </w:p>
        </w:tc>
      </w:tr>
      <w:tr>
        <w:trPr>
          <w:trHeight w:val="223"/>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(in years)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Weighted average discount rate</w:t>
            </w:r>
          </w:p>
        </w:tc>
        <w:tc>
          <w:tcPr>
            <w:tcW w:w="1980" w:type="dxa"/>
            <w:vAlign w:val="bottom"/>
          </w:tcPr>
          <w:p>
            <w:pPr>
              <w:jc w:val="right"/>
              <w:spacing w:after="0"/>
              <w:rPr>
                <w:sz w:val="20"/>
                <w:szCs w:val="20"/>
                <w:color w:val="auto"/>
              </w:rPr>
            </w:pPr>
            <w:r>
              <w:rPr>
                <w:rFonts w:ascii="Arial" w:cs="Arial" w:eastAsia="Arial" w:hAnsi="Arial"/>
                <w:sz w:val="18"/>
                <w:szCs w:val="18"/>
                <w:color w:val="auto"/>
              </w:rPr>
              <w:t>4.75 %</w:t>
            </w:r>
          </w:p>
        </w:tc>
      </w:tr>
    </w:tbl>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Company’s effective income tax rates were 22.4% and 22.8% for the three months ended September 30, 2020 and 2019, respectively, and 23.3% and 23.8% for the six months ended September 30, 2020 and 2019, respectively. The effective tax rates of 22.4% and 23.3% for the three and six months ended September 30, 2020 differ from the federal statutory rate of 21.0% primarily due to the inclusion of state and foreign income taxes and permanent rate differences, which are predominantly related to certain executive compensation, partially offset by research and development tax credits and excess tax benefits for employee share-based compensation.</w:t>
      </w:r>
    </w:p>
    <w:p>
      <w:pPr>
        <w:spacing w:after="0" w:line="80"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The Company is currently contesting tax assessments from the District of Columbia Office of Tax and Revenue for fiscal years 2013 through 2015 at various stages of applicable administrative and judicial processes, with a combined amount at issue of approximately $11.7 million, net of associated federal tax benefits as of September 30, 2020. The Company has taken similar tax positions with respect to subsequent fiscal years, net of expiring statute of limitations, totaling in aggregate $32.5 million. As of September 30, 2020, the Company does not maintain reserves for any uncertain tax positions related to the contested tax benefits or the similar tax positions taken in the subsequent fiscal years. Given the recoverable nature of the state tax expense, the Company does not believe that the resolution of these matters will have a material adverse effect on its results of operations, cash flows or financial condition.</w:t>
      </w:r>
    </w:p>
    <w:p>
      <w:pPr>
        <w:spacing w:after="0" w:line="87" w:lineRule="exact"/>
        <w:rPr>
          <w:sz w:val="20"/>
          <w:szCs w:val="20"/>
          <w:color w:val="auto"/>
        </w:rPr>
      </w:pPr>
    </w:p>
    <w:p>
      <w:pPr>
        <w:ind w:right="40" w:firstLine="405"/>
        <w:spacing w:after="0" w:line="301" w:lineRule="auto"/>
        <w:rPr>
          <w:sz w:val="20"/>
          <w:szCs w:val="20"/>
          <w:color w:val="auto"/>
        </w:rPr>
      </w:pPr>
      <w:r>
        <w:rPr>
          <w:rFonts w:ascii="Arial" w:cs="Arial" w:eastAsia="Arial" w:hAnsi="Arial"/>
          <w:sz w:val="16"/>
          <w:szCs w:val="16"/>
          <w:color w:val="auto"/>
        </w:rPr>
        <w:t>The Company maintained reserves for uncertain tax positions of $65.9 million and $56.1 million as of September 30, 2020 and March 31, 2020, respectively, which are included in other long-term liabilities in the accompanying condensed consolidated balance sheets. As of September 30, 2020, the Company maintained reserves for uncertain tax positions of $54.1 million relating to research and development tax credits and $10.2 million relating to the acquisition of eGov Holdings, Inc. (d/b/a Aquilent) in the fourth quarter of fiscal 2017 for pre-acquisition period tax return uncertain tax positions.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OTHER LONG-TERM LIABILITIES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long-term liabilities consisted of the following:</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00" w:type="dxa"/>
            <w:vAlign w:val="bottom"/>
          </w:tcPr>
          <w:p>
            <w:pPr>
              <w:jc w:val="right"/>
              <w:ind w:right="337"/>
              <w:spacing w:after="0"/>
              <w:rPr>
                <w:sz w:val="20"/>
                <w:szCs w:val="20"/>
                <w:color w:val="auto"/>
              </w:rPr>
            </w:pPr>
            <w:r>
              <w:rPr>
                <w:rFonts w:ascii="Arial" w:cs="Arial" w:eastAsia="Arial" w:hAnsi="Arial"/>
                <w:sz w:val="14"/>
                <w:szCs w:val="14"/>
                <w:b w:val="1"/>
                <w:bCs w:val="1"/>
                <w:color w:val="auto"/>
              </w:rPr>
              <w:t>March 31,</w:t>
            </w:r>
          </w:p>
        </w:tc>
      </w:tr>
      <w:tr>
        <w:trPr>
          <w:trHeight w:val="188"/>
        </w:trPr>
        <w:tc>
          <w:tcPr>
            <w:tcW w:w="8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r>
      <w:tr>
        <w:trPr>
          <w:trHeight w:val="224"/>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 obligations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124,375</w:t>
            </w:r>
          </w:p>
        </w:tc>
      </w:tr>
      <w:tr>
        <w:trPr>
          <w:trHeight w:val="230"/>
        </w:trPr>
        <w:tc>
          <w:tcPr>
            <w:tcW w:w="8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(1)</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202,873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207,312</w:t>
            </w:r>
          </w:p>
        </w:tc>
      </w:tr>
      <w:tr>
        <w:trPr>
          <w:trHeight w:val="248"/>
        </w:trPr>
        <w:tc>
          <w:tcPr>
            <w:tcW w:w="8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other long-term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329,375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331,687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right="120" w:firstLine="8"/>
        <w:spacing w:after="0" w:line="263"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Because of condensed financial statement presentation, components of other long-term liabilities at September 30, 2020 and March 31, 2020 primarily include the Company's long-term liability portion of the Company's derivative instruments, the long-term disability obligation, deferred tax liabilities and reserves for uncertain tax positions.</w:t>
      </w:r>
    </w:p>
    <w:p>
      <w:pPr>
        <w:spacing w:after="0" w:line="369" w:lineRule="exact"/>
        <w:rPr>
          <w:sz w:val="20"/>
          <w:szCs w:val="20"/>
          <w:color w:val="auto"/>
        </w:rPr>
      </w:pPr>
    </w:p>
    <w:p>
      <w:pPr>
        <w:ind w:left="340" w:right="8440" w:hanging="332"/>
        <w:spacing w:after="0" w:line="378" w:lineRule="auto"/>
        <w:tabs>
          <w:tab w:leader="none" w:pos="286"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ind w:right="80" w:firstLine="405"/>
        <w:spacing w:after="0" w:line="286" w:lineRule="auto"/>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 and certain international employees. ECAP provides for distributions to participants by reason of retirement, death, disability, or termination of employment. The Company provides an annual matching contribution of up to 6% of eligible annual compensation. Total expenses recognized under ECAP were $40.2 million and $36.2 million for the three months ended September 30, 2020 and 2019, respectively, and $81.3 million and $73.1</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million for the six months ended September 30, 2020 and 2019, respectively. The Company-paid contributions were $24.6 million and $22.1 million for the three months ended September 30, 2020 and 2019, respectively, and $47.8 million and $42.0 million for the six months ended September 30, 2020 and 2019, respectively.</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right="60" w:firstLine="405"/>
        <w:spacing w:after="0" w:line="254" w:lineRule="auto"/>
        <w:rPr>
          <w:sz w:val="20"/>
          <w:szCs w:val="20"/>
          <w:color w:val="auto"/>
        </w:rPr>
      </w:pPr>
      <w:r>
        <w:rPr>
          <w:rFonts w:ascii="Arial" w:cs="Arial" w:eastAsia="Arial" w:hAnsi="Arial"/>
          <w:sz w:val="18"/>
          <w:szCs w:val="18"/>
          <w:color w:val="auto"/>
        </w:rPr>
        <w:t>The Company provides postretirement healthcare benefits to former officers under a medical indemnity insurance plan, with premiums paid by the Company. This plan is referred to as the Officer Medical Plan. The Company also established a non-qualified defined benefit plan for all officers in May 1995, or the Retired Officers' Bonus Plan, which pays a lump-sum amount of $10,000 per year of service as an officer, provided the officer meets retirement vesting requirements. In addition, the Company provides a fixed annual allowance after retirement to cover financial counseling, tax preparation and other financial or wellness expenses. The Retired Officers' Bonus Plan is not salary related, but rather is based primarily on years of service. The Company also provides for a one-time lump sum retirement payment of one month’s salary when a vice-president retires from the Company. This is referred to as the Retired Vice-President Bonus Plan.</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220" w:type="dxa"/>
            <w:vAlign w:val="bottom"/>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Six Months Ended</w:t>
            </w:r>
          </w:p>
        </w:tc>
      </w:tr>
      <w:tr>
        <w:trPr>
          <w:trHeight w:val="188"/>
        </w:trPr>
        <w:tc>
          <w:tcPr>
            <w:tcW w:w="57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36"/>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3"/>
        </w:trPr>
        <w:tc>
          <w:tcPr>
            <w:tcW w:w="57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2019</w:t>
            </w:r>
          </w:p>
        </w:tc>
      </w:tr>
      <w:tr>
        <w:trPr>
          <w:trHeight w:val="224"/>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20" w:type="dxa"/>
            <w:vAlign w:val="bottom"/>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1,414</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1,239</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w:t>
            </w:r>
          </w:p>
        </w:tc>
      </w:tr>
      <w:tr>
        <w:trPr>
          <w:trHeight w:val="22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cost</w:t>
            </w: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1,059</w:t>
            </w:r>
          </w:p>
        </w:tc>
        <w:tc>
          <w:tcPr>
            <w:tcW w:w="1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1,215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r>
      <w:tr>
        <w:trPr>
          <w:trHeight w:val="248"/>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postretirement medical expense</w:t>
            </w:r>
          </w:p>
        </w:tc>
        <w:tc>
          <w:tcPr>
            <w:tcW w:w="82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2,473</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2,454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4,908</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The service cost component of net periodic benefit cost is included in cost of revenue and general and administrative expenses, and the non-service cost components of net periodic benefit cost (interest cost and net actuarial loss) is included as part of Other (expense) income, net in the accompanying condensed consolidated statements of operations.</w:t>
      </w:r>
    </w:p>
    <w:p>
      <w:pPr>
        <w:spacing w:after="0" w:line="184" w:lineRule="exact"/>
        <w:rPr>
          <w:sz w:val="20"/>
          <w:szCs w:val="20"/>
          <w:color w:val="auto"/>
        </w:rPr>
      </w:pPr>
    </w:p>
    <w:p>
      <w:pPr>
        <w:ind w:right="500" w:firstLine="405"/>
        <w:spacing w:after="0" w:line="308" w:lineRule="auto"/>
        <w:rPr>
          <w:sz w:val="20"/>
          <w:szCs w:val="20"/>
          <w:color w:val="auto"/>
        </w:rPr>
      </w:pPr>
      <w:r>
        <w:rPr>
          <w:rFonts w:ascii="Arial" w:cs="Arial" w:eastAsia="Arial" w:hAnsi="Arial"/>
          <w:sz w:val="17"/>
          <w:szCs w:val="17"/>
          <w:color w:val="auto"/>
        </w:rPr>
        <w:t>As of September 30, 2020 and March 31, 2020, the unfunded status of the post-retirement medical plan was $122.3 million and $119.6 million, respectively, which is included in other long-term liabilities in the accompanying condensed consolidated balance sheets.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Long-term Disability Benefits</w:t>
      </w:r>
    </w:p>
    <w:p>
      <w:pPr>
        <w:spacing w:after="0" w:line="11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The Company offers medical and dental benefits to inactive employees (and their eligible dependents) on long-term disability. These benefits do not vary with an employee's years of service; therefore, the Company is required to accrue the costs of the benefits at the date the inactive employee becomes disability eligible and elects to participate in the benefit. The accrued cost for such benefits is calculated using an actuarial estimate. The accrued cost for these benefits was $10.7 million at both September 30, 2020 and March 31, 2020, and is presented in other long-term liabilities in the accompanying condensed consolidated balance sheets.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Deferred Compensation Plan</w:t>
      </w:r>
    </w:p>
    <w:p>
      <w:pPr>
        <w:spacing w:after="0" w:line="117" w:lineRule="exact"/>
        <w:rPr>
          <w:sz w:val="20"/>
          <w:szCs w:val="20"/>
          <w:color w:val="auto"/>
        </w:rPr>
      </w:pPr>
    </w:p>
    <w:p>
      <w:pPr>
        <w:ind w:right="220" w:firstLine="405"/>
        <w:spacing w:after="0" w:line="257" w:lineRule="auto"/>
        <w:rPr>
          <w:sz w:val="20"/>
          <w:szCs w:val="20"/>
          <w:color w:val="auto"/>
        </w:rPr>
      </w:pPr>
      <w:r>
        <w:rPr>
          <w:rFonts w:ascii="Arial" w:cs="Arial" w:eastAsia="Arial" w:hAnsi="Arial"/>
          <w:sz w:val="18"/>
          <w:szCs w:val="18"/>
          <w:color w:val="auto"/>
        </w:rPr>
        <w:t>The Company established a non-qualified deferred compensation plan (the "Plan") for certain executives and other highly compensated employees that was effective in fiscal 2018. Pursuant to the Plan, participants are eligible to defer up to 100% of their incentive cash compensation on a tax deferred basis in excess of the IRS limits imposed on 401(k) plans. The assets of the plan are held in a consolidated trust and are subject to the claims of the Company's general creditors under federal and state laws in the event of insolvency. Consequently, the trust qualifies as a Rabbi trust for income tax purposes.</w:t>
      </w:r>
    </w:p>
    <w:p>
      <w:pPr>
        <w:spacing w:after="0" w:line="80"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 fair values of plan investments and obligations at September 30, 2020 and March 31, 2020 were $12.9 million and $5.9 million, respectively, and were recorded in other long-term assets and in other long-term liabilities, respectively, in the condensed consolidated balance sheets. Adjustments to the fair value of the plan investments and obligations are recorded in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ACCUMULATED OTHER COMPREHENSIVE LOSS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plans and interest rate swaps designated as cash flow hedges. The following table shows the changes in accumulated other comprehensive loss, net of tax:</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5"/>
          </w:tcPr>
          <w:p>
            <w:pPr>
              <w:jc w:val="center"/>
              <w:ind w:right="190"/>
              <w:spacing w:after="0"/>
              <w:rPr>
                <w:sz w:val="20"/>
                <w:szCs w:val="20"/>
                <w:color w:val="auto"/>
              </w:rPr>
            </w:pPr>
            <w:r>
              <w:rPr>
                <w:rFonts w:ascii="Arial" w:cs="Arial" w:eastAsia="Arial" w:hAnsi="Arial"/>
                <w:sz w:val="18"/>
                <w:szCs w:val="18"/>
                <w:b w:val="1"/>
                <w:bCs w:val="1"/>
                <w:color w:val="auto"/>
                <w:w w:val="90"/>
              </w:rPr>
              <w:t>Three Months Ended September 30, 2020</w:t>
            </w: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5"/>
          </w:tcPr>
          <w:p>
            <w:pPr>
              <w:jc w:val="center"/>
              <w:ind w:right="210"/>
              <w:spacing w:after="0"/>
              <w:rPr>
                <w:sz w:val="20"/>
                <w:szCs w:val="20"/>
                <w:color w:val="auto"/>
              </w:rPr>
            </w:pPr>
            <w:r>
              <w:rPr>
                <w:rFonts w:ascii="Arial" w:cs="Arial" w:eastAsia="Arial" w:hAnsi="Arial"/>
                <w:sz w:val="18"/>
                <w:szCs w:val="18"/>
                <w:b w:val="1"/>
                <w:bCs w:val="1"/>
                <w:color w:val="auto"/>
                <w:w w:val="90"/>
              </w:rPr>
              <w:t>Six Months Ended September 30, 2020</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Post-retirement</w:t>
            </w:r>
          </w:p>
        </w:tc>
        <w:tc>
          <w:tcPr>
            <w:tcW w:w="160" w:type="dxa"/>
            <w:vAlign w:val="bottom"/>
          </w:tcPr>
          <w:p>
            <w:pPr>
              <w:spacing w:after="0"/>
              <w:rPr>
                <w:sz w:val="14"/>
                <w:szCs w:val="14"/>
                <w:color w:val="auto"/>
              </w:rPr>
            </w:pPr>
          </w:p>
        </w:tc>
        <w:tc>
          <w:tcPr>
            <w:tcW w:w="12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1"/>
              </w:rPr>
              <w:t>Derivatives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Post-retirement</w:t>
            </w:r>
          </w:p>
        </w:tc>
        <w:tc>
          <w:tcPr>
            <w:tcW w:w="14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9"/>
              </w:rPr>
              <w:t>Derivatives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4"/>
              </w:rPr>
              <w:t>designated as</w:t>
            </w:r>
          </w:p>
        </w:tc>
        <w:tc>
          <w:tcPr>
            <w:tcW w:w="280" w:type="dxa"/>
            <w:vAlign w:val="bottom"/>
          </w:tcPr>
          <w:p>
            <w:pPr>
              <w:spacing w:after="0"/>
              <w:rPr>
                <w:sz w:val="15"/>
                <w:szCs w:val="15"/>
                <w:color w:val="auto"/>
              </w:rPr>
            </w:pP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Totals</w:t>
            </w:r>
          </w:p>
        </w:tc>
        <w:tc>
          <w:tcPr>
            <w:tcW w:w="1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4"/>
              </w:rPr>
              <w:t>designated as</w:t>
            </w:r>
          </w:p>
        </w:tc>
        <w:tc>
          <w:tcPr>
            <w:tcW w:w="300" w:type="dxa"/>
            <w:vAlign w:val="bottom"/>
          </w:tcPr>
          <w:p>
            <w:pPr>
              <w:spacing w:after="0"/>
              <w:rPr>
                <w:sz w:val="15"/>
                <w:szCs w:val="15"/>
                <w:color w:val="auto"/>
              </w:rPr>
            </w:pP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Totals</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4"/>
              </w:rPr>
              <w:t>plans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4"/>
              </w:rPr>
              <w:t>plans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(43,313)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(47,418)</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(41,874)</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(46,001)</w:t>
            </w:r>
          </w:p>
        </w:tc>
        <w:tc>
          <w:tcPr>
            <w:tcW w:w="0" w:type="dxa"/>
            <w:vAlign w:val="bottom"/>
          </w:tcPr>
          <w:p>
            <w:pPr>
              <w:spacing w:after="0"/>
              <w:rPr>
                <w:sz w:val="1"/>
                <w:szCs w:val="1"/>
                <w:color w:val="auto"/>
              </w:rPr>
            </w:pPr>
          </w:p>
        </w:tc>
      </w:tr>
      <w:tr>
        <w:trPr>
          <w:trHeight w:val="176"/>
        </w:trPr>
        <w:tc>
          <w:tcPr>
            <w:tcW w:w="2920" w:type="dxa"/>
            <w:vAlign w:val="bottom"/>
          </w:tcPr>
          <w:p>
            <w:pPr>
              <w:ind w:left="120"/>
              <w:spacing w:after="0" w:line="176" w:lineRule="exact"/>
              <w:rPr>
                <w:sz w:val="20"/>
                <w:szCs w:val="20"/>
                <w:color w:val="auto"/>
              </w:rPr>
            </w:pPr>
            <w:r>
              <w:rPr>
                <w:rFonts w:ascii="Arial" w:cs="Arial" w:eastAsia="Arial" w:hAnsi="Arial"/>
                <w:sz w:val="18"/>
                <w:szCs w:val="18"/>
                <w:color w:val="auto"/>
              </w:rPr>
              <w:t>Other comprehensive loss before</w:t>
            </w:r>
          </w:p>
        </w:tc>
        <w:tc>
          <w:tcPr>
            <w:tcW w:w="280" w:type="dxa"/>
            <w:vAlign w:val="bottom"/>
          </w:tcPr>
          <w:p>
            <w:pPr>
              <w:spacing w:after="0"/>
              <w:rPr>
                <w:sz w:val="15"/>
                <w:szCs w:val="15"/>
                <w:color w:val="auto"/>
              </w:rPr>
            </w:pPr>
          </w:p>
        </w:tc>
        <w:tc>
          <w:tcPr>
            <w:tcW w:w="1080" w:type="dxa"/>
            <w:vAlign w:val="bottom"/>
            <w:vMerge w:val="restart"/>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300" w:type="dxa"/>
            <w:vAlign w:val="bottom"/>
          </w:tcPr>
          <w:p>
            <w:pPr>
              <w:spacing w:after="0"/>
              <w:rPr>
                <w:sz w:val="15"/>
                <w:szCs w:val="15"/>
                <w:color w:val="auto"/>
              </w:rPr>
            </w:pPr>
          </w:p>
        </w:tc>
        <w:tc>
          <w:tcPr>
            <w:tcW w:w="1100" w:type="dxa"/>
            <w:vAlign w:val="bottom"/>
            <w:vMerge w:val="restart"/>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(5,023)</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(5,023)</w:t>
            </w:r>
          </w:p>
        </w:tc>
        <w:tc>
          <w:tcPr>
            <w:tcW w:w="0" w:type="dxa"/>
            <w:vAlign w:val="bottom"/>
          </w:tcPr>
          <w:p>
            <w:pPr>
              <w:spacing w:after="0"/>
              <w:rPr>
                <w:sz w:val="1"/>
                <w:szCs w:val="1"/>
                <w:color w:val="auto"/>
              </w:rPr>
            </w:pPr>
          </w:p>
        </w:tc>
      </w:tr>
      <w:tr>
        <w:trPr>
          <w:trHeight w:val="229"/>
        </w:trPr>
        <w:tc>
          <w:tcPr>
            <w:tcW w:w="2920" w:type="dxa"/>
            <w:vAlign w:val="bottom"/>
          </w:tcPr>
          <w:p>
            <w:pPr>
              <w:ind w:left="120"/>
              <w:spacing w:after="0"/>
              <w:rPr>
                <w:sz w:val="20"/>
                <w:szCs w:val="20"/>
                <w:color w:val="auto"/>
              </w:rPr>
            </w:pPr>
            <w:r>
              <w:rPr>
                <w:rFonts w:ascii="Arial" w:cs="Arial" w:eastAsia="Arial" w:hAnsi="Arial"/>
                <w:sz w:val="18"/>
                <w:szCs w:val="18"/>
                <w:color w:val="auto"/>
              </w:rPr>
              <w:t>reclassifications (1)</w:t>
            </w:r>
          </w:p>
        </w:tc>
        <w:tc>
          <w:tcPr>
            <w:tcW w:w="2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Amounts reclassified from</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accumulated other comprehensive</w:t>
            </w: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ind w:left="84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3,965</w:t>
            </w:r>
          </w:p>
        </w:tc>
        <w:tc>
          <w:tcPr>
            <w:tcW w:w="2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3,987</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ind w:left="840"/>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7,248</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7,292</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920" w:type="dxa"/>
            <w:vAlign w:val="bottom"/>
          </w:tcPr>
          <w:p>
            <w:pPr>
              <w:ind w:left="220"/>
              <w:spacing w:after="0" w:line="156" w:lineRule="exact"/>
              <w:rPr>
                <w:sz w:val="20"/>
                <w:szCs w:val="20"/>
                <w:color w:val="auto"/>
              </w:rPr>
            </w:pPr>
            <w:r>
              <w:rPr>
                <w:rFonts w:ascii="Arial" w:cs="Arial" w:eastAsia="Arial" w:hAnsi="Arial"/>
                <w:sz w:val="18"/>
                <w:szCs w:val="18"/>
                <w:color w:val="auto"/>
              </w:rPr>
              <w:t>Net current-period other</w:t>
            </w:r>
          </w:p>
        </w:tc>
        <w:tc>
          <w:tcPr>
            <w:tcW w:w="280" w:type="dxa"/>
            <w:vAlign w:val="bottom"/>
          </w:tcPr>
          <w:p>
            <w:pPr>
              <w:spacing w:after="0"/>
              <w:rPr>
                <w:sz w:val="13"/>
                <w:szCs w:val="13"/>
                <w:color w:val="auto"/>
              </w:rPr>
            </w:pPr>
          </w:p>
        </w:tc>
        <w:tc>
          <w:tcPr>
            <w:tcW w:w="1080" w:type="dxa"/>
            <w:vAlign w:val="bottom"/>
            <w:vMerge w:val="restart"/>
          </w:tcPr>
          <w:p>
            <w:pPr>
              <w:ind w:left="8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3,664</w:t>
            </w:r>
          </w:p>
        </w:tc>
        <w:tc>
          <w:tcPr>
            <w:tcW w:w="28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3,686</w:t>
            </w:r>
          </w:p>
        </w:tc>
        <w:tc>
          <w:tcPr>
            <w:tcW w:w="300" w:type="dxa"/>
            <w:vAlign w:val="bottom"/>
          </w:tcPr>
          <w:p>
            <w:pPr>
              <w:spacing w:after="0"/>
              <w:rPr>
                <w:sz w:val="13"/>
                <w:szCs w:val="13"/>
                <w:color w:val="auto"/>
              </w:rPr>
            </w:pPr>
          </w:p>
        </w:tc>
        <w:tc>
          <w:tcPr>
            <w:tcW w:w="1100" w:type="dxa"/>
            <w:vAlign w:val="bottom"/>
            <w:vMerge w:val="restart"/>
          </w:tcPr>
          <w:p>
            <w:pPr>
              <w:ind w:left="840"/>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2,225</w:t>
            </w:r>
          </w:p>
        </w:tc>
        <w:tc>
          <w:tcPr>
            <w:tcW w:w="3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(39,649)</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(43,732)</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(43,732)</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20" w:firstLine="8"/>
        <w:spacing w:after="0" w:line="277"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other comprehensive income (loss) before reclassification for derivatives designated as cash flow hedges are recorded net of tax benefits of $0.1 million and $1.8 million for the three and six months ended September 30, 2020,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5"/>
          </w:tcPr>
          <w:p>
            <w:pPr>
              <w:jc w:val="center"/>
              <w:ind w:right="190"/>
              <w:spacing w:after="0"/>
              <w:rPr>
                <w:sz w:val="20"/>
                <w:szCs w:val="20"/>
                <w:color w:val="auto"/>
              </w:rPr>
            </w:pPr>
            <w:r>
              <w:rPr>
                <w:rFonts w:ascii="Arial" w:cs="Arial" w:eastAsia="Arial" w:hAnsi="Arial"/>
                <w:sz w:val="18"/>
                <w:szCs w:val="18"/>
                <w:b w:val="1"/>
                <w:bCs w:val="1"/>
                <w:color w:val="auto"/>
                <w:w w:val="90"/>
              </w:rPr>
              <w:t>Three Months Ended September 30, 2019</w:t>
            </w:r>
          </w:p>
        </w:tc>
        <w:tc>
          <w:tcPr>
            <w:tcW w:w="300" w:type="dxa"/>
            <w:vAlign w:val="bottom"/>
            <w:tcBorders>
              <w:bottom w:val="single" w:sz="8" w:color="auto"/>
            </w:tcBorders>
          </w:tcPr>
          <w:p>
            <w:pPr>
              <w:spacing w:after="0"/>
              <w:rPr>
                <w:sz w:val="20"/>
                <w:szCs w:val="20"/>
                <w:color w:val="auto"/>
              </w:rPr>
            </w:pPr>
          </w:p>
        </w:tc>
        <w:tc>
          <w:tcPr>
            <w:tcW w:w="3880" w:type="dxa"/>
            <w:vAlign w:val="bottom"/>
            <w:tcBorders>
              <w:bottom w:val="single" w:sz="8" w:color="auto"/>
            </w:tcBorders>
            <w:gridSpan w:val="5"/>
          </w:tcPr>
          <w:p>
            <w:pPr>
              <w:jc w:val="center"/>
              <w:ind w:right="210"/>
              <w:spacing w:after="0"/>
              <w:rPr>
                <w:sz w:val="20"/>
                <w:szCs w:val="20"/>
                <w:color w:val="auto"/>
              </w:rPr>
            </w:pPr>
            <w:r>
              <w:rPr>
                <w:rFonts w:ascii="Arial" w:cs="Arial" w:eastAsia="Arial" w:hAnsi="Arial"/>
                <w:sz w:val="18"/>
                <w:szCs w:val="18"/>
                <w:b w:val="1"/>
                <w:bCs w:val="1"/>
                <w:color w:val="auto"/>
                <w:w w:val="90"/>
              </w:rPr>
              <w:t>Six Months Ended September 30, 2019</w:t>
            </w:r>
          </w:p>
        </w:tc>
        <w:tc>
          <w:tcPr>
            <w:tcW w:w="0" w:type="dxa"/>
            <w:vAlign w:val="bottom"/>
          </w:tcPr>
          <w:p>
            <w:pPr>
              <w:spacing w:after="0"/>
              <w:rPr>
                <w:sz w:val="1"/>
                <w:szCs w:val="1"/>
                <w:color w:val="auto"/>
              </w:rPr>
            </w:pPr>
          </w:p>
        </w:tc>
      </w:tr>
      <w:tr>
        <w:trPr>
          <w:trHeight w:val="169"/>
        </w:trPr>
        <w:tc>
          <w:tcPr>
            <w:tcW w:w="2920" w:type="dxa"/>
            <w:vAlign w:val="bottom"/>
          </w:tcPr>
          <w:p>
            <w:pPr>
              <w:spacing w:after="0"/>
              <w:rPr>
                <w:sz w:val="14"/>
                <w:szCs w:val="14"/>
                <w:color w:val="auto"/>
              </w:rPr>
            </w:pPr>
          </w:p>
        </w:tc>
        <w:tc>
          <w:tcPr>
            <w:tcW w:w="136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Post-retirement</w:t>
            </w:r>
          </w:p>
        </w:tc>
        <w:tc>
          <w:tcPr>
            <w:tcW w:w="160" w:type="dxa"/>
            <w:vAlign w:val="bottom"/>
          </w:tcPr>
          <w:p>
            <w:pPr>
              <w:spacing w:after="0"/>
              <w:rPr>
                <w:sz w:val="14"/>
                <w:szCs w:val="14"/>
                <w:color w:val="auto"/>
              </w:rPr>
            </w:pPr>
          </w:p>
        </w:tc>
        <w:tc>
          <w:tcPr>
            <w:tcW w:w="124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1"/>
              </w:rPr>
              <w:t>Derivatives</w:t>
            </w: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Post-retirement</w:t>
            </w:r>
          </w:p>
        </w:tc>
        <w:tc>
          <w:tcPr>
            <w:tcW w:w="140" w:type="dxa"/>
            <w:vAlign w:val="bottom"/>
          </w:tcPr>
          <w:p>
            <w:pPr>
              <w:spacing w:after="0"/>
              <w:rPr>
                <w:sz w:val="14"/>
                <w:szCs w:val="14"/>
                <w:color w:val="auto"/>
              </w:rPr>
            </w:pPr>
          </w:p>
        </w:tc>
        <w:tc>
          <w:tcPr>
            <w:tcW w:w="124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9"/>
              </w:rPr>
              <w:t>Derivatives</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4"/>
              </w:rPr>
              <w:t>designated as</w:t>
            </w:r>
          </w:p>
        </w:tc>
        <w:tc>
          <w:tcPr>
            <w:tcW w:w="280" w:type="dxa"/>
            <w:vAlign w:val="bottom"/>
          </w:tcPr>
          <w:p>
            <w:pPr>
              <w:spacing w:after="0"/>
              <w:rPr>
                <w:sz w:val="15"/>
                <w:szCs w:val="15"/>
                <w:color w:val="auto"/>
              </w:rPr>
            </w:pP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Totals</w:t>
            </w:r>
          </w:p>
        </w:tc>
        <w:tc>
          <w:tcPr>
            <w:tcW w:w="14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4"/>
              </w:rPr>
              <w:t>designated as</w:t>
            </w:r>
          </w:p>
        </w:tc>
        <w:tc>
          <w:tcPr>
            <w:tcW w:w="300" w:type="dxa"/>
            <w:vAlign w:val="bottom"/>
          </w:tcPr>
          <w:p>
            <w:pPr>
              <w:spacing w:after="0"/>
              <w:rPr>
                <w:sz w:val="15"/>
                <w:szCs w:val="15"/>
                <w:color w:val="auto"/>
              </w:rPr>
            </w:pPr>
          </w:p>
        </w:tc>
        <w:tc>
          <w:tcPr>
            <w:tcW w:w="11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Totals</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4"/>
              </w:rPr>
              <w:t>plans</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84"/>
              </w:rPr>
              <w:t>plans</w:t>
            </w: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5"/>
              </w:rPr>
              <w:t>cash flow hedges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(17,087)</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(2,122)</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(11,190)</w:t>
            </w:r>
          </w:p>
        </w:tc>
        <w:tc>
          <w:tcPr>
            <w:tcW w:w="0" w:type="dxa"/>
            <w:vAlign w:val="bottom"/>
          </w:tcPr>
          <w:p>
            <w:pPr>
              <w:spacing w:after="0"/>
              <w:rPr>
                <w:sz w:val="1"/>
                <w:szCs w:val="1"/>
                <w:color w:val="auto"/>
              </w:rPr>
            </w:pPr>
          </w:p>
        </w:tc>
      </w:tr>
      <w:tr>
        <w:trPr>
          <w:trHeight w:val="175"/>
        </w:trPr>
        <w:tc>
          <w:tcPr>
            <w:tcW w:w="2920" w:type="dxa"/>
            <w:vAlign w:val="bottom"/>
          </w:tcPr>
          <w:p>
            <w:pPr>
              <w:ind w:left="120"/>
              <w:spacing w:after="0" w:line="176" w:lineRule="exact"/>
              <w:rPr>
                <w:sz w:val="20"/>
                <w:szCs w:val="20"/>
                <w:color w:val="auto"/>
              </w:rPr>
            </w:pPr>
            <w:r>
              <w:rPr>
                <w:rFonts w:ascii="Arial" w:cs="Arial" w:eastAsia="Arial" w:hAnsi="Arial"/>
                <w:sz w:val="18"/>
                <w:szCs w:val="18"/>
                <w:color w:val="auto"/>
              </w:rPr>
              <w:t>Other comprehensive loss before</w:t>
            </w:r>
          </w:p>
        </w:tc>
        <w:tc>
          <w:tcPr>
            <w:tcW w:w="280" w:type="dxa"/>
            <w:vAlign w:val="bottom"/>
          </w:tcPr>
          <w:p>
            <w:pPr>
              <w:spacing w:after="0"/>
              <w:rPr>
                <w:sz w:val="15"/>
                <w:szCs w:val="15"/>
                <w:color w:val="auto"/>
              </w:rPr>
            </w:pPr>
          </w:p>
        </w:tc>
        <w:tc>
          <w:tcPr>
            <w:tcW w:w="1080" w:type="dxa"/>
            <w:vAlign w:val="bottom"/>
            <w:vMerge w:val="restart"/>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(5,048)</w:t>
            </w: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(5,048)</w:t>
            </w:r>
          </w:p>
        </w:tc>
        <w:tc>
          <w:tcPr>
            <w:tcW w:w="300" w:type="dxa"/>
            <w:vAlign w:val="bottom"/>
          </w:tcPr>
          <w:p>
            <w:pPr>
              <w:spacing w:after="0"/>
              <w:rPr>
                <w:sz w:val="15"/>
                <w:szCs w:val="15"/>
                <w:color w:val="auto"/>
              </w:rPr>
            </w:pPr>
          </w:p>
        </w:tc>
        <w:tc>
          <w:tcPr>
            <w:tcW w:w="1100" w:type="dxa"/>
            <w:vAlign w:val="bottom"/>
            <w:vMerge w:val="restart"/>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(19,627)</w:t>
            </w: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(19,627)</w:t>
            </w:r>
          </w:p>
        </w:tc>
        <w:tc>
          <w:tcPr>
            <w:tcW w:w="0" w:type="dxa"/>
            <w:vAlign w:val="bottom"/>
          </w:tcPr>
          <w:p>
            <w:pPr>
              <w:spacing w:after="0"/>
              <w:rPr>
                <w:sz w:val="1"/>
                <w:szCs w:val="1"/>
                <w:color w:val="auto"/>
              </w:rPr>
            </w:pPr>
          </w:p>
        </w:tc>
      </w:tr>
      <w:tr>
        <w:trPr>
          <w:trHeight w:val="230"/>
        </w:trPr>
        <w:tc>
          <w:tcPr>
            <w:tcW w:w="2920" w:type="dxa"/>
            <w:vAlign w:val="bottom"/>
          </w:tcPr>
          <w:p>
            <w:pPr>
              <w:ind w:left="120"/>
              <w:spacing w:after="0"/>
              <w:rPr>
                <w:sz w:val="20"/>
                <w:szCs w:val="20"/>
                <w:color w:val="auto"/>
              </w:rPr>
            </w:pPr>
            <w:r>
              <w:rPr>
                <w:rFonts w:ascii="Arial" w:cs="Arial" w:eastAsia="Arial" w:hAnsi="Arial"/>
                <w:sz w:val="18"/>
                <w:szCs w:val="18"/>
                <w:color w:val="auto"/>
              </w:rPr>
              <w:t>reclassifications (2)</w:t>
            </w:r>
          </w:p>
        </w:tc>
        <w:tc>
          <w:tcPr>
            <w:tcW w:w="28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Amounts reclassified from</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2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accumulated other comprehensive</w:t>
            </w:r>
          </w:p>
        </w:tc>
        <w:tc>
          <w:tcPr>
            <w:tcW w:w="2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ind w:left="8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ind w:left="8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30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920" w:type="dxa"/>
            <w:vAlign w:val="bottom"/>
          </w:tcPr>
          <w:p>
            <w:pPr>
              <w:ind w:left="220"/>
              <w:spacing w:after="0" w:line="156" w:lineRule="exact"/>
              <w:rPr>
                <w:sz w:val="20"/>
                <w:szCs w:val="20"/>
                <w:color w:val="auto"/>
              </w:rPr>
            </w:pPr>
            <w:r>
              <w:rPr>
                <w:rFonts w:ascii="Arial" w:cs="Arial" w:eastAsia="Arial" w:hAnsi="Arial"/>
                <w:sz w:val="18"/>
                <w:szCs w:val="18"/>
                <w:color w:val="auto"/>
              </w:rPr>
              <w:t>Net current-period other</w:t>
            </w:r>
          </w:p>
        </w:tc>
        <w:tc>
          <w:tcPr>
            <w:tcW w:w="280" w:type="dxa"/>
            <w:vAlign w:val="bottom"/>
          </w:tcPr>
          <w:p>
            <w:pPr>
              <w:spacing w:after="0"/>
              <w:rPr>
                <w:sz w:val="13"/>
                <w:szCs w:val="13"/>
                <w:color w:val="auto"/>
              </w:rPr>
            </w:pPr>
          </w:p>
        </w:tc>
        <w:tc>
          <w:tcPr>
            <w:tcW w:w="1080" w:type="dxa"/>
            <w:vAlign w:val="bottom"/>
            <w:vMerge w:val="restart"/>
          </w:tcPr>
          <w:p>
            <w:pPr>
              <w:ind w:left="8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(5,014)</w:t>
            </w:r>
          </w:p>
        </w:tc>
        <w:tc>
          <w:tcPr>
            <w:tcW w:w="28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(4,998)</w:t>
            </w:r>
          </w:p>
        </w:tc>
        <w:tc>
          <w:tcPr>
            <w:tcW w:w="300" w:type="dxa"/>
            <w:vAlign w:val="bottom"/>
          </w:tcPr>
          <w:p>
            <w:pPr>
              <w:spacing w:after="0"/>
              <w:rPr>
                <w:sz w:val="13"/>
                <w:szCs w:val="13"/>
                <w:color w:val="auto"/>
              </w:rPr>
            </w:pPr>
          </w:p>
        </w:tc>
        <w:tc>
          <w:tcPr>
            <w:tcW w:w="1100" w:type="dxa"/>
            <w:vAlign w:val="bottom"/>
            <w:vMerge w:val="restart"/>
          </w:tcPr>
          <w:p>
            <w:pPr>
              <w:ind w:left="8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(19,979)</w:t>
            </w:r>
          </w:p>
        </w:tc>
        <w:tc>
          <w:tcPr>
            <w:tcW w:w="3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(19,929)</w:t>
            </w:r>
          </w:p>
        </w:tc>
        <w:tc>
          <w:tcPr>
            <w:tcW w:w="0" w:type="dxa"/>
            <w:vAlign w:val="bottom"/>
          </w:tcPr>
          <w:p>
            <w:pPr>
              <w:spacing w:after="0"/>
              <w:rPr>
                <w:sz w:val="1"/>
                <w:szCs w:val="1"/>
                <w:color w:val="auto"/>
              </w:rPr>
            </w:pPr>
          </w:p>
        </w:tc>
      </w:tr>
      <w:tr>
        <w:trPr>
          <w:trHeight w:val="230"/>
        </w:trPr>
        <w:tc>
          <w:tcPr>
            <w:tcW w:w="2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 of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(22,101)</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(31,119)</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(22,101)</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(31,119)</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800" w:firstLine="8"/>
        <w:spacing w:after="0" w:line="277"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other comprehensive loss before reclassification for derivatives designated as cash flow hedges are recorded net of tax benefits of $1.8 million and $7.0 million for the three and six months ended September 30, 2019, respectively.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30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20" w:type="dxa"/>
            <w:vAlign w:val="bottom"/>
            <w:gridSpan w:val="5"/>
          </w:tcPr>
          <w:p>
            <w:pPr>
              <w:ind w:left="340"/>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7"/>
                <w:szCs w:val="17"/>
                <w:color w:val="auto"/>
              </w:rPr>
            </w:pPr>
          </w:p>
        </w:tc>
        <w:tc>
          <w:tcPr>
            <w:tcW w:w="26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9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20" w:type="dxa"/>
            <w:vAlign w:val="bottom"/>
            <w:vMerge w:val="restart"/>
          </w:tcPr>
          <w:p>
            <w:pPr>
              <w:ind w:left="20"/>
              <w:spacing w:after="0"/>
              <w:rPr>
                <w:sz w:val="20"/>
                <w:szCs w:val="20"/>
                <w:color w:val="auto"/>
              </w:rPr>
            </w:pPr>
            <w:r>
              <w:rPr>
                <w:rFonts w:ascii="Arial" w:cs="Arial" w:eastAsia="Arial" w:hAnsi="Arial"/>
                <w:sz w:val="18"/>
                <w:szCs w:val="18"/>
                <w:color w:val="auto"/>
                <w:w w:val="97"/>
              </w:rPr>
              <w:t>Amounts reclassified from accumulated other comprehensive loss: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10"/>
        </w:trPr>
        <w:tc>
          <w:tcPr>
            <w:tcW w:w="52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Post-retirement plans (Note 13):</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220" w:type="dxa"/>
            <w:vAlign w:val="bottom"/>
          </w:tcPr>
          <w:p>
            <w:pPr>
              <w:ind w:left="340"/>
              <w:spacing w:after="0" w:line="176" w:lineRule="exact"/>
              <w:rPr>
                <w:sz w:val="20"/>
                <w:szCs w:val="20"/>
                <w:color w:val="auto"/>
              </w:rPr>
            </w:pPr>
            <w:r>
              <w:rPr>
                <w:rFonts w:ascii="Arial" w:cs="Arial" w:eastAsia="Arial" w:hAnsi="Arial"/>
                <w:sz w:val="18"/>
                <w:szCs w:val="18"/>
                <w:color w:val="auto"/>
                <w:w w:val="95"/>
              </w:rPr>
              <w:t>Amortization of net actuarial loss included in net periodic benefit</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5"/>
                <w:szCs w:val="15"/>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5"/>
                <w:szCs w:val="15"/>
                <w:color w:val="auto"/>
              </w:rPr>
            </w:pPr>
          </w:p>
        </w:tc>
        <w:tc>
          <w:tcPr>
            <w:tcW w:w="520" w:type="dxa"/>
            <w:vAlign w:val="bottom"/>
            <w:vMerge w:val="restart"/>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5220" w:type="dxa"/>
            <w:vAlign w:val="bottom"/>
          </w:tcPr>
          <w:p>
            <w:pPr>
              <w:ind w:left="340"/>
              <w:spacing w:after="0"/>
              <w:rPr>
                <w:sz w:val="20"/>
                <w:szCs w:val="20"/>
                <w:color w:val="auto"/>
              </w:rPr>
            </w:pPr>
            <w:r>
              <w:rPr>
                <w:rFonts w:ascii="Arial" w:cs="Arial" w:eastAsia="Arial" w:hAnsi="Arial"/>
                <w:sz w:val="18"/>
                <w:szCs w:val="18"/>
                <w:color w:val="auto"/>
              </w:rPr>
              <w:t>cost</w:t>
            </w:r>
          </w:p>
        </w:tc>
        <w:tc>
          <w:tcPr>
            <w:tcW w:w="32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5220" w:type="dxa"/>
            <w:vAlign w:val="bottom"/>
          </w:tcPr>
          <w:p>
            <w:pPr>
              <w:ind w:left="460"/>
              <w:spacing w:after="0"/>
              <w:rPr>
                <w:sz w:val="20"/>
                <w:szCs w:val="20"/>
                <w:color w:val="auto"/>
              </w:rPr>
            </w:pPr>
            <w:r>
              <w:rPr>
                <w:rFonts w:ascii="Arial" w:cs="Arial" w:eastAsia="Arial" w:hAnsi="Arial"/>
                <w:sz w:val="18"/>
                <w:szCs w:val="18"/>
                <w:color w:val="auto"/>
              </w:rPr>
              <w:t>Net of tax</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Derivatives designated as cash flow hedges (Note 9):</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340"/>
              <w:spacing w:after="0"/>
              <w:rPr>
                <w:sz w:val="20"/>
                <w:szCs w:val="20"/>
                <w:color w:val="auto"/>
              </w:rPr>
            </w:pPr>
            <w:r>
              <w:rPr>
                <w:rFonts w:ascii="Arial" w:cs="Arial" w:eastAsia="Arial" w:hAnsi="Arial"/>
                <w:sz w:val="18"/>
                <w:szCs w:val="18"/>
                <w:color w:val="auto"/>
              </w:rPr>
              <w:t>Reclassification of hedge loss (gain)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5,364</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9,805</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5220" w:type="dxa"/>
            <w:vAlign w:val="bottom"/>
          </w:tcPr>
          <w:p>
            <w:pPr>
              <w:ind w:left="460"/>
              <w:spacing w:after="0"/>
              <w:rPr>
                <w:sz w:val="20"/>
                <w:szCs w:val="20"/>
                <w:color w:val="auto"/>
              </w:rPr>
            </w:pPr>
            <w:r>
              <w:rPr>
                <w:rFonts w:ascii="Arial" w:cs="Arial" w:eastAsia="Arial" w:hAnsi="Arial"/>
                <w:sz w:val="18"/>
                <w:szCs w:val="18"/>
                <w:color w:val="auto"/>
              </w:rPr>
              <w:t>Net of tax</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1"/>
        </w:trPr>
        <w:tc>
          <w:tcPr>
            <w:tcW w:w="5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stock-based compensation expense recognized in the condensed consolidated statements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4,472</w:t>
            </w:r>
          </w:p>
        </w:tc>
      </w:tr>
      <w:tr>
        <w:trPr>
          <w:trHeight w:val="230"/>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 expenses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6,826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15,365</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11,336</w:t>
            </w:r>
          </w:p>
        </w:tc>
      </w:tr>
      <w:tr>
        <w:trPr>
          <w:trHeight w:val="248"/>
        </w:trPr>
        <w:tc>
          <w:tcPr>
            <w:tcW w:w="5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14,799</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40" w:type="dxa"/>
            <w:vAlign w:val="bottom"/>
            <w:gridSpan w:val="4"/>
          </w:tcPr>
          <w:p>
            <w:pPr>
              <w:jc w:val="right"/>
              <w:ind w:right="21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80" w:type="dxa"/>
            <w:vAlign w:val="bottom"/>
          </w:tcPr>
          <w:p>
            <w:pPr>
              <w:spacing w:after="0"/>
              <w:rPr>
                <w:sz w:val="14"/>
                <w:szCs w:val="14"/>
                <w:color w:val="auto"/>
              </w:rPr>
            </w:pPr>
          </w:p>
        </w:tc>
      </w:tr>
      <w:tr>
        <w:trPr>
          <w:trHeight w:val="188"/>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36"/>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5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 Incentive Plan Options</w:t>
            </w:r>
          </w:p>
        </w:tc>
        <w:tc>
          <w:tcPr>
            <w:tcW w:w="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684</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r>
      <w:tr>
        <w:trPr>
          <w:trHeight w:val="229"/>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Restricted Stock Awards</w:t>
            </w: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14,115</w:t>
            </w:r>
          </w:p>
        </w:tc>
        <w:tc>
          <w:tcPr>
            <w:tcW w:w="12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8,642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24,502</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14,601</w:t>
            </w:r>
          </w:p>
        </w:tc>
      </w:tr>
      <w:tr>
        <w:trPr>
          <w:trHeight w:val="248"/>
        </w:trPr>
        <w:tc>
          <w:tcPr>
            <w:tcW w:w="52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14,799</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15,808</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80" w:firstLine="405"/>
        <w:spacing w:after="0" w:line="279" w:lineRule="auto"/>
        <w:rPr>
          <w:sz w:val="20"/>
          <w:szCs w:val="20"/>
          <w:color w:val="auto"/>
        </w:rPr>
      </w:pPr>
      <w:r>
        <w:rPr>
          <w:rFonts w:ascii="Arial" w:cs="Arial" w:eastAsia="Arial" w:hAnsi="Arial"/>
          <w:sz w:val="17"/>
          <w:szCs w:val="17"/>
          <w:color w:val="auto"/>
        </w:rPr>
        <w:t>As of September 30, 2020, there was $65.9 million of total unrecognized compensation cost related to unvested stock-based compensation agreements. The unrecognized compensation cost as of September 30, 2020 is expected to be fully amortized over the next 4.5 years. Absent the effect of accelerating stock compensation cost for any departures of employees who may continue to vest in their equity awards, the following table summarizes the unrecognized compensation cost and the weighted-average period the cost is expected to be amortized.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3"/>
          </w:tcPr>
          <w:p>
            <w:pPr>
              <w:ind w:left="1200"/>
              <w:spacing w:after="0"/>
              <w:rPr>
                <w:sz w:val="20"/>
                <w:szCs w:val="20"/>
                <w:color w:val="auto"/>
              </w:rPr>
            </w:pPr>
            <w:r>
              <w:rPr>
                <w:rFonts w:ascii="Arial" w:cs="Arial" w:eastAsia="Arial" w:hAnsi="Arial"/>
                <w:sz w:val="14"/>
                <w:szCs w:val="14"/>
                <w:b w:val="1"/>
                <w:bCs w:val="1"/>
                <w:color w:val="auto"/>
              </w:rPr>
              <w:t>September 30, 2020</w:t>
            </w:r>
          </w:p>
        </w:tc>
      </w:tr>
      <w:tr>
        <w:trPr>
          <w:trHeight w:val="134"/>
        </w:trPr>
        <w:tc>
          <w:tcPr>
            <w:tcW w:w="7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jc w:val="right"/>
              <w:ind w:right="339"/>
              <w:spacing w:after="0" w:line="135"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1"/>
                <w:szCs w:val="11"/>
                <w:color w:val="auto"/>
              </w:rPr>
            </w:pPr>
          </w:p>
        </w:tc>
        <w:tc>
          <w:tcPr>
            <w:tcW w:w="21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Weighted Average Remaining</w:t>
            </w:r>
          </w:p>
        </w:tc>
      </w:tr>
      <w:tr>
        <w:trPr>
          <w:trHeight w:val="188"/>
        </w:trPr>
        <w:tc>
          <w:tcPr>
            <w:tcW w:w="7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3"/>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 to be Recognized (in years)</w:t>
            </w:r>
          </w:p>
        </w:tc>
      </w:tr>
      <w:tr>
        <w:trPr>
          <w:trHeight w:val="224"/>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Incentive Plan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00" w:type="dxa"/>
            <w:vAlign w:val="bottom"/>
            <w:shd w:val="clear" w:color="auto" w:fill="CCEEFF"/>
          </w:tcPr>
          <w:p>
            <w:pPr>
              <w:spacing w:after="0"/>
              <w:rPr>
                <w:sz w:val="19"/>
                <w:szCs w:val="19"/>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3.79</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Stock Awards</w:t>
            </w: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60,963</w:t>
            </w:r>
          </w:p>
        </w:tc>
        <w:tc>
          <w:tcPr>
            <w:tcW w:w="226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1"/>
              </w:rPr>
              <w:t>1.87</w:t>
            </w:r>
          </w:p>
        </w:tc>
      </w:tr>
      <w:tr>
        <w:trPr>
          <w:trHeight w:val="248"/>
        </w:trPr>
        <w:tc>
          <w:tcPr>
            <w:tcW w:w="72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65,935</w:t>
            </w:r>
          </w:p>
        </w:tc>
        <w:tc>
          <w:tcPr>
            <w:tcW w:w="10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2020, there were 1,617,665 EIP options outstanding, of which 746,866 were unvested.</w:t>
      </w:r>
    </w:p>
    <w:p>
      <w:pPr>
        <w:spacing w:after="0" w:line="117"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During the three months ended September 30, 2020, the Board of Directors granted 159,939 restricted stock units to certain employees of the Company and granted 20,829 shares of Class A Restricted Common Stock to members of the Board of Directors. The aggregate value of these awards was $13.8 million based on the grant date stock price, which ranged from $75.11 to $87.38.</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For the quarterly offering period that closed on September 30, 2020, 59,214 Class A Common Stock shares were purchased by employees under the Company's Employee Stock Purchase Plan, or ESPP. Since the program's inception, 2,778,872 shares have been purchased by employees.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FAIR VALUE MEASUREMENTS</w:t>
      </w:r>
    </w:p>
    <w:p>
      <w:pPr>
        <w:spacing w:after="0" w:line="12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A financial instrument's level within the fair value hierarchy is based on the lowest level of input that is significant to the fair value measurement. The financial instruments measured at fair value in the accompanying condensed consolidated balance sheets consist of the following:</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0" w:type="dxa"/>
            <w:vAlign w:val="bottom"/>
            <w:gridSpan w:val="9"/>
          </w:tcPr>
          <w:p>
            <w:pPr>
              <w:jc w:val="center"/>
              <w:ind w:right="90"/>
              <w:spacing w:after="0"/>
              <w:rPr>
                <w:sz w:val="20"/>
                <w:szCs w:val="20"/>
                <w:color w:val="auto"/>
              </w:rPr>
            </w:pPr>
            <w:r>
              <w:rPr>
                <w:rFonts w:ascii="Arial" w:cs="Arial" w:eastAsia="Arial" w:hAnsi="Arial"/>
                <w:sz w:val="18"/>
                <w:szCs w:val="18"/>
                <w:b w:val="1"/>
                <w:bCs w:val="1"/>
                <w:color w:val="auto"/>
                <w:w w:val="91"/>
              </w:rPr>
              <w:t>Recurring Fair Value Measurements</w:t>
            </w: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466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88"/>
              </w:rPr>
              <w:t>as of September 30, 2020</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6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Assets:</w:t>
            </w:r>
          </w:p>
        </w:tc>
        <w:tc>
          <w:tcPr>
            <w:tcW w:w="15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deferred compensation plan asset (1)</w:t>
            </w:r>
          </w:p>
        </w:tc>
        <w:tc>
          <w:tcPr>
            <w:tcW w:w="15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1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12,913</w:t>
            </w: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12,913</w:t>
            </w:r>
          </w:p>
        </w:tc>
        <w:tc>
          <w:tcPr>
            <w:tcW w:w="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1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Contingent consideration liability (2)</w:t>
            </w:r>
          </w:p>
        </w:tc>
        <w:tc>
          <w:tcPr>
            <w:tcW w:w="17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derivative instruments (3)</w:t>
            </w:r>
          </w:p>
        </w:tc>
        <w:tc>
          <w:tcPr>
            <w:tcW w:w="15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660" w:type="dxa"/>
            <w:vAlign w:val="bottom"/>
          </w:tcPr>
          <w:p>
            <w:pPr>
              <w:ind w:left="120"/>
              <w:spacing w:after="0"/>
              <w:rPr>
                <w:sz w:val="20"/>
                <w:szCs w:val="20"/>
                <w:color w:val="auto"/>
              </w:rPr>
            </w:pPr>
            <w:r>
              <w:rPr>
                <w:rFonts w:ascii="Arial" w:cs="Arial" w:eastAsia="Arial" w:hAnsi="Arial"/>
                <w:sz w:val="18"/>
                <w:szCs w:val="18"/>
                <w:color w:val="auto"/>
              </w:rPr>
              <w:t>Long-term derivative instruments (3)</w:t>
            </w:r>
          </w:p>
        </w:tc>
        <w:tc>
          <w:tcPr>
            <w:tcW w:w="1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33,819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deferred compensation plan liability (1)</w:t>
            </w:r>
          </w:p>
        </w:tc>
        <w:tc>
          <w:tcPr>
            <w:tcW w:w="15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5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12,913</w:t>
            </w: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53,639</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67,775</w:t>
            </w:r>
          </w:p>
        </w:tc>
        <w:tc>
          <w:tcPr>
            <w:tcW w:w="20" w:type="dxa"/>
            <w:vAlign w:val="bottom"/>
          </w:tcPr>
          <w:p>
            <w:pPr>
              <w:spacing w:after="0"/>
              <w:rPr>
                <w:sz w:val="19"/>
                <w:szCs w:val="19"/>
                <w:color w:val="auto"/>
              </w:rPr>
            </w:pPr>
          </w:p>
        </w:tc>
      </w:tr>
      <w:tr>
        <w:trPr>
          <w:trHeight w:val="871"/>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520" w:type="dxa"/>
            <w:vAlign w:val="bottom"/>
          </w:tcPr>
          <w:p>
            <w:pPr>
              <w:jc w:val="right"/>
              <w:ind w:right="39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08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980" w:type="dxa"/>
            <w:vAlign w:val="bottom"/>
            <w:gridSpan w:val="9"/>
          </w:tcPr>
          <w:p>
            <w:pPr>
              <w:jc w:val="center"/>
              <w:ind w:right="90"/>
              <w:spacing w:after="0"/>
              <w:rPr>
                <w:sz w:val="20"/>
                <w:szCs w:val="20"/>
                <w:color w:val="auto"/>
              </w:rPr>
            </w:pPr>
            <w:r>
              <w:rPr>
                <w:rFonts w:ascii="Arial" w:cs="Arial" w:eastAsia="Arial" w:hAnsi="Arial"/>
                <w:sz w:val="18"/>
                <w:szCs w:val="18"/>
                <w:b w:val="1"/>
                <w:bCs w:val="1"/>
                <w:color w:val="auto"/>
                <w:w w:val="91"/>
              </w:rPr>
              <w:t>Recurring Fair Value Measurements</w:t>
            </w:r>
          </w:p>
        </w:tc>
        <w:tc>
          <w:tcPr>
            <w:tcW w:w="940" w:type="dxa"/>
            <w:vAlign w:val="bottom"/>
          </w:tcPr>
          <w:p>
            <w:pPr>
              <w:spacing w:after="0"/>
              <w:rPr>
                <w:sz w:val="17"/>
                <w:szCs w:val="17"/>
                <w:color w:val="auto"/>
              </w:rPr>
            </w:pPr>
          </w:p>
        </w:tc>
      </w:tr>
      <w:tr>
        <w:trPr>
          <w:trHeight w:val="229"/>
        </w:trPr>
        <w:tc>
          <w:tcPr>
            <w:tcW w:w="6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8"/>
                <w:szCs w:val="18"/>
                <w:b w:val="1"/>
                <w:bCs w:val="1"/>
                <w:color w:val="auto"/>
                <w:w w:val="91"/>
              </w:rPr>
              <w:t>as of March 31, 2020</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223"/>
        </w:trPr>
        <w:tc>
          <w:tcPr>
            <w:tcW w:w="6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Level 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10"/>
        </w:trPr>
        <w:tc>
          <w:tcPr>
            <w:tcW w:w="6200" w:type="dxa"/>
            <w:vAlign w:val="bottom"/>
          </w:tcPr>
          <w:p>
            <w:pPr>
              <w:ind w:left="20"/>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229"/>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deferred compensation plan asset (1)</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w:t>
            </w:r>
          </w:p>
        </w:tc>
      </w:tr>
      <w:tr>
        <w:trPr>
          <w:trHeight w:val="223"/>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r>
      <w:tr>
        <w:trPr>
          <w:trHeight w:val="20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6200" w:type="dxa"/>
            <w:vAlign w:val="bottom"/>
          </w:tcPr>
          <w:p>
            <w:pPr>
              <w:ind w:left="120"/>
              <w:spacing w:after="0"/>
              <w:rPr>
                <w:sz w:val="20"/>
                <w:szCs w:val="20"/>
                <w:color w:val="auto"/>
              </w:rPr>
            </w:pPr>
            <w:r>
              <w:rPr>
                <w:rFonts w:ascii="Arial" w:cs="Arial" w:eastAsia="Arial" w:hAnsi="Arial"/>
                <w:sz w:val="18"/>
                <w:szCs w:val="18"/>
                <w:color w:val="auto"/>
              </w:rPr>
              <w:t>Contingent consideration liability (2)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29"/>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derivative instruments (3)</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18,831</w:t>
            </w:r>
          </w:p>
        </w:tc>
      </w:tr>
      <w:tr>
        <w:trPr>
          <w:trHeight w:val="229"/>
        </w:trPr>
        <w:tc>
          <w:tcPr>
            <w:tcW w:w="6200" w:type="dxa"/>
            <w:vAlign w:val="bottom"/>
          </w:tcPr>
          <w:p>
            <w:pPr>
              <w:ind w:left="120"/>
              <w:spacing w:after="0"/>
              <w:rPr>
                <w:sz w:val="20"/>
                <w:szCs w:val="20"/>
                <w:color w:val="auto"/>
              </w:rPr>
            </w:pPr>
            <w:r>
              <w:rPr>
                <w:rFonts w:ascii="Arial" w:cs="Arial" w:eastAsia="Arial" w:hAnsi="Arial"/>
                <w:sz w:val="18"/>
                <w:szCs w:val="18"/>
                <w:color w:val="auto"/>
              </w:rPr>
              <w:t>Long-term derivative instruments (3)</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37,819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37,819</w:t>
            </w:r>
          </w:p>
        </w:tc>
      </w:tr>
      <w:tr>
        <w:trPr>
          <w:trHeight w:val="230"/>
        </w:trPr>
        <w:tc>
          <w:tcPr>
            <w:tcW w:w="6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deferred compensation plan liability (1)</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5,879</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5,879</w:t>
            </w:r>
          </w:p>
        </w:tc>
        <w:tc>
          <w:tcPr>
            <w:tcW w:w="3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56,650</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63,753</w:t>
            </w:r>
          </w:p>
        </w:tc>
      </w:tr>
    </w:tbl>
    <w:p>
      <w:pPr>
        <w:spacing w:after="0" w:line="94" w:lineRule="exact"/>
        <w:rPr>
          <w:sz w:val="20"/>
          <w:szCs w:val="20"/>
          <w:color w:val="auto"/>
        </w:rPr>
      </w:pPr>
    </w:p>
    <w:p>
      <w:pPr>
        <w:ind w:right="100" w:firstLine="8"/>
        <w:spacing w:after="0" w:line="259"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Investments in this category consist primarily of mutual funds whose fair values are determined by reference to the quoted market price per unit in active markets multiplied by the number of units held without consideration of transaction costs. These assets represent investments held in a consolidated trust to fund the Company's non-qualified deferred compensation plan and are recorded in other long-term assets and other long-term liabilities on our condensed consolidated balance sheets.</w:t>
      </w:r>
    </w:p>
    <w:p>
      <w:pPr>
        <w:spacing w:after="0" w:line="78" w:lineRule="exact"/>
        <w:rPr>
          <w:rFonts w:ascii="Arial" w:cs="Arial" w:eastAsia="Arial" w:hAnsi="Arial"/>
          <w:sz w:val="18"/>
          <w:szCs w:val="18"/>
          <w:color w:val="auto"/>
        </w:rPr>
      </w:pPr>
    </w:p>
    <w:p>
      <w:pPr>
        <w:ind w:right="260" w:firstLine="8"/>
        <w:spacing w:after="0" w:line="263"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recognized a contingent consideration liability of $3.6 million in connection with its acquisition of Aquilent in fiscal 2017. As of both September 30, 2020 and March 31, 2020, the estimated fair value of the contingent consideration liability was $1.2 million, and was valued using probability-weighted cash flows, which is based on the use of Level 3 fair value measurement inputs.</w:t>
      </w:r>
    </w:p>
    <w:p>
      <w:pPr>
        <w:spacing w:after="0" w:line="75" w:lineRule="exact"/>
        <w:rPr>
          <w:rFonts w:ascii="Arial" w:cs="Arial" w:eastAsia="Arial" w:hAnsi="Arial"/>
          <w:sz w:val="18"/>
          <w:szCs w:val="18"/>
          <w:color w:val="auto"/>
        </w:rPr>
      </w:pPr>
    </w:p>
    <w:p>
      <w:pPr>
        <w:jc w:val="both"/>
        <w:ind w:right="360" w:firstLine="8"/>
        <w:spacing w:after="0" w:line="286" w:lineRule="auto"/>
        <w:tabs>
          <w:tab w:leader="none" w:pos="2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Company’s interest rate swaps are considered over-the-counter derivatives and fair value is estimated based on the present value of future cash flows using a model-derived valuation that uses Level 2 observable inputs such as interest rate yield curves. See Note 9 to the condensed consolidated financial statements for further discussion on the Company’s derivative instruments designated as cash flow hedges.</w:t>
      </w:r>
    </w:p>
    <w:p>
      <w:pPr>
        <w:spacing w:after="0" w:line="5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The fair value of the Company's cash and cash equivalents, which are Level 1 inputs, approximated its carrying values at September 30, 2020 and March 31, 2020. The fair value of the Company's debt instruments approximated its carrying value at September 30, 2020 and March 31, 2020. The fair value of debt is determined using quoted prices or other market information obtained from recent trading activity of each debt tranche in markets that are not active (Level 2 inputs). The fair value is corroborated by prices derived from the interest rate spreads of recently completed leveraged loan transactions of a similar credit profile, industry, and terms to that of the Company. The fair value of the Senior Notes is determined using quoted prices or other market information obtained from recent trading activity in the high-yield bond market (Level 2 inputs).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RELATED-PARTY TRANSACTIONS</w:t>
      </w:r>
    </w:p>
    <w:p>
      <w:pPr>
        <w:spacing w:after="0" w:line="22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Two of our directors currently serve on the board of directors of a subcontractor to which the Company subcontracted $21.7 million and $15.6 million of services for the three months ended September 30, 2020 and 2019, respectively, and $45.0 million and $39.8 million for the six months ended September 30, 2020 and 2019, respectively.</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As of September 30, 2020 and March 31, 2020, the Company was contingently liable under open standby letters of credit and bank guarantees issued by our banks in favor of third parties that totaled $11.3 million and $9.7 million, respectively. These letters of credit and bank guarantees primarily support insurance and bid and performance obligations. At both September 30, 2020 and March 31, 2020, approximately $0.9 million of these instruments reduced the available borrowings under the Revolving Credit Facility. The remainder is guaranteed under a separate $20.0 million facility, originally established in fiscal 2015 and most recently increased to $20.0 million in the first quarter of fiscal 2021, of which $9.6 million and $6.2 million were available to the Company at September 30, 2020 and March 31, 2020, respectively.</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10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 - Provision for Claimed Indirect Costs</w:t>
      </w:r>
    </w:p>
    <w:p>
      <w:pPr>
        <w:spacing w:after="0" w:line="117"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For both the three months ended September 30, 2020 and 2019, approximately 97% of the Company's revenue was generated from contracts where the end user was an agency or department of the U.S. government, including contracts where the Company performed either as a prime contractor or subcontractor, and regardless of the geographic location in which the work was performed. For both the six months ended September 30, 2020 and 2019, approximately 97% of the Company's revenue was generated from such contracts. U.S. government contracts and subcontracts are subject to extensive legal and regulatory requirements. From time to time and in the ordinary course of business, agencies of the U.S. government audit our claimed indirect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(DCAA), routinely audit our claimed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and subcontracts. U.S. government audits, inquiries, or investigations of the Company, whether related to the Company's U.S. government contracts or subcontracts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claimed indirect costs for any audit, inquiry, or investigation of which it is aware that may be subject to any reductions and/or penalties. As of September 30, 2020 and March 31, 2020, the Company had recorded liabilities of approximately $237.5 million and $224.6 million, respectively, for estimated adjustments to claimed indirect costs based on its historical DCAA audit results, including the final resolution of such audits with the Defense Contract Management Agency, for claimed indirect costs incurred subsequent to fiscal 2011, and for contracts not yet closed that are subject to audit and final resolution.</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2020 and March 31, 2020, there were no material amounts accrued in the condensed consolidated financial statements related to these proceedings.</w:t>
      </w:r>
    </w:p>
    <w:p>
      <w:pPr>
        <w:spacing w:after="0" w:line="60"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On June 7, 2017, Booz Allen Hamilton Inc.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7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9" w:lineRule="exact"/>
        <w:rPr>
          <w:sz w:val="20"/>
          <w:szCs w:val="20"/>
          <w:color w:val="auto"/>
        </w:rPr>
      </w:pPr>
    </w:p>
    <w:p>
      <w:pPr>
        <w:jc w:val="both"/>
        <w:ind w:left="2100" w:right="2020" w:firstLine="10"/>
        <w:spacing w:after="0" w:line="323" w:lineRule="auto"/>
        <w:rPr>
          <w:sz w:val="20"/>
          <w:szCs w:val="20"/>
          <w:color w:val="auto"/>
        </w:rPr>
      </w:pPr>
      <w:r>
        <w:rPr>
          <w:rFonts w:ascii="Arial" w:cs="Arial" w:eastAsia="Arial" w:hAnsi="Arial"/>
          <w:sz w:val="16"/>
          <w:szCs w:val="16"/>
          <w:b w:val="1"/>
          <w:bCs w:val="1"/>
          <w:color w:val="auto"/>
        </w:rPr>
        <w:t>NOTES TO UNAUDITED CONDENSED CONSOLIDATED FINANCIAL STATEMENTS (Amounts in tables in thousands, except share and per share data or unless otherwise noted)</w:t>
      </w:r>
    </w:p>
    <w:p>
      <w:pPr>
        <w:spacing w:after="0" w:line="30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6"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2020 filed with the Securities and Exchange Commission on May 26, 2020,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8"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i w:val="1"/>
          <w:iCs w:val="1"/>
          <w:color w:val="auto"/>
        </w:rPr>
        <w:t>Our fiscal year ends March 31 and, unless otherwise noted, references to years or fiscal are for fiscal years ended March 31. See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are a leading provider of management and technology consulting, analytics, engineering, digital solutions, mission operations, and cyber services to U.S. and international governments, major corporations, and not-for-profit organizations. Our ability to deliver value to our clients has always been, and continues to be, a product of the strong character, expertise and tremendous passion of our people. Our approximately 27,600 employees work to solve hard problems by making clients' missions their own, combining decades of consulting and domain expertise with functional expertise in areas such as analytics, digital solutions, engineering, and cyber, all fostered by a culture of innovation that extends to all reaches of the company.</w:t>
      </w:r>
    </w:p>
    <w:p>
      <w:pPr>
        <w:spacing w:after="0" w:line="53"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Through our dedication to our clients' missions, and a commitment to evolving our business to address their client needs, we have longstanding relationships with our clients, some more than 75 years. We support critical missions for a diverse base of federal government clients, including nearly all of the U.S. government's cabinet-level departments, as well as increasingly for top-tier commercial and international clients. We support our federal government clients by helping them tackle their most complex and pressing challenges such as protecting soldiers in combat and supporting their families, advancing cyber capabilities, keeping our national infrastructure secure, enabling and enhancing digital services, transforming the healthcare system, and improving government efficiency to achieve better outcomes. We serve commercial clients across industries including aerospace, financial services, health and life sciences, energy, and transportation. Our international clients are primarily in Europe, the Middle East and Southeast Asia.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121"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During the second quarter of fiscal 2021, the Company generated year over year revenue growth, delivered improved earnings over the prior year period, and increased client staff headcount.</w:t>
      </w:r>
    </w:p>
    <w:p>
      <w:pPr>
        <w:spacing w:after="0" w:line="62"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Revenue increased 11.0% from the three months ended September 30, 2019 to the three months ended September 30, 2020, and increased 9.1% from the six months ended September 30, 2019 primarily driven by sustained strength in client demand and headcount growth to meet that demand. The Company also benefited from higher staff utilization over the prior year period driven by fewer paid time off (PTO) days taken by our employees. Revenue growth also increased to a lesser extent by an increase in billable expenses.</w:t>
      </w:r>
    </w:p>
    <w:p>
      <w:pPr>
        <w:spacing w:after="0" w:line="79" w:lineRule="exact"/>
        <w:rPr>
          <w:sz w:val="20"/>
          <w:szCs w:val="20"/>
          <w:color w:val="auto"/>
        </w:rPr>
      </w:pPr>
    </w:p>
    <w:p>
      <w:pPr>
        <w:jc w:val="both"/>
        <w:ind w:right="200" w:firstLine="405"/>
        <w:spacing w:after="0" w:line="287" w:lineRule="auto"/>
        <w:rPr>
          <w:sz w:val="20"/>
          <w:szCs w:val="20"/>
          <w:color w:val="auto"/>
        </w:rPr>
      </w:pPr>
      <w:r>
        <w:rPr>
          <w:rFonts w:ascii="Arial" w:cs="Arial" w:eastAsia="Arial" w:hAnsi="Arial"/>
          <w:sz w:val="16"/>
          <w:szCs w:val="16"/>
          <w:color w:val="auto"/>
        </w:rPr>
        <w:t>Operating income increased 20.5% to $207.2 million in the three months ended September 30, 2020 from $172.0 million in the three months ended September 30, 2019, which reflects an increase in operating margin to 10.3% from 9.5%. Operating income increased 13.7% to $399.1 million in the six months ended September 30, 2020 from $351.1 million in the six months ended September 30, 2019, while operating margin increased from 9.6% to</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10.0%. The increases in the operating income for three months and six months ended September 30, 2020 were primarily driven by the same factors as growth in revenue, strong contract level performance, ongoing cost management efforts, and reductions in certain types of expenses, like travel and meetings. These were partially offset by the inability to recognize revenue on, or bill for, fee on certain contracts involving a ready workforce of approximately $7.0 million for the three months ended September 30, 2020 and approximately $19.0 million for the six months ended September 30, 2020. The Company also incurred incremental legal costs during the three and six months ended September 30, 2020 in response to the U.S. Department of Justice investigation and matters which purport to relate to the investigation, a portion of which was offset by the receipt of insurance reimbursements. We expect to incur additional costs in the future. Based on the information currently available, the Company is not able to reasonably estimate the expected long-term incremental legal costs or amounts that may be reimbursed associated with this investigation and these related matters.</w:t>
      </w: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auto"/>
        </w:rPr>
        <w:t>We are monitoring the evolving situation related to the COVID-19 outbreak and we continue to work with our stakeholders to assess further possible implications to our business and to take actions in an effort to mitigate adverse consequences. To protect employee health and safety while COVID-19 remains a threat, we plan to continue to deliver a majority of our services to clients via telework for the foreseeable future. In cases where telework options or effectiveness are limited, we are working closely with clients to achieve safe return plans guided by federal, state and local policies and advice from other experts. We are also working closely with our clients, where classified work is concentrated, to retain continuity of service and ensure a ready workforce. We expect to continue to be impacted by the inability of certain employees to perform their contract requirements at their designated work locations due to facility closures or restrictions as a result of COVID-19 and cannot perform such work remotely. While the CARES Act contains a provision that allows federal contractors to seek specified reimbursement for certain employees who are unable to perform their contract requirements due to government restrictions and we have been reimbursed for certain of these costs, such provision does not require the government to reimburse a contractor and reimbursements are also subject to limitations and do not currently extend past December 11, 2020. As a result, we believe that some of our costs incurred prior to the passage of the CARES Act for certain employees who are unable to perform their contract requirements due to government restrictions will not be reimbursed. However, going forward we do not expect such non-reimbursed fees to have a material impact on earnings as the majority of our affected workforce have returned to client site offices or may do so prior to December 11, 2020. Through September 30, 2020, we have withheld recognition of revenue associated with these amounts at risk of not being reimbursed. Although we cannot currently predict the overall impact of the COVID-19 outbreak, the longer the duration of the event, the more likely it is that it could have an adverse effect on our business, financial position, results of operations and/or cash flows.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right="20" w:firstLine="405"/>
        <w:spacing w:after="0" w:line="284" w:lineRule="auto"/>
        <w:rPr>
          <w:sz w:val="20"/>
          <w:szCs w:val="20"/>
          <w:color w:val="auto"/>
        </w:rPr>
      </w:pPr>
      <w:r>
        <w:rPr>
          <w:rFonts w:ascii="Arial" w:cs="Arial" w:eastAsia="Arial" w:hAnsi="Arial"/>
          <w:sz w:val="16"/>
          <w:szCs w:val="16"/>
          <w:color w:val="auto"/>
        </w:rPr>
        <w:t>We publicly disclose certain non-GAAP financial measurements, including Revenue, Excluding Billable Expenses, Adjusted Operating Income, Adjusted EBITDA, Adjusted EBITDA Margin on Revenue, Adjusted EBITDA Margin on Revenue, Excluding Billable Expenses,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on Revenue, Adjusted EBITDA Margin on Revenue, Excluding Billable Expenses,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In addition,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Revenue, Excluding Billable Expenses, Adjusted Operating Income, Adjusted EBITDA, Adjusted EBITDA Margin on Revenue, Adjusted EBITDA Margin on Revenue, Excluding Billable Expenses,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revenue to Revenue, Excluding Billable Expenses, operating income to Adjusted Operating Income, net income to Adjusted EBITDA, Adjusted EBITDA Margin on Revenue, Adjusted EBITDA Margin on Revenue, Excluding Billable Expenses, Adjusted Net Income and Adjusted Diluted EPS, and net cash provided by operating activities to Free Cash Flow, (ii) use Revenue, Excluding Billable Expenses, Adjusted Operating Income, Adjusted EBITDA, Adjusted EBITDA Margin on Revenue, Adjusted EBITDA Margin on Revenue, Excluding Billable Expenses, Adjusted Net Income, and Adjusted Diluted EPS in addition to, and not as an alternative to, revenue, operating income, net income or diluted EPS, as measures of operating results, each as defined under GAAP and (iii) use Free Cash Flow in addition to, and not as an alternative to, net cash provided by operating activities as a measure of liquidity, each as defined under GAAP. We have defined the aforementioned non-GAAP measures as follows:</w:t>
      </w:r>
    </w:p>
    <w:p>
      <w:pPr>
        <w:spacing w:after="0" w:line="65" w:lineRule="exact"/>
        <w:rPr>
          <w:sz w:val="20"/>
          <w:szCs w:val="20"/>
          <w:color w:val="auto"/>
        </w:rPr>
      </w:pPr>
    </w:p>
    <w:p>
      <w:pPr>
        <w:ind w:left="1300" w:hanging="644"/>
        <w:spacing w:after="0" w:line="259" w:lineRule="auto"/>
        <w:tabs>
          <w:tab w:leader="none" w:pos="1295"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 Excluding Billable Expenses" represents revenue less billable expenses. We use Revenue, Excluding Billable Expenses because it provides management useful information about the Company's operating performance by excluding the impact of costs that are not indicative of the level of productivity of our consulting staff headcount and our overall direct labor, which management believes provides useful information to our investors about our core operations.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right="60" w:hanging="644"/>
        <w:spacing w:after="0" w:line="279" w:lineRule="auto"/>
        <w:tabs>
          <w:tab w:leader="none" w:pos="12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Operating Income" represents operating income before transaction costs, fees, losses, and expenses, including fees associated with debt prepayments and supplemental employee benefits due to the COVID-19 outbreak.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63" w:lineRule="exact"/>
        <w:rPr>
          <w:rFonts w:ascii="Arial" w:cs="Arial" w:eastAsia="Arial" w:hAnsi="Arial"/>
          <w:sz w:val="17"/>
          <w:szCs w:val="17"/>
          <w:color w:val="auto"/>
        </w:rPr>
      </w:pPr>
    </w:p>
    <w:p>
      <w:pPr>
        <w:ind w:left="1300" w:hanging="644"/>
        <w:spacing w:after="0" w:line="271" w:lineRule="auto"/>
        <w:tabs>
          <w:tab w:leader="none" w:pos="1295"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"Adjusted EBITDA" represents net income before income taxes, net interest and other expense and depreciation and amortization and before certain other items, including transaction costs, fees, losses, and expenses, including fees associated with debt prepayments and supplemental employee benefits due to the COVID-19 outbreak. "Adjusted EBITDA Margin on Revenue" is calculated as Adjusted EBITDA divided by revenue. "Adjusted EBITDA Margin on Revenue, Excluding Billable Expenses" is calculated as Adjusted EBITDA divided by Revenue, Excluding Billable Expenses. The Company prepares Adjusted EBITDA, Adjusted EBITDA Margin on Revenue, and Adjusted EBITDA Margin on Revenue, Excluding Billable Expenses to eliminate the impact of items it does not consider indicative of ongoing operating performance due to their inherent unusual, extraordinary or non-recurring nature or because they result from an event of a similar nature.</w:t>
      </w:r>
    </w:p>
    <w:p>
      <w:pPr>
        <w:spacing w:after="0" w:line="70" w:lineRule="exact"/>
        <w:rPr>
          <w:rFonts w:ascii="Arial" w:cs="Arial" w:eastAsia="Arial" w:hAnsi="Arial"/>
          <w:sz w:val="17"/>
          <w:szCs w:val="17"/>
          <w:color w:val="auto"/>
        </w:rPr>
      </w:pPr>
    </w:p>
    <w:p>
      <w:pPr>
        <w:ind w:left="1300" w:hanging="644"/>
        <w:spacing w:after="0" w:line="296" w:lineRule="auto"/>
        <w:tabs>
          <w:tab w:leader="none" w:pos="1295"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supplemental employee benefits due to the COVID-19 outbreak, (ii) research and development tax credit, (iii) release of income tax reserves, (iv) loss on debt extinguishment and (v) amortization of debt issuance costs, in each case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53" w:lineRule="exact"/>
        <w:rPr>
          <w:rFonts w:ascii="Arial" w:cs="Arial" w:eastAsia="Arial" w:hAnsi="Arial"/>
          <w:sz w:val="16"/>
          <w:szCs w:val="16"/>
          <w:color w:val="auto"/>
        </w:rPr>
      </w:pPr>
    </w:p>
    <w:p>
      <w:pPr>
        <w:jc w:val="both"/>
        <w:ind w:left="1300" w:right="20" w:hanging="644"/>
        <w:spacing w:after="0" w:line="263"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condensed consolidated financial statements.</w:t>
      </w:r>
    </w:p>
    <w:p>
      <w:pPr>
        <w:spacing w:after="0" w:line="75" w:lineRule="exact"/>
        <w:rPr>
          <w:rFonts w:ascii="Arial" w:cs="Arial" w:eastAsia="Arial" w:hAnsi="Arial"/>
          <w:sz w:val="18"/>
          <w:szCs w:val="18"/>
          <w:color w:val="auto"/>
        </w:rPr>
      </w:pPr>
    </w:p>
    <w:p>
      <w:pPr>
        <w:ind w:left="1300" w:right="300" w:hanging="644"/>
        <w:spacing w:after="0" w:line="277" w:lineRule="auto"/>
        <w:tabs>
          <w:tab w:leader="none" w:pos="12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"Free Cash Flow" represents the net cash generated from operating activities less the impact of purchases of property, equipment and software.</w:t>
      </w:r>
    </w:p>
    <w:p>
      <w:pPr>
        <w:spacing w:after="0" w:line="200" w:lineRule="exact"/>
        <w:rPr>
          <w:sz w:val="20"/>
          <w:szCs w:val="20"/>
          <w:color w:val="auto"/>
        </w:rPr>
      </w:pPr>
    </w:p>
    <w:p>
      <w:pPr>
        <w:spacing w:after="0" w:line="3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20" w:firstLine="405"/>
        <w:spacing w:after="0" w:line="263" w:lineRule="auto"/>
        <w:rPr>
          <w:sz w:val="20"/>
          <w:szCs w:val="20"/>
          <w:color w:val="auto"/>
        </w:rPr>
      </w:pPr>
      <w:r>
        <w:rPr>
          <w:rFonts w:ascii="Arial" w:cs="Arial" w:eastAsia="Arial" w:hAnsi="Arial"/>
          <w:sz w:val="18"/>
          <w:szCs w:val="18"/>
          <w:color w:val="auto"/>
        </w:rPr>
        <w:t>Below is a reconciliation of Revenue, Excluding Billable Expenses, Adjusted Operating Income, Adjusted EBITDA, Adjusted EBITDA Margin on Revenue, Adjusted EBITDA Margin on Revenue, Excluding Billable Expenses, Adjusted Net Income, Adjusted Diluted EPS, and Free Cash Flow to the most directly comparable financial measure calculated and presented in accordance with GAAP.</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8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960" w:type="dxa"/>
            <w:vAlign w:val="bottom"/>
            <w:gridSpan w:val="4"/>
          </w:tcPr>
          <w:p>
            <w:pPr>
              <w:jc w:val="center"/>
              <w:ind w:right="191"/>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center"/>
              <w:ind w:left="812"/>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792"/>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share and per share data)</w:t>
            </w:r>
          </w:p>
        </w:tc>
        <w:tc>
          <w:tcPr>
            <w:tcW w:w="2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4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2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5"/>
              </w:rPr>
              <w:t>(Unaudited)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3"/>
          </w:tcPr>
          <w:p>
            <w:pPr>
              <w:jc w:val="center"/>
              <w:ind w:left="792"/>
              <w:spacing w:after="0"/>
              <w:rPr>
                <w:sz w:val="20"/>
                <w:szCs w:val="20"/>
                <w:color w:val="auto"/>
              </w:rPr>
            </w:pPr>
            <w:r>
              <w:rPr>
                <w:rFonts w:ascii="Arial" w:cs="Arial" w:eastAsia="Arial" w:hAnsi="Arial"/>
                <w:sz w:val="14"/>
                <w:szCs w:val="14"/>
                <w:b w:val="1"/>
                <w:bCs w:val="1"/>
                <w:color w:val="auto"/>
                <w:w w:val="97"/>
              </w:rPr>
              <w:t>(Unaudited)</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 Excluding Billable Expenses</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2,019,185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1,819,577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3,975,638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3,644,753</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Billable expenses</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603,652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539,846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1,152,729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1,091,021</w:t>
            </w:r>
          </w:p>
        </w:tc>
        <w:tc>
          <w:tcPr>
            <w:tcW w:w="0" w:type="dxa"/>
            <w:vAlign w:val="bottom"/>
          </w:tcPr>
          <w:p>
            <w:pPr>
              <w:spacing w:after="0"/>
              <w:rPr>
                <w:sz w:val="1"/>
                <w:szCs w:val="1"/>
                <w:color w:val="auto"/>
              </w:rPr>
            </w:pPr>
          </w:p>
        </w:tc>
      </w:tr>
      <w:tr>
        <w:trPr>
          <w:trHeight w:val="223"/>
        </w:trPr>
        <w:tc>
          <w:tcPr>
            <w:tcW w:w="4660" w:type="dxa"/>
            <w:vAlign w:val="bottom"/>
          </w:tcPr>
          <w:p>
            <w:pPr>
              <w:ind w:left="460"/>
              <w:spacing w:after="0"/>
              <w:rPr>
                <w:sz w:val="20"/>
                <w:szCs w:val="20"/>
                <w:color w:val="auto"/>
              </w:rPr>
            </w:pPr>
            <w:r>
              <w:rPr>
                <w:rFonts w:ascii="Arial" w:cs="Arial" w:eastAsia="Arial" w:hAnsi="Arial"/>
                <w:sz w:val="18"/>
                <w:szCs w:val="18"/>
                <w:color w:val="auto"/>
              </w:rPr>
              <w:t>Revenue, Excluding Billable Expenses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1,415,533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1,279,731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2,822,909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2,553,732</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Adjusted Operating Income</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Operating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207,221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172,035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399,108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351,081</w:t>
            </w: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supplemental employee benefits (a)</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460"/>
              <w:spacing w:after="0"/>
              <w:rPr>
                <w:sz w:val="20"/>
                <w:szCs w:val="20"/>
                <w:color w:val="auto"/>
              </w:rPr>
            </w:pPr>
            <w:r>
              <w:rPr>
                <w:rFonts w:ascii="Arial" w:cs="Arial" w:eastAsia="Arial" w:hAnsi="Arial"/>
                <w:sz w:val="18"/>
                <w:szCs w:val="18"/>
                <w:color w:val="auto"/>
              </w:rPr>
              <w:t>Adjusted Operating Income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207,388</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172,035</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399,617</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351,081</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2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6"/>
                <w:szCs w:val="16"/>
                <w:b w:val="1"/>
                <w:bCs w:val="1"/>
                <w:i w:val="1"/>
                <w:iCs w:val="1"/>
                <w:color w:val="auto"/>
              </w:rPr>
              <w:t>EBITDA, Adjusted EBITDA, Adjusted EBITDA Margin on Revenue &amp; Adjusted</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w w:val="93"/>
              </w:rPr>
              <w:t>EBITDA Margin on Revenue, Excluding Billable Expenses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136,081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114,325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265,410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231,711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39,319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33,852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80,806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72,296</w:t>
            </w: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Interest and other, net (b)</w:t>
            </w:r>
          </w:p>
        </w:tc>
        <w:tc>
          <w:tcPr>
            <w:tcW w:w="26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31,821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23,858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52,892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47,074</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21,015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19,632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41,747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39,653</w:t>
            </w:r>
          </w:p>
        </w:tc>
        <w:tc>
          <w:tcPr>
            <w:tcW w:w="0" w:type="dxa"/>
            <w:vAlign w:val="bottom"/>
          </w:tcPr>
          <w:p>
            <w:pPr>
              <w:spacing w:after="0"/>
              <w:rPr>
                <w:sz w:val="1"/>
                <w:szCs w:val="1"/>
                <w:color w:val="auto"/>
              </w:rPr>
            </w:pPr>
          </w:p>
        </w:tc>
      </w:tr>
      <w:tr>
        <w:trPr>
          <w:trHeight w:val="223"/>
        </w:trPr>
        <w:tc>
          <w:tcPr>
            <w:tcW w:w="4660" w:type="dxa"/>
            <w:vAlign w:val="bottom"/>
          </w:tcPr>
          <w:p>
            <w:pPr>
              <w:ind w:left="460"/>
              <w:spacing w:after="0"/>
              <w:rPr>
                <w:sz w:val="20"/>
                <w:szCs w:val="20"/>
                <w:color w:val="auto"/>
              </w:rPr>
            </w:pPr>
            <w:r>
              <w:rPr>
                <w:rFonts w:ascii="Arial" w:cs="Arial" w:eastAsia="Arial" w:hAnsi="Arial"/>
                <w:sz w:val="18"/>
                <w:szCs w:val="18"/>
                <w:color w:val="auto"/>
              </w:rPr>
              <w:t>EBITDA</w:t>
            </w:r>
          </w:p>
        </w:tc>
        <w:tc>
          <w:tcPr>
            <w:tcW w:w="26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228,236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191,667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440,855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390,734</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supplemental employee benefit (a)</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ind w:left="46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228,403</w:t>
            </w:r>
          </w:p>
        </w:tc>
        <w:tc>
          <w:tcPr>
            <w:tcW w:w="1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191,667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441,364</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390,734</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Adjusted EBITDA Margin on Revenue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11.1 %</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w:t>
            </w:r>
          </w:p>
        </w:tc>
        <w:tc>
          <w:tcPr>
            <w:tcW w:w="0" w:type="dxa"/>
            <w:vAlign w:val="bottom"/>
          </w:tcPr>
          <w:p>
            <w:pPr>
              <w:spacing w:after="0"/>
              <w:rPr>
                <w:sz w:val="1"/>
                <w:szCs w:val="1"/>
                <w:color w:val="auto"/>
              </w:rPr>
            </w:pPr>
          </w:p>
        </w:tc>
      </w:tr>
      <w:tr>
        <w:trPr>
          <w:trHeight w:val="176"/>
        </w:trPr>
        <w:tc>
          <w:tcPr>
            <w:tcW w:w="4660" w:type="dxa"/>
            <w:vAlign w:val="bottom"/>
          </w:tcPr>
          <w:p>
            <w:pPr>
              <w:ind w:left="460"/>
              <w:spacing w:after="0" w:line="176" w:lineRule="exact"/>
              <w:rPr>
                <w:sz w:val="20"/>
                <w:szCs w:val="20"/>
                <w:color w:val="auto"/>
              </w:rPr>
            </w:pPr>
            <w:r>
              <w:rPr>
                <w:rFonts w:ascii="Arial" w:cs="Arial" w:eastAsia="Arial" w:hAnsi="Arial"/>
                <w:sz w:val="18"/>
                <w:szCs w:val="18"/>
                <w:color w:val="auto"/>
              </w:rPr>
              <w:t>Adjusted EBITDA Margin on Revenue, Excluding</w:t>
            </w:r>
          </w:p>
        </w:tc>
        <w:tc>
          <w:tcPr>
            <w:tcW w:w="2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29"/>
        </w:trPr>
        <w:tc>
          <w:tcPr>
            <w:tcW w:w="4660" w:type="dxa"/>
            <w:vAlign w:val="bottom"/>
          </w:tcPr>
          <w:p>
            <w:pPr>
              <w:ind w:left="460"/>
              <w:spacing w:after="0"/>
              <w:rPr>
                <w:sz w:val="20"/>
                <w:szCs w:val="20"/>
                <w:color w:val="auto"/>
              </w:rPr>
            </w:pPr>
            <w:r>
              <w:rPr>
                <w:rFonts w:ascii="Arial" w:cs="Arial" w:eastAsia="Arial" w:hAnsi="Arial"/>
                <w:sz w:val="18"/>
                <w:szCs w:val="18"/>
                <w:color w:val="auto"/>
              </w:rPr>
              <w:t>Billable Expenses</w:t>
            </w:r>
          </w:p>
        </w:tc>
        <w:tc>
          <w:tcPr>
            <w:tcW w:w="26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Net Income</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136,081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114,325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265,410</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231,711</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COVID-19 supplemental employee benefits (a)</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Research and development tax credit (c)</w:t>
            </w:r>
          </w:p>
        </w:tc>
        <w:tc>
          <w:tcPr>
            <w:tcW w:w="260" w:type="dxa"/>
            <w:vAlign w:val="bottom"/>
          </w:tcPr>
          <w:p>
            <w:pPr>
              <w:spacing w:after="0"/>
              <w:rPr>
                <w:sz w:val="19"/>
                <w:szCs w:val="19"/>
                <w:color w:val="auto"/>
              </w:rPr>
            </w:pP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(2,928)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(2,928)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 of income tax reserves (d)</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tcPr>
          <w:p>
            <w:pPr>
              <w:ind w:left="220"/>
              <w:spacing w:after="0"/>
              <w:rPr>
                <w:sz w:val="20"/>
                <w:szCs w:val="20"/>
                <w:color w:val="auto"/>
              </w:rPr>
            </w:pPr>
            <w:r>
              <w:rPr>
                <w:rFonts w:ascii="Arial" w:cs="Arial" w:eastAsia="Arial" w:hAnsi="Arial"/>
                <w:sz w:val="18"/>
                <w:szCs w:val="18"/>
                <w:color w:val="auto"/>
              </w:rPr>
              <w:t>Loss on debt extinguishment (e)</w:t>
            </w:r>
          </w:p>
        </w:tc>
        <w:tc>
          <w:tcPr>
            <w:tcW w:w="260" w:type="dxa"/>
            <w:vAlign w:val="bottom"/>
          </w:tcPr>
          <w:p>
            <w:pPr>
              <w:spacing w:after="0"/>
              <w:rPr>
                <w:sz w:val="19"/>
                <w:szCs w:val="19"/>
                <w:color w:val="auto"/>
              </w:rPr>
            </w:pP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13,239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13,239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1,017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1,059</w:t>
            </w:r>
          </w:p>
        </w:tc>
        <w:tc>
          <w:tcPr>
            <w:tcW w:w="0" w:type="dxa"/>
            <w:vAlign w:val="bottom"/>
          </w:tcPr>
          <w:p>
            <w:pPr>
              <w:spacing w:after="0"/>
              <w:rPr>
                <w:sz w:val="1"/>
                <w:szCs w:val="1"/>
                <w:color w:val="auto"/>
              </w:rPr>
            </w:pPr>
          </w:p>
        </w:tc>
      </w:tr>
      <w:tr>
        <w:trPr>
          <w:trHeight w:val="229"/>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Adjustments for tax effect (f)</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(3,640)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(3,839)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48"/>
        </w:trPr>
        <w:tc>
          <w:tcPr>
            <w:tcW w:w="46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Adjusted 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143,482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114,771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273,379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232,495</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i w:val="1"/>
                <w:iCs w:val="1"/>
                <w:color w:val="auto"/>
              </w:rPr>
              <w:t>Adjusted Diluted Earnings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6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Weighted-average number of diluted shares outstanding</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138,747,640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1"/>
              </w:rPr>
              <w:t>141,362,136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139,004,382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w w:val="91"/>
              </w:rPr>
              <w:t>141,252,917</w:t>
            </w:r>
          </w:p>
        </w:tc>
        <w:tc>
          <w:tcPr>
            <w:tcW w:w="0" w:type="dxa"/>
            <w:vAlign w:val="bottom"/>
          </w:tcPr>
          <w:p>
            <w:pPr>
              <w:spacing w:after="0"/>
              <w:rPr>
                <w:sz w:val="1"/>
                <w:szCs w:val="1"/>
                <w:color w:val="auto"/>
              </w:rPr>
            </w:pPr>
          </w:p>
        </w:tc>
      </w:tr>
      <w:tr>
        <w:trPr>
          <w:trHeight w:val="223"/>
        </w:trPr>
        <w:tc>
          <w:tcPr>
            <w:tcW w:w="4660" w:type="dxa"/>
            <w:vAlign w:val="bottom"/>
          </w:tcPr>
          <w:p>
            <w:pPr>
              <w:ind w:left="220"/>
              <w:spacing w:after="0"/>
              <w:rPr>
                <w:sz w:val="20"/>
                <w:szCs w:val="20"/>
                <w:color w:val="auto"/>
              </w:rPr>
            </w:pPr>
            <w:r>
              <w:rPr>
                <w:rFonts w:ascii="Arial" w:cs="Arial" w:eastAsia="Arial" w:hAnsi="Arial"/>
                <w:sz w:val="18"/>
                <w:szCs w:val="18"/>
                <w:color w:val="auto"/>
              </w:rPr>
              <w:t>Adjusted Net Income Per Diluted Share (g)</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i w:val="1"/>
                <w:iCs w:val="1"/>
                <w:color w:val="auto"/>
              </w:rPr>
              <w:t>Free Cash Flow</w:t>
            </w: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60" w:type="dxa"/>
            <w:vAlign w:val="bottom"/>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32"/>
              <w:spacing w:after="0"/>
              <w:rPr>
                <w:sz w:val="20"/>
                <w:szCs w:val="20"/>
                <w:color w:val="auto"/>
              </w:rPr>
            </w:pPr>
            <w:r>
              <w:rPr>
                <w:rFonts w:ascii="Arial" w:cs="Arial" w:eastAsia="Arial" w:hAnsi="Arial"/>
                <w:sz w:val="18"/>
                <w:szCs w:val="18"/>
                <w:color w:val="auto"/>
              </w:rPr>
              <w:t>425,606</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215,696</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2"/>
              <w:spacing w:after="0"/>
              <w:rPr>
                <w:sz w:val="20"/>
                <w:szCs w:val="20"/>
                <w:color w:val="auto"/>
              </w:rPr>
            </w:pPr>
            <w:r>
              <w:rPr>
                <w:rFonts w:ascii="Arial" w:cs="Arial" w:eastAsia="Arial" w:hAnsi="Arial"/>
                <w:sz w:val="18"/>
                <w:szCs w:val="18"/>
                <w:color w:val="auto"/>
              </w:rPr>
              <w:t>566,024</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31"/>
              <w:spacing w:after="0"/>
              <w:rPr>
                <w:sz w:val="20"/>
                <w:szCs w:val="20"/>
                <w:color w:val="auto"/>
              </w:rPr>
            </w:pPr>
            <w:r>
              <w:rPr>
                <w:rFonts w:ascii="Arial" w:cs="Arial" w:eastAsia="Arial" w:hAnsi="Arial"/>
                <w:sz w:val="18"/>
                <w:szCs w:val="18"/>
                <w:color w:val="auto"/>
              </w:rPr>
              <w:t>266,679</w:t>
            </w:r>
          </w:p>
        </w:tc>
        <w:tc>
          <w:tcPr>
            <w:tcW w:w="0" w:type="dxa"/>
            <w:vAlign w:val="bottom"/>
          </w:tcPr>
          <w:p>
            <w:pPr>
              <w:spacing w:after="0"/>
              <w:rPr>
                <w:sz w:val="1"/>
                <w:szCs w:val="1"/>
                <w:color w:val="auto"/>
              </w:rPr>
            </w:pPr>
          </w:p>
        </w:tc>
      </w:tr>
      <w:tr>
        <w:trPr>
          <w:trHeight w:val="230"/>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Purchases of property, equipment and software</w:t>
            </w:r>
          </w:p>
        </w:tc>
        <w:tc>
          <w:tcPr>
            <w:tcW w:w="2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(18,026)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(32,642)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(38,084)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(59,978)</w:t>
            </w:r>
          </w:p>
        </w:tc>
        <w:tc>
          <w:tcPr>
            <w:tcW w:w="0" w:type="dxa"/>
            <w:vAlign w:val="bottom"/>
          </w:tcPr>
          <w:p>
            <w:pPr>
              <w:spacing w:after="0"/>
              <w:rPr>
                <w:sz w:val="1"/>
                <w:szCs w:val="1"/>
                <w:color w:val="auto"/>
              </w:rPr>
            </w:pPr>
          </w:p>
        </w:tc>
      </w:tr>
      <w:tr>
        <w:trPr>
          <w:trHeight w:val="223"/>
        </w:trPr>
        <w:tc>
          <w:tcPr>
            <w:tcW w:w="4660" w:type="dxa"/>
            <w:vAlign w:val="bottom"/>
          </w:tcPr>
          <w:p>
            <w:pPr>
              <w:ind w:left="460"/>
              <w:spacing w:after="0"/>
              <w:rPr>
                <w:sz w:val="20"/>
                <w:szCs w:val="20"/>
                <w:color w:val="auto"/>
              </w:rPr>
            </w:pPr>
            <w:r>
              <w:rPr>
                <w:rFonts w:ascii="Arial" w:cs="Arial" w:eastAsia="Arial" w:hAnsi="Arial"/>
                <w:sz w:val="18"/>
                <w:szCs w:val="18"/>
                <w:color w:val="auto"/>
              </w:rPr>
              <w:t>Free Cash Flow</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407,580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183,054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527,940</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206,701</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540" w:right="1520" w:hanging="5532"/>
        <w:spacing w:after="0" w:line="919" w:lineRule="auto"/>
        <w:tabs>
          <w:tab w:leader="none" w:pos="659"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Represents the supplemental contribution to employees' dependent care FSA accounts in response to the COVID-19 outbreak.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Reflects the combination of Interest expense and Other (expense) income, net from the condensed consolidated statement of operations.</w:t>
      </w:r>
    </w:p>
    <w:p>
      <w:pPr>
        <w:spacing w:after="0" w:line="128" w:lineRule="exact"/>
        <w:rPr>
          <w:rFonts w:ascii="Arial" w:cs="Arial" w:eastAsia="Arial" w:hAnsi="Arial"/>
          <w:sz w:val="17"/>
          <w:szCs w:val="17"/>
          <w:color w:val="auto"/>
        </w:rPr>
      </w:pPr>
    </w:p>
    <w:p>
      <w:pPr>
        <w:ind w:left="660" w:hanging="652"/>
        <w:spacing w:after="0" w:line="277" w:lineRule="auto"/>
        <w:tabs>
          <w:tab w:leader="none" w:pos="6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tax credits, net of reserves for uncertain tax positions, recognized in fiscal 2021 related to an increase in research and development credits available for fiscal years 2016 to 2019.</w:t>
      </w:r>
    </w:p>
    <w:p>
      <w:pPr>
        <w:spacing w:after="0" w:line="62" w:lineRule="exact"/>
        <w:rPr>
          <w:rFonts w:ascii="Arial" w:cs="Arial" w:eastAsia="Arial" w:hAnsi="Arial"/>
          <w:sz w:val="18"/>
          <w:szCs w:val="18"/>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Release of pre-acquisition income tax reserves assumed by the Company in connection with the Carlyle Acquisition.</w:t>
      </w:r>
    </w:p>
    <w:p>
      <w:pPr>
        <w:spacing w:after="0" w:line="117" w:lineRule="exact"/>
        <w:rPr>
          <w:rFonts w:ascii="Arial" w:cs="Arial" w:eastAsia="Arial" w:hAnsi="Arial"/>
          <w:sz w:val="18"/>
          <w:szCs w:val="18"/>
          <w:color w:val="auto"/>
        </w:rPr>
      </w:pPr>
    </w:p>
    <w:p>
      <w:pPr>
        <w:jc w:val="both"/>
        <w:ind w:left="660" w:right="100" w:hanging="652"/>
        <w:spacing w:after="0" w:line="263" w:lineRule="auto"/>
        <w:tabs>
          <w:tab w:leader="none" w:pos="657"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loss on debt extinguishment resulting from the redemption of Booz Allen Hamilton Inc.'s 5.125% Senior Notes due 2025 (the "2017 Senior Notes"), including $9.0 million of the premium paid at redemption, and write-off of the unamortized debt issuance cost. See Note 8 to our condensed consolidated financial statements for more information.</w:t>
      </w:r>
    </w:p>
    <w:p>
      <w:pPr>
        <w:spacing w:after="0" w:line="75" w:lineRule="exact"/>
        <w:rPr>
          <w:rFonts w:ascii="Arial" w:cs="Arial" w:eastAsia="Arial" w:hAnsi="Arial"/>
          <w:sz w:val="18"/>
          <w:szCs w:val="18"/>
          <w:color w:val="auto"/>
        </w:rPr>
      </w:pPr>
    </w:p>
    <w:p>
      <w:pPr>
        <w:ind w:left="660" w:right="360" w:hanging="652"/>
        <w:spacing w:after="0" w:line="277" w:lineRule="auto"/>
        <w:tabs>
          <w:tab w:leader="none" w:pos="6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the tax effect of adjustments at an assumed effective tax rate of 26%, which approximates the blended federal and state tax rates, and consistently excludes the impact of other tax credits and incentive benefits realized.</w:t>
      </w:r>
    </w:p>
    <w:p>
      <w:pPr>
        <w:spacing w:after="0" w:line="62" w:lineRule="exact"/>
        <w:rPr>
          <w:rFonts w:ascii="Arial" w:cs="Arial" w:eastAsia="Arial" w:hAnsi="Arial"/>
          <w:sz w:val="18"/>
          <w:szCs w:val="18"/>
          <w:color w:val="auto"/>
        </w:rPr>
      </w:pPr>
    </w:p>
    <w:p>
      <w:pPr>
        <w:ind w:left="660" w:right="380" w:hanging="652"/>
        <w:spacing w:after="0" w:line="311" w:lineRule="auto"/>
        <w:tabs>
          <w:tab w:leader="none" w:pos="654"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Excludes adjustments of approximately $0.8 million and $1.5 million of net earnings for the three and six months ended September 30, 2020, respectively, and excludes adjustments of approximately $0.6 million and $1.2 million of net earnings for the three and six months ended September 30, 2019, respectively associated with the application of the two-class method for computing diluted earnings per share.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hanging="644"/>
        <w:spacing w:after="0" w:line="293" w:lineRule="auto"/>
        <w:tabs>
          <w:tab w:leader="none" w:pos="1295"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uncertainty around the timing, extent, nature and effect of Congressional and other U.S. government actions to approve funding of the U.S. government, address budgetary constraints, including caps on the discretionary budget for defense and non-defense departments and agencies, as established by the Bipartisan Budget Control Act of 2011 ("BCA") and subsequently adjusted by the American Tax Payer Relief Act of 2012, the Bipartisan Budget Act of 2013, the Bipartisan Budget Act of 2015, the Bipartisan Budget Act of 2018, and the Bipartisan Budget Act of 2019 and address the ability of Congress to determine how to allocate the available budget authority and pass appropriations bills to fund both U.S. government departments and agencies that are, and those that are not, subject to the caps;</w:t>
      </w:r>
    </w:p>
    <w:p>
      <w:pPr>
        <w:spacing w:after="0" w:line="56" w:lineRule="exact"/>
        <w:rPr>
          <w:rFonts w:ascii="Arial" w:cs="Arial" w:eastAsia="Arial" w:hAnsi="Arial"/>
          <w:sz w:val="16"/>
          <w:szCs w:val="16"/>
          <w:color w:val="auto"/>
        </w:rPr>
      </w:pPr>
    </w:p>
    <w:p>
      <w:pPr>
        <w:ind w:left="1300" w:right="420" w:hanging="644"/>
        <w:spacing w:after="0" w:line="308" w:lineRule="auto"/>
        <w:tabs>
          <w:tab w:leader="none" w:pos="12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38" w:lineRule="exact"/>
        <w:rPr>
          <w:rFonts w:ascii="Arial" w:cs="Arial" w:eastAsia="Arial" w:hAnsi="Arial"/>
          <w:sz w:val="17"/>
          <w:szCs w:val="17"/>
          <w:color w:val="auto"/>
        </w:rPr>
      </w:pPr>
    </w:p>
    <w:p>
      <w:pPr>
        <w:ind w:left="1300" w:right="80" w:hanging="644"/>
        <w:spacing w:after="0" w:line="269" w:lineRule="auto"/>
        <w:tabs>
          <w:tab w:leader="none" w:pos="12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current uncertainty around Congressional efforts to approve funding of the U.S. government beyond December 11, 2020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77" w:lineRule="exact"/>
        <w:rPr>
          <w:rFonts w:ascii="Arial" w:cs="Arial" w:eastAsia="Arial" w:hAnsi="Arial"/>
          <w:sz w:val="17"/>
          <w:szCs w:val="17"/>
          <w:color w:val="auto"/>
        </w:rPr>
      </w:pPr>
    </w:p>
    <w:p>
      <w:pPr>
        <w:ind w:left="1300" w:right="40" w:hanging="644"/>
        <w:spacing w:after="0" w:line="277" w:lineRule="auto"/>
        <w:tabs>
          <w:tab w:leader="none" w:pos="129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260" w:hanging="644"/>
        <w:spacing w:after="0" w:line="279" w:lineRule="auto"/>
        <w:tabs>
          <w:tab w:leader="none" w:pos="1295"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the relative mix of overall U.S. government spending and areas of spending growth, with lower spending on homeland security, intelligence, defense-related programs as certain overseas operations end and continued increased spending on cybersecurity, Command, Control, Communications, Computers, Intelligence, Surveillance, and Reconnaissance (C4ISR), advanced analytics, technology integration and healthcare, including as a result of the U.S. presidential election;</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right="80" w:hanging="644"/>
        <w:spacing w:after="0" w:line="342" w:lineRule="auto"/>
        <w:tabs>
          <w:tab w:leader="none" w:pos="12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extent, nature and effect of the COVID-19 outbreak, including the impact on federal budgets, current and pending procurements, supply chains, demand for services, deployment and productivity of our employees and the economic and societal impact of a pandemic;</w:t>
      </w:r>
    </w:p>
    <w:p>
      <w:pPr>
        <w:spacing w:after="0" w:line="15" w:lineRule="exact"/>
        <w:rPr>
          <w:rFonts w:ascii="Arial" w:cs="Arial" w:eastAsia="Arial" w:hAnsi="Arial"/>
          <w:sz w:val="16"/>
          <w:szCs w:val="16"/>
          <w:color w:val="auto"/>
        </w:rPr>
      </w:pPr>
    </w:p>
    <w:p>
      <w:pPr>
        <w:ind w:left="1300" w:hanging="644"/>
        <w:spacing w:after="0" w:line="259"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160" w:hanging="644"/>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right="220" w:hanging="644"/>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20" w:hanging="644"/>
        <w:spacing w:after="0" w:line="263"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75" w:lineRule="exact"/>
        <w:rPr>
          <w:rFonts w:ascii="Arial" w:cs="Arial" w:eastAsia="Arial" w:hAnsi="Arial"/>
          <w:sz w:val="18"/>
          <w:szCs w:val="18"/>
          <w:color w:val="auto"/>
        </w:rPr>
      </w:pPr>
    </w:p>
    <w:p>
      <w:pPr>
        <w:ind w:left="1300" w:right="260" w:hanging="644"/>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2" w:lineRule="exact"/>
        <w:rPr>
          <w:rFonts w:ascii="Arial" w:cs="Arial" w:eastAsia="Arial" w:hAnsi="Arial"/>
          <w:sz w:val="18"/>
          <w:szCs w:val="18"/>
          <w:color w:val="auto"/>
        </w:rPr>
      </w:pPr>
    </w:p>
    <w:p>
      <w:pPr>
        <w:ind w:left="1300" w:right="220" w:hanging="644"/>
        <w:spacing w:after="0" w:line="277"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right="20" w:hanging="644"/>
        <w:spacing w:after="0" w:line="263"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competition from other government contractors and market entrants seeking to take advantage of certain of the trends identified above, and an industry trend towards consolidation, which may result in the emergence of companies that are better able to compete against us;</w:t>
      </w:r>
    </w:p>
    <w:p>
      <w:pPr>
        <w:spacing w:after="0" w:line="75" w:lineRule="exact"/>
        <w:rPr>
          <w:rFonts w:ascii="Arial" w:cs="Arial" w:eastAsia="Arial" w:hAnsi="Arial"/>
          <w:sz w:val="18"/>
          <w:szCs w:val="18"/>
          <w:color w:val="auto"/>
        </w:rPr>
      </w:pPr>
    </w:p>
    <w:p>
      <w:pPr>
        <w:ind w:left="1300" w:right="40" w:hanging="644"/>
        <w:spacing w:after="0" w:line="311" w:lineRule="auto"/>
        <w:tabs>
          <w:tab w:leader="none" w:pos="12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40" w:lineRule="exact"/>
        <w:rPr>
          <w:rFonts w:ascii="Arial" w:cs="Arial" w:eastAsia="Arial" w:hAnsi="Arial"/>
          <w:sz w:val="16"/>
          <w:szCs w:val="16"/>
          <w:color w:val="auto"/>
        </w:rPr>
      </w:pPr>
    </w:p>
    <w:p>
      <w:pPr>
        <w:ind w:left="1300" w:right="360" w:hanging="644"/>
        <w:spacing w:after="0" w:line="342" w:lineRule="auto"/>
        <w:tabs>
          <w:tab w:leader="none" w:pos="12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w:t>
      </w:r>
    </w:p>
    <w:p>
      <w:pPr>
        <w:spacing w:after="0" w:line="15" w:lineRule="exact"/>
        <w:rPr>
          <w:rFonts w:ascii="Arial" w:cs="Arial" w:eastAsia="Arial" w:hAnsi="Arial"/>
          <w:sz w:val="16"/>
          <w:szCs w:val="16"/>
          <w:color w:val="auto"/>
        </w:rPr>
      </w:pPr>
    </w:p>
    <w:p>
      <w:pPr>
        <w:ind w:left="1300" w:right="60" w:hanging="644"/>
        <w:spacing w:after="0" w:line="263"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 and</w:t>
      </w:r>
    </w:p>
    <w:p>
      <w:pPr>
        <w:spacing w:after="0" w:line="75" w:lineRule="exact"/>
        <w:rPr>
          <w:rFonts w:ascii="Arial" w:cs="Arial" w:eastAsia="Arial" w:hAnsi="Arial"/>
          <w:sz w:val="18"/>
          <w:szCs w:val="18"/>
          <w:color w:val="auto"/>
        </w:rPr>
      </w:pPr>
    </w:p>
    <w:p>
      <w:pPr>
        <w:jc w:val="both"/>
        <w:ind w:left="1300" w:right="40" w:hanging="644"/>
        <w:spacing w:after="0" w:line="263" w:lineRule="auto"/>
        <w:tabs>
          <w:tab w:leader="none" w:pos="129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increasing small business regulations across the Department of Defense and civilian agency clients continue to gain traction, agencies are required to meet high small business set aside targets, and large business prime contractors are required to subcontract in accordance with considerable small business participation goals necessary for contract award.</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BCA (as amended by the American Taxpayer Relief Act of 2012, the Bipartisan Budget Act of 2013, the Bipartisan Budget Act of 2015, the Bipartisan Budget Act of 2018 and the Bipartisan Budget Act of 2019), provides for automatic spending cuts (referred to as sequestration) totaling approximately $1.2 trillion between 2013 and 2021, including an estimated $500 billion in federal defense spending cuts over this time period. The Bipartisan Budget Act of 2019 raised BCA spending caps on defense spending by $90 billion for government fiscal 2020, and $81 billion for government fiscal 2021. For non-defense funding, the Bipartisan Budget Act of 2019 raised BCA spending caps by $78 billion for government fiscal 2020</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and $72 billion for government fiscal 2021. While the American Taxpayer Relief Act of 2012, the Bipartisan Budget Act of 2013, the Bipartisan Budget Act of 2015, the Bipartisan Budget Act of 2018 and the Bipartisan Budget Act of 2019 all negated and raised budget limits put in place by the BCA for both defense and non-defense spending, there can be no assurance that any spending cuts implemented in the future would be similarly negated. This could result in a commensurate reduction in the amount of services that we are contracted to provide to the Department of Defense and could have a material adverse effect on our business and results of operations, and given the uncertainty of when and how these automatic reductions required by the BCA may return and/or be applied, we are unable to predict the nature or magnitude of the potential adverse effect.</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20" w:hanging="656"/>
        <w:spacing w:after="0" w:line="289" w:lineRule="auto"/>
        <w:tabs>
          <w:tab w:leader="none" w:pos="1955"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Cost-Reimbursable Contracts. </w:t>
      </w:r>
      <w:r>
        <w:rPr>
          <w:rFonts w:ascii="Arial" w:cs="Arial" w:eastAsia="Arial" w:hAnsi="Arial"/>
          <w:sz w:val="16"/>
          <w:szCs w:val="16"/>
          <w:color w:val="auto"/>
        </w:rPr>
        <w:t>Cost-reimbursable contracts provide for the payment of allowable costs incurred during</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of the contract, up to a ceiling based on the amount that has been funded, plus a fixed fee or award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58" w:lineRule="exact"/>
        <w:rPr>
          <w:rFonts w:ascii="Arial" w:cs="Arial" w:eastAsia="Arial" w:hAnsi="Arial"/>
          <w:sz w:val="16"/>
          <w:szCs w:val="16"/>
          <w:i w:val="1"/>
          <w:iCs w:val="1"/>
          <w:color w:val="auto"/>
        </w:rPr>
      </w:pPr>
    </w:p>
    <w:p>
      <w:pPr>
        <w:ind w:left="1960" w:hanging="656"/>
        <w:spacing w:after="0" w:line="255" w:lineRule="auto"/>
        <w:tabs>
          <w:tab w:leader="none" w:pos="1955"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contracts in this category,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We assume the financial risk on time-and-materials contracts because our costs of performance may exceed negotiated hourly rates. To the extent our actual direct labor, including allocated indirect costs, and associated billable expenses decrease or increase in relation to the fixed hourly billing rates provided in the contract, we will generate more or less profit, respectively, or could incur a loss.</w:t>
      </w:r>
    </w:p>
    <w:p>
      <w:pPr>
        <w:spacing w:after="0" w:line="84" w:lineRule="exact"/>
        <w:rPr>
          <w:rFonts w:ascii="Arial" w:cs="Arial" w:eastAsia="Arial" w:hAnsi="Arial"/>
          <w:sz w:val="18"/>
          <w:szCs w:val="18"/>
          <w:i w:val="1"/>
          <w:iCs w:val="1"/>
          <w:color w:val="auto"/>
        </w:rPr>
      </w:pPr>
    </w:p>
    <w:p>
      <w:pPr>
        <w:ind w:left="1960" w:hanging="656"/>
        <w:spacing w:after="0" w:line="255" w:lineRule="auto"/>
        <w:tabs>
          <w:tab w:leader="none" w:pos="1955"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84"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unanticipated ways.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30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2080" w:type="dxa"/>
            <w:vAlign w:val="bottom"/>
            <w:gridSpan w:val="3"/>
          </w:tcPr>
          <w:p>
            <w:pPr>
              <w:jc w:val="center"/>
              <w:ind w:right="810"/>
              <w:spacing w:after="0"/>
              <w:rPr>
                <w:sz w:val="20"/>
                <w:szCs w:val="20"/>
                <w:color w:val="auto"/>
              </w:rPr>
            </w:pPr>
            <w:r>
              <w:rPr>
                <w:rFonts w:ascii="Arial" w:cs="Arial" w:eastAsia="Arial" w:hAnsi="Arial"/>
                <w:sz w:val="14"/>
                <w:szCs w:val="14"/>
                <w:b w:val="1"/>
                <w:bCs w:val="1"/>
                <w:color w:val="auto"/>
                <w:w w:val="93"/>
              </w:rPr>
              <w:t>Six Months Ended</w:t>
            </w:r>
          </w:p>
        </w:tc>
      </w:tr>
      <w:tr>
        <w:trPr>
          <w:trHeight w:val="188"/>
        </w:trPr>
        <w:tc>
          <w:tcPr>
            <w:tcW w:w="5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80" w:type="dxa"/>
            <w:vAlign w:val="bottom"/>
            <w:gridSpan w:val="4"/>
          </w:tcPr>
          <w:p>
            <w:pPr>
              <w:jc w:val="center"/>
              <w:ind w:right="104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Pr>
          <w:p>
            <w:pPr>
              <w:spacing w:after="0"/>
              <w:rPr>
                <w:sz w:val="16"/>
                <w:szCs w:val="16"/>
                <w:color w:val="auto"/>
              </w:rPr>
            </w:pPr>
          </w:p>
        </w:tc>
        <w:tc>
          <w:tcPr>
            <w:tcW w:w="2080" w:type="dxa"/>
            <w:vAlign w:val="bottom"/>
            <w:gridSpan w:val="3"/>
          </w:tcPr>
          <w:p>
            <w:pPr>
              <w:jc w:val="center"/>
              <w:ind w:right="790"/>
              <w:spacing w:after="0"/>
              <w:rPr>
                <w:sz w:val="20"/>
                <w:szCs w:val="20"/>
                <w:color w:val="auto"/>
              </w:rPr>
            </w:pPr>
            <w:r>
              <w:rPr>
                <w:rFonts w:ascii="Arial" w:cs="Arial" w:eastAsia="Arial" w:hAnsi="Arial"/>
                <w:sz w:val="14"/>
                <w:szCs w:val="14"/>
                <w:b w:val="1"/>
                <w:bCs w:val="1"/>
                <w:color w:val="auto"/>
                <w:w w:val="91"/>
              </w:rPr>
              <w:t>September 30,</w:t>
            </w:r>
          </w:p>
        </w:tc>
      </w:tr>
      <w:tr>
        <w:trPr>
          <w:trHeight w:val="183"/>
        </w:trPr>
        <w:tc>
          <w:tcPr>
            <w:tcW w:w="5220" w:type="dxa"/>
            <w:vAlign w:val="bottom"/>
          </w:tcPr>
          <w:p>
            <w:pPr>
              <w:spacing w:after="0"/>
              <w:rPr>
                <w:sz w:val="15"/>
                <w:szCs w:val="15"/>
                <w:color w:val="auto"/>
              </w:rPr>
            </w:pPr>
          </w:p>
        </w:tc>
        <w:tc>
          <w:tcPr>
            <w:tcW w:w="960" w:type="dxa"/>
            <w:vAlign w:val="bottom"/>
            <w:tcBorders>
              <w:top w:val="single" w:sz="8" w:color="auto"/>
            </w:tcBorders>
          </w:tcPr>
          <w:p>
            <w:pPr>
              <w:jc w:val="center"/>
              <w:ind w:left="377"/>
              <w:spacing w:after="0"/>
              <w:rPr>
                <w:sz w:val="20"/>
                <w:szCs w:val="20"/>
                <w:color w:val="auto"/>
              </w:rPr>
            </w:pPr>
            <w:r>
              <w:rPr>
                <w:rFonts w:ascii="Arial" w:cs="Arial" w:eastAsia="Arial" w:hAnsi="Arial"/>
                <w:sz w:val="14"/>
                <w:szCs w:val="14"/>
                <w:b w:val="1"/>
                <w:bCs w:val="1"/>
                <w:color w:val="auto"/>
                <w:w w:val="96"/>
              </w:rPr>
              <w:t>2020</w:t>
            </w:r>
          </w:p>
        </w:tc>
        <w:tc>
          <w:tcPr>
            <w:tcW w:w="1980" w:type="dxa"/>
            <w:vAlign w:val="bottom"/>
            <w:tcBorders>
              <w:top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center"/>
              <w:ind w:left="455"/>
              <w:spacing w:after="0"/>
              <w:rPr>
                <w:sz w:val="20"/>
                <w:szCs w:val="20"/>
                <w:color w:val="auto"/>
              </w:rPr>
            </w:pPr>
            <w:r>
              <w:rPr>
                <w:rFonts w:ascii="Arial" w:cs="Arial" w:eastAsia="Arial" w:hAnsi="Arial"/>
                <w:sz w:val="14"/>
                <w:szCs w:val="14"/>
                <w:b w:val="1"/>
                <w:bCs w:val="1"/>
                <w:color w:val="auto"/>
                <w:w w:val="89"/>
              </w:rPr>
              <w:t>2020</w:t>
            </w:r>
          </w:p>
        </w:tc>
        <w:tc>
          <w:tcPr>
            <w:tcW w:w="2080" w:type="dxa"/>
            <w:vAlign w:val="bottom"/>
            <w:tcBorders>
              <w:top w:val="single" w:sz="8" w:color="auto"/>
            </w:tcBorders>
            <w:gridSpan w:val="3"/>
          </w:tcPr>
          <w:p>
            <w:pPr>
              <w:jc w:val="center"/>
              <w:ind w:left="561"/>
              <w:spacing w:after="0"/>
              <w:rPr>
                <w:sz w:val="20"/>
                <w:szCs w:val="20"/>
                <w:color w:val="auto"/>
              </w:rPr>
            </w:pPr>
            <w:r>
              <w:rPr>
                <w:rFonts w:ascii="Arial" w:cs="Arial" w:eastAsia="Arial" w:hAnsi="Arial"/>
                <w:sz w:val="14"/>
                <w:szCs w:val="14"/>
                <w:b w:val="1"/>
                <w:bCs w:val="1"/>
                <w:color w:val="auto"/>
                <w:w w:val="89"/>
              </w:rPr>
              <w:t>2019</w:t>
            </w:r>
          </w:p>
        </w:tc>
      </w:tr>
      <w:tr>
        <w:trPr>
          <w:trHeight w:val="224"/>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w:t>
            </w:r>
          </w:p>
        </w:tc>
        <w:tc>
          <w:tcPr>
            <w:tcW w:w="960" w:type="dxa"/>
            <w:vAlign w:val="bottom"/>
            <w:tcBorders>
              <w:top w:val="single" w:sz="8" w:color="auto"/>
            </w:tcBorders>
            <w:shd w:val="clear" w:color="auto" w:fill="CCEEFF"/>
          </w:tcPr>
          <w:p>
            <w:pPr>
              <w:jc w:val="center"/>
              <w:ind w:left="377"/>
              <w:spacing w:after="0"/>
              <w:rPr>
                <w:sz w:val="20"/>
                <w:szCs w:val="20"/>
                <w:color w:val="auto"/>
              </w:rPr>
            </w:pPr>
            <w:r>
              <w:rPr>
                <w:rFonts w:ascii="Arial" w:cs="Arial" w:eastAsia="Arial" w:hAnsi="Arial"/>
                <w:sz w:val="18"/>
                <w:szCs w:val="18"/>
                <w:color w:val="auto"/>
                <w:w w:val="94"/>
              </w:rPr>
              <w:t>56%</w:t>
            </w:r>
          </w:p>
        </w:tc>
        <w:tc>
          <w:tcPr>
            <w:tcW w:w="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57%</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center"/>
              <w:ind w:left="475"/>
              <w:spacing w:after="0"/>
              <w:rPr>
                <w:sz w:val="20"/>
                <w:szCs w:val="20"/>
                <w:color w:val="auto"/>
              </w:rPr>
            </w:pPr>
            <w:r>
              <w:rPr>
                <w:rFonts w:ascii="Arial" w:cs="Arial" w:eastAsia="Arial" w:hAnsi="Arial"/>
                <w:sz w:val="18"/>
                <w:szCs w:val="18"/>
                <w:color w:val="auto"/>
                <w:w w:val="94"/>
              </w:rPr>
              <w:t>56%</w:t>
            </w: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56%</w:t>
            </w: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960" w:type="dxa"/>
            <w:vAlign w:val="bottom"/>
          </w:tcPr>
          <w:p>
            <w:pPr>
              <w:jc w:val="center"/>
              <w:ind w:left="377"/>
              <w:spacing w:after="0"/>
              <w:rPr>
                <w:sz w:val="20"/>
                <w:szCs w:val="20"/>
                <w:color w:val="auto"/>
              </w:rPr>
            </w:pPr>
            <w:r>
              <w:rPr>
                <w:rFonts w:ascii="Arial" w:cs="Arial" w:eastAsia="Arial" w:hAnsi="Arial"/>
                <w:sz w:val="18"/>
                <w:szCs w:val="18"/>
                <w:color w:val="auto"/>
                <w:w w:val="94"/>
              </w:rPr>
              <w:t>25%</w:t>
            </w:r>
          </w:p>
        </w:tc>
        <w:tc>
          <w:tcPr>
            <w:tcW w:w="1980" w:type="dxa"/>
            <w:vAlign w:val="bottom"/>
            <w:gridSpan w:val="3"/>
          </w:tcPr>
          <w:p>
            <w:pPr>
              <w:jc w:val="center"/>
              <w:ind w:left="479"/>
              <w:spacing w:after="0"/>
              <w:rPr>
                <w:sz w:val="20"/>
                <w:szCs w:val="20"/>
                <w:color w:val="auto"/>
              </w:rPr>
            </w:pPr>
            <w:r>
              <w:rPr>
                <w:rFonts w:ascii="Arial" w:cs="Arial" w:eastAsia="Arial" w:hAnsi="Arial"/>
                <w:sz w:val="18"/>
                <w:szCs w:val="18"/>
                <w:color w:val="auto"/>
                <w:w w:val="94"/>
              </w:rPr>
              <w:t>23%</w:t>
            </w:r>
          </w:p>
        </w:tc>
        <w:tc>
          <w:tcPr>
            <w:tcW w:w="100" w:type="dxa"/>
            <w:vAlign w:val="bottom"/>
          </w:tcPr>
          <w:p>
            <w:pPr>
              <w:spacing w:after="0"/>
              <w:rPr>
                <w:sz w:val="19"/>
                <w:szCs w:val="19"/>
                <w:color w:val="auto"/>
              </w:rPr>
            </w:pPr>
          </w:p>
        </w:tc>
        <w:tc>
          <w:tcPr>
            <w:tcW w:w="900" w:type="dxa"/>
            <w:vAlign w:val="bottom"/>
          </w:tcPr>
          <w:p>
            <w:pPr>
              <w:jc w:val="center"/>
              <w:ind w:left="475"/>
              <w:spacing w:after="0"/>
              <w:rPr>
                <w:sz w:val="20"/>
                <w:szCs w:val="20"/>
                <w:color w:val="auto"/>
              </w:rPr>
            </w:pPr>
            <w:r>
              <w:rPr>
                <w:rFonts w:ascii="Arial" w:cs="Arial" w:eastAsia="Arial" w:hAnsi="Arial"/>
                <w:sz w:val="18"/>
                <w:szCs w:val="18"/>
                <w:color w:val="auto"/>
                <w:w w:val="94"/>
              </w:rPr>
              <w:t>25%</w:t>
            </w:r>
          </w:p>
        </w:tc>
        <w:tc>
          <w:tcPr>
            <w:tcW w:w="2080" w:type="dxa"/>
            <w:vAlign w:val="bottom"/>
            <w:gridSpan w:val="3"/>
          </w:tcPr>
          <w:p>
            <w:pPr>
              <w:jc w:val="center"/>
              <w:ind w:left="561"/>
              <w:spacing w:after="0"/>
              <w:rPr>
                <w:sz w:val="20"/>
                <w:szCs w:val="20"/>
                <w:color w:val="auto"/>
              </w:rPr>
            </w:pPr>
            <w:r>
              <w:rPr>
                <w:rFonts w:ascii="Arial" w:cs="Arial" w:eastAsia="Arial" w:hAnsi="Arial"/>
                <w:sz w:val="18"/>
                <w:szCs w:val="18"/>
                <w:color w:val="auto"/>
                <w:w w:val="88"/>
              </w:rPr>
              <w:t>23%</w:t>
            </w: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w:t>
            </w:r>
          </w:p>
        </w:tc>
        <w:tc>
          <w:tcPr>
            <w:tcW w:w="96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4"/>
              </w:rPr>
              <w:t>19%</w:t>
            </w:r>
          </w:p>
        </w:tc>
        <w:tc>
          <w:tcPr>
            <w:tcW w:w="1980" w:type="dxa"/>
            <w:vAlign w:val="bottom"/>
            <w:gridSpan w:val="3"/>
            <w:shd w:val="clear" w:color="auto" w:fill="CCEEFF"/>
          </w:tcPr>
          <w:p>
            <w:pPr>
              <w:jc w:val="center"/>
              <w:ind w:left="479"/>
              <w:spacing w:after="0"/>
              <w:rPr>
                <w:sz w:val="20"/>
                <w:szCs w:val="20"/>
                <w:color w:val="auto"/>
              </w:rPr>
            </w:pPr>
            <w:r>
              <w:rPr>
                <w:rFonts w:ascii="Arial" w:cs="Arial" w:eastAsia="Arial" w:hAnsi="Arial"/>
                <w:sz w:val="18"/>
                <w:szCs w:val="18"/>
                <w:color w:val="auto"/>
                <w:w w:val="94"/>
              </w:rPr>
              <w:t>20%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center"/>
              <w:ind w:left="475"/>
              <w:spacing w:after="0"/>
              <w:rPr>
                <w:sz w:val="20"/>
                <w:szCs w:val="20"/>
                <w:color w:val="auto"/>
              </w:rPr>
            </w:pPr>
            <w:r>
              <w:rPr>
                <w:rFonts w:ascii="Arial" w:cs="Arial" w:eastAsia="Arial" w:hAnsi="Arial"/>
                <w:sz w:val="18"/>
                <w:szCs w:val="18"/>
                <w:color w:val="auto"/>
                <w:w w:val="94"/>
              </w:rPr>
              <w:t>19%</w:t>
            </w:r>
          </w:p>
        </w:tc>
        <w:tc>
          <w:tcPr>
            <w:tcW w:w="2080" w:type="dxa"/>
            <w:vAlign w:val="bottom"/>
            <w:gridSpan w:val="3"/>
            <w:shd w:val="clear" w:color="auto" w:fill="CCEEFF"/>
          </w:tcPr>
          <w:p>
            <w:pPr>
              <w:jc w:val="center"/>
              <w:ind w:left="561"/>
              <w:spacing w:after="0"/>
              <w:rPr>
                <w:sz w:val="20"/>
                <w:szCs w:val="20"/>
                <w:color w:val="auto"/>
              </w:rPr>
            </w:pPr>
            <w:r>
              <w:rPr>
                <w:rFonts w:ascii="Arial" w:cs="Arial" w:eastAsia="Arial" w:hAnsi="Arial"/>
                <w:sz w:val="18"/>
                <w:szCs w:val="18"/>
                <w:color w:val="auto"/>
                <w:w w:val="88"/>
              </w:rPr>
              <w:t>21%</w:t>
            </w:r>
          </w:p>
        </w:tc>
      </w:tr>
    </w:tbl>
    <w:p>
      <w:pPr>
        <w:spacing w:after="0" w:line="3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competes under multiple award IDIQ contract vehicles for task orders to provide particular services, and we earn revenue under these contract vehicles only to the extent that we are successful in the bidding process for task orders.</w:t>
      </w:r>
    </w:p>
    <w:p>
      <w:pPr>
        <w:spacing w:after="0" w:line="84" w:lineRule="exact"/>
        <w:rPr>
          <w:sz w:val="20"/>
          <w:szCs w:val="20"/>
          <w:color w:val="auto"/>
        </w:rPr>
      </w:pPr>
    </w:p>
    <w:p>
      <w:pPr>
        <w:ind w:right="140" w:firstLine="405"/>
        <w:spacing w:after="0" w:line="255" w:lineRule="auto"/>
        <w:rPr>
          <w:sz w:val="20"/>
          <w:szCs w:val="20"/>
          <w:color w:val="auto"/>
        </w:rPr>
      </w:pPr>
      <w:r>
        <w:rPr>
          <w:rFonts w:ascii="Arial" w:cs="Arial" w:eastAsia="Arial" w:hAnsi="Arial"/>
          <w:sz w:val="18"/>
          <w:szCs w:val="18"/>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8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right="80" w:firstLine="405"/>
        <w:spacing w:after="0" w:line="296" w:lineRule="auto"/>
        <w:rPr>
          <w:sz w:val="20"/>
          <w:szCs w:val="20"/>
          <w:color w:val="auto"/>
        </w:rPr>
      </w:pPr>
      <w:r>
        <w:rPr>
          <w:rFonts w:ascii="Arial" w:cs="Arial" w:eastAsia="Arial" w:hAnsi="Arial"/>
          <w:sz w:val="16"/>
          <w:szCs w:val="16"/>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 achieve that result through recruitment and management of capacity and compensation. As of September 30, 2020 and 2019, we employed approximately 27,600 and 27,000 people, respectively, of which approximately 24,800 and 24,100, respectively, were consulting staff.</w:t>
      </w:r>
    </w:p>
    <w:p>
      <w:pPr>
        <w:spacing w:after="0" w:line="5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580" w:hanging="644"/>
        <w:spacing w:after="0" w:line="277" w:lineRule="auto"/>
        <w:tabs>
          <w:tab w:leader="none" w:pos="129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i w:val="1"/>
          <w:iCs w:val="1"/>
          <w:color w:val="auto"/>
        </w:rPr>
      </w:pPr>
    </w:p>
    <w:p>
      <w:pPr>
        <w:ind w:left="1300" w:right="480" w:hanging="644"/>
        <w:spacing w:after="0" w:line="277" w:lineRule="auto"/>
        <w:tabs>
          <w:tab w:leader="none" w:pos="129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(including optional orders) for services under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for which funding has not been appropriated or otherwise authorized.</w:t>
      </w:r>
    </w:p>
    <w:p>
      <w:pPr>
        <w:spacing w:after="0" w:line="62" w:lineRule="exact"/>
        <w:rPr>
          <w:rFonts w:ascii="Arial" w:cs="Arial" w:eastAsia="Arial" w:hAnsi="Arial"/>
          <w:sz w:val="18"/>
          <w:szCs w:val="18"/>
          <w:color w:val="auto"/>
        </w:rPr>
      </w:pPr>
    </w:p>
    <w:p>
      <w:pPr>
        <w:ind w:left="1300" w:right="60" w:hanging="644"/>
        <w:spacing w:after="0" w:line="308" w:lineRule="auto"/>
        <w:tabs>
          <w:tab w:leader="none" w:pos="1295"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Our backlog does not include contracts that have been awarded but are currently under protest and also does not include any task orders under IDIQ contracts, except to the extent that task orders have been awarded to us under those contracts.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As of September 30,</w:t>
            </w:r>
          </w:p>
        </w:tc>
        <w:tc>
          <w:tcPr>
            <w:tcW w:w="960" w:type="dxa"/>
            <w:vAlign w:val="bottom"/>
            <w:tcBorders>
              <w:bottom w:val="single" w:sz="8" w:color="auto"/>
            </w:tcBorders>
          </w:tcPr>
          <w:p>
            <w:pPr>
              <w:spacing w:after="0"/>
              <w:rPr>
                <w:sz w:val="16"/>
                <w:szCs w:val="16"/>
                <w:color w:val="auto"/>
              </w:rPr>
            </w:pPr>
          </w:p>
        </w:tc>
      </w:tr>
      <w:tr>
        <w:trPr>
          <w:trHeight w:val="187"/>
        </w:trPr>
        <w:tc>
          <w:tcPr>
            <w:tcW w:w="800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w w:val="96"/>
              </w:rPr>
              <w:t>2019</w:t>
            </w:r>
          </w:p>
        </w:tc>
      </w:tr>
      <w:tr>
        <w:trPr>
          <w:trHeight w:val="183"/>
        </w:trPr>
        <w:tc>
          <w:tcPr>
            <w:tcW w:w="8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(In millions)</w:t>
            </w:r>
          </w:p>
        </w:tc>
        <w:tc>
          <w:tcPr>
            <w:tcW w:w="960" w:type="dxa"/>
            <w:vAlign w:val="bottom"/>
          </w:tcPr>
          <w:p>
            <w:pPr>
              <w:spacing w:after="0"/>
              <w:rPr>
                <w:sz w:val="15"/>
                <w:szCs w:val="15"/>
                <w:color w:val="auto"/>
              </w:rPr>
            </w:pPr>
          </w:p>
        </w:tc>
      </w:tr>
      <w:tr>
        <w:trPr>
          <w:trHeight w:val="231"/>
        </w:trPr>
        <w:tc>
          <w:tcPr>
            <w:tcW w:w="8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9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8000" w:type="dxa"/>
            <w:vAlign w:val="bottom"/>
          </w:tcPr>
          <w:p>
            <w:pPr>
              <w:ind w:left="340"/>
              <w:spacing w:after="0"/>
              <w:rPr>
                <w:sz w:val="20"/>
                <w:szCs w:val="20"/>
                <w:color w:val="auto"/>
              </w:rPr>
            </w:pPr>
            <w:r>
              <w:rPr>
                <w:rFonts w:ascii="Arial" w:cs="Arial" w:eastAsia="Arial" w:hAnsi="Arial"/>
                <w:sz w:val="18"/>
                <w:szCs w:val="18"/>
                <w:color w:val="auto"/>
              </w:rPr>
              <w:t>Funded</w:t>
            </w: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4,482</w:t>
            </w:r>
          </w:p>
        </w:tc>
        <w:tc>
          <w:tcPr>
            <w:tcW w:w="120" w:type="dxa"/>
            <w:vAlign w:val="bottom"/>
          </w:tcPr>
          <w:p>
            <w:pPr>
              <w:spacing w:after="0"/>
              <w:rPr>
                <w:sz w:val="19"/>
                <w:szCs w:val="19"/>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4,383</w:t>
            </w:r>
          </w:p>
        </w:tc>
      </w:tr>
      <w:tr>
        <w:trPr>
          <w:trHeight w:val="23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Unfunded</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5,365</w:t>
            </w:r>
          </w:p>
        </w:tc>
      </w:tr>
      <w:tr>
        <w:trPr>
          <w:trHeight w:val="229"/>
        </w:trPr>
        <w:tc>
          <w:tcPr>
            <w:tcW w:w="80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Priced options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13,933</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13,163</w:t>
            </w:r>
          </w:p>
        </w:tc>
      </w:tr>
      <w:tr>
        <w:trPr>
          <w:trHeight w:val="248"/>
        </w:trPr>
        <w:tc>
          <w:tcPr>
            <w:tcW w:w="8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backlog</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24,574</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22,911</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80" w:firstLine="405"/>
        <w:spacing w:after="0" w:line="288" w:lineRule="auto"/>
        <w:rPr>
          <w:sz w:val="20"/>
          <w:szCs w:val="20"/>
          <w:color w:val="auto"/>
        </w:rPr>
      </w:pPr>
      <w:r>
        <w:rPr>
          <w:rFonts w:ascii="Arial" w:cs="Arial" w:eastAsia="Arial" w:hAnsi="Arial"/>
          <w:sz w:val="16"/>
          <w:szCs w:val="16"/>
          <w:color w:val="auto"/>
        </w:rPr>
        <w:t>Our total backlog consists of remaining performance obligations, certain orders under contracts for which the period of performance has expired, and unexercised option period and other unexercised optional orders. As of September 30, 2020 and March 31, 2020, the Company had $8.4 billion and $6.3 billion, respectively, of remaining performance obligations and we expect to recognize more than half of the remaining performance obligations at September 30, 2020 as revenue over the next 12 months, and approximately three quarters over the next 24 months. The remainder is expected to be recognized thereafter. However, given the uncertainties discussed below, as well as the risks described in "Item 1A. Risk Factors" of our Annual Report on Form 10-K for the fiscal year ended March 31, 2020, we can give no assurance that we will be able to convert our backlog into revenue in any particular period, if at all. Our backlog includes orders under contracts that in some cases extend for several years. The U.S. Congress generally appropriates funds for our clients on a yearly basis, even though their contracts with us may call for performance that is expected to take a number of years to complete.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7.3% from September 30, 2019 to September 30, 2020. Additions to funded backlog during the twelve months ended September 30, 2020 totaled $7.9 billion in comparison to $7.3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69"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The amount of our funded backlog is also subject to change, due to, among other factors: changes in congressional appropriations that reflect changes in U.S. government policies or priorities resulting from various military, political, economic or international developments; changes in the use of U.S. government contracting vehicles, and the provisions therein used to procure our services and adjustments to the scope of services, or cancellation of contracts, by the U.S. government at any time.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60" w:lineRule="exact"/>
        <w:rPr>
          <w:sz w:val="20"/>
          <w:szCs w:val="20"/>
          <w:color w:val="auto"/>
        </w:rPr>
      </w:pPr>
    </w:p>
    <w:p>
      <w:pPr>
        <w:ind w:right="120" w:firstLine="405"/>
        <w:spacing w:after="0" w:line="275" w:lineRule="auto"/>
        <w:rPr>
          <w:sz w:val="20"/>
          <w:szCs w:val="20"/>
          <w:color w:val="auto"/>
        </w:rPr>
      </w:pPr>
      <w:r>
        <w:rPr>
          <w:rFonts w:ascii="Arial" w:cs="Arial" w:eastAsia="Arial" w:hAnsi="Arial"/>
          <w:sz w:val="17"/>
          <w:szCs w:val="17"/>
          <w:color w:val="auto"/>
        </w:rPr>
        <w:t>In addition, contract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 predetermined expiration date such as the end of the U.S. government's fiscal year. The revenue value of orders included in contract backlog that has not been recognized as revenue due to period of performance expirations has not exceeded approximately 5.3% of total backlog as of September 30, 2020 and any of the four preceding fiscal quarters.</w:t>
      </w:r>
    </w:p>
    <w:p>
      <w:pPr>
        <w:spacing w:after="0" w:line="68" w:lineRule="exact"/>
        <w:rPr>
          <w:sz w:val="20"/>
          <w:szCs w:val="20"/>
          <w:color w:val="auto"/>
        </w:rPr>
      </w:pPr>
    </w:p>
    <w:p>
      <w:pPr>
        <w:ind w:right="240" w:firstLine="405"/>
        <w:spacing w:after="0" w:line="263" w:lineRule="auto"/>
        <w:rPr>
          <w:sz w:val="20"/>
          <w:szCs w:val="20"/>
          <w:color w:val="auto"/>
        </w:rPr>
      </w:pPr>
      <w:r>
        <w:rPr>
          <w:rFonts w:ascii="Arial" w:cs="Arial" w:eastAsia="Arial" w:hAnsi="Arial"/>
          <w:sz w:val="18"/>
          <w:szCs w:val="18"/>
          <w:color w:val="auto"/>
        </w:rPr>
        <w:t>We expect to recognize revenue from a substantial portion of funded backlog as of September 30, 2020 within the next twelve months. However, given the uncertainties discussed above, as well as the risks described in Part I, Item 1A, of our Annual Report on Form 10-K , we can give no assurance that we will be able to convert our backlog into revenue in any particular period, if at all.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jc w:val="both"/>
        <w:ind w:right="80" w:firstLine="405"/>
        <w:spacing w:after="0" w:line="311" w:lineRule="auto"/>
        <w:rPr>
          <w:sz w:val="20"/>
          <w:szCs w:val="20"/>
          <w:color w:val="auto"/>
        </w:rPr>
      </w:pPr>
      <w:r>
        <w:rPr>
          <w:rFonts w:ascii="Arial" w:cs="Arial" w:eastAsia="Arial" w:hAnsi="Arial"/>
          <w:sz w:val="16"/>
          <w:szCs w:val="16"/>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40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220" w:hanging="644"/>
        <w:spacing w:after="0" w:line="277"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700" w:hanging="644"/>
        <w:spacing w:after="0" w:line="342" w:lineRule="auto"/>
        <w:tabs>
          <w:tab w:leader="none" w:pos="1295"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include indirect labor of executive management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corporate administrative functions, marketing and bid and proposal costs, and other discretionary spending.</w:t>
      </w:r>
    </w:p>
    <w:p>
      <w:pPr>
        <w:spacing w:after="0" w:line="15" w:lineRule="exact"/>
        <w:rPr>
          <w:rFonts w:ascii="Arial" w:cs="Arial" w:eastAsia="Arial" w:hAnsi="Arial"/>
          <w:sz w:val="16"/>
          <w:szCs w:val="16"/>
          <w:color w:val="auto"/>
        </w:rPr>
      </w:pPr>
    </w:p>
    <w:p>
      <w:pPr>
        <w:ind w:left="1300" w:right="20" w:hanging="644"/>
        <w:spacing w:after="0" w:line="263" w:lineRule="auto"/>
        <w:tabs>
          <w:tab w:leader="none" w:pos="1295"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 Seasonality is just one of a number of factors, many of which are outside of our control, which may affect our results in any period.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Our critical accounting estimates and policies are disclosed in the Critical Accounting Estimates and Policies section in Part II, "Item 7. Management's Discussion and Analysis of Financial Condition and Results of Operations" of our Annual Report on Form 10-K for the year ended March 31, 2020. There were no other material changes to our critical accounting policies, estimates or judgments that occurred in the quarterly period covered by this report.</w:t>
      </w:r>
    </w:p>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See Note 2 to our accompanying condensed consolidated financial statements for information related to our adoption of new accounting standards and for information on our anticipated adoption of recently issued accounting standards.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00" w:type="dxa"/>
            <w:vAlign w:val="bottom"/>
            <w:tcBorders>
              <w:right w:val="single" w:sz="8" w:color="auto"/>
            </w:tcBorders>
            <w:gridSpan w:val="4"/>
          </w:tcPr>
          <w:p>
            <w:pPr>
              <w:jc w:val="center"/>
              <w:ind w:right="193"/>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138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4"/>
                <w:szCs w:val="14"/>
                <w:color w:val="auto"/>
              </w:rPr>
            </w:pPr>
          </w:p>
        </w:tc>
        <w:tc>
          <w:tcPr>
            <w:tcW w:w="2200" w:type="dxa"/>
            <w:vAlign w:val="bottom"/>
            <w:tcBorders>
              <w:right w:val="single" w:sz="8" w:color="auto"/>
            </w:tcBorders>
            <w:gridSpan w:val="4"/>
          </w:tcPr>
          <w:p>
            <w:pPr>
              <w:jc w:val="right"/>
              <w:ind w:right="533"/>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0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86"/>
        </w:trPr>
        <w:tc>
          <w:tcPr>
            <w:tcW w:w="2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795"/>
              <w:spacing w:after="0"/>
              <w:rPr>
                <w:sz w:val="20"/>
                <w:szCs w:val="20"/>
                <w:color w:val="auto"/>
              </w:rPr>
            </w:pPr>
            <w:r>
              <w:rPr>
                <w:rFonts w:ascii="Arial" w:cs="Arial" w:eastAsia="Arial" w:hAnsi="Arial"/>
                <w:sz w:val="14"/>
                <w:szCs w:val="14"/>
                <w:b w:val="1"/>
                <w:bCs w:val="1"/>
                <w:color w:val="auto"/>
                <w:w w:val="91"/>
              </w:rPr>
              <w:t>September 30,</w:t>
            </w:r>
          </w:p>
        </w:tc>
        <w:tc>
          <w:tcPr>
            <w:tcW w:w="114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right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Borders>
              <w:right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380" w:type="dxa"/>
            <w:vAlign w:val="bottom"/>
            <w:gridSpan w:val="2"/>
          </w:tcPr>
          <w:p>
            <w:pPr>
              <w:ind w:left="40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15"/>
                <w:szCs w:val="15"/>
                <w:color w:val="auto"/>
              </w:rPr>
            </w:pPr>
          </w:p>
        </w:tc>
        <w:tc>
          <w:tcPr>
            <w:tcW w:w="960" w:type="dxa"/>
            <w:vAlign w:val="bottom"/>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Borders>
              <w:right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5"/>
                <w:szCs w:val="15"/>
                <w:color w:val="auto"/>
              </w:rPr>
            </w:pPr>
          </w:p>
        </w:tc>
        <w:tc>
          <w:tcPr>
            <w:tcW w:w="1080" w:type="dxa"/>
            <w:vAlign w:val="bottom"/>
          </w:tcPr>
          <w:p>
            <w:pPr>
              <w:jc w:val="right"/>
              <w:ind w:right="2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140" w:type="dxa"/>
            <w:vAlign w:val="bottom"/>
            <w:tcBorders>
              <w:top w:val="single" w:sz="8" w:color="auto"/>
              <w:right w:val="single" w:sz="8" w:color="auto"/>
            </w:tcBorders>
          </w:tcPr>
          <w:p>
            <w:pPr>
              <w:jc w:val="right"/>
              <w:ind w:right="293"/>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(Unaudited)</w:t>
            </w:r>
          </w:p>
        </w:tc>
        <w:tc>
          <w:tcPr>
            <w:tcW w:w="8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center"/>
              <w:ind w:left="775"/>
              <w:spacing w:after="0"/>
              <w:rPr>
                <w:sz w:val="20"/>
                <w:szCs w:val="20"/>
                <w:color w:val="auto"/>
              </w:rPr>
            </w:pPr>
            <w:r>
              <w:rPr>
                <w:rFonts w:ascii="Arial" w:cs="Arial" w:eastAsia="Arial" w:hAnsi="Arial"/>
                <w:sz w:val="14"/>
                <w:szCs w:val="14"/>
                <w:b w:val="1"/>
                <w:bCs w:val="1"/>
                <w:color w:val="auto"/>
                <w:w w:val="93"/>
              </w:rPr>
              <w:t>(In thousands)</w:t>
            </w:r>
          </w:p>
        </w:tc>
        <w:tc>
          <w:tcPr>
            <w:tcW w:w="114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Borders>
              <w:right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2,019,185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1,819,577</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3,975,638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3,644,753</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Operating costs and expenses: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revenue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942,597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843,942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1,684,596</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30"/>
        </w:trPr>
        <w:tc>
          <w:tcPr>
            <w:tcW w:w="2960" w:type="dxa"/>
            <w:vAlign w:val="bottom"/>
          </w:tcPr>
          <w:p>
            <w:pPr>
              <w:ind w:left="220"/>
              <w:spacing w:after="0"/>
              <w:rPr>
                <w:sz w:val="20"/>
                <w:szCs w:val="20"/>
                <w:color w:val="auto"/>
              </w:rPr>
            </w:pPr>
            <w:r>
              <w:rPr>
                <w:rFonts w:ascii="Arial" w:cs="Arial" w:eastAsia="Arial" w:hAnsi="Arial"/>
                <w:sz w:val="18"/>
                <w:szCs w:val="18"/>
                <w:color w:val="auto"/>
              </w:rPr>
              <w:t>Billable expenses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603,652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539,846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11.8 %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1,152,729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1,091,021</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1"/>
              </w:rPr>
              <w:t>General and administrative expenses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244,122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490,555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478,402</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2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19,632</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39,653</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156"/>
        </w:trPr>
        <w:tc>
          <w:tcPr>
            <w:tcW w:w="2960" w:type="dxa"/>
            <w:vAlign w:val="bottom"/>
            <w:shd w:val="clear" w:color="auto" w:fill="CCEEFF"/>
          </w:tcPr>
          <w:p>
            <w:pPr>
              <w:ind w:left="460"/>
              <w:spacing w:after="0" w:line="156" w:lineRule="exact"/>
              <w:rPr>
                <w:sz w:val="20"/>
                <w:szCs w:val="20"/>
                <w:color w:val="auto"/>
              </w:rPr>
            </w:pPr>
            <w:r>
              <w:rPr>
                <w:rFonts w:ascii="Arial" w:cs="Arial" w:eastAsia="Arial" w:hAnsi="Arial"/>
                <w:sz w:val="18"/>
                <w:szCs w:val="18"/>
                <w:color w:val="auto"/>
              </w:rPr>
              <w:t>Total operating costs and</w:t>
            </w:r>
          </w:p>
        </w:tc>
        <w:tc>
          <w:tcPr>
            <w:tcW w:w="26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1,811,964</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tcBorders>
              <w:right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1,647,542</w:t>
            </w:r>
          </w:p>
        </w:tc>
        <w:tc>
          <w:tcPr>
            <w:tcW w:w="100" w:type="dxa"/>
            <w:vAlign w:val="bottom"/>
            <w:shd w:val="clear" w:color="auto" w:fill="CCEEFF"/>
          </w:tcPr>
          <w:p>
            <w:pPr>
              <w:spacing w:after="0"/>
              <w:rPr>
                <w:sz w:val="13"/>
                <w:szCs w:val="13"/>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3,576,530</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tcBorders>
              <w:right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8"/>
                <w:szCs w:val="18"/>
                <w:color w:val="auto"/>
              </w:rPr>
              <w:t>3,293,672</w:t>
            </w:r>
          </w:p>
        </w:tc>
        <w:tc>
          <w:tcPr>
            <w:tcW w:w="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expenses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right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207,221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172,035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20.5 %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399,108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351,081</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29"/>
        </w:trPr>
        <w:tc>
          <w:tcPr>
            <w:tcW w:w="2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(25,863)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(51,050)</w:t>
            </w: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296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19"/>
                <w:szCs w:val="19"/>
                <w:color w:val="auto"/>
              </w:rPr>
            </w:pPr>
          </w:p>
        </w:tc>
        <w:tc>
          <w:tcPr>
            <w:tcW w:w="1380" w:type="dxa"/>
            <w:vAlign w:val="bottom"/>
            <w:gridSpan w:val="2"/>
          </w:tcPr>
          <w:p>
            <w:pPr>
              <w:ind w:left="960"/>
              <w:spacing w:after="0"/>
              <w:rPr>
                <w:sz w:val="20"/>
                <w:szCs w:val="20"/>
                <w:color w:val="auto"/>
              </w:rPr>
            </w:pPr>
            <w:r>
              <w:rPr>
                <w:rFonts w:ascii="Arial" w:cs="Arial" w:eastAsia="Arial" w:hAnsi="Arial"/>
                <w:sz w:val="18"/>
                <w:szCs w:val="18"/>
                <w:color w:val="auto"/>
              </w:rPr>
              <w:t>NM</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right w:val="single" w:sz="8" w:color="auto"/>
            </w:tcBorders>
          </w:tcPr>
          <w:p>
            <w:pPr>
              <w:jc w:val="right"/>
              <w:ind w:right="13"/>
              <w:spacing w:after="0"/>
              <w:rPr>
                <w:sz w:val="20"/>
                <w:szCs w:val="20"/>
                <w:color w:val="auto"/>
              </w:rPr>
            </w:pPr>
            <w:r>
              <w:rPr>
                <w:rFonts w:ascii="Arial" w:cs="Arial" w:eastAsia="Arial" w:hAnsi="Arial"/>
                <w:sz w:val="18"/>
                <w:szCs w:val="18"/>
                <w:color w:val="auto"/>
              </w:rPr>
              <w:t>3,976</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175,400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148,177</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304,007</w:t>
            </w:r>
          </w:p>
        </w:tc>
        <w:tc>
          <w:tcPr>
            <w:tcW w:w="8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33,852</w:t>
            </w:r>
          </w:p>
        </w:tc>
        <w:tc>
          <w:tcPr>
            <w:tcW w:w="10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16.1 %</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80,806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jc w:val="right"/>
              <w:ind w:right="13"/>
              <w:spacing w:after="0"/>
              <w:rPr>
                <w:sz w:val="20"/>
                <w:szCs w:val="20"/>
                <w:color w:val="auto"/>
              </w:rPr>
            </w:pPr>
            <w:r>
              <w:rPr>
                <w:rFonts w:ascii="Arial" w:cs="Arial" w:eastAsia="Arial" w:hAnsi="Arial"/>
                <w:sz w:val="18"/>
                <w:szCs w:val="18"/>
                <w:color w:val="auto"/>
              </w:rPr>
              <w:t>72,296</w:t>
            </w: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114,325</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right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231,711</w:t>
            </w: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r>
        <w:rPr>
          <w:rFonts w:ascii="Arial" w:cs="Arial" w:eastAsia="Arial" w:hAnsi="Arial"/>
          <w:sz w:val="18"/>
          <w:szCs w:val="18"/>
          <w:i w:val="1"/>
          <w:iCs w:val="1"/>
          <w:color w:val="auto"/>
        </w:rPr>
        <w: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Three Months Ended September 30, 2020 Compared to Three Months Ended September 30, 2019</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Revenue increased to $2,019.2 million from $1,819.6 million, or an 11.0% increase, primarily driven by sustained strength in client demand and headcount growth to meet that demand. Total headcount as of September 30, 2020 increased approximately 600 as compared to September 30, 2019. The Company also benefited from higher staff utilization over the prior year period driven by fewer PTO days taken by our employees. Revenue growth also increased to a lesser extent by an increase in billable expenses.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Cost of revenue increased to $942.6 million from $843.9 million, or an 11.7% increase. The increase was primarily due to increases in salaries and salary-related benefits of $65.1 million, driven by increased headcount and annual base salary increases. Cost of revenue as a percentage of revenue was 46.7% and 46.4% for the three months ended September 30, 2020 and 2019, respectively.</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firstLine="405"/>
        <w:spacing w:after="0" w:line="275" w:lineRule="auto"/>
        <w:rPr>
          <w:sz w:val="20"/>
          <w:szCs w:val="20"/>
          <w:color w:val="auto"/>
        </w:rPr>
      </w:pPr>
      <w:r>
        <w:rPr>
          <w:rFonts w:ascii="Arial" w:cs="Arial" w:eastAsia="Arial" w:hAnsi="Arial"/>
          <w:sz w:val="17"/>
          <w:szCs w:val="17"/>
          <w:color w:val="auto"/>
        </w:rPr>
        <w:t>Billable expenses increased to $603.7 million from $539.8 million, or an 11.8% increase, primarily attributable to an increase in the use of subcontractors driven by client demand. The increase was partially offset by the decreases in expenses from contracts which require the Company to incur direct and travel expenses on behalf of clients compared to the prior year period. The impact of COVID-19 drove volatility in the timing and magnitude of billable expenses primarily associated with other direct and travel expenses incurred on behalf of our clients. Billable expenses as a percentage of revenue were 29.9% and 29.7% for the three months ended September 30, 2020 and 2019, respectively.</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jc w:val="both"/>
        <w:ind w:right="80" w:firstLine="405"/>
        <w:spacing w:after="0" w:line="311" w:lineRule="auto"/>
        <w:rPr>
          <w:sz w:val="20"/>
          <w:szCs w:val="20"/>
          <w:color w:val="auto"/>
        </w:rPr>
      </w:pPr>
      <w:r>
        <w:rPr>
          <w:rFonts w:ascii="Arial" w:cs="Arial" w:eastAsia="Arial" w:hAnsi="Arial"/>
          <w:sz w:val="16"/>
          <w:szCs w:val="16"/>
          <w:color w:val="auto"/>
        </w:rPr>
        <w:t>General and administrative expenses increased to $244.7 million from $244.1 million, or a 0.2% increase, primarily due to increases in salaries and salary-related benefits of $2.8 million, partially offset by decreases in other business expenses and professional fees. General and administrative expenses as a percentage of revenue were 12.1% and 13.4% for the three months ended September 30, 2020 and 2019, respectively.</w:t>
      </w:r>
    </w:p>
    <w:p>
      <w:pPr>
        <w:spacing w:after="0" w:line="200" w:lineRule="exact"/>
        <w:rPr>
          <w:sz w:val="20"/>
          <w:szCs w:val="20"/>
          <w:color w:val="auto"/>
        </w:rPr>
      </w:pP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Depreciation and amortization increased to $21.0 million from $19.6 million, or a 7.0% increase, primarily due to increases in depreciation expense resulting from the effects of higher capital expenditures in fiscal 2020.</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Interest expense decreased to $19.8 million from $25.9 million, or a 23.5% decrease, primarily due to a decrease in 1 Month LIBOR, the benchmark interest rate under our Secured Credit Facility, and a reduction in expense of $2.0 million as a result of the repayment of the remaining Deferred Payment Obligation balance in December 2019.</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jc w:val="both"/>
        <w:ind w:right="240" w:firstLine="405"/>
        <w:spacing w:after="0" w:line="263" w:lineRule="auto"/>
        <w:rPr>
          <w:sz w:val="20"/>
          <w:szCs w:val="20"/>
          <w:color w:val="auto"/>
        </w:rPr>
      </w:pPr>
      <w:r>
        <w:rPr>
          <w:rFonts w:ascii="Arial" w:cs="Arial" w:eastAsia="Arial" w:hAnsi="Arial"/>
          <w:sz w:val="18"/>
          <w:szCs w:val="18"/>
          <w:color w:val="auto"/>
        </w:rPr>
        <w:t>Other expense (Income), net decreased to a $12.0 million net other expense from a $2.0 million net other income primarily due to the loss on debt extinguishment resulting from the redemption of the 2017 Senior Notes, including $9.0 million of the premium paid at redemption, and write-off of the unamortized debt issuance cost.</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Income tax expense increased to $39.3 million from $33.9 million, primarily due to an increase in pre-tax income as compared to the prior year period. The effective tax rate decreased to 22.4% for the three months ended September 30, 2020 from 22.8% for the three months ended September 30, 2019.</w:t>
      </w:r>
    </w:p>
    <w:p>
      <w:pPr>
        <w:spacing w:after="0" w:line="200" w:lineRule="exact"/>
        <w:rPr>
          <w:sz w:val="20"/>
          <w:szCs w:val="20"/>
          <w:color w:val="auto"/>
        </w:rPr>
      </w:pPr>
    </w:p>
    <w:p>
      <w:pPr>
        <w:spacing w:after="0" w:line="227" w:lineRule="exact"/>
        <w:rPr>
          <w:sz w:val="20"/>
          <w:szCs w:val="20"/>
          <w:color w:val="auto"/>
        </w:rPr>
      </w:pPr>
    </w:p>
    <w:p>
      <w:pPr>
        <w:ind w:left="260" w:right="3940" w:firstLine="162"/>
        <w:spacing w:after="0" w:line="375" w:lineRule="auto"/>
        <w:rPr>
          <w:sz w:val="20"/>
          <w:szCs w:val="20"/>
          <w:color w:val="auto"/>
        </w:rPr>
      </w:pPr>
      <w:r>
        <w:rPr>
          <w:rFonts w:ascii="Arial" w:cs="Arial" w:eastAsia="Arial" w:hAnsi="Arial"/>
          <w:sz w:val="18"/>
          <w:szCs w:val="18"/>
          <w:b w:val="1"/>
          <w:bCs w:val="1"/>
          <w:i w:val="1"/>
          <w:iCs w:val="1"/>
          <w:color w:val="auto"/>
        </w:rPr>
        <w:t xml:space="preserve">Six Months Ended September 30, 2020 Compared to Six Months Ended September 30, 2019 </w:t>
      </w:r>
      <w:r>
        <w:rPr>
          <w:rFonts w:ascii="Arial" w:cs="Arial" w:eastAsia="Arial" w:hAnsi="Arial"/>
          <w:sz w:val="18"/>
          <w:szCs w:val="18"/>
          <w:i w:val="1"/>
          <w:iCs w:val="1"/>
          <w:color w:val="auto"/>
        </w:rPr>
        <w:t>Revenue</w:t>
      </w:r>
    </w:p>
    <w:p>
      <w:pPr>
        <w:spacing w:after="0" w:line="1" w:lineRule="exact"/>
        <w:rPr>
          <w:sz w:val="20"/>
          <w:szCs w:val="20"/>
          <w:color w:val="auto"/>
        </w:rPr>
      </w:pPr>
    </w:p>
    <w:p>
      <w:pPr>
        <w:ind w:right="540" w:firstLine="405"/>
        <w:spacing w:after="0" w:line="277" w:lineRule="auto"/>
        <w:rPr>
          <w:sz w:val="20"/>
          <w:szCs w:val="20"/>
          <w:color w:val="auto"/>
        </w:rPr>
      </w:pPr>
      <w:r>
        <w:rPr>
          <w:rFonts w:ascii="Arial" w:cs="Arial" w:eastAsia="Arial" w:hAnsi="Arial"/>
          <w:sz w:val="18"/>
          <w:szCs w:val="18"/>
          <w:color w:val="auto"/>
        </w:rPr>
        <w:t>Revenue increased to $3,975.6 million from $3,644.8 million, or a 9.1% increase, primarily driven by sustained strength in client demand and headcount growth to meet that demand. Revenue growth was also driven by an increase in billable expenses.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Cost of revenue increased to $1,891.5 million from $1,684.6 million, or a 12.3% increase. The increase was primarily due to increases in salaries and salary-related benefits of $143.5 million primarily driven by increased headcount and annual base salary increases. Cost of revenue as a percentage of revenue was 47.6% and 46.2% for the six months ended September 30, 2020 and 2019, respectively.</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20" w:firstLine="405"/>
        <w:spacing w:after="0" w:line="275" w:lineRule="auto"/>
        <w:rPr>
          <w:sz w:val="20"/>
          <w:szCs w:val="20"/>
          <w:color w:val="auto"/>
        </w:rPr>
      </w:pPr>
      <w:r>
        <w:rPr>
          <w:rFonts w:ascii="Arial" w:cs="Arial" w:eastAsia="Arial" w:hAnsi="Arial"/>
          <w:sz w:val="17"/>
          <w:szCs w:val="17"/>
          <w:color w:val="auto"/>
        </w:rPr>
        <w:t>Billable expenses increased to $1,152.7 million from $1,091.0 million, or a 5.7% increase, primarily attributable to an increase in use of subcontractors driven by client demand. The increase was partially offset by decreases in expenses from contracts which require the Company to incur direct and travel expenses on behalf of clients compared to the prior year period. The impact of COVID-19 drove volatility in the timing and magnitude of billable expenses primarily associated with other direct and travel expenses incurred on behalf of our clients. Billable expenses as a percentage of revenue were 29.0% and 29.9% for the six months ended September 30, 2020 and 2019, respectively.</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General and administrative expenses increased to $490.6 million from $478.4 million, or a 2.5% increase primarily due to increases in salary and salary related benefits of $10.7 million, partially offset by decreases in other business expenses and professional fees. General and administrative expenses as a percentage of revenue were 12.3% and 13.1% for the six months ended September 30, 2020 and 2019, respectively.</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Depreciation and amortization increased to $41.7 million from $39.7 million, or a 5.3% increase, primarily due to increases in depreciation expense resulting from the effects of higher capital expenditures in fiscal 2020.</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60" w:firstLine="405"/>
        <w:spacing w:after="0" w:line="263" w:lineRule="auto"/>
        <w:rPr>
          <w:sz w:val="20"/>
          <w:szCs w:val="20"/>
          <w:color w:val="auto"/>
        </w:rPr>
      </w:pPr>
      <w:r>
        <w:rPr>
          <w:rFonts w:ascii="Arial" w:cs="Arial" w:eastAsia="Arial" w:hAnsi="Arial"/>
          <w:sz w:val="18"/>
          <w:szCs w:val="18"/>
          <w:color w:val="auto"/>
        </w:rPr>
        <w:t>Interest expense decreased to $40.0 million from $51.1 million, or a 21.6% decrease, primarily due to a decrease in 1 Month LIBOR, the benchmark interest rate under our Secured Credit Facility, and a reduction in expense of $4.0 million as a result of the repayment of the remaining Deferred Payment Obligation balance in December 2019.</w:t>
      </w:r>
    </w:p>
    <w:p>
      <w:pPr>
        <w:spacing w:after="0" w:line="200" w:lineRule="exact"/>
        <w:rPr>
          <w:sz w:val="20"/>
          <w:szCs w:val="20"/>
          <w:color w:val="auto"/>
        </w:rPr>
      </w:pPr>
    </w:p>
    <w:p>
      <w:pPr>
        <w:spacing w:after="0" w:line="3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jc w:val="both"/>
        <w:ind w:right="260" w:firstLine="405"/>
        <w:spacing w:after="0" w:line="263" w:lineRule="auto"/>
        <w:rPr>
          <w:sz w:val="20"/>
          <w:szCs w:val="20"/>
          <w:color w:val="auto"/>
        </w:rPr>
      </w:pPr>
      <w:r>
        <w:rPr>
          <w:rFonts w:ascii="Arial" w:cs="Arial" w:eastAsia="Arial" w:hAnsi="Arial"/>
          <w:sz w:val="18"/>
          <w:szCs w:val="18"/>
          <w:color w:val="auto"/>
        </w:rPr>
        <w:t>Other expense (Income), net decreased to a $12.9 million net other expense from a $4.0 million net other income, primarily due to the loss on debt extinguishment resulting from the redemption of the 2017 Senior Notes, including $9.0 million of the premium paid at redemption, and write-off of the unamortized debt issuance cost.</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Income tax expense increased to $80.8 million from $72.3 million, primarily due to an increase in pre-tax income as compared to the prior year</w:t>
      </w:r>
    </w:p>
    <w:p>
      <w:pPr>
        <w:spacing w:after="0" w:line="35"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period. The effective tax rate decreased to 23.3% for the six months ended September 30, 2020 from 23.8% for the six months ended September 30, 2019.</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The following table presents selected financial information as of September 30, 2020 and March 31, 2020 and for the first six months of fiscal 2021 and 2020:</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540" w:type="dxa"/>
            <w:vAlign w:val="bottom"/>
          </w:tcPr>
          <w:p>
            <w:pPr>
              <w:spacing w:after="0"/>
              <w:rPr>
                <w:sz w:val="14"/>
                <w:szCs w:val="14"/>
                <w:color w:val="auto"/>
              </w:rPr>
            </w:pPr>
          </w:p>
        </w:tc>
        <w:tc>
          <w:tcPr>
            <w:tcW w:w="1320" w:type="dxa"/>
            <w:vAlign w:val="bottom"/>
          </w:tcPr>
          <w:p>
            <w:pPr>
              <w:jc w:val="center"/>
              <w:ind w:right="457"/>
              <w:spacing w:after="0"/>
              <w:rPr>
                <w:sz w:val="20"/>
                <w:szCs w:val="20"/>
                <w:color w:val="auto"/>
              </w:rPr>
            </w:pPr>
            <w:r>
              <w:rPr>
                <w:rFonts w:ascii="Arial" w:cs="Arial" w:eastAsia="Arial" w:hAnsi="Arial"/>
                <w:sz w:val="14"/>
                <w:szCs w:val="14"/>
                <w:b w:val="1"/>
                <w:bCs w:val="1"/>
                <w:color w:val="auto"/>
                <w:w w:val="95"/>
              </w:rPr>
              <w:t>March 31,</w:t>
            </w:r>
          </w:p>
        </w:tc>
      </w:tr>
      <w:tr>
        <w:trPr>
          <w:trHeight w:val="188"/>
        </w:trPr>
        <w:tc>
          <w:tcPr>
            <w:tcW w:w="7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57"/>
              <w:spacing w:after="0"/>
              <w:rPr>
                <w:sz w:val="20"/>
                <w:szCs w:val="20"/>
                <w:color w:val="auto"/>
              </w:rPr>
            </w:pPr>
            <w:r>
              <w:rPr>
                <w:rFonts w:ascii="Arial" w:cs="Arial" w:eastAsia="Arial" w:hAnsi="Arial"/>
                <w:sz w:val="14"/>
                <w:szCs w:val="14"/>
                <w:b w:val="1"/>
                <w:bCs w:val="1"/>
                <w:color w:val="auto"/>
                <w:w w:val="96"/>
              </w:rPr>
              <w:t>2020</w:t>
            </w:r>
          </w:p>
        </w:tc>
      </w:tr>
      <w:tr>
        <w:trPr>
          <w:trHeight w:val="175"/>
        </w:trPr>
        <w:tc>
          <w:tcPr>
            <w:tcW w:w="7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center"/>
              <w:ind w:right="221"/>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192"/>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3"/>
          </w:tcPr>
          <w:p>
            <w:pPr>
              <w:jc w:val="center"/>
              <w:ind w:left="941"/>
              <w:spacing w:after="0"/>
              <w:rPr>
                <w:sz w:val="20"/>
                <w:szCs w:val="20"/>
                <w:color w:val="auto"/>
              </w:rPr>
            </w:pPr>
            <w:r>
              <w:rPr>
                <w:rFonts w:ascii="Arial" w:cs="Arial" w:eastAsia="Arial" w:hAnsi="Arial"/>
                <w:sz w:val="14"/>
                <w:szCs w:val="14"/>
                <w:b w:val="1"/>
                <w:bCs w:val="1"/>
                <w:color w:val="auto"/>
                <w:w w:val="93"/>
              </w:rPr>
              <w:t>(In thousands)</w:t>
            </w:r>
          </w:p>
        </w:tc>
        <w:tc>
          <w:tcPr>
            <w:tcW w:w="1320" w:type="dxa"/>
            <w:vAlign w:val="bottom"/>
          </w:tcPr>
          <w:p>
            <w:pPr>
              <w:spacing w:after="0"/>
              <w:rPr>
                <w:sz w:val="16"/>
                <w:szCs w:val="16"/>
                <w:color w:val="auto"/>
              </w:rPr>
            </w:pPr>
          </w:p>
        </w:tc>
      </w:tr>
      <w:tr>
        <w:trPr>
          <w:trHeight w:val="235"/>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1,275,190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741,901</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20"/>
                <w:szCs w:val="20"/>
                <w:color w:val="auto"/>
              </w:rPr>
            </w:pPr>
          </w:p>
        </w:tc>
        <w:tc>
          <w:tcPr>
            <w:tcW w:w="1560" w:type="dxa"/>
            <w:vAlign w:val="bottom"/>
          </w:tcPr>
          <w:p>
            <w:pPr>
              <w:jc w:val="right"/>
              <w:ind w:right="1"/>
              <w:spacing w:after="0"/>
              <w:rPr>
                <w:sz w:val="20"/>
                <w:szCs w:val="20"/>
                <w:color w:val="auto"/>
              </w:rPr>
            </w:pPr>
            <w:r>
              <w:rPr>
                <w:rFonts w:ascii="Arial" w:cs="Arial" w:eastAsia="Arial" w:hAnsi="Arial"/>
                <w:sz w:val="18"/>
                <w:szCs w:val="18"/>
                <w:color w:val="auto"/>
              </w:rPr>
              <w:t>2,393,604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2,185,844</w:t>
            </w:r>
          </w:p>
        </w:tc>
      </w:tr>
      <w:tr>
        <w:trPr>
          <w:trHeight w:val="391"/>
        </w:trPr>
        <w:tc>
          <w:tcPr>
            <w:tcW w:w="7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0" w:type="dxa"/>
            <w:vAlign w:val="bottom"/>
            <w:gridSpan w:val="3"/>
          </w:tcPr>
          <w:p>
            <w:pPr>
              <w:jc w:val="center"/>
              <w:ind w:left="941"/>
              <w:spacing w:after="0"/>
              <w:rPr>
                <w:sz w:val="20"/>
                <w:szCs w:val="20"/>
                <w:color w:val="auto"/>
              </w:rPr>
            </w:pPr>
            <w:r>
              <w:rPr>
                <w:rFonts w:ascii="Arial" w:cs="Arial" w:eastAsia="Arial" w:hAnsi="Arial"/>
                <w:sz w:val="14"/>
                <w:szCs w:val="14"/>
                <w:b w:val="1"/>
                <w:bCs w:val="1"/>
                <w:color w:val="auto"/>
                <w:w w:val="93"/>
              </w:rPr>
              <w:t>Six Months Ended</w:t>
            </w:r>
          </w:p>
        </w:tc>
        <w:tc>
          <w:tcPr>
            <w:tcW w:w="1320" w:type="dxa"/>
            <w:vAlign w:val="bottom"/>
          </w:tcPr>
          <w:p>
            <w:pPr>
              <w:spacing w:after="0"/>
              <w:rPr>
                <w:sz w:val="24"/>
                <w:szCs w:val="24"/>
                <w:color w:val="auto"/>
              </w:rPr>
            </w:pPr>
          </w:p>
        </w:tc>
      </w:tr>
      <w:tr>
        <w:trPr>
          <w:trHeight w:val="188"/>
        </w:trPr>
        <w:tc>
          <w:tcPr>
            <w:tcW w:w="7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3"/>
          </w:tcPr>
          <w:p>
            <w:pPr>
              <w:jc w:val="center"/>
              <w:ind w:left="941"/>
              <w:spacing w:after="0"/>
              <w:rPr>
                <w:sz w:val="20"/>
                <w:szCs w:val="20"/>
                <w:color w:val="auto"/>
              </w:rPr>
            </w:pPr>
            <w:r>
              <w:rPr>
                <w:rFonts w:ascii="Arial" w:cs="Arial" w:eastAsia="Arial" w:hAnsi="Arial"/>
                <w:sz w:val="14"/>
                <w:szCs w:val="14"/>
                <w:b w:val="1"/>
                <w:bCs w:val="1"/>
                <w:color w:val="auto"/>
                <w:w w:val="89"/>
              </w:rPr>
              <w:t>September 30,</w:t>
            </w:r>
          </w:p>
        </w:tc>
        <w:tc>
          <w:tcPr>
            <w:tcW w:w="1320" w:type="dxa"/>
            <w:vAlign w:val="bottom"/>
            <w:tcBorders>
              <w:bottom w:val="single" w:sz="8" w:color="auto"/>
            </w:tcBorders>
          </w:tcPr>
          <w:p>
            <w:pPr>
              <w:spacing w:after="0"/>
              <w:rPr>
                <w:sz w:val="16"/>
                <w:szCs w:val="16"/>
                <w:color w:val="auto"/>
              </w:rPr>
            </w:pPr>
          </w:p>
        </w:tc>
      </w:tr>
      <w:tr>
        <w:trPr>
          <w:trHeight w:val="183"/>
        </w:trPr>
        <w:tc>
          <w:tcPr>
            <w:tcW w:w="73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241"/>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457"/>
              <w:spacing w:after="0"/>
              <w:rPr>
                <w:sz w:val="20"/>
                <w:szCs w:val="20"/>
                <w:color w:val="auto"/>
              </w:rPr>
            </w:pPr>
            <w:r>
              <w:rPr>
                <w:rFonts w:ascii="Arial" w:cs="Arial" w:eastAsia="Arial" w:hAnsi="Arial"/>
                <w:sz w:val="14"/>
                <w:szCs w:val="14"/>
                <w:b w:val="1"/>
                <w:bCs w:val="1"/>
                <w:color w:val="auto"/>
                <w:w w:val="96"/>
              </w:rPr>
              <w:t>2019</w:t>
            </w:r>
          </w:p>
        </w:tc>
      </w:tr>
      <w:tr>
        <w:trPr>
          <w:trHeight w:val="175"/>
        </w:trPr>
        <w:tc>
          <w:tcPr>
            <w:tcW w:w="73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center"/>
              <w:ind w:right="221"/>
              <w:spacing w:after="0"/>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center"/>
              <w:ind w:right="457"/>
              <w:spacing w:after="0"/>
              <w:rPr>
                <w:sz w:val="20"/>
                <w:szCs w:val="20"/>
                <w:color w:val="auto"/>
              </w:rPr>
            </w:pPr>
            <w:r>
              <w:rPr>
                <w:rFonts w:ascii="Arial" w:cs="Arial" w:eastAsia="Arial" w:hAnsi="Arial"/>
                <w:sz w:val="14"/>
                <w:szCs w:val="14"/>
                <w:b w:val="1"/>
                <w:bCs w:val="1"/>
                <w:color w:val="auto"/>
                <w:w w:val="95"/>
              </w:rPr>
              <w:t>(Unaudited)</w:t>
            </w:r>
          </w:p>
        </w:tc>
      </w:tr>
      <w:tr>
        <w:trPr>
          <w:trHeight w:val="192"/>
        </w:trPr>
        <w:tc>
          <w:tcPr>
            <w:tcW w:w="7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0" w:type="dxa"/>
            <w:vAlign w:val="bottom"/>
            <w:gridSpan w:val="3"/>
          </w:tcPr>
          <w:p>
            <w:pPr>
              <w:jc w:val="center"/>
              <w:ind w:left="941"/>
              <w:spacing w:after="0"/>
              <w:rPr>
                <w:sz w:val="20"/>
                <w:szCs w:val="20"/>
                <w:color w:val="auto"/>
              </w:rPr>
            </w:pPr>
            <w:r>
              <w:rPr>
                <w:rFonts w:ascii="Arial" w:cs="Arial" w:eastAsia="Arial" w:hAnsi="Arial"/>
                <w:sz w:val="14"/>
                <w:szCs w:val="14"/>
                <w:b w:val="1"/>
                <w:bCs w:val="1"/>
                <w:color w:val="auto"/>
                <w:w w:val="93"/>
              </w:rPr>
              <w:t>(In thousands)</w:t>
            </w:r>
          </w:p>
        </w:tc>
        <w:tc>
          <w:tcPr>
            <w:tcW w:w="1320" w:type="dxa"/>
            <w:vAlign w:val="bottom"/>
          </w:tcPr>
          <w:p>
            <w:pPr>
              <w:spacing w:after="0"/>
              <w:rPr>
                <w:sz w:val="16"/>
                <w:szCs w:val="16"/>
                <w:color w:val="auto"/>
              </w:rPr>
            </w:pPr>
          </w:p>
        </w:tc>
      </w:tr>
      <w:tr>
        <w:trPr>
          <w:trHeight w:val="235"/>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566,024</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266,679</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(38,084)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(59,978)</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5,349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290,855</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Total increase in cash and cash equivalents</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533,289</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497,556</w:t>
            </w: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the opinion of management, we will be able to meet our liquidity and cash needs through a combination of cash flows from operating activities, available cash balances, and available borrowing under the Revolving Credit Facility.</w:t>
      </w:r>
    </w:p>
    <w:p>
      <w:pPr>
        <w:spacing w:after="0" w:line="79"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and required debt servicing needs have been met. Some of the possible uses of our remaining excess cash at any point in time may include funding strategic acquisitions, further investment in our business and returning value to shareholders through share repurchases, quarterly dividends, and special dividends. While the timing and financial magnitude of these possible actions are currently indeterminable, the Company expects to be able to manage and adjust its capital structure in the future to meet its liquidity needs.</w:t>
      </w:r>
    </w:p>
    <w:p>
      <w:pPr>
        <w:spacing w:after="0" w:line="8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Historically, we have been able to generate sufficient cash to fund our operations, mandatory debt and interest payments, capital expenditures, and discretionary funding needs. However, due to fluctuations in cash flows, including as a result of the trends and developments described above under "— Factors and Trends Affecting Our Results of Operations" relating to U.S. government shutdowns, U.S. government cost-cutting, reductions or delays in the U.S. government appropriations and spending process and other budgetary matters, it may be necessary from time-to-time in the future to borrow under our Secured Credit Facility to meet cash demands. While the timing and financial magnitude of these possible actions are currently indeterminable, we expect to be able to manage and adjust our capital structure to meet our liquidity needs. Our expected liquidity and capital structure may also be impacted by discretionary investments and acquisitions that we could pursue. We anticipate that cash provided by operating activities, existing cash and cash equivalents, and borrowing capacity under the Revolving Credit Facility will be sufficient to meet our anticipated cash requirements for the next twelve months, which primarily include:</w:t>
      </w:r>
    </w:p>
    <w:p>
      <w:pPr>
        <w:spacing w:after="0" w:line="73" w:lineRule="exact"/>
        <w:rPr>
          <w:sz w:val="20"/>
          <w:szCs w:val="20"/>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00" w:right="400" w:hanging="644"/>
        <w:spacing w:after="0" w:line="277" w:lineRule="auto"/>
        <w:tabs>
          <w:tab w:leader="none" w:pos="12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 build-out, testing, and potential implementation and operation of new financial management systems;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commitments and other discretionary investments;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Secured Credit Facility and interest payments for the Senior Notes;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Our ability to fund our operating needs depends, in part, on our ability to continue to generate positive cash flows from operations or, if necessary, raise cash in the capital markets. In addition, from time to time we evaluate conditions to opportunistically access the financing markets to secure additional debt capital resources and improve the terms of our indebtedness.</w:t>
      </w:r>
    </w:p>
    <w:p>
      <w:pPr>
        <w:spacing w:after="0" w:line="7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firstLine="405"/>
        <w:spacing w:after="0" w:line="293" w:lineRule="auto"/>
        <w:rPr>
          <w:sz w:val="20"/>
          <w:szCs w:val="20"/>
          <w:color w:val="auto"/>
        </w:rPr>
      </w:pPr>
      <w:r>
        <w:rPr>
          <w:rFonts w:ascii="Arial" w:cs="Arial" w:eastAsia="Arial" w:hAnsi="Arial"/>
          <w:sz w:val="16"/>
          <w:szCs w:val="16"/>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 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56" w:lineRule="exact"/>
        <w:rPr>
          <w:sz w:val="20"/>
          <w:szCs w:val="20"/>
          <w:color w:val="auto"/>
        </w:rPr>
      </w:pPr>
    </w:p>
    <w:p>
      <w:pPr>
        <w:ind w:right="180" w:firstLine="405"/>
        <w:spacing w:after="0" w:line="272" w:lineRule="auto"/>
        <w:rPr>
          <w:sz w:val="20"/>
          <w:szCs w:val="20"/>
          <w:color w:val="auto"/>
        </w:rPr>
      </w:pPr>
      <w:r>
        <w:rPr>
          <w:rFonts w:ascii="Arial" w:cs="Arial" w:eastAsia="Arial" w:hAnsi="Arial"/>
          <w:sz w:val="17"/>
          <w:szCs w:val="17"/>
          <w:color w:val="auto"/>
        </w:rPr>
        <w:t>Accounts receivable is the principal component of our working capital and is generally driven by revenue growth with other short-term fluctuations related to the payment practices of our clients. Our accounts receivable reflects amounts billed to our clients as of each balance sheet date. Our clients generally pay our invoices within 30 days of the invoice date, although we experience a longer billing and collection cycle with our global commercial customers.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cost-reimbursable-plus-award-fee contracts. The total amount of our accounts receivable can vary significantly over time, but is generally sensitive to revenue levels and customer mix.</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ind w:right="40" w:firstLine="243"/>
        <w:spacing w:after="0" w:line="291" w:lineRule="auto"/>
        <w:rPr>
          <w:sz w:val="20"/>
          <w:szCs w:val="20"/>
          <w:color w:val="auto"/>
        </w:rPr>
      </w:pPr>
      <w:r>
        <w:rPr>
          <w:rFonts w:ascii="Arial" w:cs="Arial" w:eastAsia="Arial" w:hAnsi="Arial"/>
          <w:sz w:val="16"/>
          <w:szCs w:val="16"/>
          <w:color w:val="auto"/>
        </w:rPr>
        <w:t>Net cash provided by operations is primarily affected by the overall profitability of our contracts, our ability to invoice and collect cash from clients in a timely manner, our ability to manage our vendor payments and the timing of cash paid for income taxes. Continued uncertainty in global economic conditions may also affect our business as customers and suppliers may decide to downsize, defer, or cancel contracts, which could negatively affect the operating cash flows. Net cash provided by operations was $566.0 million in the six months ended September 30, 2020 compared to $266.7 million in the prior year period, or a 112.2% increase. The increase in operating cash flows was primarily due to strong cash collections of our revenue growth, working capital management, and lower cash taxes due to the carryover of research and development credits claimed in fiscal 2020. Lower cash disbursements also contributed to second quarter performance, driven by cost management and lower expenses attributable to COVID-19.</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Investing Cash Flow</w:t>
      </w:r>
    </w:p>
    <w:p>
      <w:pPr>
        <w:spacing w:after="0" w:line="11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color w:val="auto"/>
        </w:rPr>
        <w:t>Net cash used in investing activities was $38.1 million in the six months ended September 30, 2020 compared to $60.0 million in the prior year period, or a 36.5% decrease. The decrease in net cash used in investing activities was due to a decrease in capital expenditures over the prior period, reflecting a shift away from facilities investment towards technology and tools needed to support the virtual work environment. Additionally, we continue to modernize our corporate information technology infrastructure and are in the rigorous testing phase prior to the implementation of a new financial management system.</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Financing Cash Flow</w:t>
      </w:r>
    </w:p>
    <w:p>
      <w:pPr>
        <w:spacing w:after="0" w:line="117" w:lineRule="exact"/>
        <w:rPr>
          <w:sz w:val="20"/>
          <w:szCs w:val="20"/>
          <w:color w:val="auto"/>
        </w:rPr>
      </w:pPr>
    </w:p>
    <w:p>
      <w:pPr>
        <w:jc w:val="both"/>
        <w:ind w:right="480" w:firstLine="405"/>
        <w:spacing w:after="0" w:line="342" w:lineRule="auto"/>
        <w:rPr>
          <w:sz w:val="20"/>
          <w:szCs w:val="20"/>
          <w:color w:val="auto"/>
        </w:rPr>
      </w:pPr>
      <w:r>
        <w:rPr>
          <w:rFonts w:ascii="Arial" w:cs="Arial" w:eastAsia="Arial" w:hAnsi="Arial"/>
          <w:sz w:val="16"/>
          <w:szCs w:val="16"/>
          <w:color w:val="auto"/>
        </w:rPr>
        <w:t>Net cash provided by financing activities was $5.3 million in the six months ended September 30, 2020 compared to $290.9 million in net cash provided by financing activities in the prior year period. The decrease in net cash provided by financing activities was primarily due to the following:</w:t>
      </w:r>
    </w:p>
    <w:p>
      <w:pPr>
        <w:spacing w:after="0" w:line="16" w:lineRule="exact"/>
        <w:rPr>
          <w:sz w:val="20"/>
          <w:szCs w:val="20"/>
          <w:color w:val="auto"/>
        </w:rPr>
      </w:pPr>
    </w:p>
    <w:p>
      <w:pPr>
        <w:ind w:left="5540" w:right="2620" w:hanging="5208"/>
        <w:spacing w:after="0" w:line="919" w:lineRule="auto"/>
        <w:tabs>
          <w:tab w:leader="none" w:pos="6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$400.0 million draw on our Delayed Draw Facility in the prior period, with no such draw in the current period.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$100.0 million payment of our outstanding Revolving Credit Facility in the current period, with no such payment in the prior year period.</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share repurchases of $101.6 million as compared to the prior year period.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Increases in dividends paid of $22.0 million as compared to the prior year period.</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above were partially offset by net proceeds of $341.5 million received from the issuance of the Senior Notes during the second quarter of fiscal 2021.</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117"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On October 30, 2020, the Company announced a regular quarterly cash dividend in the amount of $0.31 per share. The quarterly dividend is payable on December 2, 2020 to stockholders of record on November 16, 2020.</w:t>
      </w:r>
    </w:p>
    <w:p>
      <w:pPr>
        <w:spacing w:after="0" w:line="62"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During the three and six months ended September 30, 2020, quarterly dividends of $0.31 and $0.62 per share, respectively, were declared and paid totaling $43.0 million and $86.8 million, respectively. During the three and six months ended September 30, 2019, quarterly dividends of $0.23 and $0.46 per share, respectively, were declared and paid totaling $32.4 million and $64.8 million, respectively.</w:t>
      </w:r>
    </w:p>
    <w:p>
      <w:pPr>
        <w:spacing w:after="0" w:line="76"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On December 12, 2011, the Board of Directors approved a $30.0 million share repurchase program, which was further increased by the Board of Directors on (i) January 27, 2015 to $180.0 million, (ii) January 25, 2017 to $410.0 million, (iii) November 2, 2017 to $610.0 million, (iv) May 24, 2018 to $910.0 million, and (v) May 23, 2019 to $1,310.0 million. The Company may repurchase shares pursuant to the program by means of open market repurchases, directly negotiated repurchases or through agents acting pursuant to negotiated repurchase agreements. During fiscal 2021, the Company purchased 1.3 million shares of the Company's Class A Common Stock for an aggregate of $96.4 million. As of September 30, 2020, the Company had $388.5 million remaining under the repurchase program.</w:t>
      </w:r>
    </w:p>
    <w:p>
      <w:pPr>
        <w:spacing w:after="0" w:line="84" w:lineRule="exact"/>
        <w:rPr>
          <w:sz w:val="20"/>
          <w:szCs w:val="20"/>
          <w:color w:val="auto"/>
        </w:rPr>
      </w:pPr>
    </w:p>
    <w:p>
      <w:pPr>
        <w:jc w:val="both"/>
        <w:ind w:right="40" w:firstLine="405"/>
        <w:spacing w:after="0" w:line="286" w:lineRule="auto"/>
        <w:rPr>
          <w:sz w:val="20"/>
          <w:szCs w:val="20"/>
          <w:color w:val="auto"/>
        </w:rPr>
      </w:pPr>
      <w:r>
        <w:rPr>
          <w:rFonts w:ascii="Arial" w:cs="Arial" w:eastAsia="Arial" w:hAnsi="Arial"/>
          <w:sz w:val="17"/>
          <w:szCs w:val="17"/>
          <w:color w:val="auto"/>
        </w:rPr>
        <w:t>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Credit Agreement as amended and other factors deemed relevant by our Board of Directors.</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Indebtedness</w:t>
      </w:r>
    </w:p>
    <w:p>
      <w:pPr>
        <w:spacing w:after="0" w:line="11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November 26, 2019 (the "Amendment Effective Date"), Booz Allen Hamilton Inc. ("Booz Allen Hamilton") and Booz Allen Hamilton Investor Corporation ("Investor"), and certain wholly-owned subsidiaries of Booz Allen Hamilton, entered into the Seventh Amendment (the “Seventh Amendment”) to the Credit Agreement, dated as of July 31, 2012, as amended (the “Credit Agreement”) with certain institutional lenders, and Bank of America, N.A., as Administrative and Collateral Agents. The Seventh Amendment reduced the applicable margin applicable to the Term Loan B ("Term Loan B" and, together with the Term Loan A, the "Term Loans") from 2.00% to 1.75% for LIBOR loans and from 1.00% to 0.75% for base rate loans and extended the maturity of the Term Loan B to November 26, 2026. The applicable margin and maturity date applicable to the Term Loan A (the "Term Loan A") remained unchanged.</w:t>
      </w:r>
    </w:p>
    <w:p>
      <w:pPr>
        <w:spacing w:after="0" w:line="87" w:lineRule="exact"/>
        <w:rPr>
          <w:sz w:val="20"/>
          <w:szCs w:val="20"/>
          <w:color w:val="auto"/>
        </w:rPr>
      </w:pPr>
    </w:p>
    <w:p>
      <w:pPr>
        <w:ind w:right="80" w:firstLine="405"/>
        <w:spacing w:after="0" w:line="272" w:lineRule="auto"/>
        <w:rPr>
          <w:sz w:val="20"/>
          <w:szCs w:val="20"/>
          <w:color w:val="auto"/>
        </w:rPr>
      </w:pPr>
      <w:r>
        <w:rPr>
          <w:rFonts w:ascii="Arial" w:cs="Arial" w:eastAsia="Arial" w:hAnsi="Arial"/>
          <w:sz w:val="17"/>
          <w:szCs w:val="17"/>
          <w:color w:val="auto"/>
        </w:rPr>
        <w:t>Prior to the Seventh Amendment, approximately $389.0 million was outstanding under Term Loan B. Pursuant to the Seventh Amendment, certain lenders converted their existing Term Loan B loans into a new tranche of Term Loan B loans in an aggregate amount, along with Term Loan B loans advanced by certain new lenders, of approximately $389.0 million (the “New Refinancing Tranche B Term Loans”). The proceeds from the new lenders were used to prepay in full all of the existing Term Loan B loans that were not converted into the new Term Loan B tranche. Voluntary prepayments of the New Refinancing Tranche B Term Loans are permitted at any time, in minimum principal amounts, without premium or penalty, subject to a 1.00% premium payable in connection with certain repricing transactions within the first six months after the Seventh Amendment. The other terms of the New Refinancing Tranche B Term Loans are generally the same as the existing Term Loan B prior to the Seventh Amendment.</w:t>
      </w:r>
    </w:p>
    <w:p>
      <w:pPr>
        <w:spacing w:after="0" w:line="200" w:lineRule="exact"/>
        <w:rPr>
          <w:sz w:val="20"/>
          <w:szCs w:val="20"/>
          <w:color w:val="auto"/>
        </w:rPr>
      </w:pPr>
    </w:p>
    <w:p>
      <w:pPr>
        <w:spacing w:after="0" w:line="3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As of September 30, 2020, the Credit Agreement provided Booz Allen Hamilton with a $1,326.8 million Term Loan A, a $386.2 million Term Loan B, and $500.0 million in New Revolving Commitments with a sub-limit for letters of credit of $100.0 million (collectively, the "Secured Credit Facility"). As of September 30, 2020, the maturity date of Term Loan A and the termination date for the Revolving Credit Facility was July 23, 2023 and the maturity date of Term Loan B was November 26, 2026. Booz Allen Hamilton’s obligations and the guarantors’ guarantees under the Credit Agreement are secured by a first priority lien on substantially all of the assets (including capital stock of subsidiaries) of Booz Allen Hamilton, Investor and the subsidiary guarantors, subject to certain exceptions set forth in the Credit Agreement and related documentation. Subject to specified conditions, without the consent of the then-existing lenders (but subject to the receipt of commitments), the Term Loans or the Revolving Credit Facility may be expanded (or a new term loan facility or revolving credit facility added to the existing facilities) by up to (i) the greater of (x) $627 million and (y) 100% of consolidated EBITDA of Booz Allen Hamilton, as of the end of the most recently ended four quarter period for which financial statements have been delivered pursuant to the Credit Agreement plus (ii) the aggregate principal amount under which pro forma consolidated net secured leverage remains less than or equal to 3.50:1.00.</w:t>
      </w:r>
    </w:p>
    <w:p>
      <w:pPr>
        <w:spacing w:after="0" w:line="60"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At Booz Allen Hamilton's option, borrowings under the Secured Credit Facility bear interest based either on LIBOR (adjusted for maximum reserves, and subject to a floor of zero) for the applicable interest period or a base rate equal to the highest of (x) the administrative agent’s prime corporate rate,</w:t>
      </w:r>
    </w:p>
    <w:p>
      <w:pPr>
        <w:ind w:right="20" w:firstLine="8"/>
        <w:spacing w:after="0" w:line="252" w:lineRule="auto"/>
        <w:tabs>
          <w:tab w:leader="none" w:pos="2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overnight federal funds rate plus 0.50%, and (z) three-month LIBOR (adjusted for maximum reserves, and subject to a floor of zero) plus 1.00%), in each case plus an applicable margin, payable at the end of the applicable interest period and in any event at least quarterly. The applicable margin for Term Loan A and borrowings under the Revolving Credit Facility ranges from 1.25% to 2.00% for LIBOR loans and 0.25% to 1.00% for base rate loans, in each case based on Booz Allen Hamilton’s consolidated total net leverage ratio. The applicable margin for Term Loan B is 1.75% for LIBOR loans and 0.75% for base rate loans. Unused commitments under the Revolving Credit Facility are subject to a quarterly fee ranging from 0.20% to 0.35% based on Booz Allen Hamilton’s consolidated total net leverage ratio.</w:t>
      </w:r>
    </w:p>
    <w:p>
      <w:pPr>
        <w:spacing w:after="0" w:line="86"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Booz Allen Hamilton occasionally borrows under the Revolving Credit Facility in anticipation of cash demands. During the first and second quarters of fiscal 2021 and 2020, Booz Allen Hamilton accessed no amounts of its $500.0 million Revolving Credit Facility. As of March 31, 2020, $100.0 million was outstanding on the Revolving Credit Facility which was repaid in June 2020. As of September 30, 2020, no amounts were outstanding on the Revolving Credit Facility.</w:t>
      </w:r>
    </w:p>
    <w:p>
      <w:pPr>
        <w:spacing w:after="0" w:line="79" w:lineRule="exact"/>
        <w:rPr>
          <w:sz w:val="20"/>
          <w:szCs w:val="20"/>
          <w:color w:val="auto"/>
        </w:rPr>
      </w:pPr>
    </w:p>
    <w:p>
      <w:pPr>
        <w:ind w:right="340" w:firstLine="405"/>
        <w:spacing w:after="0" w:line="277" w:lineRule="auto"/>
        <w:rPr>
          <w:sz w:val="20"/>
          <w:szCs w:val="20"/>
          <w:color w:val="auto"/>
        </w:rPr>
      </w:pPr>
      <w:r>
        <w:rPr>
          <w:rFonts w:ascii="Arial" w:cs="Arial" w:eastAsia="Arial" w:hAnsi="Arial"/>
          <w:sz w:val="18"/>
          <w:szCs w:val="18"/>
          <w:color w:val="auto"/>
        </w:rPr>
        <w:t>The Credit Agreement requires quarterly principal payments of 1.25% of the stated principal amount of Term Loan A until maturity and quarterly principal payments of 0.25% of the stated principal amount of Term Loan B until maturity.</w:t>
      </w:r>
    </w:p>
    <w:p>
      <w:pPr>
        <w:spacing w:after="0" w:line="62"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Booz Allen Hamilton also has agreed to pay customary letter of credit and agency fees. As of September 30, 2020 and March 31, 2020, Booz Allen Hamilton was contingently liable under open standby letters of credit and bank guarantees issued by its banks in favor of third parties that totaled $11.3 million and $9.7 million, respectively. These letters of credit and bank guarantees primarily support insurance and bid and performance obligations. For both September 30, 2020 and March 31, 2020, approximately $0.9 million, of these instruments reduced the available borrowings under the Revolving Credit Facility. The remainder is guaranteed under a separate $20.0 million facility of which $9.6 million and $6.2 million, respectively, was available to Booz Allen Hamilton at September 30, 2020 and March 31, 2020. As of September 30, 2020, Booz Allen Hamilton had $499.0 million of capacity available for additional borrowings under the Revolving Credit Facility.</w:t>
      </w:r>
    </w:p>
    <w:p>
      <w:pPr>
        <w:spacing w:after="0" w:line="69"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The Credit Agreement contains customary representations and warranties and customary affirmative and negative covenants. The negative covenants include limitations on the following, in each case subject to certain exceptions: (i) indebtedness and liens; (ii) mergers, consolidations or amalgamations, liquidations, wind-ups or dissolutions, and disposition of all or substantially all assets; (iii) dispositions of property; (iv) restricted payments;</w:t>
      </w:r>
    </w:p>
    <w:p>
      <w:pPr>
        <w:spacing w:after="0" w:line="2" w:lineRule="exact"/>
        <w:rPr>
          <w:sz w:val="20"/>
          <w:szCs w:val="20"/>
          <w:color w:val="auto"/>
        </w:rPr>
      </w:pPr>
    </w:p>
    <w:p>
      <w:pPr>
        <w:ind w:left="260" w:hanging="252"/>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investments; (vi) transactions with affiliates; (vii) change in fiscal periods; (viii) negative pledges; (ix) restrictive agreements; (x) line of business; and</w:t>
      </w:r>
    </w:p>
    <w:p>
      <w:pPr>
        <w:spacing w:after="0" w:line="32" w:lineRule="exact"/>
        <w:rPr>
          <w:rFonts w:ascii="Arial" w:cs="Arial" w:eastAsia="Arial" w:hAnsi="Arial"/>
          <w:sz w:val="16"/>
          <w:szCs w:val="16"/>
          <w:color w:val="auto"/>
        </w:rPr>
      </w:pPr>
    </w:p>
    <w:p>
      <w:pPr>
        <w:ind w:right="120" w:firstLine="8"/>
        <w:spacing w:after="0" w:line="281" w:lineRule="auto"/>
        <w:tabs>
          <w:tab w:leader="none" w:pos="305" w:val="left"/>
        </w:tabs>
        <w:numPr>
          <w:ilvl w:val="0"/>
          <w:numId w:val="35"/>
        </w:numPr>
        <w:rPr>
          <w:rFonts w:ascii="Arial" w:cs="Arial" w:eastAsia="Arial" w:hAnsi="Arial"/>
          <w:sz w:val="16"/>
          <w:szCs w:val="16"/>
          <w:color w:val="auto"/>
        </w:rPr>
      </w:pPr>
      <w:r>
        <w:rPr>
          <w:rFonts w:ascii="Arial" w:cs="Arial" w:eastAsia="Arial" w:hAnsi="Arial"/>
          <w:sz w:val="16"/>
          <w:szCs w:val="16"/>
          <w:color w:val="auto"/>
        </w:rPr>
        <w:t>speculative hedging. The events of default include the following, in each case subject to certain exceptions: (a) failure to make required payments under the Secured Credit Facility; (b) material breaches of representations or warranties under the Secured Credit Facility; (c) failure to observe covenants or agreements under the Secured Credit Facility; (d) failure to pay or default under certain other material indebtedness; (e) bankruptcy or insolvency;</w:t>
      </w:r>
    </w:p>
    <w:p>
      <w:pPr>
        <w:spacing w:after="0" w:line="1" w:lineRule="exact"/>
        <w:rPr>
          <w:rFonts w:ascii="Arial" w:cs="Arial" w:eastAsia="Arial" w:hAnsi="Arial"/>
          <w:sz w:val="16"/>
          <w:szCs w:val="16"/>
          <w:color w:val="auto"/>
        </w:rPr>
      </w:pPr>
    </w:p>
    <w:p>
      <w:pPr>
        <w:ind w:right="100"/>
        <w:spacing w:after="0" w:line="273" w:lineRule="auto"/>
        <w:rPr>
          <w:rFonts w:ascii="Arial" w:cs="Arial" w:eastAsia="Arial" w:hAnsi="Arial"/>
          <w:sz w:val="16"/>
          <w:szCs w:val="16"/>
          <w:color w:val="auto"/>
        </w:rPr>
      </w:pPr>
      <w:r>
        <w:rPr>
          <w:rFonts w:ascii="Arial" w:cs="Arial" w:eastAsia="Arial" w:hAnsi="Arial"/>
          <w:sz w:val="17"/>
          <w:szCs w:val="17"/>
          <w:color w:val="auto"/>
        </w:rPr>
        <w:t>(f) certain Employee Retirement Income Security Act, or ERISA events; (g) certain material judgments; (h) actual or asserted invalidity of the Guarantee and Collateral Agreements or the other security documents or failure of the guarantees or perfected liens thereunder; and (i) a change of control. Booz Allen Hamilton is required to meet certain financial covenants at each quarter end, namely Consolidated Net Total Leverage and Consolidated Net Interest Coverage Ratios. As of September 30, 2020 and March 31, 2020, we were compliant with these covenants.</w:t>
      </w:r>
    </w:p>
    <w:p>
      <w:pPr>
        <w:spacing w:after="0" w:line="68"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For the three months ended September 30, 2020 and 2019, interest payments of $5.8 million and $13.9 million were made for Term Loan A and $1.9 million and $4.4 million were made for Term Loan B, respectively. For the six months ended September 30, 2020 and 2019, interest payments of $12.7 million and $27.2 million were made for Term Loan A and $4.1 million and $8.8 million were made for Term Loan B, respectively.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August 24, 2020, Booz Allen Hamilton issued $700 million aggregate principal amount of its 3.875% Senior Notes due 2028 (the “Senior Notes”) under an Indenture, dated as of August 24, 2020, among Booz Allen Hamilton, certain subsidiaries of Booz Allen Hamilton, as guarantors (the “Subsidiary Guarantors”), and Wilmington Trust, National Association as trustee (the “Trustee”), as supplemented by the First Supplemental Indenture, dated as of August 24, 2020, among Booz Allen Hamilton, the Subsidiary Guarantors and the Trustee. A portion of the net proceeds from the sale of the Senior Notes was used to redeem in full $350 million aggregate principal amount of the outstanding 2017 Senior Notes at a redemption price of 102.56% of the principal amount thereof, plus accrued and unpaid interest thereon to (but excluding) the redemption date, and to pay all fees and expenses related to the foregoing. Booz Allen Hamilton intends to use the remaining net proceeds from the sale of the Senior Notes for working capital and other general corporate purposes. (See Note 8 in our condensed consolidated financial statements).</w:t>
      </w:r>
    </w:p>
    <w:p>
      <w:pPr>
        <w:spacing w:after="0" w:line="70"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Borrowings under the Term Loans and, if used, the Revolving Credit Facility, incur interest at a variable rate. In accordance with Booz Allen Hamilton's risk management strategy, Booz Allen Hamilton executed a series of interest rate swaps. As of September 30, 2020, Booz Allen Hamilton had interest rate swaps with an aggregate notional amount of $1.0 billion. These instruments hedge the variability of cash outflows for interest payments on the floating portion of the Company's debt. The Company's objectives in using cash flow hedges are to reduce volatility due to interest rate movements and to add stability to interest expense (See Note 9 to our condensed consolidated financial statements).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Our stockholders’ equity amounted to $972.0 million as of September 30, 2020, an increase of $115.6 million compared to stockholders’ equity of $856.4 million as of March 31, 2020. The increase was primarily due to net income of $265.4 million for the six months ended September 30, 2020, stock-based compensation expense of $25.6 million, and issuance of common stock of $9.1 million, partially offset by $86.8 million in quarterly dividend payments and $105.6 million in treasury stock resulting from the repurchase of shares of our Class A Common Stock during the six months ended September 30,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2020, we did not have any material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Since we do not own any of our facilities, our capital expenditure requirements primarily relate to the purchase of computers, management systems, furniture, and leasehold improvements to support our operations. Direct facility and equipment costs billed to clients are not treated as capital expenses. Our capital expenditures for the six months ended September 30, 2020 and 2019 were $38.1 million and $60.0 million, respectively. The decrease in capital expenditures reflects a shift away from facilities investment towards technology and tools needed to support the virtual work environment. Additionally, we continue to modernize our corporate information technology infrastructure and are in the rigorous testing phase prior to the implementation of a new financial management system. We believe we are on track for a successful implementation in the next fiscal year, which will support the Company's growth into the future. We expect capital expenditures to decrease in the second half of fiscal 2021 as compared to the second half of fiscal 2020. Given the uncertainty surrounding the COVID-19 outbreak, we may adjust our capital expenditures in fiscal 2021 to support our business operations as we further develop our long term strategy on a safe return to work.</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18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80" w:firstLine="405"/>
        <w:spacing w:after="0" w:line="254" w:lineRule="auto"/>
        <w:rPr>
          <w:sz w:val="20"/>
          <w:szCs w:val="20"/>
          <w:color w:val="auto"/>
        </w:rPr>
      </w:pPr>
      <w:r>
        <w:rPr>
          <w:rFonts w:ascii="Arial" w:cs="Arial" w:eastAsia="Arial" w:hAnsi="Arial"/>
          <w:sz w:val="18"/>
          <w:szCs w:val="18"/>
          <w:color w:val="auto"/>
        </w:rPr>
        <w:t>Certain statements contained or incorporated in this Quarterly Report on Form 10-Q, or Quarterly Report, include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These risks and other factors include:</w:t>
      </w:r>
    </w:p>
    <w:p>
      <w:pPr>
        <w:spacing w:after="0" w:line="84" w:lineRule="exact"/>
        <w:rPr>
          <w:sz w:val="20"/>
          <w:szCs w:val="20"/>
          <w:color w:val="auto"/>
        </w:rPr>
      </w:pPr>
    </w:p>
    <w:p>
      <w:pPr>
        <w:ind w:left="660" w:right="500" w:hanging="328"/>
        <w:spacing w:after="0" w:line="277" w:lineRule="auto"/>
        <w:tabs>
          <w:tab w:leader="none" w:pos="65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issue that compromises our relationships with the U.S. government or damages our professional reputation, including negative publicity concerning government contractors in general or us in particular;</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left="660" w:right="180" w:hanging="328"/>
        <w:spacing w:after="0" w:line="248"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U.S. government spending, including a continuation of efforts by the U.S. government to decrease spending for management support service contracts, and mission priorities that shift expenditures away from agencies or programs that we support, or as a result of the U.S. presidential election;</w:t>
      </w:r>
    </w:p>
    <w:p>
      <w:pPr>
        <w:spacing w:after="0" w:line="73"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efforts by Congress and other U.S. government bodies to reduce U.S. government spending and address budgetary constraints and the U.S. deficit, as well as associated uncertainty around the timing, extent, nature and effect of such efforts;</w:t>
      </w:r>
    </w:p>
    <w:p>
      <w:pPr>
        <w:spacing w:after="0" w:line="62" w:lineRule="exact"/>
        <w:rPr>
          <w:rFonts w:ascii="Arial" w:cs="Arial" w:eastAsia="Arial" w:hAnsi="Arial"/>
          <w:sz w:val="18"/>
          <w:szCs w:val="18"/>
          <w:color w:val="auto"/>
        </w:rPr>
      </w:pPr>
    </w:p>
    <w:p>
      <w:pPr>
        <w:ind w:left="660" w:right="220" w:hanging="328"/>
        <w:spacing w:after="0" w:line="286"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delayed funding of our contracts due to uncertainty relating to funding of the U.S. government and a possible failure of Congressional efforts to approve such funding beyond December 11, 2020 and to craft a long-term agreement on the U.S. government’s ability to incur indebtedness in excess of its current limits, or changes in the pattern or timing of government funding and spending;</w:t>
      </w:r>
    </w:p>
    <w:p>
      <w:pPr>
        <w:spacing w:after="0" w:line="57"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U.S. government shutdowns, as a result of the failure by elected officials to fund the government;</w:t>
      </w:r>
    </w:p>
    <w:p>
      <w:pPr>
        <w:spacing w:after="0" w:line="117" w:lineRule="exact"/>
        <w:rPr>
          <w:rFonts w:ascii="Arial" w:cs="Arial" w:eastAsia="Arial" w:hAnsi="Arial"/>
          <w:sz w:val="18"/>
          <w:szCs w:val="18"/>
          <w:color w:val="auto"/>
        </w:rPr>
      </w:pPr>
    </w:p>
    <w:p>
      <w:pPr>
        <w:ind w:left="660" w:right="80" w:hanging="328"/>
        <w:spacing w:after="0" w:line="308" w:lineRule="auto"/>
        <w:tabs>
          <w:tab w:leader="none" w:pos="655" w:val="left"/>
        </w:tabs>
        <w:numPr>
          <w:ilvl w:val="0"/>
          <w:numId w:val="37"/>
        </w:numPr>
        <w:rPr>
          <w:rFonts w:ascii="Arial" w:cs="Arial" w:eastAsia="Arial" w:hAnsi="Arial"/>
          <w:sz w:val="17"/>
          <w:szCs w:val="17"/>
          <w:color w:val="auto"/>
        </w:rPr>
      </w:pPr>
      <w:r>
        <w:rPr>
          <w:rFonts w:ascii="Arial" w:cs="Arial" w:eastAsia="Arial" w:hAnsi="Arial"/>
          <w:sz w:val="17"/>
          <w:szCs w:val="17"/>
          <w:color w:val="auto"/>
        </w:rPr>
        <w:t>failure to comply with numerous laws and regulations, including but not limited to, the Federal Acquisition Regulation ("FAR"), the False Claims Act, the Defense Federal Acquisition Regulation Supplement and FAR Cost Accounting Standards and Cost Principles;</w:t>
      </w:r>
    </w:p>
    <w:p>
      <w:pPr>
        <w:spacing w:after="0" w:line="38" w:lineRule="exact"/>
        <w:rPr>
          <w:rFonts w:ascii="Arial" w:cs="Arial" w:eastAsia="Arial" w:hAnsi="Arial"/>
          <w:sz w:val="17"/>
          <w:szCs w:val="17"/>
          <w:color w:val="auto"/>
        </w:rPr>
      </w:pPr>
    </w:p>
    <w:p>
      <w:pPr>
        <w:ind w:left="660" w:right="50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effects of the COVID-19 outbreak, and other pandemics or widespread health epidemics, including disruptions to our workforce and the impact on government spending and demand for our solutions;</w:t>
      </w:r>
    </w:p>
    <w:p>
      <w:pPr>
        <w:spacing w:after="0" w:line="62"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compete effectively in the competitive bidding process and delays or losses of contract awards caused by competitors' protests of major contract awards received by us;</w:t>
      </w:r>
    </w:p>
    <w:p>
      <w:pPr>
        <w:spacing w:after="0" w:line="62"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variable purchasing patterns under U.S. government GSA schedules, blanket purchase agreements and indefinite delivery, indefinite quantity, or IDIQ contracts;</w:t>
      </w:r>
    </w:p>
    <w:p>
      <w:pPr>
        <w:spacing w:after="0" w:line="62"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loss of General Services Administration Multiple Award schedule contracts, or GSA schedules, or our position as prime contractor on government-wide acquisition contract vehicles, or GWACs;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changes in the mix of our contracts and our ability to accurately estimate or otherwise recover expenses, time, and resources for our contracts;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estimates used in recognizing revenue;</w:t>
      </w:r>
    </w:p>
    <w:p>
      <w:pPr>
        <w:spacing w:after="0" w:line="117"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realize the full value of and replenish our backlog, generate revenue under certain of our contracts, and the timing of our receipt of revenue under contracts included in backlog;</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internal system or service failures and security breaches, including, but not limited to, those resulting from external or internal cyber attacks on our network and internal systems;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related to the potential implementation and operation of new financial management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attract, train, or retain employees with the requisite skills and experience;</w:t>
      </w:r>
    </w:p>
    <w:p>
      <w:pPr>
        <w:spacing w:after="0" w:line="117"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 inability to timely hire, assimilate and effectively utilize our employees, ensure that employees obtain and maintain necessary security clearances and/or effectively manage our cost structure;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loss of members of senior management or failure to develop new leaders;</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misconduct or other improper activities from our employees or subcontractors, including the improper use or release of our clients' sensitive or classified information;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increased competition from other companies in our industry;</w:t>
      </w:r>
    </w:p>
    <w:p>
      <w:pPr>
        <w:spacing w:after="0" w:line="117" w:lineRule="exact"/>
        <w:rPr>
          <w:rFonts w:ascii="Arial" w:cs="Arial" w:eastAsia="Arial" w:hAnsi="Arial"/>
          <w:sz w:val="18"/>
          <w:szCs w:val="18"/>
          <w:color w:val="auto"/>
        </w:rPr>
      </w:pPr>
    </w:p>
    <w:p>
      <w:pPr>
        <w:ind w:left="660" w:right="520" w:hanging="328"/>
        <w:spacing w:after="0" w:line="277"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maintain strong relationships with other contractors, or the failure of contractors with which we have entered into a sub- or prime-contractor relationship to meet their obligations to us or our clients;</w:t>
      </w:r>
    </w:p>
    <w:p>
      <w:pPr>
        <w:spacing w:after="0" w:line="62" w:lineRule="exact"/>
        <w:rPr>
          <w:rFonts w:ascii="Arial" w:cs="Arial" w:eastAsia="Arial" w:hAnsi="Arial"/>
          <w:sz w:val="18"/>
          <w:szCs w:val="18"/>
          <w:color w:val="auto"/>
        </w:rPr>
      </w:pPr>
    </w:p>
    <w:p>
      <w:pPr>
        <w:ind w:left="660" w:right="520" w:hanging="328"/>
        <w:spacing w:after="0" w:line="263"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failure to comply with special U.S. government laws and regulations relating to our 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risks associated with increased competition, new relationships, clients, capabilities, and service offerings in our U.S. and international businesses;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6" w:name="page47"/>
    <w:bookmarkEnd w:id="4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48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related to changes to our operating structure, capabilities, or strategy intended to address client needs, grow our business or respond to market developments;</w:t>
      </w:r>
    </w:p>
    <w:p>
      <w:pPr>
        <w:spacing w:after="0" w:line="62" w:lineRule="exact"/>
        <w:rPr>
          <w:rFonts w:ascii="Arial" w:cs="Arial" w:eastAsia="Arial" w:hAnsi="Arial"/>
          <w:sz w:val="18"/>
          <w:szCs w:val="18"/>
          <w:color w:val="auto"/>
        </w:rPr>
      </w:pPr>
    </w:p>
    <w:p>
      <w:pPr>
        <w:ind w:left="660" w:right="34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adoption by the U.S. government of new laws, rules, and regulations, such as those relating to organizational conflicts of interest issues or limits;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related to completed and future acquisitions, including our ability to realize the expected benefits from such acquisitions;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incurrence of additional tax liabilities, including as a result of changes in tax laws or management judgments involving complex tax matters;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inherent in the government contracting environment;</w:t>
      </w:r>
    </w:p>
    <w:p>
      <w:pPr>
        <w:spacing w:after="0" w:line="117" w:lineRule="exact"/>
        <w:rPr>
          <w:rFonts w:ascii="Arial" w:cs="Arial" w:eastAsia="Arial" w:hAnsi="Arial"/>
          <w:sz w:val="18"/>
          <w:szCs w:val="18"/>
          <w:color w:val="auto"/>
        </w:rPr>
      </w:pPr>
    </w:p>
    <w:p>
      <w:pPr>
        <w:ind w:left="660" w:right="30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continued efforts to change how the U.S. government reimburses compensation related costs and other expenses or otherwise limit such reimbursements and an increased risk of compensation being deemed unreasonable and unallowable or payments being withheld as a result of U.S. government audit, review, or investigation;</w:t>
      </w:r>
    </w:p>
    <w:p>
      <w:pPr>
        <w:spacing w:after="0" w:line="75"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insourcing by various U.S. government agencies due to changes in the definition of “inherently governmental” work, including proposals to limit contractor access to sensitive or classified information and work assignments;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size of our addressable markets and the amount of U.S. government spending on private contractors;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risks related to our indebtedness and credit facilities which contain financial and operating covenants;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impact of changes in accounting rules and regulations, or interpretations thereof, that may affect the way we recognize and report our financial results, including changes in accounting rules governing recognition of revenue;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risks and factors listed under “Item 1A. Risk Factors” and elsewhere in this Quarterly Report.</w:t>
      </w:r>
    </w:p>
    <w:p>
      <w:pPr>
        <w:spacing w:after="0" w:line="117"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In light of these risks, uncertainties and other factors, the forward-looking statements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2020 filed with the Securities and Exchange Commission on May 26, 2020.</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Based on that evaluation, our Chief Executive Officer and Chief Financial Officer concluded that, as of the end of the period covered by this Quarterly Report, our disclosure controls and procedures were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140" w:firstLine="405"/>
        <w:spacing w:after="0" w:line="263"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7" w:name="page48"/>
    <w:bookmarkEnd w:id="4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80" w:firstLine="405"/>
        <w:spacing w:after="0" w:line="287" w:lineRule="auto"/>
        <w:rPr>
          <w:sz w:val="20"/>
          <w:szCs w:val="20"/>
          <w:color w:val="auto"/>
        </w:rPr>
      </w:pPr>
      <w:r>
        <w:rPr>
          <w:rFonts w:ascii="Arial" w:cs="Arial" w:eastAsia="Arial" w:hAnsi="Arial"/>
          <w:sz w:val="16"/>
          <w:szCs w:val="16"/>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2020 and March 31, 2020, there were no material amounts accrued in the condensed consolidated financial statements related to these proceedings.</w:t>
      </w:r>
    </w:p>
    <w:p>
      <w:pPr>
        <w:spacing w:after="0" w:line="60"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On June 7, 2017, Booz Allen Hamilton was informed that the U.S. Department of Justice (DOJ) is conducting a civil and criminal investigation of the Company. In connection with the investigation, the DOJ has requested information from the Company relating to certain elements of the Company’s cost accounting and indirect cost charging practices with the U.S. government. Since learning of the investigation, the Company has engaged a law firm experienced in these matters to represent the Company in connection with this matter and respond to the government's requests. As is commonly the case with this type of matter, the Company has also been in contact with other regulatory agencies and bodies, including the Securities and Exchange Commission, which notified the Company that it is conducting an investigation that the Company believes relates to the matters that are also the subject of the DOJ's investigation. The Company may receive additional regulatory or governmental inquiries related to the matters that are the subject of the DOJ's investigation. In accordance with the Company's practice, the Company is cooperating with all relevant government parties. The total cost associated with these matters will depend on many factors, including the duration of these matters and any related findings. At this stage, the Company is not able to reasonably estimate the expected amount or range of cost or any loss associated with these matters.</w:t>
      </w:r>
    </w:p>
    <w:p>
      <w:pPr>
        <w:spacing w:after="0" w:line="60"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On June 19, 2017, a purported stockholder of the Company filed a putative class action lawsuit in the United States District Court for the Eastern District of Virginia styled Langley v. Booz Allen Hamilton Holding Corp., No. 17-cv-00696 naming the Company, its Chief Executive Officer and its Chief Financial Officer as defendants purportedly on behalf of all purchasers of the Company’s securities from May 19, 2016 through June 15, 2017. On September 5, 2017, the court named two lead plaintiffs, and on October 20, 2017, the lead plaintiffs filed a consolidated amended complaint. The complaint asserts claims under Sections 10(b) and 20(a) of the Exchange Act and Rule 10b-5 promulgated thereunder, alleging misrepresentations or omissions by the Company purporting to relate to matters that are the subject of the DOJ investigation described above. The plaintiffs seek to recover from the Company and the individual defendants an unspecified amount of damages. The Company believes the suit lacks merit and intends to defend against the lawsuit. Motions to dismiss were argued on January 12, 2018, and on February 8, 2018, the court dismissed the amended complaint in its entirety without prejudice. At this stage of the lawsuit, the Company is not able to reasonably estimate the expected amount or range of cost or any loss associated with the lawsuit.</w:t>
      </w:r>
    </w:p>
    <w:p>
      <w:pPr>
        <w:spacing w:after="0" w:line="58" w:lineRule="exact"/>
        <w:rPr>
          <w:sz w:val="20"/>
          <w:szCs w:val="20"/>
          <w:color w:val="auto"/>
        </w:rPr>
      </w:pPr>
    </w:p>
    <w:p>
      <w:pPr>
        <w:ind w:right="80" w:firstLine="405"/>
        <w:spacing w:after="0" w:line="270" w:lineRule="auto"/>
        <w:rPr>
          <w:sz w:val="20"/>
          <w:szCs w:val="20"/>
          <w:color w:val="auto"/>
        </w:rPr>
      </w:pPr>
      <w:r>
        <w:rPr>
          <w:rFonts w:ascii="Arial" w:cs="Arial" w:eastAsia="Arial" w:hAnsi="Arial"/>
          <w:sz w:val="17"/>
          <w:szCs w:val="17"/>
          <w:color w:val="auto"/>
        </w:rPr>
        <w:t>On November 13, 2017, a Verified Shareholder Derivative Complaint was filed in the United States District Court for the District of Delaware styled Celine Thum v. Rozanski et al., C.A. No. 17-cv-01638, naming the Company as a nominal defendant and numerous current and former officers and directors as defendants. The complaint asserts claims for breach of fiduciary duties, unjust enrichment, waste of corporate assets, abuse of control, gross mismanagement, and violations of Sections 14(a), 10(b) and 20(a) of the Exchange Act, purportedly relating to matters that are the subject of the DOJ investigation described above. The parties have stipulated to a stay of the proceedings pending the outcome of the securities litigation (described above), which the court so ordered on January 24, 2018. On December 12, 2019, the court ordered that the stay remain in effect and ordered the parties to submit periodic status reports. On May 27, 2020, the parties submitted status reports stating that plaintiff believes the stay should remain in effect and defendants do not object to the stay remaining in effect. At this stage of the lawsuit, the Company is not able to reasonably estimate the expected amount or range of cost or any loss associated with the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8" w:name="page49"/>
    <w:bookmarkEnd w:id="4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2020 filed with the Securities and Exchange Commission on May 26, 2020.</w:t>
      </w:r>
    </w:p>
    <w:p>
      <w:pPr>
        <w:spacing w:after="0" w:line="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share repurchase activity during the three months ended September 30, 2020:</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tcPr>
          <w:p>
            <w:pPr>
              <w:jc w:val="right"/>
              <w:ind w:right="132"/>
              <w:spacing w:after="0"/>
              <w:rPr>
                <w:sz w:val="20"/>
                <w:szCs w:val="20"/>
                <w:color w:val="auto"/>
              </w:rPr>
            </w:pPr>
            <w:r>
              <w:rPr>
                <w:rFonts w:ascii="Arial" w:cs="Arial" w:eastAsia="Arial" w:hAnsi="Arial"/>
                <w:sz w:val="16"/>
                <w:szCs w:val="16"/>
                <w:b w:val="1"/>
                <w:bCs w:val="1"/>
                <w:color w:val="auto"/>
                <w:w w:val="97"/>
              </w:rPr>
              <w:t>Approximate Dollar</w:t>
            </w:r>
          </w:p>
        </w:tc>
        <w:tc>
          <w:tcPr>
            <w:tcW w:w="0" w:type="dxa"/>
            <w:vAlign w:val="bottom"/>
          </w:tcPr>
          <w:p>
            <w:pPr>
              <w:spacing w:after="0"/>
              <w:rPr>
                <w:sz w:val="1"/>
                <w:szCs w:val="1"/>
                <w:color w:val="auto"/>
              </w:rPr>
            </w:pPr>
          </w:p>
        </w:tc>
      </w:tr>
      <w:tr>
        <w:trPr>
          <w:trHeight w:val="162"/>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4"/>
                <w:szCs w:val="14"/>
                <w:color w:val="auto"/>
              </w:rPr>
            </w:pPr>
          </w:p>
        </w:tc>
        <w:tc>
          <w:tcPr>
            <w:tcW w:w="18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Purchased as Part of</w:t>
            </w:r>
          </w:p>
        </w:tc>
        <w:tc>
          <w:tcPr>
            <w:tcW w:w="120" w:type="dxa"/>
            <w:vAlign w:val="bottom"/>
          </w:tcPr>
          <w:p>
            <w:pPr>
              <w:spacing w:after="0"/>
              <w:rPr>
                <w:sz w:val="14"/>
                <w:szCs w:val="14"/>
                <w:color w:val="auto"/>
              </w:rPr>
            </w:pPr>
          </w:p>
        </w:tc>
        <w:tc>
          <w:tcPr>
            <w:tcW w:w="18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2"/>
              </w:rPr>
              <w:t>Value of Shares that May</w:t>
            </w:r>
          </w:p>
        </w:tc>
        <w:tc>
          <w:tcPr>
            <w:tcW w:w="0" w:type="dxa"/>
            <w:vAlign w:val="bottom"/>
          </w:tcPr>
          <w:p>
            <w:pPr>
              <w:spacing w:after="0"/>
              <w:rPr>
                <w:sz w:val="1"/>
                <w:szCs w:val="1"/>
                <w:color w:val="auto"/>
              </w:rPr>
            </w:pPr>
          </w:p>
        </w:tc>
      </w:tr>
      <w:tr>
        <w:trPr>
          <w:trHeight w:val="162"/>
        </w:trPr>
        <w:tc>
          <w:tcPr>
            <w:tcW w:w="3700" w:type="dxa"/>
            <w:vAlign w:val="bottom"/>
            <w:gridSpan w:val="2"/>
            <w:vMerge w:val="restart"/>
          </w:tcPr>
          <w:p>
            <w:pPr>
              <w:ind w:left="1560"/>
              <w:spacing w:after="0"/>
              <w:rPr>
                <w:sz w:val="20"/>
                <w:szCs w:val="20"/>
                <w:color w:val="auto"/>
              </w:rPr>
            </w:pPr>
            <w:r>
              <w:rPr>
                <w:rFonts w:ascii="Arial" w:cs="Arial" w:eastAsia="Arial" w:hAnsi="Arial"/>
                <w:sz w:val="16"/>
                <w:szCs w:val="16"/>
                <w:b w:val="1"/>
                <w:bCs w:val="1"/>
                <w:color w:val="auto"/>
              </w:rPr>
              <w:t>Period</w:t>
            </w:r>
          </w:p>
        </w:tc>
        <w:tc>
          <w:tcPr>
            <w:tcW w:w="1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4"/>
                <w:szCs w:val="14"/>
                <w:color w:val="auto"/>
              </w:rPr>
            </w:pPr>
          </w:p>
        </w:tc>
        <w:tc>
          <w:tcPr>
            <w:tcW w:w="182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2"/>
              </w:rPr>
              <w:t>Yet Be Purchased Under</w:t>
            </w:r>
          </w:p>
        </w:tc>
        <w:tc>
          <w:tcPr>
            <w:tcW w:w="0" w:type="dxa"/>
            <w:vAlign w:val="bottom"/>
          </w:tcPr>
          <w:p>
            <w:pPr>
              <w:spacing w:after="0"/>
              <w:rPr>
                <w:sz w:val="1"/>
                <w:szCs w:val="1"/>
                <w:color w:val="auto"/>
              </w:rPr>
            </w:pPr>
          </w:p>
        </w:tc>
      </w:tr>
      <w:tr>
        <w:trPr>
          <w:trHeight w:val="213"/>
        </w:trPr>
        <w:tc>
          <w:tcPr>
            <w:tcW w:w="3700" w:type="dxa"/>
            <w:vAlign w:val="bottom"/>
            <w:gridSpan w:val="2"/>
            <w:vMerge w:val="continue"/>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12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1"/>
              </w:rPr>
              <w:t>Plans or Programs</w:t>
            </w:r>
          </w:p>
        </w:tc>
        <w:tc>
          <w:tcPr>
            <w:tcW w:w="120" w:type="dxa"/>
            <w:vAlign w:val="bottom"/>
          </w:tcPr>
          <w:p>
            <w:pPr>
              <w:spacing w:after="0"/>
              <w:rPr>
                <w:sz w:val="18"/>
                <w:szCs w:val="18"/>
                <w:color w:val="auto"/>
              </w:rPr>
            </w:pPr>
          </w:p>
        </w:tc>
        <w:tc>
          <w:tcPr>
            <w:tcW w:w="1820" w:type="dxa"/>
            <w:vAlign w:val="bottom"/>
            <w:gridSpan w:val="2"/>
          </w:tcPr>
          <w:p>
            <w:pPr>
              <w:ind w:left="20"/>
              <w:spacing w:after="0"/>
              <w:rPr>
                <w:sz w:val="20"/>
                <w:szCs w:val="20"/>
                <w:color w:val="auto"/>
              </w:rPr>
            </w:pPr>
            <w:r>
              <w:rPr>
                <w:rFonts w:ascii="Arial" w:cs="Arial" w:eastAsia="Arial" w:hAnsi="Arial"/>
                <w:sz w:val="16"/>
                <w:szCs w:val="16"/>
                <w:b w:val="1"/>
                <w:bCs w:val="1"/>
                <w:color w:val="auto"/>
                <w:w w:val="91"/>
              </w:rPr>
              <w:t>the Plans or Programs (1)</w:t>
            </w:r>
          </w:p>
        </w:tc>
        <w:tc>
          <w:tcPr>
            <w:tcW w:w="0" w:type="dxa"/>
            <w:vAlign w:val="bottom"/>
          </w:tcPr>
          <w:p>
            <w:pPr>
              <w:spacing w:after="0"/>
              <w:rPr>
                <w:sz w:val="1"/>
                <w:szCs w:val="1"/>
                <w:color w:val="auto"/>
              </w:rPr>
            </w:pPr>
          </w:p>
        </w:tc>
      </w:tr>
      <w:tr>
        <w:trPr>
          <w:trHeight w:val="226"/>
        </w:trPr>
        <w:tc>
          <w:tcPr>
            <w:tcW w:w="3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2020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394,262</w:t>
            </w:r>
          </w:p>
        </w:tc>
        <w:tc>
          <w:tcPr>
            <w:tcW w:w="12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$76.09</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394,262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388,473,225</w:t>
            </w:r>
          </w:p>
        </w:tc>
        <w:tc>
          <w:tcPr>
            <w:tcW w:w="0" w:type="dxa"/>
            <w:vAlign w:val="bottom"/>
          </w:tcPr>
          <w:p>
            <w:pPr>
              <w:spacing w:after="0"/>
              <w:rPr>
                <w:sz w:val="1"/>
                <w:szCs w:val="1"/>
                <w:color w:val="auto"/>
              </w:rPr>
            </w:pP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August 2020</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8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w:t>
            </w: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388,473,225</w:t>
            </w:r>
          </w:p>
        </w:tc>
        <w:tc>
          <w:tcPr>
            <w:tcW w:w="0" w:type="dxa"/>
            <w:vAlign w:val="bottom"/>
          </w:tcPr>
          <w:p>
            <w:pPr>
              <w:spacing w:after="0"/>
              <w:rPr>
                <w:sz w:val="1"/>
                <w:szCs w:val="1"/>
                <w:color w:val="auto"/>
              </w:rPr>
            </w:pPr>
          </w:p>
        </w:tc>
      </w:tr>
      <w:tr>
        <w:trPr>
          <w:trHeight w:val="229"/>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2020</w:t>
            </w:r>
          </w:p>
        </w:tc>
        <w:tc>
          <w:tcPr>
            <w:tcW w:w="1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388,473,225</w:t>
            </w:r>
          </w:p>
        </w:tc>
        <w:tc>
          <w:tcPr>
            <w:tcW w:w="0" w:type="dxa"/>
            <w:vAlign w:val="bottom"/>
          </w:tcPr>
          <w:p>
            <w:pPr>
              <w:spacing w:after="0"/>
              <w:rPr>
                <w:sz w:val="1"/>
                <w:szCs w:val="1"/>
                <w:color w:val="auto"/>
              </w:rPr>
            </w:pPr>
          </w:p>
        </w:tc>
      </w:tr>
      <w:tr>
        <w:trPr>
          <w:trHeight w:val="223"/>
        </w:trPr>
        <w:tc>
          <w:tcPr>
            <w:tcW w:w="370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1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394,262</w:t>
            </w:r>
          </w:p>
        </w:tc>
        <w:tc>
          <w:tcPr>
            <w:tcW w:w="120" w:type="dxa"/>
            <w:vAlign w:val="bottom"/>
          </w:tcPr>
          <w:p>
            <w:pPr>
              <w:spacing w:after="0"/>
              <w:rPr>
                <w:sz w:val="19"/>
                <w:szCs w:val="19"/>
                <w:color w:val="auto"/>
              </w:rPr>
            </w:pPr>
          </w:p>
        </w:tc>
        <w:tc>
          <w:tcPr>
            <w:tcW w:w="1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9"/>
              </w:rPr>
              <w:t>394,262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660" w:right="120" w:hanging="652"/>
        <w:spacing w:after="0" w:line="275" w:lineRule="auto"/>
        <w:tabs>
          <w:tab w:leader="none" w:pos="654" w:val="left"/>
        </w:tabs>
        <w:numPr>
          <w:ilvl w:val="0"/>
          <w:numId w:val="39"/>
        </w:numPr>
        <w:rPr>
          <w:rFonts w:ascii="Arial" w:cs="Arial" w:eastAsia="Arial" w:hAnsi="Arial"/>
          <w:sz w:val="17"/>
          <w:szCs w:val="17"/>
          <w:color w:val="auto"/>
        </w:rPr>
      </w:pPr>
      <w:r>
        <w:rPr>
          <w:rFonts w:ascii="Arial" w:cs="Arial" w:eastAsia="Arial" w:hAnsi="Arial"/>
          <w:sz w:val="17"/>
          <w:szCs w:val="17"/>
          <w:color w:val="auto"/>
        </w:rPr>
        <w:t>On December 12, 2011, the Board of Directors approved a $30.0 million share repurchase program, which was further increased by the Board of Directors on (i) January 27, 2015 to $180.0 million, (ii) January 25, 2017 to $410.0 million, (iii) November 2, 2017 to $610.0 million, (iv) May 24, 2018 to $910.0 million, and (v) May 23, 2019 to $1,310.0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3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0480" w:type="dxa"/>
            <w:vAlign w:val="bottom"/>
            <w:gridSpan w:val="21"/>
          </w:tcPr>
          <w:p>
            <w:pPr>
              <w:ind w:left="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200" w:type="dxa"/>
            <w:vAlign w:val="bottom"/>
          </w:tcPr>
          <w:p>
            <w:pPr>
              <w:spacing w:after="0"/>
              <w:rPr>
                <w:sz w:val="23"/>
                <w:szCs w:val="23"/>
                <w:color w:val="auto"/>
              </w:rPr>
            </w:pPr>
          </w:p>
        </w:tc>
        <w:tc>
          <w:tcPr>
            <w:tcW w:w="10280" w:type="dxa"/>
            <w:vAlign w:val="bottom"/>
            <w:gridSpan w:val="20"/>
            <w:vMerge w:val="restart"/>
          </w:tcPr>
          <w:p>
            <w:pPr>
              <w:ind w:left="2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Borders>
              <w:top w:val="single" w:sz="8" w:color="auto"/>
            </w:tcBorders>
          </w:tcPr>
          <w:p>
            <w:pPr>
              <w:spacing w:after="0" w:line="115" w:lineRule="exact"/>
              <w:rPr>
                <w:sz w:val="20"/>
                <w:szCs w:val="20"/>
                <w:color w:val="auto"/>
              </w:rPr>
            </w:pPr>
            <w:r>
              <w:rPr>
                <w:rFonts w:ascii="Arial" w:cs="Arial" w:eastAsia="Arial" w:hAnsi="Arial"/>
                <w:sz w:val="13"/>
                <w:szCs w:val="13"/>
                <w:color w:val="auto"/>
                <w:w w:val="86"/>
              </w:rPr>
              <w:t>Number</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80" w:type="dxa"/>
            <w:vAlign w:val="bottom"/>
            <w:gridSpan w:val="2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80" w:type="dxa"/>
            <w:vAlign w:val="bottom"/>
            <w:gridSpan w:val="20"/>
          </w:tcPr>
          <w:p>
            <w:pPr>
              <w:ind w:left="20"/>
              <w:spacing w:after="0"/>
              <w:rPr>
                <w:rFonts w:ascii="Arial" w:cs="Arial" w:eastAsia="Arial" w:hAnsi="Arial"/>
                <w:sz w:val="18"/>
                <w:szCs w:val="18"/>
                <w:color w:val="0000FF"/>
                <w:w w:val="93"/>
              </w:rPr>
            </w:pPr>
            <w:hyperlink r:id="rId65">
              <w:r>
                <w:rPr>
                  <w:rFonts w:ascii="Arial" w:cs="Arial" w:eastAsia="Arial" w:hAnsi="Arial"/>
                  <w:sz w:val="18"/>
                  <w:szCs w:val="18"/>
                  <w:color w:val="0000FF"/>
                  <w:w w:val="93"/>
                </w:rPr>
                <w:t>Fifth Amended and Restated Certificate of Incorporation of Booz Allen Hamilton Holding Corporation (Incorporated by reference to Exhibit</w:t>
              </w:r>
            </w:hyperlink>
          </w:p>
        </w:tc>
        <w:tc>
          <w:tcPr>
            <w:tcW w:w="0" w:type="dxa"/>
            <w:vAlign w:val="bottom"/>
          </w:tcPr>
          <w:p>
            <w:pPr>
              <w:spacing w:after="0"/>
              <w:rPr>
                <w:sz w:val="1"/>
                <w:szCs w:val="1"/>
                <w:color w:val="auto"/>
              </w:rPr>
            </w:pPr>
          </w:p>
        </w:tc>
      </w:tr>
      <w:tr>
        <w:trPr>
          <w:trHeight w:val="182"/>
        </w:trPr>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60" w:type="dxa"/>
            <w:vAlign w:val="bottom"/>
            <w:tcBorders>
              <w:top w:val="single" w:sz="8" w:color="0000FF"/>
              <w:bottom w:val="single" w:sz="8" w:color="0000FF"/>
            </w:tcBorders>
            <w:gridSpan w:val="8"/>
          </w:tcPr>
          <w:p>
            <w:pPr>
              <w:ind w:left="20"/>
              <w:spacing w:after="0" w:line="182" w:lineRule="exact"/>
              <w:rPr>
                <w:rFonts w:ascii="Arial" w:cs="Arial" w:eastAsia="Arial" w:hAnsi="Arial"/>
                <w:sz w:val="18"/>
                <w:szCs w:val="18"/>
                <w:color w:val="0000FF"/>
                <w:w w:val="91"/>
              </w:rPr>
            </w:pPr>
            <w:hyperlink r:id="rId65">
              <w:r>
                <w:rPr>
                  <w:rFonts w:ascii="Arial" w:cs="Arial" w:eastAsia="Arial" w:hAnsi="Arial"/>
                  <w:sz w:val="18"/>
                  <w:szCs w:val="18"/>
                  <w:color w:val="0000FF"/>
                  <w:w w:val="91"/>
                </w:rPr>
                <w:t>3.</w:t>
              </w:r>
              <w:r>
                <w:rPr>
                  <w:rFonts w:ascii="Arial" w:cs="Arial" w:eastAsia="Arial" w:hAnsi="Arial"/>
                  <w:sz w:val="18"/>
                  <w:szCs w:val="18"/>
                  <w:u w:val="single" w:color="auto"/>
                  <w:color w:val="0000FF"/>
                  <w:w w:val="91"/>
                </w:rPr>
                <w:t>1</w:t>
              </w:r>
              <w:r>
                <w:rPr>
                  <w:rFonts w:ascii="Arial" w:cs="Arial" w:eastAsia="Arial" w:hAnsi="Arial"/>
                  <w:sz w:val="18"/>
                  <w:szCs w:val="18"/>
                  <w:color w:val="0000FF"/>
                  <w:w w:val="91"/>
                </w:rPr>
                <w:t xml:space="preserve"> to the Company’s Current Report on Form 8-K filed on August 5, 2020 (File No. 001-34972))</w:t>
              </w:r>
            </w:hyperlink>
          </w:p>
        </w:tc>
        <w:tc>
          <w:tcPr>
            <w:tcW w:w="310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80" w:type="dxa"/>
            <w:vAlign w:val="bottom"/>
            <w:gridSpan w:val="20"/>
          </w:tcPr>
          <w:p>
            <w:pPr>
              <w:ind w:left="20"/>
              <w:spacing w:after="0"/>
              <w:rPr>
                <w:rFonts w:ascii="Arial" w:cs="Arial" w:eastAsia="Arial" w:hAnsi="Arial"/>
                <w:sz w:val="18"/>
                <w:szCs w:val="18"/>
                <w:color w:val="0000FF"/>
                <w:w w:val="98"/>
              </w:rPr>
            </w:pPr>
            <w:hyperlink r:id="rId66">
              <w:r>
                <w:rPr>
                  <w:rFonts w:ascii="Arial" w:cs="Arial" w:eastAsia="Arial" w:hAnsi="Arial"/>
                  <w:sz w:val="18"/>
                  <w:szCs w:val="18"/>
                  <w:color w:val="0000FF"/>
                  <w:w w:val="98"/>
                </w:rPr>
                <w:t>Fourth Amended and Restated Bylaws of Booz Allen Hamilton Holding Corporation (Incorporated by reference to Exhibit 3.2 to the</w:t>
              </w:r>
            </w:hyperlink>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340" w:type="dxa"/>
            <w:vAlign w:val="bottom"/>
            <w:tcBorders>
              <w:top w:val="single" w:sz="8" w:color="0000FF"/>
              <w:bottom w:val="single" w:sz="8" w:color="0000FF"/>
            </w:tcBorders>
            <w:gridSpan w:val="7"/>
          </w:tcPr>
          <w:p>
            <w:pPr>
              <w:ind w:left="20"/>
              <w:spacing w:after="0" w:line="129" w:lineRule="exact"/>
              <w:rPr>
                <w:rFonts w:ascii="Arial" w:cs="Arial" w:eastAsia="Arial" w:hAnsi="Arial"/>
                <w:sz w:val="13"/>
                <w:szCs w:val="13"/>
                <w:color w:val="0000FF"/>
              </w:rPr>
            </w:pPr>
            <w:hyperlink r:id="rId66">
              <w:r>
                <w:rPr>
                  <w:rFonts w:ascii="Arial" w:cs="Arial" w:eastAsia="Arial" w:hAnsi="Arial"/>
                  <w:sz w:val="13"/>
                  <w:szCs w:val="13"/>
                  <w:color w:val="0000FF"/>
                </w:rPr>
                <w:t>Company’s Current Report on Form 8-K filed on August 5, 2020 (File No. 001-34972))</w:t>
              </w:r>
            </w:hyperlink>
          </w:p>
        </w:tc>
        <w:tc>
          <w:tcPr>
            <w:tcW w:w="3240" w:type="dxa"/>
            <w:vAlign w:val="bottom"/>
            <w:tcBorders>
              <w:top w:val="single" w:sz="8" w:color="0000FF"/>
            </w:tcBorders>
            <w:gridSpan w:val="3"/>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80" w:type="dxa"/>
            <w:vAlign w:val="bottom"/>
            <w:gridSpan w:val="20"/>
          </w:tcPr>
          <w:p>
            <w:pPr>
              <w:ind w:left="20"/>
              <w:spacing w:after="0"/>
              <w:rPr>
                <w:rFonts w:ascii="Arial" w:cs="Arial" w:eastAsia="Arial" w:hAnsi="Arial"/>
                <w:sz w:val="18"/>
                <w:szCs w:val="18"/>
                <w:color w:val="0000FF"/>
                <w:w w:val="92"/>
              </w:rPr>
            </w:pPr>
            <w:hyperlink r:id="rId67">
              <w:r>
                <w:rPr>
                  <w:rFonts w:ascii="Arial" w:cs="Arial" w:eastAsia="Arial" w:hAnsi="Arial"/>
                  <w:sz w:val="18"/>
                  <w:szCs w:val="18"/>
                  <w:color w:val="0000FF"/>
                  <w:w w:val="92"/>
                </w:rPr>
                <w:t>Indenture, dated August 24, 2020, among Booz Allen Hamilton Inc., the Subsidiary Guarantors party thereto and Wilmington Trust, National</w:t>
              </w:r>
            </w:hyperlink>
          </w:p>
        </w:tc>
        <w:tc>
          <w:tcPr>
            <w:tcW w:w="0" w:type="dxa"/>
            <w:vAlign w:val="bottom"/>
          </w:tcPr>
          <w:p>
            <w:pPr>
              <w:spacing w:after="0"/>
              <w:rPr>
                <w:sz w:val="1"/>
                <w:szCs w:val="1"/>
                <w:color w:val="auto"/>
              </w:rPr>
            </w:pPr>
          </w:p>
        </w:tc>
      </w:tr>
      <w:tr>
        <w:trPr>
          <w:trHeight w:val="129"/>
        </w:trPr>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180" w:type="dxa"/>
            <w:vAlign w:val="bottom"/>
            <w:tcBorders>
              <w:top w:val="single" w:sz="8" w:color="0000FF"/>
              <w:bottom w:val="single" w:sz="8" w:color="0000FF"/>
            </w:tcBorders>
            <w:gridSpan w:val="17"/>
          </w:tcPr>
          <w:p>
            <w:pPr>
              <w:ind w:left="20"/>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Association (Incorporated by reference to Exhibit 4.1 to the Company’s Current Report on Form 8-K filed on August 24, 2020 (File No. 001-</w:t>
              </w:r>
            </w:hyperlink>
          </w:p>
        </w:tc>
        <w:tc>
          <w:tcPr>
            <w:tcW w:w="20" w:type="dxa"/>
            <w:vAlign w:val="bottom"/>
            <w:tcBorders>
              <w:bottom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Borders>
              <w:bottom w:val="single" w:sz="8" w:color="0000FF"/>
            </w:tcBorders>
          </w:tcPr>
          <w:p>
            <w:pPr>
              <w:ind w:left="20"/>
              <w:spacing w:after="0" w:line="129" w:lineRule="exact"/>
              <w:rPr>
                <w:rFonts w:ascii="Arial" w:cs="Arial" w:eastAsia="Arial" w:hAnsi="Arial"/>
                <w:sz w:val="13"/>
                <w:szCs w:val="13"/>
                <w:color w:val="0000FF"/>
              </w:rPr>
            </w:pPr>
            <w:hyperlink r:id="rId67">
              <w:r>
                <w:rPr>
                  <w:rFonts w:ascii="Arial" w:cs="Arial" w:eastAsia="Arial" w:hAnsi="Arial"/>
                  <w:sz w:val="13"/>
                  <w:szCs w:val="13"/>
                  <w:color w:val="0000FF"/>
                </w:rPr>
                <w:t>34972)</w:t>
              </w:r>
              <w:r>
                <w:rPr>
                  <w:rFonts w:ascii="Arial" w:cs="Arial" w:eastAsia="Arial" w:hAnsi="Arial"/>
                  <w:sz w:val="13"/>
                  <w:szCs w:val="13"/>
                  <w:u w:val="single" w:color="auto"/>
                  <w:color w:val="0000FF"/>
                </w:rPr>
                <w:t>)</w:t>
              </w:r>
            </w:hyperlink>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60" w:type="dxa"/>
            <w:vAlign w:val="bottom"/>
            <w:tcBorders>
              <w:bottom w:val="single" w:sz="8" w:color="0000FF"/>
            </w:tcBorders>
            <w:gridSpan w:val="9"/>
          </w:tcPr>
          <w:p>
            <w:pPr>
              <w:ind w:left="20"/>
              <w:spacing w:after="0"/>
              <w:rPr>
                <w:rFonts w:ascii="Arial" w:cs="Arial" w:eastAsia="Arial" w:hAnsi="Arial"/>
                <w:sz w:val="18"/>
                <w:szCs w:val="18"/>
                <w:color w:val="0000FF"/>
                <w:w w:val="90"/>
              </w:rPr>
            </w:pPr>
            <w:hyperlink r:id="rId68">
              <w:r>
                <w:rPr>
                  <w:rFonts w:ascii="Arial" w:cs="Arial" w:eastAsia="Arial" w:hAnsi="Arial"/>
                  <w:sz w:val="18"/>
                  <w:szCs w:val="18"/>
                  <w:color w:val="0000FF"/>
                  <w:w w:val="90"/>
                </w:rPr>
                <w:t>First Supplemental Indenture, dated August 24, 2020, among Booz Allen Hamilton Inc., the Subsidiary Guarantors party thereto and</w:t>
              </w:r>
            </w:hyperlink>
          </w:p>
        </w:tc>
        <w:tc>
          <w:tcPr>
            <w:tcW w:w="720" w:type="dxa"/>
            <w:vAlign w:val="bottom"/>
            <w:gridSpan w:val="11"/>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80" w:type="dxa"/>
            <w:vAlign w:val="bottom"/>
            <w:gridSpan w:val="20"/>
          </w:tcPr>
          <w:p>
            <w:pPr>
              <w:ind w:left="20"/>
              <w:spacing w:after="0" w:line="156" w:lineRule="exact"/>
              <w:rPr>
                <w:rFonts w:ascii="Arial" w:cs="Arial" w:eastAsia="Arial" w:hAnsi="Arial"/>
                <w:sz w:val="18"/>
                <w:szCs w:val="18"/>
                <w:color w:val="0000FF"/>
                <w:w w:val="95"/>
              </w:rPr>
            </w:pPr>
            <w:hyperlink r:id="rId68">
              <w:r>
                <w:rPr>
                  <w:rFonts w:ascii="Arial" w:cs="Arial" w:eastAsia="Arial" w:hAnsi="Arial"/>
                  <w:sz w:val="18"/>
                  <w:szCs w:val="18"/>
                  <w:color w:val="0000FF"/>
                  <w:w w:val="95"/>
                </w:rPr>
                <w:t>Wilmington Trust, National Association (Incorporated by reference to Exhibit 4.2 to the Company’s Current Report on Form 8-K filed on</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20" w:type="dxa"/>
            <w:vAlign w:val="bottom"/>
            <w:tcBorders>
              <w:top w:val="single" w:sz="8" w:color="0000FF"/>
            </w:tcBorders>
            <w:gridSpan w:val="13"/>
          </w:tcPr>
          <w:p>
            <w:pPr>
              <w:ind w:left="20"/>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August 24, 2020 (File No. 001-34972))</w:t>
              </w:r>
            </w:hyperlink>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80" w:type="dxa"/>
            <w:vAlign w:val="bottom"/>
            <w:gridSpan w:val="20"/>
          </w:tcPr>
          <w:p>
            <w:pPr>
              <w:ind w:left="20"/>
              <w:spacing w:after="0"/>
              <w:rPr>
                <w:rFonts w:ascii="Arial" w:cs="Arial" w:eastAsia="Arial" w:hAnsi="Arial"/>
                <w:sz w:val="18"/>
                <w:szCs w:val="18"/>
                <w:color w:val="0000FF"/>
                <w:w w:val="95"/>
              </w:rPr>
            </w:pPr>
            <w:hyperlink r:id="rId68">
              <w:r>
                <w:rPr>
                  <w:rFonts w:ascii="Arial" w:cs="Arial" w:eastAsia="Arial" w:hAnsi="Arial"/>
                  <w:sz w:val="18"/>
                  <w:szCs w:val="18"/>
                  <w:color w:val="0000FF"/>
                  <w:w w:val="95"/>
                </w:rPr>
                <w:t>Form of 3.875% Senior Note due 2028 (Incorporated by reference to Exhibit 4.3 to the Company’s Current Report on Form 8-K filed on</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40" w:type="dxa"/>
            <w:vAlign w:val="bottom"/>
            <w:tcBorders>
              <w:top w:val="single" w:sz="8" w:color="0000FF"/>
            </w:tcBorders>
            <w:gridSpan w:val="11"/>
          </w:tcPr>
          <w:p>
            <w:pPr>
              <w:ind w:left="20"/>
              <w:spacing w:after="0" w:line="156" w:lineRule="exact"/>
              <w:rPr>
                <w:rFonts w:ascii="Arial" w:cs="Arial" w:eastAsia="Arial" w:hAnsi="Arial"/>
                <w:sz w:val="18"/>
                <w:szCs w:val="18"/>
                <w:color w:val="0000FF"/>
              </w:rPr>
            </w:pPr>
            <w:hyperlink r:id="rId68">
              <w:r>
                <w:rPr>
                  <w:rFonts w:ascii="Arial" w:cs="Arial" w:eastAsia="Arial" w:hAnsi="Arial"/>
                  <w:sz w:val="18"/>
                  <w:szCs w:val="18"/>
                  <w:color w:val="0000FF"/>
                </w:rPr>
                <w:t>August 24, 2020 (File No. 001-34972) (included in Exhibit 4.1 thereto))</w:t>
              </w:r>
            </w:hyperlink>
          </w:p>
        </w:tc>
        <w:tc>
          <w:tcPr>
            <w:tcW w:w="6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80" w:type="dxa"/>
            <w:vAlign w:val="bottom"/>
            <w:gridSpan w:val="4"/>
          </w:tcPr>
          <w:p>
            <w:pPr>
              <w:ind w:left="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2"/>
                <w:szCs w:val="22"/>
                <w:color w:val="auto"/>
              </w:rPr>
            </w:pPr>
          </w:p>
        </w:tc>
        <w:tc>
          <w:tcPr>
            <w:tcW w:w="10280" w:type="dxa"/>
            <w:vAlign w:val="bottom"/>
            <w:gridSpan w:val="20"/>
          </w:tcPr>
          <w:p>
            <w:pPr>
              <w:ind w:left="20"/>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Form of Performance Restricted Stock Unit Agreement under the Third Amended and Restated Equity Incentive Plan of Booz Allen Hamilton</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60" w:type="dxa"/>
            <w:vAlign w:val="bottom"/>
            <w:tcBorders>
              <w:top w:val="single" w:sz="8" w:color="0000FF"/>
            </w:tcBorders>
            <w:gridSpan w:val="19"/>
          </w:tcPr>
          <w:p>
            <w:pPr>
              <w:ind w:left="20"/>
              <w:spacing w:after="0" w:line="156" w:lineRule="exact"/>
              <w:rPr>
                <w:rFonts w:ascii="Arial" w:cs="Arial" w:eastAsia="Arial" w:hAnsi="Arial"/>
                <w:sz w:val="18"/>
                <w:szCs w:val="18"/>
                <w:color w:val="0000FF"/>
              </w:rPr>
            </w:pPr>
            <w:hyperlink w:anchor="page52">
              <w:r>
                <w:rPr>
                  <w:rFonts w:ascii="Arial" w:cs="Arial" w:eastAsia="Arial" w:hAnsi="Arial"/>
                  <w:sz w:val="18"/>
                  <w:szCs w:val="18"/>
                  <w:color w:val="0000FF"/>
                </w:rPr>
                <w:t>Holding Corporation*</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14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80" w:type="dxa"/>
            <w:vAlign w:val="bottom"/>
            <w:gridSpan w:val="4"/>
          </w:tcPr>
          <w:p>
            <w:pPr>
              <w:ind w:left="2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2"/>
                <w:szCs w:val="22"/>
                <w:color w:val="auto"/>
              </w:rPr>
            </w:pPr>
          </w:p>
        </w:tc>
        <w:tc>
          <w:tcPr>
            <w:tcW w:w="10280" w:type="dxa"/>
            <w:vAlign w:val="bottom"/>
            <w:gridSpan w:val="20"/>
          </w:tcPr>
          <w:p>
            <w:pPr>
              <w:ind w:left="20"/>
              <w:spacing w:after="0"/>
              <w:rPr>
                <w:rFonts w:ascii="Arial" w:cs="Arial" w:eastAsia="Arial" w:hAnsi="Arial"/>
                <w:sz w:val="18"/>
                <w:szCs w:val="18"/>
                <w:color w:val="0000FF"/>
                <w:w w:val="95"/>
              </w:rPr>
            </w:pPr>
            <w:hyperlink w:anchor="page63">
              <w:r>
                <w:rPr>
                  <w:rFonts w:ascii="Arial" w:cs="Arial" w:eastAsia="Arial" w:hAnsi="Arial"/>
                  <w:sz w:val="18"/>
                  <w:szCs w:val="18"/>
                  <w:color w:val="0000FF"/>
                  <w:w w:val="95"/>
                </w:rPr>
                <w:t>Form of Restricted Stock Agreement for Directors under the Third Amended and Restated Equity Incentive Plan of Booz Allen Hamilton</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900" w:type="dxa"/>
            <w:vAlign w:val="bottom"/>
            <w:tcBorders>
              <w:top w:val="single" w:sz="8" w:color="0000FF"/>
            </w:tcBorders>
            <w:gridSpan w:val="12"/>
          </w:tcPr>
          <w:p>
            <w:pPr>
              <w:ind w:left="20"/>
              <w:spacing w:after="0" w:line="156" w:lineRule="exact"/>
              <w:rPr>
                <w:rFonts w:ascii="Arial" w:cs="Arial" w:eastAsia="Arial" w:hAnsi="Arial"/>
                <w:sz w:val="18"/>
                <w:szCs w:val="18"/>
                <w:color w:val="0000FF"/>
              </w:rPr>
            </w:pPr>
            <w:hyperlink w:anchor="page63">
              <w:r>
                <w:rPr>
                  <w:rFonts w:ascii="Arial" w:cs="Arial" w:eastAsia="Arial" w:hAnsi="Arial"/>
                  <w:sz w:val="18"/>
                  <w:szCs w:val="18"/>
                  <w:color w:val="0000FF"/>
                </w:rPr>
                <w:t>Holding Corporation*</w:t>
              </w:r>
            </w:hyperlink>
          </w:p>
        </w:tc>
        <w:tc>
          <w:tcPr>
            <w:tcW w:w="1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80" w:type="dxa"/>
            <w:vAlign w:val="bottom"/>
            <w:gridSpan w:val="20"/>
          </w:tcPr>
          <w:p>
            <w:pPr>
              <w:ind w:left="20"/>
              <w:spacing w:after="0"/>
              <w:rPr>
                <w:rFonts w:ascii="Arial" w:cs="Arial" w:eastAsia="Arial" w:hAnsi="Arial"/>
                <w:sz w:val="18"/>
                <w:szCs w:val="18"/>
                <w:u w:val="single" w:color="auto"/>
                <w:color w:val="0000FF"/>
              </w:rPr>
            </w:pPr>
            <w:hyperlink w:anchor="page68">
              <w:r>
                <w:rPr>
                  <w:rFonts w:ascii="Arial" w:cs="Arial" w:eastAsia="Arial" w:hAnsi="Arial"/>
                  <w:sz w:val="18"/>
                  <w:szCs w:val="18"/>
                  <w:u w:val="single" w:color="auto"/>
                  <w:color w:val="0000FF"/>
                </w:rPr>
                <w:t>Rule 13a-14(a)/15d-14(a) Certification of the Chief Executive Officer*</w:t>
              </w:r>
            </w:hyperlink>
          </w:p>
        </w:tc>
        <w:tc>
          <w:tcPr>
            <w:tcW w:w="0" w:type="dxa"/>
            <w:vAlign w:val="bottom"/>
          </w:tcPr>
          <w:p>
            <w:pPr>
              <w:spacing w:after="0"/>
              <w:rPr>
                <w:sz w:val="1"/>
                <w:szCs w:val="1"/>
                <w:color w:val="auto"/>
              </w:rPr>
            </w:pPr>
          </w:p>
        </w:tc>
      </w:tr>
      <w:tr>
        <w:trPr>
          <w:trHeight w:val="283"/>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80" w:type="dxa"/>
            <w:vAlign w:val="bottom"/>
            <w:gridSpan w:val="20"/>
          </w:tcPr>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Rule 13a-14(a)/15d-14(a) Certification of the Chief Financial Officer*</w:t>
              </w:r>
            </w:hyperlink>
          </w:p>
        </w:tc>
        <w:tc>
          <w:tcPr>
            <w:tcW w:w="0" w:type="dxa"/>
            <w:vAlign w:val="bottom"/>
          </w:tcPr>
          <w:p>
            <w:pPr>
              <w:spacing w:after="0"/>
              <w:rPr>
                <w:sz w:val="1"/>
                <w:szCs w:val="1"/>
                <w:color w:val="auto"/>
              </w:rPr>
            </w:pPr>
          </w:p>
        </w:tc>
      </w:tr>
      <w:tr>
        <w:trPr>
          <w:trHeight w:val="243"/>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80" w:type="dxa"/>
            <w:vAlign w:val="bottom"/>
            <w:gridSpan w:val="20"/>
          </w:tcPr>
          <w:p>
            <w:pPr>
              <w:ind w:left="20"/>
              <w:spacing w:after="0"/>
              <w:rPr>
                <w:rFonts w:ascii="Arial" w:cs="Arial" w:eastAsia="Arial" w:hAnsi="Arial"/>
                <w:sz w:val="18"/>
                <w:szCs w:val="18"/>
                <w:color w:val="0000FF"/>
                <w:w w:val="93"/>
              </w:rPr>
            </w:pPr>
            <w:hyperlink w:anchor="page70">
              <w:r>
                <w:rPr>
                  <w:rFonts w:ascii="Arial" w:cs="Arial" w:eastAsia="Arial" w:hAnsi="Arial"/>
                  <w:sz w:val="18"/>
                  <w:szCs w:val="18"/>
                  <w:color w:val="0000FF"/>
                  <w:w w:val="93"/>
                </w:rPr>
                <w:t>Certification of the Chief Executive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55"/>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80" w:type="dxa"/>
            <w:vAlign w:val="bottom"/>
            <w:tcBorders>
              <w:top w:val="single" w:sz="8" w:color="0000FF"/>
            </w:tcBorders>
            <w:gridSpan w:val="15"/>
          </w:tcPr>
          <w:p>
            <w:pPr>
              <w:ind w:left="20"/>
              <w:spacing w:after="0" w:line="156" w:lineRule="exact"/>
              <w:rPr>
                <w:rFonts w:ascii="Arial" w:cs="Arial" w:eastAsia="Arial" w:hAnsi="Arial"/>
                <w:sz w:val="18"/>
                <w:szCs w:val="18"/>
                <w:color w:val="0000FF"/>
              </w:rPr>
            </w:pPr>
            <w:hyperlink w:anchor="page70">
              <w:r>
                <w:rPr>
                  <w:rFonts w:ascii="Arial" w:cs="Arial" w:eastAsia="Arial" w:hAnsi="Arial"/>
                  <w:sz w:val="18"/>
                  <w:szCs w:val="18"/>
                  <w:color w:val="0000FF"/>
                </w:rPr>
                <w:t>United States Code (18 U.S.C. 1350)*</w:t>
              </w:r>
            </w:hyperlink>
          </w:p>
        </w:tc>
        <w:tc>
          <w:tcPr>
            <w:tcW w:w="2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7280" w:type="dxa"/>
            <w:vAlign w:val="bottom"/>
            <w:gridSpan w:val="10"/>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20" w:type="dxa"/>
            <w:vAlign w:val="bottom"/>
            <w:gridSpan w:val="3"/>
          </w:tcPr>
          <w:p>
            <w:pPr>
              <w:ind w:left="20"/>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80" w:type="dxa"/>
            <w:vAlign w:val="bottom"/>
            <w:gridSpan w:val="20"/>
          </w:tcPr>
          <w:p>
            <w:pPr>
              <w:ind w:left="20"/>
              <w:spacing w:after="0"/>
              <w:rPr>
                <w:rFonts w:ascii="Arial" w:cs="Arial" w:eastAsia="Arial" w:hAnsi="Arial"/>
                <w:sz w:val="18"/>
                <w:szCs w:val="18"/>
                <w:color w:val="0000FF"/>
                <w:w w:val="94"/>
              </w:rPr>
            </w:pPr>
            <w:hyperlink w:anchor="page71">
              <w:r>
                <w:rPr>
                  <w:rFonts w:ascii="Arial" w:cs="Arial" w:eastAsia="Arial" w:hAnsi="Arial"/>
                  <w:sz w:val="18"/>
                  <w:szCs w:val="18"/>
                  <w:color w:val="0000FF"/>
                  <w:w w:val="94"/>
                </w:rPr>
                <w:t>Certification of the Chief Financial Officer required by Rule 13a-14(b) or Rule 15d-14(b) and Section 1350 of Chapter 63 of Title 18 of the</w:t>
              </w:r>
            </w:hyperlink>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40" w:type="dxa"/>
            <w:vAlign w:val="bottom"/>
            <w:tcBorders>
              <w:top w:val="single" w:sz="8" w:color="0000FF"/>
            </w:tcBorders>
            <w:gridSpan w:val="14"/>
          </w:tcPr>
          <w:p>
            <w:pPr>
              <w:ind w:left="20"/>
              <w:spacing w:after="0" w:line="156" w:lineRule="exact"/>
              <w:rPr>
                <w:rFonts w:ascii="Arial" w:cs="Arial" w:eastAsia="Arial" w:hAnsi="Arial"/>
                <w:sz w:val="18"/>
                <w:szCs w:val="18"/>
                <w:color w:val="0000FF"/>
              </w:rPr>
            </w:pPr>
            <w:hyperlink w:anchor="page71">
              <w:r>
                <w:rPr>
                  <w:rFonts w:ascii="Arial" w:cs="Arial" w:eastAsia="Arial" w:hAnsi="Arial"/>
                  <w:sz w:val="18"/>
                  <w:szCs w:val="18"/>
                  <w:color w:val="0000FF"/>
                </w:rPr>
                <w:t>United States Code (18 U.S.C. 1350)*</w:t>
              </w:r>
            </w:hyperlink>
          </w:p>
        </w:tc>
        <w:tc>
          <w:tcPr>
            <w:tcW w:w="24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900" w:hanging="874"/>
        <w:spacing w:after="0" w:line="233"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following materials from Booz Allen Hamilton Holding Corporation’s Quarterly Report on Form 10-Q for the three and six months ended September 30, 2020 formatted in Inline XBRL (eXtensible Business Reporting Language): (i) Condensed Consolidated Balance Sheets at September 30, 2020 and March 31, 2020; (ii) Condensed Consolidated Statements of Operations for the three and six months ended September 30, 2020 and 2019; (iii) Condensed Consolidated Statements of Comprehensive Income for the three and six months ended September 30, 2020 and 2019; (iv) Condensed Consolidated Statements of Cash Flows for the three and six months ended September 30, 2020 and 2019; and</w:t>
      </w:r>
    </w:p>
    <w:p>
      <w:pPr>
        <w:ind w:left="900"/>
        <w:spacing w:after="0"/>
        <w:rPr>
          <w:rFonts w:ascii="Arial" w:cs="Arial" w:eastAsia="Arial" w:hAnsi="Arial"/>
          <w:sz w:val="16"/>
          <w:szCs w:val="16"/>
          <w:color w:val="auto"/>
        </w:rPr>
      </w:pPr>
      <w:r>
        <w:rPr>
          <w:rFonts w:ascii="Arial" w:cs="Arial" w:eastAsia="Arial" w:hAnsi="Arial"/>
          <w:sz w:val="18"/>
          <w:szCs w:val="18"/>
          <w:color w:val="auto"/>
        </w:rPr>
        <w:t>(v) Notes to Condensed Consolidated Financial Statements.</w:t>
      </w:r>
    </w:p>
    <w:p>
      <w:pPr>
        <w:spacing w:after="0" w:line="61"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12" w:lineRule="exact"/>
        <w:rPr>
          <w:sz w:val="20"/>
          <w:szCs w:val="20"/>
          <w:color w:val="auto"/>
        </w:rPr>
      </w:pPr>
    </w:p>
    <w:p>
      <w:pPr>
        <w:ind w:right="7120" w:firstLine="8"/>
        <w:spacing w:after="0" w:line="290" w:lineRule="auto"/>
        <w:tabs>
          <w:tab w:leader="none" w:pos="27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Management contract or compensatory arrangement. * Filed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9" w:lineRule="exact"/>
        <w:rPr>
          <w:sz w:val="20"/>
          <w:szCs w:val="20"/>
          <w:color w:val="auto"/>
        </w:rPr>
      </w:pPr>
    </w:p>
    <w:p>
      <w:pPr>
        <w:jc w:val="center"/>
        <w:ind w:left="520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23" w:lineRule="exact"/>
        <w:rPr>
          <w:sz w:val="20"/>
          <w:szCs w:val="20"/>
          <w:color w:val="auto"/>
        </w:rPr>
      </w:pPr>
    </w:p>
    <w:p>
      <w:pPr>
        <w:jc w:val="center"/>
        <w:ind w:left="5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62" w:lineRule="exact"/>
        <w:rPr>
          <w:sz w:val="20"/>
          <w:szCs w:val="20"/>
          <w:color w:val="auto"/>
        </w:rPr>
      </w:pPr>
    </w:p>
    <w:p>
      <w:pPr>
        <w:ind w:left="20"/>
        <w:spacing w:after="0"/>
        <w:tabs>
          <w:tab w:leader="none" w:pos="4780" w:val="left"/>
          <w:tab w:leader="none" w:pos="5240" w:val="left"/>
        </w:tabs>
        <w:rPr>
          <w:sz w:val="20"/>
          <w:szCs w:val="20"/>
          <w:color w:val="auto"/>
        </w:rPr>
      </w:pPr>
      <w:r>
        <w:rPr>
          <w:rFonts w:ascii="Arial" w:cs="Arial" w:eastAsia="Arial" w:hAnsi="Arial"/>
          <w:sz w:val="18"/>
          <w:szCs w:val="18"/>
          <w:color w:val="auto"/>
        </w:rPr>
        <w:t>Date: October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3331210</wp:posOffset>
            </wp:positionH>
            <wp:positionV relativeFrom="paragraph">
              <wp:posOffset>14605</wp:posOffset>
            </wp:positionV>
            <wp:extent cx="37890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1"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Lloyd W. Howell, Jr.</w:t>
      </w:r>
    </w:p>
    <w:p>
      <w:pPr>
        <w:ind w:left="5260"/>
        <w:spacing w:after="0" w:line="203" w:lineRule="auto"/>
        <w:rPr>
          <w:sz w:val="20"/>
          <w:szCs w:val="20"/>
          <w:color w:val="auto"/>
        </w:rPr>
      </w:pPr>
      <w:r>
        <w:rPr>
          <w:rFonts w:ascii="Arial" w:cs="Arial" w:eastAsia="Arial" w:hAnsi="Arial"/>
          <w:sz w:val="18"/>
          <w:szCs w:val="18"/>
          <w:color w:val="auto"/>
        </w:rPr>
        <w:t>Executive Vice President, Chief Financial Officer and Treasurer</w:t>
      </w:r>
    </w:p>
    <w:p>
      <w:pPr>
        <w:ind w:left="52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740"/>
          </w:cols>
          <w:pgMar w:left="320" w:top="125" w:right="8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THIRD AMENDED AND RESTATED EQUITY INCENTIVE PLAN OF</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BOOZ ALLEN HAMILTON HOLDING CORPORATION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PERFORMANCE RESTRICTED STOCK UNIT AGREEMENT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GRANT NOTICE</w:t>
      </w:r>
    </w:p>
    <w:p>
      <w:pPr>
        <w:spacing w:after="0" w:line="222" w:lineRule="exact"/>
        <w:rPr>
          <w:sz w:val="20"/>
          <w:szCs w:val="20"/>
          <w:color w:val="auto"/>
        </w:rPr>
      </w:pPr>
    </w:p>
    <w:p>
      <w:pPr>
        <w:ind w:right="260" w:firstLine="648"/>
        <w:spacing w:after="0" w:line="244" w:lineRule="auto"/>
        <w:rPr>
          <w:sz w:val="20"/>
          <w:szCs w:val="20"/>
          <w:color w:val="auto"/>
        </w:rPr>
      </w:pPr>
      <w:r>
        <w:rPr>
          <w:rFonts w:ascii="Arial" w:cs="Arial" w:eastAsia="Arial" w:hAnsi="Arial"/>
          <w:sz w:val="20"/>
          <w:szCs w:val="20"/>
          <w:color w:val="auto"/>
        </w:rPr>
        <w:t>Unless otherwise defined herein, the terms defined in the Third Amended and Restated Equity Incentive Plan (the “</w:t>
      </w:r>
      <w:r>
        <w:rPr>
          <w:rFonts w:ascii="Arial" w:cs="Arial" w:eastAsia="Arial" w:hAnsi="Arial"/>
          <w:sz w:val="20"/>
          <w:szCs w:val="20"/>
          <w:u w:val="single" w:color="auto"/>
          <w:color w:val="auto"/>
        </w:rPr>
        <w:t>Plan</w:t>
      </w:r>
      <w:r>
        <w:rPr>
          <w:rFonts w:ascii="Arial" w:cs="Arial" w:eastAsia="Arial" w:hAnsi="Arial"/>
          <w:sz w:val="20"/>
          <w:szCs w:val="20"/>
          <w:color w:val="auto"/>
        </w:rPr>
        <w:t>”) of Booz Allen Hamilton Holding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xml:space="preserve">”) shall have the same defined meanings in this Performance Restricted Stock Unit Agreement, which includes the terms in this Grant Notice, including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Grant Notice</w:t>
      </w:r>
      <w:r>
        <w:rPr>
          <w:rFonts w:ascii="Arial" w:cs="Arial" w:eastAsia="Arial" w:hAnsi="Arial"/>
          <w:sz w:val="20"/>
          <w:szCs w:val="20"/>
          <w:color w:val="auto"/>
        </w:rPr>
        <w:t xml:space="preserve">”), </w:t>
      </w:r>
      <w:r>
        <w:rPr>
          <w:rFonts w:ascii="Arial" w:cs="Arial" w:eastAsia="Arial" w:hAnsi="Arial"/>
          <w:sz w:val="20"/>
          <w:szCs w:val="20"/>
          <w:u w:val="single" w:color="auto"/>
          <w:color w:val="auto"/>
        </w:rPr>
        <w:t>Appendix A</w:t>
      </w:r>
      <w:r>
        <w:rPr>
          <w:rFonts w:ascii="Arial" w:cs="Arial" w:eastAsia="Arial" w:hAnsi="Arial"/>
          <w:sz w:val="20"/>
          <w:szCs w:val="20"/>
          <w:color w:val="auto"/>
        </w:rPr>
        <w:t xml:space="preserve"> attached hereto and any special terms and conditions set out in </w:t>
      </w:r>
      <w:r>
        <w:rPr>
          <w:rFonts w:ascii="Arial" w:cs="Arial" w:eastAsia="Arial" w:hAnsi="Arial"/>
          <w:sz w:val="20"/>
          <w:szCs w:val="20"/>
          <w:u w:val="single" w:color="auto"/>
          <w:color w:val="auto"/>
        </w:rPr>
        <w:t>Appendix B</w:t>
      </w:r>
      <w:r>
        <w:rPr>
          <w:rFonts w:ascii="Arial" w:cs="Arial" w:eastAsia="Arial" w:hAnsi="Arial"/>
          <w:sz w:val="20"/>
          <w:szCs w:val="20"/>
          <w:color w:val="auto"/>
        </w:rPr>
        <w:t xml:space="preserve"> attached hereto for your country of employment and/or residence (collectively, the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94" w:lineRule="exact"/>
        <w:rPr>
          <w:sz w:val="20"/>
          <w:szCs w:val="20"/>
          <w:color w:val="auto"/>
        </w:rPr>
      </w:pPr>
    </w:p>
    <w:p>
      <w:pPr>
        <w:ind w:right="160" w:firstLine="648"/>
        <w:spacing w:after="0" w:line="246" w:lineRule="auto"/>
        <w:rPr>
          <w:sz w:val="20"/>
          <w:szCs w:val="20"/>
          <w:color w:val="auto"/>
        </w:rPr>
      </w:pPr>
      <w:r>
        <w:rPr>
          <w:rFonts w:ascii="Arial" w:cs="Arial" w:eastAsia="Arial" w:hAnsi="Arial"/>
          <w:sz w:val="20"/>
          <w:szCs w:val="20"/>
          <w:color w:val="auto"/>
        </w:rPr>
        <w:t xml:space="preserve">You have been granted performance-based restricted stock units, subject to the terms and conditions of the Plan and this Agreement in an amount, vesting schedule and subject to satisfaction of the performance goals for the applicable performance period (as set forth on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to this Agreement), as delivered and made available to you by the Company, which shall be deemed part of and incorporated by reference into this Grant Notice.</w:t>
      </w:r>
    </w:p>
    <w:p>
      <w:pPr>
        <w:spacing w:after="0" w:line="191" w:lineRule="exact"/>
        <w:rPr>
          <w:sz w:val="20"/>
          <w:szCs w:val="20"/>
          <w:color w:val="auto"/>
        </w:rPr>
      </w:pPr>
    </w:p>
    <w:p>
      <w:pPr>
        <w:ind w:right="20" w:firstLine="648"/>
        <w:spacing w:after="0" w:line="309" w:lineRule="auto"/>
        <w:rPr>
          <w:sz w:val="20"/>
          <w:szCs w:val="20"/>
          <w:color w:val="auto"/>
        </w:rPr>
      </w:pPr>
      <w:r>
        <w:rPr>
          <w:rFonts w:ascii="Arial" w:cs="Arial" w:eastAsia="Arial" w:hAnsi="Arial"/>
          <w:sz w:val="16"/>
          <w:szCs w:val="16"/>
          <w:color w:val="auto"/>
        </w:rPr>
        <w:t xml:space="preserve">Your acceptance of this grant indicates your agreement and understanding that the Performance Restricted Stock Units granted herein are subject to all of the terms and conditions contained in the Agreement and the Plan. </w:t>
      </w:r>
      <w:r>
        <w:rPr>
          <w:rFonts w:ascii="Arial" w:cs="Arial" w:eastAsia="Arial" w:hAnsi="Arial"/>
          <w:sz w:val="16"/>
          <w:szCs w:val="16"/>
          <w:b w:val="1"/>
          <w:bCs w:val="1"/>
          <w:color w:val="auto"/>
        </w:rPr>
        <w:t>ACCORDINGLY, PLEASE BE SURE TO READ</w:t>
      </w:r>
    </w:p>
    <w:p>
      <w:pPr>
        <w:spacing w:after="0" w:line="1" w:lineRule="exact"/>
        <w:rPr>
          <w:sz w:val="20"/>
          <w:szCs w:val="20"/>
          <w:color w:val="auto"/>
        </w:rPr>
      </w:pPr>
    </w:p>
    <w:p>
      <w:pPr>
        <w:ind w:right="360"/>
        <w:spacing w:after="0" w:line="244" w:lineRule="auto"/>
        <w:rPr>
          <w:sz w:val="20"/>
          <w:szCs w:val="20"/>
          <w:color w:val="auto"/>
        </w:rPr>
      </w:pPr>
      <w:r>
        <w:rPr>
          <w:rFonts w:ascii="Arial" w:cs="Arial" w:eastAsia="Arial" w:hAnsi="Arial"/>
          <w:sz w:val="20"/>
          <w:szCs w:val="20"/>
          <w:b w:val="1"/>
          <w:bCs w:val="1"/>
          <w:color w:val="auto"/>
        </w:rPr>
        <w:t xml:space="preserve">ALL OF THE PLAN AND </w:t>
      </w:r>
      <w:r>
        <w:rPr>
          <w:rFonts w:ascii="Arial" w:cs="Arial" w:eastAsia="Arial" w:hAnsi="Arial"/>
          <w:sz w:val="20"/>
          <w:szCs w:val="20"/>
          <w:b w:val="1"/>
          <w:bCs w:val="1"/>
          <w:u w:val="single" w:color="auto"/>
          <w:color w:val="auto"/>
        </w:rPr>
        <w:t>APPENDIX A</w:t>
      </w:r>
      <w:r>
        <w:rPr>
          <w:rFonts w:ascii="Arial" w:cs="Arial" w:eastAsia="Arial" w:hAnsi="Arial"/>
          <w:sz w:val="20"/>
          <w:szCs w:val="20"/>
          <w:b w:val="1"/>
          <w:bCs w:val="1"/>
          <w:color w:val="auto"/>
        </w:rPr>
        <w:t xml:space="preserve">, </w:t>
      </w:r>
      <w:r>
        <w:rPr>
          <w:rFonts w:ascii="Arial" w:cs="Arial" w:eastAsia="Arial" w:hAnsi="Arial"/>
          <w:sz w:val="20"/>
          <w:szCs w:val="20"/>
          <w:b w:val="1"/>
          <w:bCs w:val="1"/>
          <w:u w:val="single" w:color="auto"/>
          <w:color w:val="auto"/>
        </w:rPr>
        <w:t>APPENDIX B</w:t>
      </w:r>
      <w:r>
        <w:rPr>
          <w:rFonts w:ascii="Arial" w:cs="Arial" w:eastAsia="Arial" w:hAnsi="Arial"/>
          <w:sz w:val="20"/>
          <w:szCs w:val="20"/>
          <w:b w:val="1"/>
          <w:bCs w:val="1"/>
          <w:color w:val="auto"/>
        </w:rPr>
        <w:t xml:space="preserve"> AND </w:t>
      </w:r>
      <w:r>
        <w:rPr>
          <w:rFonts w:ascii="Arial" w:cs="Arial" w:eastAsia="Arial" w:hAnsi="Arial"/>
          <w:sz w:val="20"/>
          <w:szCs w:val="20"/>
          <w:b w:val="1"/>
          <w:bCs w:val="1"/>
          <w:u w:val="single" w:color="auto"/>
          <w:color w:val="auto"/>
        </w:rPr>
        <w:t>EXHIBIT A</w:t>
      </w:r>
      <w:r>
        <w:rPr>
          <w:rFonts w:ascii="Arial" w:cs="Arial" w:eastAsia="Arial" w:hAnsi="Arial"/>
          <w:sz w:val="20"/>
          <w:szCs w:val="20"/>
          <w:b w:val="1"/>
          <w:bCs w:val="1"/>
          <w:color w:val="auto"/>
        </w:rPr>
        <w:t>, WHICH CONTAIN THE SPECIFIC TERMS AND CONDITIONS OF THE PERFORMANCE RESTRICTED STOCK UNITS.</w:t>
      </w:r>
    </w:p>
    <w:p>
      <w:pPr>
        <w:spacing w:after="0" w:line="191" w:lineRule="exact"/>
        <w:rPr>
          <w:sz w:val="20"/>
          <w:szCs w:val="20"/>
          <w:color w:val="auto"/>
        </w:rPr>
      </w:pPr>
    </w:p>
    <w:p>
      <w:pPr>
        <w:ind w:right="260" w:firstLine="648"/>
        <w:spacing w:after="0" w:line="260" w:lineRule="auto"/>
        <w:rPr>
          <w:sz w:val="20"/>
          <w:szCs w:val="20"/>
          <w:color w:val="auto"/>
        </w:rPr>
      </w:pPr>
      <w:r>
        <w:rPr>
          <w:rFonts w:ascii="Arial" w:cs="Arial" w:eastAsia="Arial" w:hAnsi="Arial"/>
          <w:sz w:val="20"/>
          <w:szCs w:val="20"/>
          <w:color w:val="auto"/>
        </w:rPr>
        <w:t>In order to view the grant details and to accept this grant, please go to Fidelity NetBenefits at www.netbenefits.com and follow the instructions regarding this grant.</w:t>
      </w:r>
    </w:p>
    <w:p>
      <w:pPr>
        <w:sectPr>
          <w:pgSz w:w="11900" w:h="16838" w:orient="portrait"/>
          <w:cols w:equalWidth="0" w:num="1">
            <w:col w:w="11240"/>
          </w:cols>
          <w:pgMar w:left="320" w:top="132" w:right="339" w:bottom="1440" w:gutter="0" w:footer="0" w:header="0"/>
        </w:sectPr>
      </w:pPr>
    </w:p>
    <w:bookmarkStart w:id="52" w:name="page53"/>
    <w:bookmarkEnd w:id="52"/>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A TO PERFORMANCE RESTRICTED STOCK UNIT AGREEMENT</w:t>
      </w:r>
    </w:p>
    <w:p>
      <w:pPr>
        <w:spacing w:after="0" w:line="222" w:lineRule="exact"/>
        <w:rPr>
          <w:sz w:val="20"/>
          <w:szCs w:val="20"/>
          <w:color w:val="auto"/>
        </w:rPr>
      </w:pPr>
    </w:p>
    <w:p>
      <w:pPr>
        <w:ind w:left="-20" w:firstLine="656"/>
        <w:spacing w:after="0" w:line="255" w:lineRule="auto"/>
        <w:tabs>
          <w:tab w:leader="none" w:pos="1276"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Grant of Restricted Stock Units</w:t>
      </w:r>
      <w:r>
        <w:rPr>
          <w:rFonts w:ascii="Arial" w:cs="Arial" w:eastAsia="Arial" w:hAnsi="Arial"/>
          <w:sz w:val="19"/>
          <w:szCs w:val="19"/>
          <w:color w:val="auto"/>
        </w:rPr>
        <w:t xml:space="preserve">. Subject to the terms, conditions, and restrictions set forth in this Agreement (including the Grant Notice and any special terms and conditions for the Participant’s country set forth in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to this Agreement) and in the Plan, the Company hereby evidences and confirms its grant to the Participant, effective as of the Grant Date, of the target number of performance restricted stock units (the “</w:t>
      </w:r>
      <w:r>
        <w:rPr>
          <w:rFonts w:ascii="Arial" w:cs="Arial" w:eastAsia="Arial" w:hAnsi="Arial"/>
          <w:sz w:val="19"/>
          <w:szCs w:val="19"/>
          <w:u w:val="single" w:color="auto"/>
          <w:color w:val="auto"/>
        </w:rPr>
        <w:t>Target Award</w:t>
      </w:r>
      <w:r>
        <w:rPr>
          <w:rFonts w:ascii="Arial" w:cs="Arial" w:eastAsia="Arial" w:hAnsi="Arial"/>
          <w:sz w:val="19"/>
          <w:szCs w:val="19"/>
          <w:color w:val="auto"/>
        </w:rPr>
        <w:t>”) specified in the Grant Notice. Each performance restricted stock unit (a “</w:t>
      </w:r>
      <w:r>
        <w:rPr>
          <w:rFonts w:ascii="Arial" w:cs="Arial" w:eastAsia="Arial" w:hAnsi="Arial"/>
          <w:sz w:val="19"/>
          <w:szCs w:val="19"/>
          <w:u w:val="single" w:color="auto"/>
          <w:color w:val="auto"/>
        </w:rPr>
        <w:t>Restricted Stock Unit</w:t>
      </w:r>
      <w:r>
        <w:rPr>
          <w:rFonts w:ascii="Arial" w:cs="Arial" w:eastAsia="Arial" w:hAnsi="Arial"/>
          <w:sz w:val="19"/>
          <w:szCs w:val="19"/>
          <w:color w:val="auto"/>
        </w:rPr>
        <w:t xml:space="preserve">”) represents the right to receive between zero and two shares of Company Common Stock, subject to the terms and conditions set forth in this Agreement (including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Appendix B</w:t>
      </w:r>
      <w:r>
        <w:rPr>
          <w:rFonts w:ascii="Arial" w:cs="Arial" w:eastAsia="Arial" w:hAnsi="Arial"/>
          <w:sz w:val="19"/>
          <w:szCs w:val="19"/>
          <w:color w:val="auto"/>
        </w:rPr>
        <w:t xml:space="preserve">) and in the Plan. Except as otherwise provided in Section 2, the number of Restricted Stock Units that the Participant shall actually earn for the Performance Period (up to the maximum specified in the Grant Notice) will be determined by the Administrator based on the level of achievement of the performance goals specified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Performance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Goals</w:t>
      </w:r>
      <w:r>
        <w:rPr>
          <w:rFonts w:ascii="Arial" w:cs="Arial" w:eastAsia="Arial" w:hAnsi="Arial"/>
          <w:sz w:val="19"/>
          <w:szCs w:val="19"/>
          <w:color w:val="auto"/>
        </w:rPr>
        <w:t>”). This Agreement is subordinate to, and the terms and conditions of the Restricted Stock Units granted hereunder are subject to, the terms and conditions of the Plan, which are incorporated by reference herein. If there is any inconsistency between the terms hereof and the terms of the Plan, the terms of the Plan shall govern. Any capitalized terms used herein without definition shall have the meanings set forth in the Plan.</w:t>
      </w:r>
    </w:p>
    <w:p>
      <w:pPr>
        <w:spacing w:after="0" w:line="208" w:lineRule="exact"/>
        <w:rPr>
          <w:rFonts w:ascii="Arial" w:cs="Arial" w:eastAsia="Arial" w:hAnsi="Arial"/>
          <w:sz w:val="19"/>
          <w:szCs w:val="19"/>
          <w:color w:val="auto"/>
        </w:rPr>
      </w:pPr>
    </w:p>
    <w:p>
      <w:pPr>
        <w:ind w:left="1280" w:hanging="644"/>
        <w:spacing w:after="0"/>
        <w:tabs>
          <w:tab w:leader="none" w:pos="1280" w:val="left"/>
        </w:tabs>
        <w:numPr>
          <w:ilvl w:val="0"/>
          <w:numId w:val="42"/>
        </w:numPr>
        <w:rPr>
          <w:rFonts w:ascii="Arial" w:cs="Arial" w:eastAsia="Arial" w:hAnsi="Arial"/>
          <w:sz w:val="22"/>
          <w:szCs w:val="22"/>
          <w:color w:val="auto"/>
        </w:rPr>
      </w:pPr>
      <w:r>
        <w:rPr>
          <w:rFonts w:ascii="Arial" w:cs="Arial" w:eastAsia="Arial" w:hAnsi="Arial"/>
          <w:sz w:val="20"/>
          <w:szCs w:val="20"/>
          <w:u w:val="single" w:color="auto"/>
          <w:color w:val="auto"/>
        </w:rPr>
        <w:t>Vesting of Restricted Stock Units</w:t>
      </w:r>
      <w:r>
        <w:rPr>
          <w:rFonts w:ascii="Arial" w:cs="Arial" w:eastAsia="Arial" w:hAnsi="Arial"/>
          <w:sz w:val="20"/>
          <w:szCs w:val="20"/>
          <w:color w:val="auto"/>
        </w:rPr>
        <w:t>.</w:t>
      </w:r>
    </w:p>
    <w:p>
      <w:pPr>
        <w:spacing w:after="0" w:line="195" w:lineRule="exact"/>
        <w:rPr>
          <w:sz w:val="20"/>
          <w:szCs w:val="20"/>
          <w:color w:val="auto"/>
        </w:rPr>
      </w:pPr>
    </w:p>
    <w:p>
      <w:pPr>
        <w:ind w:left="-20" w:firstLine="656"/>
        <w:spacing w:after="0" w:line="259" w:lineRule="auto"/>
        <w:tabs>
          <w:tab w:leader="none" w:pos="1266"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Vesting</w:t>
      </w:r>
      <w:r>
        <w:rPr>
          <w:rFonts w:ascii="Arial" w:cs="Arial" w:eastAsia="Arial" w:hAnsi="Arial"/>
          <w:sz w:val="19"/>
          <w:szCs w:val="19"/>
          <w:color w:val="auto"/>
        </w:rPr>
        <w:t>. For purposes of this Agreement, the term “</w:t>
      </w:r>
      <w:r>
        <w:rPr>
          <w:rFonts w:ascii="Arial" w:cs="Arial" w:eastAsia="Arial" w:hAnsi="Arial"/>
          <w:sz w:val="19"/>
          <w:szCs w:val="19"/>
          <w:u w:val="single" w:color="auto"/>
          <w:color w:val="auto"/>
        </w:rPr>
        <w:t>Performance Period</w:t>
      </w:r>
      <w:r>
        <w:rPr>
          <w:rFonts w:ascii="Arial" w:cs="Arial" w:eastAsia="Arial" w:hAnsi="Arial"/>
          <w:sz w:val="19"/>
          <w:szCs w:val="19"/>
          <w:color w:val="auto"/>
        </w:rPr>
        <w:t xml:space="preserve">” shall mean the period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Restricted Stock Units are subject to forfeiture until they vest. Except as otherwise provided in this Section 2, the Restricted Stock Units shall become vested as of the vesting date specified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Vesting Date</w:t>
      </w:r>
      <w:r>
        <w:rPr>
          <w:rFonts w:ascii="Arial" w:cs="Arial" w:eastAsia="Arial" w:hAnsi="Arial"/>
          <w:sz w:val="19"/>
          <w:szCs w:val="19"/>
          <w:color w:val="auto"/>
        </w:rPr>
        <w:t xml:space="preserve">”), subject to the continued employment or service of the Participant by the Company or any Subsidiary thereof through the Vesting Date, and to the achievement of the Performance Goals set forth in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for the Performance Period as determined by the Administrator pursuant to Section 3(a). Restricted Stock Units that do not vest in accordance with this Section 2 shall be forfeited.</w:t>
      </w:r>
    </w:p>
    <w:p>
      <w:pPr>
        <w:spacing w:after="0" w:line="178" w:lineRule="exact"/>
        <w:rPr>
          <w:rFonts w:ascii="Arial" w:cs="Arial" w:eastAsia="Arial" w:hAnsi="Arial"/>
          <w:sz w:val="19"/>
          <w:szCs w:val="19"/>
          <w:color w:val="auto"/>
        </w:rPr>
      </w:pPr>
    </w:p>
    <w:p>
      <w:pPr>
        <w:ind w:left="1280" w:hanging="644"/>
        <w:spacing w:after="0"/>
        <w:tabs>
          <w:tab w:leader="none" w:pos="128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20" w:right="80" w:firstLine="1304"/>
        <w:spacing w:after="0" w:line="250" w:lineRule="auto"/>
        <w:tabs>
          <w:tab w:leader="none" w:pos="1922"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Termination Due to Death</w:t>
      </w:r>
      <w:r>
        <w:rPr>
          <w:rFonts w:ascii="Arial" w:cs="Arial" w:eastAsia="Arial" w:hAnsi="Arial"/>
          <w:sz w:val="20"/>
          <w:szCs w:val="20"/>
          <w:color w:val="auto"/>
        </w:rPr>
        <w:t>. If a Participant’s employment or service terminates due to the Participant’s death prior to the Vesting Date, all unvested Restricted Stock Units shall vest on the effective date of such termination of employment or service at Target Award levels. Vested Restricted Stock Units shall be settled as set forth in Section 3.</w:t>
      </w:r>
    </w:p>
    <w:p>
      <w:pPr>
        <w:spacing w:after="0" w:line="185" w:lineRule="exact"/>
        <w:rPr>
          <w:rFonts w:ascii="Arial" w:cs="Arial" w:eastAsia="Arial" w:hAnsi="Arial"/>
          <w:sz w:val="20"/>
          <w:szCs w:val="20"/>
          <w:color w:val="auto"/>
        </w:rPr>
      </w:pPr>
    </w:p>
    <w:p>
      <w:pPr>
        <w:ind w:left="-20" w:firstLine="1304"/>
        <w:spacing w:after="0" w:line="274" w:lineRule="auto"/>
        <w:tabs>
          <w:tab w:leader="none" w:pos="1923" w:val="left"/>
        </w:tabs>
        <w:numPr>
          <w:ilvl w:val="1"/>
          <w:numId w:val="43"/>
        </w:numPr>
        <w:rPr>
          <w:rFonts w:ascii="Arial" w:cs="Arial" w:eastAsia="Arial" w:hAnsi="Arial"/>
          <w:sz w:val="18"/>
          <w:szCs w:val="18"/>
          <w:color w:val="auto"/>
        </w:rPr>
      </w:pPr>
      <w:r>
        <w:rPr>
          <w:rFonts w:ascii="Arial" w:cs="Arial" w:eastAsia="Arial" w:hAnsi="Arial"/>
          <w:sz w:val="18"/>
          <w:szCs w:val="18"/>
          <w:u w:val="single" w:color="auto"/>
          <w:color w:val="auto"/>
        </w:rPr>
        <w:t>Termination by Reason of Disability</w:t>
      </w:r>
      <w:r>
        <w:rPr>
          <w:rFonts w:ascii="Arial" w:cs="Arial" w:eastAsia="Arial" w:hAnsi="Arial"/>
          <w:sz w:val="18"/>
          <w:szCs w:val="18"/>
          <w:color w:val="auto"/>
        </w:rPr>
        <w:t xml:space="preserve">. If a Participant’s employment or service terminates prior to the Vesting Date by reason of the Participant’s Disability, then, the Participant’s unvested Restricted Stock Units shall vest as of the Vesting Date in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amount of the Restricted Stock Units that would have been earned and vested in accordance with Section 2(a) based on actual achievement of the Performance Goals as if the Participant’s employment or service had not terminated, with such amount prorated for the portion of the Performance Period that lapsed prior to the Participant’s termination of employment or service;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any transition period (within the meaning of the Company’s Transition Policy, as may be amended from time to time) shall not be considered a period of employment or service for purposes of calculating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amount. Vested Restricted Stock Units shall be settled as set forth in Section 3.</w:t>
      </w:r>
    </w:p>
    <w:p>
      <w:pPr>
        <w:spacing w:after="0" w:line="168" w:lineRule="exact"/>
        <w:rPr>
          <w:rFonts w:ascii="Arial" w:cs="Arial" w:eastAsia="Arial" w:hAnsi="Arial"/>
          <w:sz w:val="18"/>
          <w:szCs w:val="18"/>
          <w:color w:val="auto"/>
        </w:rPr>
      </w:pPr>
    </w:p>
    <w:p>
      <w:pPr>
        <w:ind w:left="-20" w:right="240" w:firstLine="1304"/>
        <w:spacing w:after="0" w:line="260" w:lineRule="auto"/>
        <w:tabs>
          <w:tab w:leader="none" w:pos="1924" w:val="left"/>
        </w:tabs>
        <w:numPr>
          <w:ilvl w:val="1"/>
          <w:numId w:val="43"/>
        </w:numPr>
        <w:rPr>
          <w:rFonts w:ascii="Arial" w:cs="Arial" w:eastAsia="Arial" w:hAnsi="Arial"/>
          <w:sz w:val="20"/>
          <w:szCs w:val="20"/>
          <w:color w:val="auto"/>
        </w:rPr>
      </w:pPr>
      <w:r>
        <w:rPr>
          <w:rFonts w:ascii="Arial" w:cs="Arial" w:eastAsia="Arial" w:hAnsi="Arial"/>
          <w:sz w:val="20"/>
          <w:szCs w:val="20"/>
          <w:u w:val="single" w:color="auto"/>
          <w:color w:val="auto"/>
        </w:rPr>
        <w:t>Termination by Reason of Retirement</w:t>
      </w:r>
      <w:r>
        <w:rPr>
          <w:rFonts w:ascii="Arial" w:cs="Arial" w:eastAsia="Arial" w:hAnsi="Arial"/>
          <w:sz w:val="20"/>
          <w:szCs w:val="20"/>
          <w:color w:val="auto"/>
        </w:rPr>
        <w:t>. (</w:t>
      </w:r>
      <w:r>
        <w:rPr>
          <w:rFonts w:ascii="Arial" w:cs="Arial" w:eastAsia="Arial" w:hAnsi="Arial"/>
          <w:sz w:val="20"/>
          <w:szCs w:val="20"/>
          <w:u w:val="single" w:color="auto"/>
          <w:color w:val="auto"/>
        </w:rPr>
        <w:t>A</w:t>
      </w:r>
      <w:r>
        <w:rPr>
          <w:rFonts w:ascii="Arial" w:cs="Arial" w:eastAsia="Arial" w:hAnsi="Arial"/>
          <w:sz w:val="20"/>
          <w:szCs w:val="20"/>
          <w:color w:val="auto"/>
        </w:rPr>
        <w:t>) If a Participant’s employment or service terminates prior to the Vesting Date by reason of a Participant’s Qualifying Permanent Retirement</w:t>
      </w:r>
    </w:p>
    <w:p>
      <w:pPr>
        <w:sectPr>
          <w:pgSz w:w="11900" w:h="16838" w:orient="portrait"/>
          <w:cols w:equalWidth="0" w:num="1">
            <w:col w:w="11200"/>
          </w:cols>
          <w:pgMar w:left="340" w:top="1440" w:right="359" w:bottom="1440" w:gutter="0" w:footer="0" w:header="0"/>
        </w:sectPr>
      </w:pPr>
    </w:p>
    <w:bookmarkStart w:id="53" w:name="page54"/>
    <w:bookmarkEnd w:id="53"/>
    <w:p>
      <w:pPr>
        <w:spacing w:after="0" w:line="195"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(as defined below), provided that such termination occurs on or after March 31 (or if March 31 is not a business day, the last business day prior to March 31) of the first fiscal year of the Performance Period, the unvested Restricted Stock Units shall vest in accordance with Section 2(a) based on actual achievement of the Performance Goals as if the Participant’s employment or service had not terminated; (</w:t>
      </w:r>
      <w:r>
        <w:rPr>
          <w:rFonts w:ascii="Arial" w:cs="Arial" w:eastAsia="Arial" w:hAnsi="Arial"/>
          <w:sz w:val="16"/>
          <w:szCs w:val="16"/>
          <w:u w:val="single" w:color="auto"/>
          <w:color w:val="auto"/>
        </w:rPr>
        <w:t>B</w:t>
      </w:r>
      <w:r>
        <w:rPr>
          <w:rFonts w:ascii="Arial" w:cs="Arial" w:eastAsia="Arial" w:hAnsi="Arial"/>
          <w:sz w:val="16"/>
          <w:szCs w:val="16"/>
          <w:color w:val="auto"/>
        </w:rPr>
        <w:t>) if a Participant’s employment or service terminates prior to March 31 (or if March 31 is not a business day, the last business day prior to March</w:t>
      </w:r>
    </w:p>
    <w:p>
      <w:pPr>
        <w:spacing w:after="0" w:line="2" w:lineRule="exact"/>
        <w:rPr>
          <w:sz w:val="20"/>
          <w:szCs w:val="20"/>
          <w:color w:val="auto"/>
        </w:rPr>
      </w:pPr>
    </w:p>
    <w:p>
      <w:pPr>
        <w:ind w:firstLine="8"/>
        <w:spacing w:after="0" w:line="254" w:lineRule="auto"/>
        <w:tabs>
          <w:tab w:leader="none" w:pos="313" w:val="left"/>
        </w:tabs>
        <w:numPr>
          <w:ilvl w:val="0"/>
          <w:numId w:val="44"/>
        </w:numPr>
        <w:rPr>
          <w:rFonts w:ascii="Arial" w:cs="Arial" w:eastAsia="Arial" w:hAnsi="Arial"/>
          <w:sz w:val="19"/>
          <w:szCs w:val="19"/>
          <w:color w:val="auto"/>
        </w:rPr>
      </w:pPr>
      <w:r>
        <w:rPr>
          <w:rFonts w:ascii="Arial" w:cs="Arial" w:eastAsia="Arial" w:hAnsi="Arial"/>
          <w:sz w:val="19"/>
          <w:szCs w:val="19"/>
          <w:color w:val="auto"/>
        </w:rPr>
        <w:t>of the first fiscal year of the Performance Period by reason of a Participant’s retirement (notwithstanding that such retirement may otherwise qualify as a Qualifying Permanent Retirement), all unvested Restricted Stock Units shall immediately be forfeited as of the termination date; and (</w:t>
      </w:r>
      <w:r>
        <w:rPr>
          <w:rFonts w:ascii="Arial" w:cs="Arial" w:eastAsia="Arial" w:hAnsi="Arial"/>
          <w:sz w:val="19"/>
          <w:szCs w:val="19"/>
          <w:u w:val="single" w:color="auto"/>
          <w:color w:val="auto"/>
        </w:rPr>
        <w:t>C</w:t>
      </w:r>
      <w:r>
        <w:rPr>
          <w:rFonts w:ascii="Arial" w:cs="Arial" w:eastAsia="Arial" w:hAnsi="Arial"/>
          <w:sz w:val="19"/>
          <w:szCs w:val="19"/>
          <w:color w:val="auto"/>
        </w:rPr>
        <w:t>) if a Participant’s employment or service terminates at any point prior to the Vesting Date by reason of a Participant’s retirement that at any point during the Performance Period does not constitute a Qualifying Permanent Retirement, all unvested Restricted Stock Units shall immediately be forfeited as of the termination date or, if later, the date such retirement does not constitute a Qualifying Permanent Retirement. Vested Restricted Stock Units shall be settled as set forth in Section 3. “</w:t>
      </w:r>
      <w:r>
        <w:rPr>
          <w:rFonts w:ascii="Arial" w:cs="Arial" w:eastAsia="Arial" w:hAnsi="Arial"/>
          <w:sz w:val="19"/>
          <w:szCs w:val="19"/>
          <w:u w:val="single" w:color="auto"/>
          <w:color w:val="auto"/>
        </w:rPr>
        <w:t>Qualifying Permanent Retirement</w:t>
      </w:r>
      <w:r>
        <w:rPr>
          <w:rFonts w:ascii="Arial" w:cs="Arial" w:eastAsia="Arial" w:hAnsi="Arial"/>
          <w:sz w:val="19"/>
          <w:szCs w:val="19"/>
          <w:color w:val="auto"/>
        </w:rPr>
        <w:t>” means a termination of the Participant’s employment or service by reason of a retirement (</w:t>
      </w:r>
      <w:r>
        <w:rPr>
          <w:rFonts w:ascii="Arial" w:cs="Arial" w:eastAsia="Arial" w:hAnsi="Arial"/>
          <w:sz w:val="19"/>
          <w:szCs w:val="19"/>
          <w:u w:val="single" w:color="auto"/>
          <w:color w:val="auto"/>
        </w:rPr>
        <w:t>I</w:t>
      </w:r>
      <w:r>
        <w:rPr>
          <w:rFonts w:ascii="Arial" w:cs="Arial" w:eastAsia="Arial" w:hAnsi="Arial"/>
          <w:sz w:val="19"/>
          <w:szCs w:val="19"/>
          <w:color w:val="auto"/>
        </w:rPr>
        <w:t>) in accordance with the applicable Company retirement policy (as may be amended from time to time) and (</w:t>
      </w:r>
      <w:r>
        <w:rPr>
          <w:rFonts w:ascii="Arial" w:cs="Arial" w:eastAsia="Arial" w:hAnsi="Arial"/>
          <w:sz w:val="19"/>
          <w:szCs w:val="19"/>
          <w:u w:val="single" w:color="auto"/>
          <w:color w:val="auto"/>
        </w:rPr>
        <w:t>II</w:t>
      </w:r>
      <w:r>
        <w:rPr>
          <w:rFonts w:ascii="Arial" w:cs="Arial" w:eastAsia="Arial" w:hAnsi="Arial"/>
          <w:sz w:val="19"/>
          <w:szCs w:val="19"/>
          <w:color w:val="auto"/>
        </w:rPr>
        <w:t>) that is a permanent retirement from all current and future employment, including but not limited to self-employment, unless such employment is approved by the Company in writing in advance of the Participant commencing such employment.</w:t>
      </w:r>
    </w:p>
    <w:p>
      <w:pPr>
        <w:spacing w:after="0" w:line="182" w:lineRule="exact"/>
        <w:rPr>
          <w:rFonts w:ascii="Arial" w:cs="Arial" w:eastAsia="Arial" w:hAnsi="Arial"/>
          <w:sz w:val="19"/>
          <w:szCs w:val="19"/>
          <w:color w:val="auto"/>
        </w:rPr>
      </w:pPr>
    </w:p>
    <w:p>
      <w:pPr>
        <w:ind w:right="160" w:firstLine="1304"/>
        <w:spacing w:after="0" w:line="259" w:lineRule="auto"/>
        <w:tabs>
          <w:tab w:leader="none" w:pos="1933" w:val="left"/>
        </w:tabs>
        <w:numPr>
          <w:ilvl w:val="2"/>
          <w:numId w:val="44"/>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a Participant’s employment or service terminates for Cause, all unvested Restricted Stock Units shall be immediately forfeited and canceled, effective as of the date of the Participant’s termination of service. In addition, any Restricted Stock Units that vested during the twelve (12) months prior to or any time after the Participant engaged in the conduct that gave rise to the termination for Cause (and any stock or cash issued in settlement of such Restricted Stock Units) shall upon demand by the Administrator be immediately forfeited and disgorged or paid to the Company together with all gains earned or accrued due to the sale of Stock issued in settlement of any Restricted Stock Units.</w:t>
      </w:r>
    </w:p>
    <w:p>
      <w:pPr>
        <w:spacing w:after="0" w:line="178" w:lineRule="exact"/>
        <w:rPr>
          <w:rFonts w:ascii="Arial" w:cs="Arial" w:eastAsia="Arial" w:hAnsi="Arial"/>
          <w:sz w:val="19"/>
          <w:szCs w:val="19"/>
          <w:color w:val="auto"/>
        </w:rPr>
      </w:pPr>
    </w:p>
    <w:p>
      <w:pPr>
        <w:ind w:right="380" w:firstLine="1304"/>
        <w:spacing w:after="0" w:line="250" w:lineRule="auto"/>
        <w:tabs>
          <w:tab w:leader="none" w:pos="1932" w:val="left"/>
        </w:tabs>
        <w:numPr>
          <w:ilvl w:val="2"/>
          <w:numId w:val="44"/>
        </w:numPr>
        <w:rPr>
          <w:rFonts w:ascii="Arial" w:cs="Arial" w:eastAsia="Arial" w:hAnsi="Arial"/>
          <w:sz w:val="20"/>
          <w:szCs w:val="20"/>
          <w:color w:val="auto"/>
        </w:rPr>
      </w:pPr>
      <w:r>
        <w:rPr>
          <w:rFonts w:ascii="Arial" w:cs="Arial" w:eastAsia="Arial" w:hAnsi="Arial"/>
          <w:sz w:val="20"/>
          <w:szCs w:val="20"/>
          <w:u w:val="single" w:color="auto"/>
          <w:color w:val="auto"/>
        </w:rPr>
        <w:t>Termination for Any Other Reason</w:t>
      </w:r>
      <w:r>
        <w:rPr>
          <w:rFonts w:ascii="Arial" w:cs="Arial" w:eastAsia="Arial" w:hAnsi="Arial"/>
          <w:sz w:val="20"/>
          <w:szCs w:val="20"/>
          <w:color w:val="auto"/>
        </w:rPr>
        <w:t>. If a Participant’s employment terminates for any reason other than death, Disability, in a Qualifying Permanent Retirement or by the Company for Cause, all unvested Restricted Stock Units shall immediately be forfeited.</w:t>
      </w:r>
    </w:p>
    <w:p>
      <w:pPr>
        <w:spacing w:after="0" w:line="185" w:lineRule="exact"/>
        <w:rPr>
          <w:rFonts w:ascii="Arial" w:cs="Arial" w:eastAsia="Arial" w:hAnsi="Arial"/>
          <w:sz w:val="20"/>
          <w:szCs w:val="20"/>
          <w:color w:val="auto"/>
        </w:rPr>
      </w:pPr>
    </w:p>
    <w:p>
      <w:pPr>
        <w:ind w:right="40" w:firstLine="656"/>
        <w:spacing w:after="0" w:line="270" w:lineRule="auto"/>
        <w:tabs>
          <w:tab w:leader="none" w:pos="1286"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In the event of a Change in Control prior to the Vesting Date, notwithstanding anything in Article XIII of the Plan to the contrary, an amount of Restricted Stock Units equal to the Target Award shall remain outstanding and shall vest on the Vesting Date, subject to the continued employment or service of the Participant by the Company or any Subsidiary thereof through such date, but without regard to achievement of any Performance Goals; </w:t>
      </w:r>
      <w:r>
        <w:rPr>
          <w:rFonts w:ascii="Arial" w:cs="Arial" w:eastAsia="Arial" w:hAnsi="Arial"/>
          <w:sz w:val="18"/>
          <w:szCs w:val="18"/>
          <w:u w:val="single" w:color="auto"/>
          <w:color w:val="auto"/>
        </w:rPr>
        <w:t>provided, that</w:t>
      </w:r>
      <w:r>
        <w:rPr>
          <w:rFonts w:ascii="Arial" w:cs="Arial" w:eastAsia="Arial" w:hAnsi="Arial"/>
          <w:sz w:val="18"/>
          <w:szCs w:val="18"/>
          <w:color w:val="auto"/>
        </w:rPr>
        <w:t>, if the Participant’s employment or service is terminated by the Company without Cause or for Good Reason (each, a “</w:t>
      </w:r>
      <w:r>
        <w:rPr>
          <w:rFonts w:ascii="Arial" w:cs="Arial" w:eastAsia="Arial" w:hAnsi="Arial"/>
          <w:sz w:val="18"/>
          <w:szCs w:val="18"/>
          <w:u w:val="single" w:color="auto"/>
          <w:color w:val="auto"/>
        </w:rPr>
        <w:t>Qualifying CIC Termination</w:t>
      </w:r>
      <w:r>
        <w:rPr>
          <w:rFonts w:ascii="Arial" w:cs="Arial" w:eastAsia="Arial" w:hAnsi="Arial"/>
          <w:sz w:val="18"/>
          <w:szCs w:val="18"/>
          <w:color w:val="auto"/>
        </w:rPr>
        <w:t>”) within two (2) years following the effective date of the Change in Control, such outstanding Restricted Stock Units shall vest as of the date of such Qualifying CIC Termination. Vested Restricted Stock Units shall be settled as set forth in Section 3. For purposes of this Agreement, “</w:t>
      </w:r>
      <w:r>
        <w:rPr>
          <w:rFonts w:ascii="Arial" w:cs="Arial" w:eastAsia="Arial" w:hAnsi="Arial"/>
          <w:sz w:val="18"/>
          <w:szCs w:val="18"/>
          <w:u w:val="single" w:color="auto"/>
          <w:color w:val="auto"/>
        </w:rPr>
        <w:t>Good Reason</w:t>
      </w:r>
      <w:r>
        <w:rPr>
          <w:rFonts w:ascii="Arial" w:cs="Arial" w:eastAsia="Arial" w:hAnsi="Arial"/>
          <w:sz w:val="18"/>
          <w:szCs w:val="18"/>
          <w:color w:val="auto"/>
        </w:rPr>
        <w:t>” means (</w:t>
      </w:r>
      <w:r>
        <w:rPr>
          <w:rFonts w:ascii="Arial" w:cs="Arial" w:eastAsia="Arial" w:hAnsi="Arial"/>
          <w:sz w:val="18"/>
          <w:szCs w:val="18"/>
          <w:u w:val="single" w:color="auto"/>
          <w:color w:val="auto"/>
        </w:rPr>
        <w:t>i</w:t>
      </w:r>
      <w:r>
        <w:rPr>
          <w:rFonts w:ascii="Arial" w:cs="Arial" w:eastAsia="Arial" w:hAnsi="Arial"/>
          <w:sz w:val="18"/>
          <w:szCs w:val="18"/>
          <w:color w:val="auto"/>
        </w:rPr>
        <w:t>) if a Participant is a party to an employment or service agreement with the Company and such agreement provides for a definition of Good Reason, the definition contained therein; or (</w:t>
      </w:r>
      <w:r>
        <w:rPr>
          <w:rFonts w:ascii="Arial" w:cs="Arial" w:eastAsia="Arial" w:hAnsi="Arial"/>
          <w:sz w:val="18"/>
          <w:szCs w:val="18"/>
          <w:u w:val="single" w:color="auto"/>
          <w:color w:val="auto"/>
        </w:rPr>
        <w:t>ii</w:t>
      </w:r>
      <w:r>
        <w:rPr>
          <w:rFonts w:ascii="Arial" w:cs="Arial" w:eastAsia="Arial" w:hAnsi="Arial"/>
          <w:sz w:val="18"/>
          <w:szCs w:val="18"/>
          <w:color w:val="auto"/>
        </w:rPr>
        <w:t>) if no such agreement exists or if such agreement does not define Good Reason, the occurrence of one or more of the following without the Participant’s express written consent, which circumstances are not remedied by the Company within thirty (30) days of its receipt of a written notice from the Participant describing the applicable circumstances (which notice must be provided by the Participant within ninety (90) days of the Participant’s knowledge of the applicable circumstances): (</w:t>
      </w:r>
      <w:r>
        <w:rPr>
          <w:rFonts w:ascii="Arial" w:cs="Arial" w:eastAsia="Arial" w:hAnsi="Arial"/>
          <w:sz w:val="18"/>
          <w:szCs w:val="18"/>
          <w:u w:val="single" w:color="auto"/>
          <w:color w:val="auto"/>
        </w:rPr>
        <w:t>A</w:t>
      </w:r>
      <w:r>
        <w:rPr>
          <w:rFonts w:ascii="Arial" w:cs="Arial" w:eastAsia="Arial" w:hAnsi="Arial"/>
          <w:sz w:val="18"/>
          <w:szCs w:val="18"/>
          <w:color w:val="auto"/>
        </w:rPr>
        <w:t>) any material, adverse change in the Participant’s duties, responsibilities or authority; (</w:t>
      </w:r>
      <w:r>
        <w:rPr>
          <w:rFonts w:ascii="Arial" w:cs="Arial" w:eastAsia="Arial" w:hAnsi="Arial"/>
          <w:sz w:val="18"/>
          <w:szCs w:val="18"/>
          <w:u w:val="single" w:color="auto"/>
          <w:color w:val="auto"/>
        </w:rPr>
        <w:t>B</w:t>
      </w:r>
      <w:r>
        <w:rPr>
          <w:rFonts w:ascii="Arial" w:cs="Arial" w:eastAsia="Arial" w:hAnsi="Arial"/>
          <w:sz w:val="18"/>
          <w:szCs w:val="18"/>
          <w:color w:val="auto"/>
        </w:rPr>
        <w:t>) a material</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95" w:lineRule="exact"/>
        <w:rPr>
          <w:sz w:val="20"/>
          <w:szCs w:val="20"/>
          <w:color w:val="auto"/>
        </w:rPr>
      </w:pPr>
    </w:p>
    <w:p>
      <w:pPr>
        <w:ind w:right="200"/>
        <w:spacing w:after="0" w:line="260" w:lineRule="auto"/>
        <w:rPr>
          <w:sz w:val="20"/>
          <w:szCs w:val="20"/>
          <w:color w:val="auto"/>
        </w:rPr>
      </w:pPr>
      <w:r>
        <w:rPr>
          <w:rFonts w:ascii="Arial" w:cs="Arial" w:eastAsia="Arial" w:hAnsi="Arial"/>
          <w:sz w:val="20"/>
          <w:szCs w:val="20"/>
          <w:color w:val="auto"/>
        </w:rPr>
        <w:t>reduction in the Participant’s base salary or bonus opportunity; or (</w:t>
      </w:r>
      <w:r>
        <w:rPr>
          <w:rFonts w:ascii="Arial" w:cs="Arial" w:eastAsia="Arial" w:hAnsi="Arial"/>
          <w:sz w:val="20"/>
          <w:szCs w:val="20"/>
          <w:u w:val="single" w:color="auto"/>
          <w:color w:val="auto"/>
        </w:rPr>
        <w:t>C</w:t>
      </w:r>
      <w:r>
        <w:rPr>
          <w:rFonts w:ascii="Arial" w:cs="Arial" w:eastAsia="Arial" w:hAnsi="Arial"/>
          <w:sz w:val="20"/>
          <w:szCs w:val="20"/>
          <w:color w:val="auto"/>
        </w:rPr>
        <w:t>) a geographical relocation of the Participant’s principal office location by more than fifty (50) miles (other than a temporary geographical relocation for business reasons).</w:t>
      </w:r>
    </w:p>
    <w:p>
      <w:pPr>
        <w:spacing w:after="0" w:line="177" w:lineRule="exact"/>
        <w:rPr>
          <w:sz w:val="20"/>
          <w:szCs w:val="20"/>
          <w:color w:val="auto"/>
        </w:rPr>
      </w:pPr>
    </w:p>
    <w:p>
      <w:pPr>
        <w:ind w:right="20" w:firstLine="656"/>
        <w:spacing w:after="0" w:line="278" w:lineRule="auto"/>
        <w:tabs>
          <w:tab w:leader="none" w:pos="128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Other Forfeiture Provisions</w:t>
      </w:r>
      <w:r>
        <w:rPr>
          <w:rFonts w:ascii="Arial" w:cs="Arial" w:eastAsia="Arial" w:hAnsi="Arial"/>
          <w:sz w:val="18"/>
          <w:szCs w:val="18"/>
          <w:color w:val="auto"/>
        </w:rPr>
        <w:t>. The Restricted Stock Units shall also be forfeited and subject to disgorgement and/or repayment to the Company in the event the Participant (</w:t>
      </w:r>
      <w:r>
        <w:rPr>
          <w:rFonts w:ascii="Arial" w:cs="Arial" w:eastAsia="Arial" w:hAnsi="Arial"/>
          <w:sz w:val="18"/>
          <w:szCs w:val="18"/>
          <w:u w:val="single" w:color="auto"/>
          <w:color w:val="auto"/>
        </w:rPr>
        <w:t>i</w:t>
      </w:r>
      <w:r>
        <w:rPr>
          <w:rFonts w:ascii="Arial" w:cs="Arial" w:eastAsia="Arial" w:hAnsi="Arial"/>
          <w:sz w:val="18"/>
          <w:szCs w:val="18"/>
          <w:color w:val="auto"/>
        </w:rPr>
        <w:t>) engages in financial or other misconduct (including but not limited to engaging in Competitive Activity (excluding, only of if the Participant is located in California, clause (a) of the definition of Competitive Activity contained in the Plan)) or as required by Applicable Law, as provided in the Plan or (</w:t>
      </w:r>
      <w:r>
        <w:rPr>
          <w:rFonts w:ascii="Arial" w:cs="Arial" w:eastAsia="Arial" w:hAnsi="Arial"/>
          <w:sz w:val="18"/>
          <w:szCs w:val="18"/>
          <w:u w:val="single" w:color="auto"/>
          <w:color w:val="auto"/>
        </w:rPr>
        <w:t>ii</w:t>
      </w:r>
      <w:r>
        <w:rPr>
          <w:rFonts w:ascii="Arial" w:cs="Arial" w:eastAsia="Arial" w:hAnsi="Arial"/>
          <w:sz w:val="18"/>
          <w:szCs w:val="18"/>
          <w:color w:val="auto"/>
        </w:rPr>
        <w:t>) materially violates any restrictive covenant agreement (or any other agreement containing restrictive covenants) that the Participant has entered into with the Company.</w:t>
      </w:r>
    </w:p>
    <w:p>
      <w:pPr>
        <w:spacing w:after="0" w:line="164" w:lineRule="exact"/>
        <w:rPr>
          <w:rFonts w:ascii="Arial" w:cs="Arial" w:eastAsia="Arial" w:hAnsi="Arial"/>
          <w:sz w:val="18"/>
          <w:szCs w:val="18"/>
          <w:color w:val="auto"/>
        </w:rPr>
      </w:pPr>
    </w:p>
    <w:p>
      <w:pPr>
        <w:ind w:right="140" w:firstLine="656"/>
        <w:spacing w:after="0" w:line="244" w:lineRule="auto"/>
        <w:tabs>
          <w:tab w:leader="none" w:pos="1286"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Administrator Discretion</w:t>
      </w:r>
      <w:r>
        <w:rPr>
          <w:rFonts w:ascii="Arial" w:cs="Arial" w:eastAsia="Arial" w:hAnsi="Arial"/>
          <w:sz w:val="20"/>
          <w:szCs w:val="20"/>
          <w:color w:val="auto"/>
        </w:rPr>
        <w:t xml:space="preserve">. Notwithstanding anything contained in this Agreement to the contrary, subject to Article XIII of the Plan, the Administrator, in its sole discretion, may waive forfeiture provisions or accelerate the vesting with respect to any Restricted Stock Units under this Agreement, at such times and upon such terms and conditions as the Administrator shall determine;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waiver or acceleration of vesting shall not change the settlement date of the Restricted Stock Units provided in Section 3 of this Agreement.</w:t>
      </w:r>
    </w:p>
    <w:p>
      <w:pPr>
        <w:spacing w:after="0" w:line="194" w:lineRule="exact"/>
        <w:rPr>
          <w:rFonts w:ascii="Arial" w:cs="Arial" w:eastAsia="Arial" w:hAnsi="Arial"/>
          <w:sz w:val="20"/>
          <w:szCs w:val="20"/>
          <w:color w:val="auto"/>
        </w:rPr>
      </w:pPr>
    </w:p>
    <w:p>
      <w:pPr>
        <w:ind w:firstLine="656"/>
        <w:spacing w:after="0" w:line="272" w:lineRule="auto"/>
        <w:tabs>
          <w:tab w:leader="none" w:pos="1291"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Post-Termination Informational Requirements</w:t>
      </w:r>
      <w:r>
        <w:rPr>
          <w:rFonts w:ascii="Arial" w:cs="Arial" w:eastAsia="Arial" w:hAnsi="Arial"/>
          <w:sz w:val="18"/>
          <w:szCs w:val="18"/>
          <w:color w:val="auto"/>
        </w:rPr>
        <w:t>. Before the settlement of any Restricted Stock Units following termination of employment or service, the Company may require the Participant (or the Participant’s Eligible Representative, if applicable) to make such representations and provide such documents as the Administrator deems necessary or advisable to determine whether the provisions of Section 2(b)(iii), 2(b)(iv) or 2(d) apply. Such representations and documents may include tax returns and all other relevant information and records from which the Company can determine the current or former employment status of the Participant during the Performance Period. Notwithstanding anything in this Agreement to the contrary, the settlement of the Restricted Stock Units may be withheld until information deemed sufficient by the Company is delivered to it, and any unvested Restricted Stock Units shall be forfeited if the requested information is not provided in sufficient detail to the Company before the earlier of (</w:t>
      </w:r>
      <w:r>
        <w:rPr>
          <w:rFonts w:ascii="Arial" w:cs="Arial" w:eastAsia="Arial" w:hAnsi="Arial"/>
          <w:sz w:val="18"/>
          <w:szCs w:val="18"/>
          <w:u w:val="single" w:color="auto"/>
          <w:color w:val="auto"/>
        </w:rPr>
        <w:t>i</w:t>
      </w:r>
      <w:r>
        <w:rPr>
          <w:rFonts w:ascii="Arial" w:cs="Arial" w:eastAsia="Arial" w:hAnsi="Arial"/>
          <w:sz w:val="18"/>
          <w:szCs w:val="18"/>
          <w:color w:val="auto"/>
        </w:rPr>
        <w:t>) ninety (90) calendar days after the issue of a request from the Company for such information and (</w:t>
      </w:r>
      <w:r>
        <w:rPr>
          <w:rFonts w:ascii="Arial" w:cs="Arial" w:eastAsia="Arial" w:hAnsi="Arial"/>
          <w:sz w:val="18"/>
          <w:szCs w:val="18"/>
          <w:u w:val="single" w:color="auto"/>
          <w:color w:val="auto"/>
        </w:rPr>
        <w:t>ii</w:t>
      </w:r>
      <w:r>
        <w:rPr>
          <w:rFonts w:ascii="Arial" w:cs="Arial" w:eastAsia="Arial" w:hAnsi="Arial"/>
          <w:sz w:val="18"/>
          <w:szCs w:val="18"/>
          <w:color w:val="auto"/>
        </w:rPr>
        <w:t>) December 31 of the calendar year in which the Vesting Date occurs.</w:t>
      </w:r>
    </w:p>
    <w:p>
      <w:pPr>
        <w:spacing w:after="0" w:line="170"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Administrator Certification; Settlement of Restricted Stock Units</w:t>
      </w:r>
      <w:r>
        <w:rPr>
          <w:rFonts w:ascii="Arial" w:cs="Arial" w:eastAsia="Arial" w:hAnsi="Arial"/>
          <w:sz w:val="20"/>
          <w:szCs w:val="20"/>
          <w:color w:val="auto"/>
        </w:rPr>
        <w:t>.</w:t>
      </w:r>
    </w:p>
    <w:p>
      <w:pPr>
        <w:spacing w:after="0" w:line="216" w:lineRule="exact"/>
        <w:rPr>
          <w:sz w:val="20"/>
          <w:szCs w:val="20"/>
          <w:color w:val="auto"/>
        </w:rPr>
      </w:pPr>
    </w:p>
    <w:p>
      <w:pPr>
        <w:ind w:right="120" w:firstLine="656"/>
        <w:spacing w:after="0" w:line="259" w:lineRule="auto"/>
        <w:tabs>
          <w:tab w:leader="none" w:pos="1286" w:val="left"/>
        </w:tabs>
        <w:numPr>
          <w:ilvl w:val="1"/>
          <w:numId w:val="47"/>
        </w:numPr>
        <w:rPr>
          <w:rFonts w:ascii="Arial" w:cs="Arial" w:eastAsia="Arial" w:hAnsi="Arial"/>
          <w:sz w:val="19"/>
          <w:szCs w:val="19"/>
          <w:color w:val="auto"/>
        </w:rPr>
      </w:pPr>
      <w:r>
        <w:rPr>
          <w:rFonts w:ascii="Arial" w:cs="Arial" w:eastAsia="Arial" w:hAnsi="Arial"/>
          <w:sz w:val="19"/>
          <w:szCs w:val="19"/>
          <w:u w:val="single" w:color="auto"/>
          <w:color w:val="auto"/>
        </w:rPr>
        <w:t>Certification</w:t>
      </w:r>
      <w:r>
        <w:rPr>
          <w:rFonts w:ascii="Arial" w:cs="Arial" w:eastAsia="Arial" w:hAnsi="Arial"/>
          <w:sz w:val="19"/>
          <w:szCs w:val="19"/>
          <w:color w:val="auto"/>
        </w:rPr>
        <w:t>. As soon as practicable following completion of the Performance Period, the Administrator will review and determine (</w:t>
      </w:r>
      <w:r>
        <w:rPr>
          <w:rFonts w:ascii="Arial" w:cs="Arial" w:eastAsia="Arial" w:hAnsi="Arial"/>
          <w:sz w:val="19"/>
          <w:szCs w:val="19"/>
          <w:u w:val="single" w:color="auto"/>
          <w:color w:val="auto"/>
        </w:rPr>
        <w:t>i</w:t>
      </w:r>
      <w:r>
        <w:rPr>
          <w:rFonts w:ascii="Arial" w:cs="Arial" w:eastAsia="Arial" w:hAnsi="Arial"/>
          <w:sz w:val="19"/>
          <w:szCs w:val="19"/>
          <w:color w:val="auto"/>
        </w:rPr>
        <w:t>) whether, and to what extent, the Performance Goals for the Performance Period have been achieved, in whole or in part, and (</w:t>
      </w:r>
      <w:r>
        <w:rPr>
          <w:rFonts w:ascii="Arial" w:cs="Arial" w:eastAsia="Arial" w:hAnsi="Arial"/>
          <w:sz w:val="19"/>
          <w:szCs w:val="19"/>
          <w:u w:val="single" w:color="auto"/>
          <w:color w:val="auto"/>
        </w:rPr>
        <w:t>ii</w:t>
      </w:r>
      <w:r>
        <w:rPr>
          <w:rFonts w:ascii="Arial" w:cs="Arial" w:eastAsia="Arial" w:hAnsi="Arial"/>
          <w:sz w:val="19"/>
          <w:szCs w:val="19"/>
          <w:color w:val="auto"/>
        </w:rPr>
        <w:t>) the number of Restricted Stock Units that the Participant shall earn, if any, subject to compliance with the requirements of Section 2 (the “</w:t>
      </w:r>
      <w:r>
        <w:rPr>
          <w:rFonts w:ascii="Arial" w:cs="Arial" w:eastAsia="Arial" w:hAnsi="Arial"/>
          <w:sz w:val="19"/>
          <w:szCs w:val="19"/>
          <w:u w:val="single" w:color="auto"/>
          <w:color w:val="auto"/>
        </w:rPr>
        <w:t>Administrator Certification</w:t>
      </w:r>
      <w:r>
        <w:rPr>
          <w:rFonts w:ascii="Arial" w:cs="Arial" w:eastAsia="Arial" w:hAnsi="Arial"/>
          <w:sz w:val="19"/>
          <w:szCs w:val="19"/>
          <w:color w:val="auto"/>
        </w:rPr>
        <w:t>”). All determinations of whether the Performance Goals have been achieved, the number of Restricted Stock Units earned by the Participant, and all other matters related to this Section 3(a) shall be made by the Administrator in its sole discretion and shall be final, conclusive and binding on the Participant.</w:t>
      </w:r>
    </w:p>
    <w:p>
      <w:pPr>
        <w:spacing w:after="0" w:line="178" w:lineRule="exact"/>
        <w:rPr>
          <w:rFonts w:ascii="Arial" w:cs="Arial" w:eastAsia="Arial" w:hAnsi="Arial"/>
          <w:sz w:val="19"/>
          <w:szCs w:val="19"/>
          <w:color w:val="auto"/>
        </w:rPr>
      </w:pPr>
    </w:p>
    <w:p>
      <w:pPr>
        <w:ind w:left="1300" w:hanging="644"/>
        <w:spacing w:after="0"/>
        <w:tabs>
          <w:tab w:leader="none" w:pos="1300"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Settlement of Restricted Stock Units</w:t>
      </w:r>
      <w:r>
        <w:rPr>
          <w:rFonts w:ascii="Arial" w:cs="Arial" w:eastAsia="Arial" w:hAnsi="Arial"/>
          <w:sz w:val="18"/>
          <w:szCs w:val="18"/>
          <w:color w:val="auto"/>
        </w:rPr>
        <w:t>. Subject to Sections 8(d), 2(f) and 3(a), the Company shall deliver to the Participant one</w:t>
      </w:r>
    </w:p>
    <w:p>
      <w:pPr>
        <w:spacing w:after="0" w:line="38" w:lineRule="exact"/>
        <w:rPr>
          <w:rFonts w:ascii="Arial" w:cs="Arial" w:eastAsia="Arial" w:hAnsi="Arial"/>
          <w:sz w:val="18"/>
          <w:szCs w:val="18"/>
          <w:color w:val="auto"/>
        </w:rPr>
      </w:pPr>
    </w:p>
    <w:p>
      <w:pPr>
        <w:ind w:right="40" w:firstLine="8"/>
        <w:spacing w:after="0" w:line="241" w:lineRule="auto"/>
        <w:tabs>
          <w:tab w:leader="none" w:pos="2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share of Company Common Stock (or the value thereof) in settlement of each Restricted Stock Unit that has become earned and vested as provided in Section 2 on the first to occur of the following: (</w:t>
      </w:r>
      <w:r>
        <w:rPr>
          <w:rFonts w:ascii="Arial" w:cs="Arial" w:eastAsia="Arial" w:hAnsi="Arial"/>
          <w:sz w:val="20"/>
          <w:szCs w:val="20"/>
          <w:u w:val="single" w:color="auto"/>
          <w:color w:val="auto"/>
        </w:rPr>
        <w:t>i</w:t>
      </w:r>
      <w:r>
        <w:rPr>
          <w:rFonts w:ascii="Arial" w:cs="Arial" w:eastAsia="Arial" w:hAnsi="Arial"/>
          <w:sz w:val="20"/>
          <w:szCs w:val="20"/>
          <w:color w:val="auto"/>
        </w:rPr>
        <w:t>) on or as soon as practicable following the date of the Administrator Certification (but in no event later than 2½ months after the Vesting Date); (</w:t>
      </w:r>
      <w:r>
        <w:rPr>
          <w:rFonts w:ascii="Arial" w:cs="Arial" w:eastAsia="Arial" w:hAnsi="Arial"/>
          <w:sz w:val="20"/>
          <w:szCs w:val="20"/>
          <w:u w:val="single" w:color="auto"/>
          <w:color w:val="auto"/>
        </w:rPr>
        <w:t>ii</w:t>
      </w:r>
      <w:r>
        <w:rPr>
          <w:rFonts w:ascii="Arial" w:cs="Arial" w:eastAsia="Arial" w:hAnsi="Arial"/>
          <w:sz w:val="20"/>
          <w:szCs w:val="20"/>
          <w:color w:val="auto"/>
        </w:rPr>
        <w:t>) in the event of a termination of employment or service due to death, as soon as practicable following the Participant’s</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9"/>
          <w:szCs w:val="19"/>
          <w:color w:val="auto"/>
        </w:rPr>
        <w:t>termination of employment or service by reason of death; (</w:t>
      </w:r>
      <w:r>
        <w:rPr>
          <w:rFonts w:ascii="Arial" w:cs="Arial" w:eastAsia="Arial" w:hAnsi="Arial"/>
          <w:sz w:val="19"/>
          <w:szCs w:val="19"/>
          <w:u w:val="single" w:color="auto"/>
          <w:color w:val="auto"/>
        </w:rPr>
        <w:t>iii</w:t>
      </w:r>
      <w:r>
        <w:rPr>
          <w:rFonts w:ascii="Arial" w:cs="Arial" w:eastAsia="Arial" w:hAnsi="Arial"/>
          <w:sz w:val="19"/>
          <w:szCs w:val="19"/>
          <w:color w:val="auto"/>
        </w:rPr>
        <w:t>) in the event of a Qualifying CIC Termination, within thirty (30) days following the effective date of the Participant’s Qualifying CIC Termination, in each case (</w:t>
      </w:r>
      <w:r>
        <w:rPr>
          <w:rFonts w:ascii="Arial" w:cs="Arial" w:eastAsia="Arial" w:hAnsi="Arial"/>
          <w:sz w:val="19"/>
          <w:szCs w:val="19"/>
          <w:u w:val="single" w:color="auto"/>
          <w:color w:val="auto"/>
        </w:rPr>
        <w:t>A</w:t>
      </w:r>
      <w:r>
        <w:rPr>
          <w:rFonts w:ascii="Arial" w:cs="Arial" w:eastAsia="Arial" w:hAnsi="Arial"/>
          <w:sz w:val="19"/>
          <w:szCs w:val="19"/>
          <w:color w:val="auto"/>
        </w:rPr>
        <w:t>) in Company Common Stock by either, (</w:t>
      </w:r>
      <w:r>
        <w:rPr>
          <w:rFonts w:ascii="Arial" w:cs="Arial" w:eastAsia="Arial" w:hAnsi="Arial"/>
          <w:sz w:val="19"/>
          <w:szCs w:val="19"/>
          <w:u w:val="single" w:color="auto"/>
          <w:color w:val="auto"/>
        </w:rPr>
        <w:t>x</w:t>
      </w:r>
      <w:r>
        <w:rPr>
          <w:rFonts w:ascii="Arial" w:cs="Arial" w:eastAsia="Arial" w:hAnsi="Arial"/>
          <w:sz w:val="19"/>
          <w:szCs w:val="19"/>
          <w:color w:val="auto"/>
        </w:rPr>
        <w:t>) issuing one or more certificates evidencing the Company Common Stock to the Participant or (</w:t>
      </w:r>
      <w:r>
        <w:rPr>
          <w:rFonts w:ascii="Arial" w:cs="Arial" w:eastAsia="Arial" w:hAnsi="Arial"/>
          <w:sz w:val="19"/>
          <w:szCs w:val="19"/>
          <w:u w:val="single" w:color="auto"/>
          <w:color w:val="auto"/>
        </w:rPr>
        <w:t>y</w:t>
      </w:r>
      <w:r>
        <w:rPr>
          <w:rFonts w:ascii="Arial" w:cs="Arial" w:eastAsia="Arial" w:hAnsi="Arial"/>
          <w:sz w:val="19"/>
          <w:szCs w:val="19"/>
          <w:color w:val="auto"/>
        </w:rPr>
        <w:t>) registering the issuance of the Company Common Stock in the name of the Participant through a book entry credit in the records of the Company’s transfer agent,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in the event of settlement upon a Change in Control, a cash payment equal to the Change in Control Price, multiplied by the number of vested Restricted Stock Units. No fractional shares of Company Common Stock shall be issued in settlement of Restricted Stock Units. Fractional shares shall be rounded up to the nearest whole share;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the Participant may not vest in more than the maximum number of Restricted Stock Units specified in the Grant Notice.</w:t>
      </w:r>
    </w:p>
    <w:p>
      <w:pPr>
        <w:spacing w:after="0" w:line="180" w:lineRule="exact"/>
        <w:rPr>
          <w:sz w:val="20"/>
          <w:szCs w:val="20"/>
          <w:color w:val="auto"/>
        </w:rPr>
      </w:pPr>
    </w:p>
    <w:p>
      <w:pPr>
        <w:ind w:right="160"/>
        <w:spacing w:after="0" w:line="246" w:lineRule="auto"/>
        <w:rPr>
          <w:sz w:val="20"/>
          <w:szCs w:val="20"/>
          <w:color w:val="auto"/>
        </w:rPr>
      </w:pPr>
      <w:r>
        <w:rPr>
          <w:rFonts w:ascii="Arial" w:cs="Arial" w:eastAsia="Arial" w:hAnsi="Arial"/>
          <w:sz w:val="20"/>
          <w:szCs w:val="20"/>
          <w:color w:val="auto"/>
        </w:rPr>
        <w:t>Notwithstanding the foregoing, the Company, in its sole discretion, may provide for the settlement of the Restricted Stock Units in the form of Company Common Stock, but require the Participant to sell such Common Stock immediately or within a specified period following the Participant’s termination of service (in which case, the Participant hereby agrees that the Company shall have the authority to issue sale instructions in relation to such Common Stock on the Participant’s behalf).</w:t>
      </w:r>
    </w:p>
    <w:p>
      <w:pPr>
        <w:spacing w:after="0" w:line="191" w:lineRule="exact"/>
        <w:rPr>
          <w:sz w:val="20"/>
          <w:szCs w:val="20"/>
          <w:color w:val="auto"/>
        </w:rPr>
      </w:pPr>
    </w:p>
    <w:p>
      <w:pPr>
        <w:ind w:right="20" w:firstLine="656"/>
        <w:spacing w:after="0" w:line="243" w:lineRule="auto"/>
        <w:tabs>
          <w:tab w:leader="none" w:pos="1296"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Securities Law Compliance</w:t>
      </w:r>
      <w:r>
        <w:rPr>
          <w:rFonts w:ascii="Arial" w:cs="Arial" w:eastAsia="Arial" w:hAnsi="Arial"/>
          <w:sz w:val="20"/>
          <w:szCs w:val="20"/>
          <w:color w:val="auto"/>
        </w:rPr>
        <w:t>. Notwithstanding any other provision of this Agreement, the Participant may not sell the shares of Company Common Stock acquired upon vesting of the Restricted Stock Units unless such shares are registered under the Securities Act of 1933, as amended (the “</w:t>
      </w:r>
      <w:r>
        <w:rPr>
          <w:rFonts w:ascii="Arial" w:cs="Arial" w:eastAsia="Arial" w:hAnsi="Arial"/>
          <w:sz w:val="20"/>
          <w:szCs w:val="20"/>
          <w:u w:val="single" w:color="auto"/>
          <w:color w:val="auto"/>
        </w:rPr>
        <w:t>Securities Act</w:t>
      </w:r>
      <w:r>
        <w:rPr>
          <w:rFonts w:ascii="Arial" w:cs="Arial" w:eastAsia="Arial" w:hAnsi="Arial"/>
          <w:sz w:val="20"/>
          <w:szCs w:val="20"/>
          <w:color w:val="auto"/>
        </w:rPr>
        <w:t>”), or, if such shares are not then so registered, such sale would be exempt from the registration requirements of the Securities Act. The sale of such shares must also comply with other applicable laws and regulations governing the shares and Participant may not sell the shares of Company Common Stock if the Company determines that such sale would not be in material compliance with such laws and regulations.</w:t>
      </w:r>
    </w:p>
    <w:p>
      <w:pPr>
        <w:spacing w:after="0" w:line="195" w:lineRule="exact"/>
        <w:rPr>
          <w:rFonts w:ascii="Arial" w:cs="Arial" w:eastAsia="Arial" w:hAnsi="Arial"/>
          <w:sz w:val="20"/>
          <w:szCs w:val="20"/>
          <w:color w:val="auto"/>
        </w:rPr>
      </w:pPr>
    </w:p>
    <w:p>
      <w:pPr>
        <w:ind w:left="1300" w:hanging="644"/>
        <w:spacing w:after="0"/>
        <w:tabs>
          <w:tab w:leader="none" w:pos="1300"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Participant’s Rights with Respect to the Restricted Stock Units</w:t>
      </w:r>
      <w:r>
        <w:rPr>
          <w:rFonts w:ascii="Arial" w:cs="Arial" w:eastAsia="Arial" w:hAnsi="Arial"/>
          <w:sz w:val="20"/>
          <w:szCs w:val="20"/>
          <w:color w:val="auto"/>
        </w:rPr>
        <w:t>.</w:t>
      </w:r>
    </w:p>
    <w:p>
      <w:pPr>
        <w:spacing w:after="0" w:line="216" w:lineRule="exact"/>
        <w:rPr>
          <w:sz w:val="20"/>
          <w:szCs w:val="20"/>
          <w:color w:val="auto"/>
        </w:rPr>
      </w:pPr>
    </w:p>
    <w:p>
      <w:pPr>
        <w:ind w:firstLine="656"/>
        <w:spacing w:after="0" w:line="259" w:lineRule="auto"/>
        <w:tabs>
          <w:tab w:leader="none" w:pos="1286"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Restrictions on Transferability</w:t>
      </w:r>
      <w:r>
        <w:rPr>
          <w:rFonts w:ascii="Arial" w:cs="Arial" w:eastAsia="Arial" w:hAnsi="Arial"/>
          <w:sz w:val="19"/>
          <w:szCs w:val="19"/>
          <w:color w:val="auto"/>
        </w:rPr>
        <w:t>. The Restricted Stock Units granted hereby are not assignable or transferable, in whole or in part, and may not, directly or indirectly, be offered, transferred, sold, pledged, assigned, alienated, hypothecated or otherwise disposed of or encumbered (including without limitation by gift, operation of law or otherwise) other than by will or by the laws of descent and distribution to the estate of the Participant upon the Participant’s death; provided that the deceased Participant’s beneficiary or representative of the Participant’s estate shall acknowledge and agree in writing, in a form reasonably acceptable to the Company, to be bound by the provisions of this Agreement and the Plan as if such beneficiary or the estate were the Participant.</w:t>
      </w:r>
    </w:p>
    <w:p>
      <w:pPr>
        <w:spacing w:after="0" w:line="178" w:lineRule="exact"/>
        <w:rPr>
          <w:rFonts w:ascii="Arial" w:cs="Arial" w:eastAsia="Arial" w:hAnsi="Arial"/>
          <w:sz w:val="19"/>
          <w:szCs w:val="19"/>
          <w:color w:val="auto"/>
        </w:rPr>
      </w:pPr>
    </w:p>
    <w:p>
      <w:pPr>
        <w:ind w:right="140" w:firstLine="656"/>
        <w:spacing w:after="0" w:line="291" w:lineRule="auto"/>
        <w:tabs>
          <w:tab w:leader="none" w:pos="1284"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The Participant shall not have any rights as a stockholder including any voting, dividend or other rights or privileges as a stockholder of the Company with respect to any Company Common Stock corresponding to the Restricted Stock Units granted hereby unless and until shares of Company Common Stock are issued to the Participant in respect thereof.</w:t>
      </w:r>
    </w:p>
    <w:p>
      <w:pPr>
        <w:spacing w:after="0" w:line="151" w:lineRule="exact"/>
        <w:rPr>
          <w:rFonts w:ascii="Arial" w:cs="Arial" w:eastAsia="Arial" w:hAnsi="Arial"/>
          <w:sz w:val="18"/>
          <w:szCs w:val="18"/>
          <w:color w:val="auto"/>
        </w:rPr>
      </w:pPr>
    </w:p>
    <w:p>
      <w:pPr>
        <w:ind w:right="360" w:firstLine="656"/>
        <w:spacing w:after="0" w:line="243" w:lineRule="auto"/>
        <w:tabs>
          <w:tab w:leader="none" w:pos="1286"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Dividend Equivalents</w:t>
      </w:r>
      <w:r>
        <w:rPr>
          <w:rFonts w:ascii="Arial" w:cs="Arial" w:eastAsia="Arial" w:hAnsi="Arial"/>
          <w:sz w:val="20"/>
          <w:szCs w:val="20"/>
          <w:color w:val="auto"/>
        </w:rPr>
        <w:t>. If the Company declares a cash dividend on the shares of Company Common Stock, then the Participant shall be credited with Dividend Equivalents in the form of a right to a cash payment equal to (</w:t>
      </w:r>
      <w:r>
        <w:rPr>
          <w:rFonts w:ascii="Arial" w:cs="Arial" w:eastAsia="Arial" w:hAnsi="Arial"/>
          <w:sz w:val="20"/>
          <w:szCs w:val="20"/>
          <w:u w:val="single" w:color="auto"/>
          <w:color w:val="auto"/>
        </w:rPr>
        <w:t>i</w:t>
      </w:r>
      <w:r>
        <w:rPr>
          <w:rFonts w:ascii="Arial" w:cs="Arial" w:eastAsia="Arial" w:hAnsi="Arial"/>
          <w:sz w:val="20"/>
          <w:szCs w:val="20"/>
          <w:color w:val="auto"/>
        </w:rPr>
        <w:t>) the amount of the dividend declared and paid for each share of Company Common Stock, multiplied by (</w:t>
      </w:r>
      <w:r>
        <w:rPr>
          <w:rFonts w:ascii="Arial" w:cs="Arial" w:eastAsia="Arial" w:hAnsi="Arial"/>
          <w:sz w:val="20"/>
          <w:szCs w:val="20"/>
          <w:u w:val="single" w:color="auto"/>
          <w:color w:val="auto"/>
        </w:rPr>
        <w:t>ii</w:t>
      </w:r>
      <w:r>
        <w:rPr>
          <w:rFonts w:ascii="Arial" w:cs="Arial" w:eastAsia="Arial" w:hAnsi="Arial"/>
          <w:sz w:val="20"/>
          <w:szCs w:val="20"/>
          <w:color w:val="auto"/>
        </w:rPr>
        <w:t>) (</w:t>
      </w:r>
      <w:r>
        <w:rPr>
          <w:rFonts w:ascii="Arial" w:cs="Arial" w:eastAsia="Arial" w:hAnsi="Arial"/>
          <w:sz w:val="20"/>
          <w:szCs w:val="20"/>
          <w:u w:val="single" w:color="auto"/>
          <w:color w:val="auto"/>
        </w:rPr>
        <w:t>x</w:t>
      </w:r>
      <w:r>
        <w:rPr>
          <w:rFonts w:ascii="Arial" w:cs="Arial" w:eastAsia="Arial" w:hAnsi="Arial"/>
          <w:sz w:val="20"/>
          <w:szCs w:val="20"/>
          <w:color w:val="auto"/>
        </w:rPr>
        <w:t>) the number of Restricted Stock Units earned by the Participant as determined by the Administrator pursuant to Section 3(a) or (</w:t>
      </w:r>
      <w:r>
        <w:rPr>
          <w:rFonts w:ascii="Arial" w:cs="Arial" w:eastAsia="Arial" w:hAnsi="Arial"/>
          <w:sz w:val="20"/>
          <w:szCs w:val="20"/>
          <w:u w:val="single" w:color="auto"/>
          <w:color w:val="auto"/>
        </w:rPr>
        <w:t>y</w:t>
      </w:r>
      <w:r>
        <w:rPr>
          <w:rFonts w:ascii="Arial" w:cs="Arial" w:eastAsia="Arial" w:hAnsi="Arial"/>
          <w:sz w:val="20"/>
          <w:szCs w:val="20"/>
          <w:color w:val="auto"/>
        </w:rPr>
        <w:t>) in the case of a termination of employment or service by reason of Death or a Qualifying CIC Termination, the number of Restricted Stock Units equal to the Target Award. Dividend Equivalents shall be subject to the same forfeiture</w:t>
      </w:r>
    </w:p>
    <w:p>
      <w:pPr>
        <w:sectPr>
          <w:pgSz w:w="11900" w:h="16838" w:orient="portrait"/>
          <w:cols w:equalWidth="0" w:num="1">
            <w:col w:w="11220"/>
          </w:cols>
          <w:pgMar w:left="320" w:top="1440" w:right="359" w:bottom="1440" w:gutter="0" w:footer="0" w:header="0"/>
        </w:sectPr>
      </w:pPr>
    </w:p>
    <w:bookmarkStart w:id="56" w:name="page57"/>
    <w:bookmarkEnd w:id="56"/>
    <w:p>
      <w:pPr>
        <w:spacing w:after="0" w:line="195"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restrictions as the Restricted Stock Units to which they are attributable and shall be paid on the same date the Restricted Stock Units to which they are attributable are settled in accordance with Section 3 hereof. Dividend Equivalents credited to a Participant shall be distributed in cash or, at the discretion of the Administrator, in shares of Company Common Stock having a Fair Market Value equal to the amount of the Dividend Equivalents, if any.</w:t>
      </w:r>
    </w:p>
    <w:p>
      <w:pPr>
        <w:spacing w:after="0" w:line="191"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Participant’s Representations, Warranties and Covenants</w:t>
      </w:r>
      <w:r>
        <w:rPr>
          <w:rFonts w:ascii="Arial" w:cs="Arial" w:eastAsia="Arial" w:hAnsi="Arial"/>
          <w:sz w:val="20"/>
          <w:szCs w:val="20"/>
          <w:color w:val="auto"/>
        </w:rPr>
        <w:t>.</w:t>
      </w:r>
    </w:p>
    <w:p>
      <w:pPr>
        <w:spacing w:after="0" w:line="216" w:lineRule="exact"/>
        <w:rPr>
          <w:sz w:val="20"/>
          <w:szCs w:val="20"/>
          <w:color w:val="auto"/>
        </w:rPr>
      </w:pPr>
    </w:p>
    <w:p>
      <w:pPr>
        <w:ind w:right="40" w:firstLine="656"/>
        <w:spacing w:after="0" w:line="257" w:lineRule="auto"/>
        <w:tabs>
          <w:tab w:leader="none" w:pos="1286" w:val="left"/>
        </w:tabs>
        <w:numPr>
          <w:ilvl w:val="1"/>
          <w:numId w:val="52"/>
        </w:numPr>
        <w:rPr>
          <w:rFonts w:ascii="Arial" w:cs="Arial" w:eastAsia="Arial" w:hAnsi="Arial"/>
          <w:sz w:val="19"/>
          <w:szCs w:val="19"/>
          <w:color w:val="auto"/>
        </w:rPr>
      </w:pPr>
      <w:r>
        <w:rPr>
          <w:rFonts w:ascii="Arial" w:cs="Arial" w:eastAsia="Arial" w:hAnsi="Arial"/>
          <w:sz w:val="19"/>
          <w:szCs w:val="19"/>
          <w:u w:val="single" w:color="auto"/>
          <w:color w:val="auto"/>
        </w:rPr>
        <w:t>No Conflicts; No Consents</w:t>
      </w:r>
      <w:r>
        <w:rPr>
          <w:rFonts w:ascii="Arial" w:cs="Arial" w:eastAsia="Arial" w:hAnsi="Arial"/>
          <w:sz w:val="19"/>
          <w:szCs w:val="19"/>
          <w:color w:val="auto"/>
        </w:rPr>
        <w:t>. The execution and delivery by the Participant of this Agreement, the consummation of the transactions contemplated hereby and the performance of the Participant’s obligations hereunder do not and will not (</w:t>
      </w:r>
      <w:r>
        <w:rPr>
          <w:rFonts w:ascii="Arial" w:cs="Arial" w:eastAsia="Arial" w:hAnsi="Arial"/>
          <w:sz w:val="19"/>
          <w:szCs w:val="19"/>
          <w:u w:val="single" w:color="auto"/>
          <w:color w:val="auto"/>
        </w:rPr>
        <w:t>i</w:t>
      </w:r>
      <w:r>
        <w:rPr>
          <w:rFonts w:ascii="Arial" w:cs="Arial" w:eastAsia="Arial" w:hAnsi="Arial"/>
          <w:sz w:val="19"/>
          <w:szCs w:val="19"/>
          <w:color w:val="auto"/>
        </w:rPr>
        <w:t>) materially conflict with or result in a material violation or breach of any term or provision of any Law applicable to either the Participant or the Restricted Stock Units or (</w:t>
      </w:r>
      <w:r>
        <w:rPr>
          <w:rFonts w:ascii="Arial" w:cs="Arial" w:eastAsia="Arial" w:hAnsi="Arial"/>
          <w:sz w:val="19"/>
          <w:szCs w:val="19"/>
          <w:u w:val="single" w:color="auto"/>
          <w:color w:val="auto"/>
        </w:rPr>
        <w:t>ii</w:t>
      </w:r>
      <w:r>
        <w:rPr>
          <w:rFonts w:ascii="Arial" w:cs="Arial" w:eastAsia="Arial" w:hAnsi="Arial"/>
          <w:sz w:val="19"/>
          <w:szCs w:val="19"/>
          <w:color w:val="auto"/>
        </w:rPr>
        <w:t>) violate in any material respect, conflict with in any material respect or result in any material breach of, or constitute (with or without notice or lapse of time or both) a material default under, or require either the Participant to obtain any consent, approval or action of, make any filing with or give any notice to any Person as a result or under the terms of, any contract, agreement, instrument, commitment, arrangement or understanding to which the Participant is a party.</w:t>
      </w:r>
    </w:p>
    <w:p>
      <w:pPr>
        <w:spacing w:after="0" w:line="184" w:lineRule="exact"/>
        <w:rPr>
          <w:rFonts w:ascii="Arial" w:cs="Arial" w:eastAsia="Arial" w:hAnsi="Arial"/>
          <w:sz w:val="19"/>
          <w:szCs w:val="19"/>
          <w:color w:val="auto"/>
        </w:rPr>
      </w:pPr>
    </w:p>
    <w:p>
      <w:pPr>
        <w:ind w:firstLine="656"/>
        <w:spacing w:after="0" w:line="275" w:lineRule="auto"/>
        <w:tabs>
          <w:tab w:leader="none" w:pos="1284" w:val="left"/>
        </w:tabs>
        <w:numPr>
          <w:ilvl w:val="1"/>
          <w:numId w:val="52"/>
        </w:numPr>
        <w:rPr>
          <w:rFonts w:ascii="Arial" w:cs="Arial" w:eastAsia="Arial" w:hAnsi="Arial"/>
          <w:sz w:val="18"/>
          <w:szCs w:val="18"/>
          <w:color w:val="auto"/>
        </w:rPr>
      </w:pPr>
      <w:r>
        <w:rPr>
          <w:rFonts w:ascii="Arial" w:cs="Arial" w:eastAsia="Arial" w:hAnsi="Arial"/>
          <w:sz w:val="18"/>
          <w:szCs w:val="18"/>
          <w:u w:val="single" w:color="auto"/>
          <w:color w:val="auto"/>
        </w:rPr>
        <w:t>Compliance with Rule 144</w:t>
      </w:r>
      <w:r>
        <w:rPr>
          <w:rFonts w:ascii="Arial" w:cs="Arial" w:eastAsia="Arial" w:hAnsi="Arial"/>
          <w:sz w:val="18"/>
          <w:szCs w:val="18"/>
          <w:color w:val="auto"/>
        </w:rPr>
        <w:t>. If any shares of Company Common Stock issued in respect of the Restricted Stock Units are to be disposed of in accordance with Rule 144, the Participant shall transmit to the Company an executed copy of Form 144 (if required by Rule</w:t>
      </w:r>
    </w:p>
    <w:p>
      <w:pPr>
        <w:ind w:right="760" w:firstLine="8"/>
        <w:spacing w:after="0" w:line="269" w:lineRule="auto"/>
        <w:tabs>
          <w:tab w:leader="none" w:pos="412" w:val="left"/>
        </w:tabs>
        <w:numPr>
          <w:ilvl w:val="0"/>
          <w:numId w:val="53"/>
        </w:numPr>
        <w:rPr>
          <w:rFonts w:ascii="Arial" w:cs="Arial" w:eastAsia="Arial" w:hAnsi="Arial"/>
          <w:sz w:val="19"/>
          <w:szCs w:val="19"/>
          <w:color w:val="auto"/>
        </w:rPr>
      </w:pPr>
      <w:r>
        <w:rPr>
          <w:rFonts w:ascii="Arial" w:cs="Arial" w:eastAsia="Arial" w:hAnsi="Arial"/>
          <w:sz w:val="19"/>
          <w:szCs w:val="19"/>
          <w:color w:val="auto"/>
        </w:rPr>
        <w:t>no later than the time such form is required to be transmitted to the Commission for filing and such other documentation as the Company may reasonably require to assure compliance with Rule 144 in connection with such disposition.</w:t>
      </w:r>
    </w:p>
    <w:p>
      <w:pPr>
        <w:spacing w:after="0" w:line="169" w:lineRule="exact"/>
        <w:rPr>
          <w:rFonts w:ascii="Arial" w:cs="Arial" w:eastAsia="Arial" w:hAnsi="Arial"/>
          <w:sz w:val="19"/>
          <w:szCs w:val="19"/>
          <w:color w:val="auto"/>
        </w:rPr>
      </w:pPr>
    </w:p>
    <w:p>
      <w:pPr>
        <w:ind w:right="100" w:firstLine="656"/>
        <w:spacing w:after="0" w:line="260" w:lineRule="auto"/>
        <w:tabs>
          <w:tab w:leader="none" w:pos="1286"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Participant Status</w:t>
      </w:r>
      <w:r>
        <w:rPr>
          <w:rFonts w:ascii="Arial" w:cs="Arial" w:eastAsia="Arial" w:hAnsi="Arial"/>
          <w:sz w:val="20"/>
          <w:szCs w:val="20"/>
          <w:color w:val="auto"/>
        </w:rPr>
        <w:t>. The Participant represents and warrants that, as of the date hereof, the Participant is an officer, employee, director or Consultant of the Company or a Subsidiary.</w:t>
      </w:r>
    </w:p>
    <w:p>
      <w:pPr>
        <w:spacing w:after="0" w:line="177" w:lineRule="exact"/>
        <w:rPr>
          <w:sz w:val="20"/>
          <w:szCs w:val="20"/>
          <w:color w:val="auto"/>
        </w:rPr>
      </w:pPr>
    </w:p>
    <w:p>
      <w:pPr>
        <w:ind w:right="220" w:firstLine="656"/>
        <w:spacing w:after="0" w:line="246" w:lineRule="auto"/>
        <w:tabs>
          <w:tab w:leader="none" w:pos="1296"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Adjustment in Capitalization</w:t>
      </w:r>
      <w:r>
        <w:rPr>
          <w:rFonts w:ascii="Arial" w:cs="Arial" w:eastAsia="Arial" w:hAnsi="Arial"/>
          <w:sz w:val="20"/>
          <w:szCs w:val="20"/>
          <w:color w:val="auto"/>
        </w:rPr>
        <w:t>. The number, class or other terms of any outstanding Restricted Stock Units shall be adjusted by the Committee to reflect any stock dividend, stock split or share combination or any recapitalization, business combination, merger, consolidation, spin-off, exchange of shares, liquidation or dissolution of the Company or other similar transaction affecting the Company Common Stock in such manner as it determines in its sole discretion.</w:t>
      </w:r>
    </w:p>
    <w:p>
      <w:pPr>
        <w:spacing w:after="0" w:line="191" w:lineRule="exact"/>
        <w:rPr>
          <w:rFonts w:ascii="Arial" w:cs="Arial" w:eastAsia="Arial" w:hAnsi="Arial"/>
          <w:sz w:val="20"/>
          <w:szCs w:val="20"/>
          <w:color w:val="auto"/>
        </w:rPr>
      </w:pPr>
    </w:p>
    <w:p>
      <w:pPr>
        <w:ind w:right="40" w:firstLine="656"/>
        <w:spacing w:after="0" w:line="255" w:lineRule="auto"/>
        <w:tabs>
          <w:tab w:leader="none" w:pos="1296"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Tax Withholding</w:t>
      </w:r>
      <w:r>
        <w:rPr>
          <w:rFonts w:ascii="Arial" w:cs="Arial" w:eastAsia="Arial" w:hAnsi="Arial"/>
          <w:sz w:val="19"/>
          <w:szCs w:val="19"/>
          <w:color w:val="auto"/>
        </w:rPr>
        <w:t>. The Participant acknowledges that, regardless of any action taken by the Company or the Employer with respect to any or all income tax (including U.S. federal, state and local taxes and/or non-U.S. taxes), social insurance, payroll tax, fringe benefits tax, payment on account or other tax-related items related to the Participant’s participation in the Plan and legally applicable to the Participant (“</w:t>
      </w:r>
      <w:r>
        <w:rPr>
          <w:rFonts w:ascii="Arial" w:cs="Arial" w:eastAsia="Arial" w:hAnsi="Arial"/>
          <w:sz w:val="19"/>
          <w:szCs w:val="19"/>
          <w:u w:val="single" w:color="auto"/>
          <w:color w:val="auto"/>
        </w:rPr>
        <w:t>Tax-Related Items</w:t>
      </w:r>
      <w:r>
        <w:rPr>
          <w:rFonts w:ascii="Arial" w:cs="Arial" w:eastAsia="Arial" w:hAnsi="Arial"/>
          <w:sz w:val="19"/>
          <w:szCs w:val="19"/>
          <w:color w:val="auto"/>
        </w:rPr>
        <w:t>”), the ultimate liability for all Tax-Related Items is and remains the Participant’s personal responsibility and may exceed the amount, if any, actually withheld by the Company or the Employer. The Participant further acknowledges that the Company and/or the Employer (a) make no representations or undertakings regarding the treatment of any Tax-Related Items in connection with any aspect of the Participant’s participation in the Plan, including, but not limited to, the grant of Restricted Stock Units, the vesting of Restricted Stock Units, issuance or sale of shares of Company Common Stock, or the receipt of any dividends or Dividend Equivalents; and (b) do not commit to and are under no obligation to structure the terms of the Restricted Stock Units or any aspect of the Plan to reduce or eliminate the Participant’s liability for Tax-Related Items or achieve any particular tax result. Further, if the Participant is subject to Tax-Related Items in more than one jurisdiction, the</w:t>
      </w:r>
    </w:p>
    <w:p>
      <w:pPr>
        <w:sectPr>
          <w:pgSz w:w="11900" w:h="16838" w:orient="portrait"/>
          <w:cols w:equalWidth="0" w:num="1">
            <w:col w:w="11220"/>
          </w:cols>
          <w:pgMar w:left="320" w:top="1440" w:right="359" w:bottom="1440" w:gutter="0" w:footer="0" w:header="0"/>
        </w:sectPr>
      </w:pPr>
    </w:p>
    <w:bookmarkStart w:id="57" w:name="page58"/>
    <w:bookmarkEnd w:id="57"/>
    <w:p>
      <w:pPr>
        <w:spacing w:after="0" w:line="195"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Participant acknowledges that the Company and/or the Employer (or former employer, as applicable) may be required to withhold or account for Tax-Related Items in more than one jurisdiction.</w:t>
      </w:r>
    </w:p>
    <w:p>
      <w:pPr>
        <w:spacing w:after="0" w:line="177" w:lineRule="exact"/>
        <w:rPr>
          <w:sz w:val="20"/>
          <w:szCs w:val="20"/>
          <w:color w:val="auto"/>
        </w:rPr>
      </w:pPr>
    </w:p>
    <w:p>
      <w:pPr>
        <w:ind w:firstLine="648"/>
        <w:spacing w:after="0" w:line="257" w:lineRule="auto"/>
        <w:rPr>
          <w:sz w:val="20"/>
          <w:szCs w:val="20"/>
          <w:color w:val="auto"/>
        </w:rPr>
      </w:pPr>
      <w:r>
        <w:rPr>
          <w:rFonts w:ascii="Arial" w:cs="Arial" w:eastAsia="Arial" w:hAnsi="Arial"/>
          <w:sz w:val="19"/>
          <w:szCs w:val="19"/>
          <w:color w:val="auto"/>
        </w:rPr>
        <w:t>Prior to any relevant taxable or tax withholding event, as applicable, the Participant agrees to make arrangements satisfactory to the Company and/or the Employer to satisfy all Tax-Related Items. In this regard, the Participant authorizes the Company and/or the Employer, or their respective agents, at their discretion, to satisfy their withholding obligations with regard to any Tax-Related Items by one or a combination of the following: (a) withholding from the Participant’s wages or other cash compensation payable to the Participant by the Company and/or the Employer, (b) withholding from proceeds of the sale of shares of Company Common Stock under the Plan, either through a voluntary sale or through a mandatory sale arranged by the Company (on the Participant’s behalf pursuant to this authorization without further consent) to cover the Tax-Related Items required to be withheld, and (c) withholding in shares of Company Common Stock to be issued upon vesting of the Restricted Stock Units.</w:t>
      </w:r>
    </w:p>
    <w:p>
      <w:pPr>
        <w:spacing w:after="0" w:line="180" w:lineRule="exact"/>
        <w:rPr>
          <w:sz w:val="20"/>
          <w:szCs w:val="20"/>
          <w:color w:val="auto"/>
        </w:rPr>
      </w:pPr>
    </w:p>
    <w:p>
      <w:pPr>
        <w:ind w:right="140" w:firstLine="648"/>
        <w:spacing w:after="0" w:line="269" w:lineRule="auto"/>
        <w:rPr>
          <w:sz w:val="20"/>
          <w:szCs w:val="20"/>
          <w:color w:val="auto"/>
        </w:rPr>
      </w:pPr>
      <w:r>
        <w:rPr>
          <w:rFonts w:ascii="Arial" w:cs="Arial" w:eastAsia="Arial" w:hAnsi="Arial"/>
          <w:sz w:val="19"/>
          <w:szCs w:val="19"/>
          <w:color w:val="auto"/>
        </w:rPr>
        <w:t>If the obligation for Tax-Related Items is satisfied by withholding in shares of Company Common Stock, for tax purposes, the Participant will be deemed to have been issued the full number of shares of Company Common Stock, notwithstanding that a number of the shares of Company Common Stock are held back solely for the purpose of paying the Tax-Related Items.</w:t>
      </w:r>
    </w:p>
    <w:p>
      <w:pPr>
        <w:spacing w:after="0" w:line="170"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The Company or the Employer may defer the settlement of Restricted Stock Units until such withholding or other tax requirements are satisfied and if the Participant has not satisfied such withholding or other tax requirements as of the last day of the calendar year in which the Vesting Date occurs, the Restricted Stock Units shall be forfeited.</w:t>
      </w:r>
    </w:p>
    <w:p>
      <w:pPr>
        <w:spacing w:after="0" w:line="186"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Nature of Grant</w:t>
      </w:r>
      <w:r>
        <w:rPr>
          <w:rFonts w:ascii="Arial" w:cs="Arial" w:eastAsia="Arial" w:hAnsi="Arial"/>
          <w:sz w:val="19"/>
          <w:szCs w:val="19"/>
          <w:color w:val="auto"/>
        </w:rPr>
        <w:t>. By accepting the Restricted Stock Units, the Participant acknowledges, understands and agrees that:</w:t>
      </w:r>
    </w:p>
    <w:p>
      <w:pPr>
        <w:spacing w:after="0" w:line="227" w:lineRule="exact"/>
        <w:rPr>
          <w:sz w:val="20"/>
          <w:szCs w:val="20"/>
          <w:color w:val="auto"/>
        </w:rPr>
      </w:pPr>
    </w:p>
    <w:p>
      <w:pPr>
        <w:ind w:right="540" w:firstLine="656"/>
        <w:spacing w:after="0" w:line="260" w:lineRule="auto"/>
        <w:tabs>
          <w:tab w:leader="none" w:pos="1286"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terminated, suspended or amended by the Company at any time, to the extent permitted by the Plan;</w:t>
      </w:r>
    </w:p>
    <w:p>
      <w:pPr>
        <w:spacing w:after="0" w:line="176" w:lineRule="exact"/>
        <w:rPr>
          <w:rFonts w:ascii="Arial" w:cs="Arial" w:eastAsia="Arial" w:hAnsi="Arial"/>
          <w:sz w:val="20"/>
          <w:szCs w:val="20"/>
          <w:color w:val="auto"/>
        </w:rPr>
      </w:pPr>
    </w:p>
    <w:p>
      <w:pPr>
        <w:ind w:right="80" w:firstLine="656"/>
        <w:spacing w:after="0" w:line="287" w:lineRule="auto"/>
        <w:tabs>
          <w:tab w:leader="none" w:pos="1284"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grant of Restricted Stock Units is voluntary and does not create any contractual or other right to receive future Restricted Stock Units or benefits in lieu of Restricted Stock Units, even if Restricted Stock Units have been granted in the past;</w:t>
      </w:r>
    </w:p>
    <w:p>
      <w:pPr>
        <w:spacing w:after="0" w:line="152" w:lineRule="exact"/>
        <w:rPr>
          <w:rFonts w:ascii="Arial" w:cs="Arial" w:eastAsia="Arial" w:hAnsi="Arial"/>
          <w:sz w:val="19"/>
          <w:szCs w:val="19"/>
          <w:color w:val="auto"/>
        </w:rPr>
      </w:pPr>
    </w:p>
    <w:p>
      <w:pPr>
        <w:ind w:left="1300" w:hanging="644"/>
        <w:spacing w:after="0"/>
        <w:tabs>
          <w:tab w:leader="none" w:pos="1300" w:val="left"/>
        </w:tabs>
        <w:numPr>
          <w:ilvl w:val="0"/>
          <w:numId w:val="56"/>
        </w:numPr>
        <w:rPr>
          <w:rFonts w:ascii="Arial" w:cs="Arial" w:eastAsia="Arial" w:hAnsi="Arial"/>
          <w:sz w:val="19"/>
          <w:szCs w:val="19"/>
          <w:color w:val="auto"/>
        </w:rPr>
      </w:pPr>
      <w:r>
        <w:rPr>
          <w:rFonts w:ascii="Arial" w:cs="Arial" w:eastAsia="Arial" w:hAnsi="Arial"/>
          <w:sz w:val="19"/>
          <w:szCs w:val="19"/>
          <w:color w:val="auto"/>
        </w:rPr>
        <w:t>all decisions with respect to future Restricted Stock Units or other grants, if any, will be at the sole discretion of the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Company;</w:t>
      </w:r>
    </w:p>
    <w:p>
      <w:pPr>
        <w:spacing w:after="0" w:line="199" w:lineRule="exact"/>
        <w:rPr>
          <w:rFonts w:ascii="Arial" w:cs="Arial" w:eastAsia="Arial" w:hAnsi="Arial"/>
          <w:sz w:val="19"/>
          <w:szCs w:val="19"/>
          <w:color w:val="auto"/>
        </w:rPr>
      </w:pPr>
    </w:p>
    <w:p>
      <w:pPr>
        <w:ind w:right="80" w:firstLine="656"/>
        <w:spacing w:after="0" w:line="291" w:lineRule="auto"/>
        <w:tabs>
          <w:tab w:leader="none" w:pos="128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grant of Restricted Stock Units and the Participant’s participation in the Plan shall not create a right to employment or be interpreted as forming an employment or service contract with the Company, the Employer or any other Subsidiary and shall not interfere with the ability of the Company, the Employer or any other Subsidiary to terminate the Participant’s employment relationship (if any);</w:t>
      </w:r>
    </w:p>
    <w:p>
      <w:pPr>
        <w:spacing w:after="0" w:line="151" w:lineRule="exact"/>
        <w:rPr>
          <w:rFonts w:ascii="Arial" w:cs="Arial" w:eastAsia="Arial" w:hAnsi="Arial"/>
          <w:sz w:val="18"/>
          <w:szCs w:val="18"/>
          <w:color w:val="auto"/>
        </w:rPr>
      </w:pPr>
    </w:p>
    <w:p>
      <w:pPr>
        <w:ind w:left="1300" w:hanging="644"/>
        <w:spacing w:after="0"/>
        <w:tabs>
          <w:tab w:leader="none" w:pos="13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Participant is voluntarily participating in the Plan;</w:t>
      </w:r>
    </w:p>
    <w:p>
      <w:pPr>
        <w:spacing w:after="0" w:line="215" w:lineRule="exact"/>
        <w:rPr>
          <w:rFonts w:ascii="Arial" w:cs="Arial" w:eastAsia="Arial" w:hAnsi="Arial"/>
          <w:sz w:val="20"/>
          <w:szCs w:val="20"/>
          <w:color w:val="auto"/>
        </w:rPr>
      </w:pPr>
    </w:p>
    <w:p>
      <w:pPr>
        <w:ind w:right="320" w:firstLine="656"/>
        <w:spacing w:after="0" w:line="260" w:lineRule="auto"/>
        <w:tabs>
          <w:tab w:leader="none" w:pos="1291"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Restricted Stock Units and any shares of Company Common Stock acquired under the Plan, and the income from and value of the same, are not intended to replace any pension rights or compensation;</w:t>
      </w:r>
    </w:p>
    <w:p>
      <w:pPr>
        <w:sectPr>
          <w:pgSz w:w="11900" w:h="16838" w:orient="portrait"/>
          <w:cols w:equalWidth="0" w:num="1">
            <w:col w:w="11220"/>
          </w:cols>
          <w:pgMar w:left="320" w:top="1440" w:right="359" w:bottom="1440" w:gutter="0" w:footer="0" w:header="0"/>
        </w:sectPr>
      </w:pPr>
    </w:p>
    <w:bookmarkStart w:id="58" w:name="page59"/>
    <w:bookmarkEnd w:id="58"/>
    <w:p>
      <w:pPr>
        <w:spacing w:after="0" w:line="195" w:lineRule="exact"/>
        <w:rPr>
          <w:sz w:val="20"/>
          <w:szCs w:val="20"/>
          <w:color w:val="auto"/>
        </w:rPr>
      </w:pPr>
    </w:p>
    <w:p>
      <w:pPr>
        <w:ind w:left="-656" w:right="100" w:firstLine="656"/>
        <w:spacing w:after="0" w:line="246" w:lineRule="auto"/>
        <w:tabs>
          <w:tab w:leader="none" w:pos="628" w:val="left"/>
        </w:tabs>
        <w:numPr>
          <w:ilvl w:val="0"/>
          <w:numId w:val="57"/>
        </w:numPr>
        <w:rPr>
          <w:rFonts w:ascii="Arial" w:cs="Arial" w:eastAsia="Arial" w:hAnsi="Arial"/>
          <w:sz w:val="20"/>
          <w:szCs w:val="20"/>
          <w:color w:val="auto"/>
        </w:rPr>
      </w:pPr>
      <w:r>
        <w:rPr>
          <w:rFonts w:ascii="Arial" w:cs="Arial" w:eastAsia="Arial" w:hAnsi="Arial"/>
          <w:sz w:val="20"/>
          <w:szCs w:val="20"/>
          <w:color w:val="auto"/>
        </w:rPr>
        <w:t>the Restricted Stock Units and any shares of Company Common Stock acquired under the Plan, and the income from and value of the same, are extraordinary items that do not constitute compensation of any kind for services of any kind rendered to the Company or the Employer, and which are outside the scope of the Participant’s employment and the Participant’s employment or service agreement, if any;</w:t>
      </w:r>
    </w:p>
    <w:p>
      <w:pPr>
        <w:spacing w:after="0" w:line="191" w:lineRule="exact"/>
        <w:rPr>
          <w:rFonts w:ascii="Arial" w:cs="Arial" w:eastAsia="Arial" w:hAnsi="Arial"/>
          <w:sz w:val="20"/>
          <w:szCs w:val="20"/>
          <w:color w:val="auto"/>
        </w:rPr>
      </w:pPr>
    </w:p>
    <w:p>
      <w:pPr>
        <w:ind w:left="-656" w:firstLine="656"/>
        <w:spacing w:after="0" w:line="263" w:lineRule="auto"/>
        <w:tabs>
          <w:tab w:leader="none" w:pos="628"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Restricted Stock Units and any shares of Company Common Stock acquired under the Plan, and the income from and value of the same, are not part of normal or expected compensation or salary for any purpose, including, without limitation, calculating any severance, resignation, termination, redundancy, dismissal, end-of-service payments, holiday pay, bonuses, long-service awards, leave-related payments, pension or retirement or welfare benefits or similar mandatory payments;</w:t>
      </w:r>
    </w:p>
    <w:p>
      <w:pPr>
        <w:spacing w:after="0" w:line="176" w:lineRule="exact"/>
        <w:rPr>
          <w:rFonts w:ascii="Arial" w:cs="Arial" w:eastAsia="Arial" w:hAnsi="Arial"/>
          <w:sz w:val="19"/>
          <w:szCs w:val="19"/>
          <w:color w:val="auto"/>
        </w:rPr>
      </w:pPr>
    </w:p>
    <w:p>
      <w:pPr>
        <w:ind w:left="-656" w:right="220" w:firstLine="656"/>
        <w:spacing w:after="0" w:line="287" w:lineRule="auto"/>
        <w:tabs>
          <w:tab w:leader="none" w:pos="638"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future value of the underlying shares of Company Common Stock is unknown, indeterminable and cannot be predicted with certainty and the value of such shares of Company Common Stock may increase or decrease in the future;</w:t>
      </w:r>
    </w:p>
    <w:p>
      <w:pPr>
        <w:spacing w:after="0" w:line="152" w:lineRule="exact"/>
        <w:rPr>
          <w:rFonts w:ascii="Arial" w:cs="Arial" w:eastAsia="Arial" w:hAnsi="Arial"/>
          <w:sz w:val="19"/>
          <w:szCs w:val="19"/>
          <w:color w:val="auto"/>
        </w:rPr>
      </w:pPr>
    </w:p>
    <w:p>
      <w:pPr>
        <w:ind w:left="-656" w:firstLine="656"/>
        <w:spacing w:after="0" w:line="246" w:lineRule="auto"/>
        <w:tabs>
          <w:tab w:leader="none" w:pos="638" w:val="left"/>
        </w:tabs>
        <w:numPr>
          <w:ilvl w:val="0"/>
          <w:numId w:val="57"/>
        </w:numPr>
        <w:rPr>
          <w:rFonts w:ascii="Arial" w:cs="Arial" w:eastAsia="Arial" w:hAnsi="Arial"/>
          <w:sz w:val="20"/>
          <w:szCs w:val="20"/>
          <w:color w:val="auto"/>
        </w:rPr>
      </w:pPr>
      <w:r>
        <w:rPr>
          <w:rFonts w:ascii="Arial" w:cs="Arial" w:eastAsia="Arial" w:hAnsi="Arial"/>
          <w:sz w:val="20"/>
          <w:szCs w:val="20"/>
          <w:color w:val="auto"/>
        </w:rPr>
        <w:t>no claim or entitlement to compensation or damages shall arise from forfeiture of the Restricted Stock Units resulting from termination of the Participant’s employment (regardless of the reason for the termination and whether or not the termination is later found to be invalid or in breach of employment laws in the jurisdiction where the Participant is employed or the terms of the Participant’s employment or service agreement, if any); and</w:t>
      </w:r>
    </w:p>
    <w:p>
      <w:pPr>
        <w:spacing w:after="0" w:line="191" w:lineRule="exact"/>
        <w:rPr>
          <w:rFonts w:ascii="Arial" w:cs="Arial" w:eastAsia="Arial" w:hAnsi="Arial"/>
          <w:sz w:val="20"/>
          <w:szCs w:val="20"/>
          <w:color w:val="auto"/>
        </w:rPr>
      </w:pPr>
    </w:p>
    <w:p>
      <w:pPr>
        <w:ind w:left="-656" w:right="180" w:firstLine="656"/>
        <w:spacing w:after="0" w:line="246" w:lineRule="auto"/>
        <w:tabs>
          <w:tab w:leader="none" w:pos="628" w:val="left"/>
        </w:tabs>
        <w:numPr>
          <w:ilvl w:val="0"/>
          <w:numId w:val="57"/>
        </w:numPr>
        <w:rPr>
          <w:rFonts w:ascii="Arial" w:cs="Arial" w:eastAsia="Arial" w:hAnsi="Arial"/>
          <w:sz w:val="20"/>
          <w:szCs w:val="20"/>
          <w:color w:val="auto"/>
        </w:rPr>
      </w:pPr>
      <w:r>
        <w:rPr>
          <w:rFonts w:ascii="Arial" w:cs="Arial" w:eastAsia="Arial" w:hAnsi="Arial"/>
          <w:sz w:val="20"/>
          <w:szCs w:val="20"/>
          <w:color w:val="auto"/>
        </w:rPr>
        <w:t>neither the Company, the Employer nor any other Subsidiary shall be liable for any foreign exchange rate fluctuation between the Participant’s local currency and the United States Dollar that may affect the value of the shares of Company Common Stock or any amounts due pursuant to the issuance of the shares of Company Common Stock, or the subsequent sale of any shares of Company Common Stock acquired under the Plan.</w:t>
      </w:r>
    </w:p>
    <w:p>
      <w:pPr>
        <w:spacing w:after="0" w:line="191" w:lineRule="exact"/>
        <w:rPr>
          <w:sz w:val="20"/>
          <w:szCs w:val="20"/>
          <w:color w:val="auto"/>
        </w:rPr>
      </w:pPr>
    </w:p>
    <w:p>
      <w:pPr>
        <w:ind w:left="-656" w:right="100" w:firstLine="656"/>
        <w:spacing w:after="0" w:line="257" w:lineRule="auto"/>
        <w:tabs>
          <w:tab w:leader="none" w:pos="631"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Employee Data Privacy</w:t>
      </w:r>
      <w:r>
        <w:rPr>
          <w:rFonts w:ascii="Arial" w:cs="Arial" w:eastAsia="Arial" w:hAnsi="Arial"/>
          <w:sz w:val="19"/>
          <w:szCs w:val="19"/>
          <w:color w:val="auto"/>
        </w:rPr>
        <w:t>. The collection, use, disclosure and transfer, in electronic or other form, of personally identifiable information to facilitate the grant of the Award and the administration of the Plan by and among, as applicable, the Company and the Participant’s employer, if different, any of the Company’s affiliates, any agent of the Company administering or providing Plan services is governed by the Employee Privacy Notice (the “</w:t>
      </w:r>
      <w:r>
        <w:rPr>
          <w:rFonts w:ascii="Arial" w:cs="Arial" w:eastAsia="Arial" w:hAnsi="Arial"/>
          <w:sz w:val="19"/>
          <w:szCs w:val="19"/>
          <w:u w:val="single" w:color="auto"/>
          <w:color w:val="auto"/>
        </w:rPr>
        <w:t>Privacy Notice</w:t>
      </w:r>
      <w:r>
        <w:rPr>
          <w:rFonts w:ascii="Arial" w:cs="Arial" w:eastAsia="Arial" w:hAnsi="Arial"/>
          <w:sz w:val="19"/>
          <w:szCs w:val="19"/>
          <w:color w:val="auto"/>
        </w:rPr>
        <w:t xml:space="preserve">”) that Participant received in the course of his or her relationship with Company. The Participant understands that he or she may review the </w:t>
      </w:r>
      <w:r>
        <w:rPr>
          <w:rFonts w:ascii="Arial" w:cs="Arial" w:eastAsia="Arial" w:hAnsi="Arial"/>
          <w:sz w:val="19"/>
          <w:szCs w:val="19"/>
          <w:u w:val="single" w:color="auto"/>
          <w:color w:val="0000FF"/>
        </w:rPr>
        <w:t>Privacy Notice</w:t>
      </w:r>
      <w:r>
        <w:rPr>
          <w:rFonts w:ascii="Arial" w:cs="Arial" w:eastAsia="Arial" w:hAnsi="Arial"/>
          <w:sz w:val="19"/>
          <w:szCs w:val="19"/>
          <w:color w:val="auto"/>
        </w:rPr>
        <w:t xml:space="preserve"> or contact his or her local human resources representative to request a copy of the Privacy Notice. Please contact </w:t>
      </w:r>
      <w:r>
        <w:rPr>
          <w:rFonts w:ascii="Arial" w:cs="Arial" w:eastAsia="Arial" w:hAnsi="Arial"/>
          <w:sz w:val="19"/>
          <w:szCs w:val="19"/>
          <w:u w:val="single" w:color="auto"/>
          <w:color w:val="0000FF"/>
        </w:rPr>
        <w:t>ethics@bah.com</w:t>
      </w:r>
      <w:r>
        <w:rPr>
          <w:rFonts w:ascii="Arial" w:cs="Arial" w:eastAsia="Arial" w:hAnsi="Arial"/>
          <w:sz w:val="19"/>
          <w:szCs w:val="19"/>
          <w:color w:val="auto"/>
        </w:rPr>
        <w:t xml:space="preserve"> if the Participant has any questions or concerns about how the Company or its subsidiaries and affiliates process personally identifiable information.</w:t>
      </w:r>
    </w:p>
    <w:p>
      <w:pPr>
        <w:spacing w:after="0" w:line="184" w:lineRule="exact"/>
        <w:rPr>
          <w:rFonts w:ascii="Arial" w:cs="Arial" w:eastAsia="Arial" w:hAnsi="Arial"/>
          <w:sz w:val="19"/>
          <w:szCs w:val="19"/>
          <w:color w:val="auto"/>
        </w:rPr>
      </w:pPr>
    </w:p>
    <w:p>
      <w:pPr>
        <w:ind w:left="624" w:hanging="624"/>
        <w:spacing w:after="0"/>
        <w:tabs>
          <w:tab w:leader="none" w:pos="624"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43" w:lineRule="exact"/>
        <w:rPr>
          <w:sz w:val="20"/>
          <w:szCs w:val="20"/>
          <w:color w:val="auto"/>
        </w:rPr>
      </w:pPr>
    </w:p>
    <w:p>
      <w:pPr>
        <w:ind w:left="-656" w:right="80" w:firstLine="656"/>
        <w:spacing w:after="0" w:line="238" w:lineRule="auto"/>
        <w:tabs>
          <w:tab w:leader="none" w:pos="637" w:val="left"/>
        </w:tabs>
        <w:numPr>
          <w:ilvl w:val="0"/>
          <w:numId w:val="59"/>
        </w:numPr>
        <w:rPr>
          <w:rFonts w:ascii="Arial" w:cs="Arial" w:eastAsia="Arial" w:hAnsi="Arial"/>
          <w:sz w:val="22"/>
          <w:szCs w:val="22"/>
          <w:color w:val="auto"/>
        </w:rPr>
      </w:pPr>
      <w:r>
        <w:rPr>
          <w:rFonts w:ascii="Arial" w:cs="Arial" w:eastAsia="Arial" w:hAnsi="Arial"/>
          <w:sz w:val="20"/>
          <w:szCs w:val="20"/>
          <w:u w:val="single" w:color="auto"/>
          <w:color w:val="auto"/>
        </w:rPr>
        <w:t>Binding Effect; Benefits</w:t>
      </w:r>
      <w:r>
        <w:rPr>
          <w:rFonts w:ascii="Arial" w:cs="Arial" w:eastAsia="Arial" w:hAnsi="Arial"/>
          <w:sz w:val="20"/>
          <w:szCs w:val="20"/>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98" w:lineRule="exact"/>
        <w:rPr>
          <w:rFonts w:ascii="Arial" w:cs="Arial" w:eastAsia="Arial" w:hAnsi="Arial"/>
          <w:sz w:val="22"/>
          <w:szCs w:val="22"/>
          <w:color w:val="auto"/>
        </w:rPr>
      </w:pPr>
    </w:p>
    <w:p>
      <w:pPr>
        <w:ind w:left="-656" w:right="160" w:firstLine="656"/>
        <w:spacing w:after="0" w:line="250" w:lineRule="auto"/>
        <w:tabs>
          <w:tab w:leader="none" w:pos="628"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No Advice Regarding Grant</w:t>
      </w:r>
      <w:r>
        <w:rPr>
          <w:rFonts w:ascii="Arial" w:cs="Arial" w:eastAsia="Arial" w:hAnsi="Arial"/>
          <w:sz w:val="20"/>
          <w:szCs w:val="20"/>
          <w:color w:val="auto"/>
        </w:rPr>
        <w:t>. The Participant acknowledges that neither the Company nor the Employer are providing any tax, legal or financial advice, nor is the Company or the Employer making any recommendations regarding the Participant’s participation in the Plan. The Participant should</w:t>
      </w:r>
    </w:p>
    <w:p>
      <w:pPr>
        <w:sectPr>
          <w:pgSz w:w="11900" w:h="16838" w:orient="portrait"/>
          <w:cols w:equalWidth="0" w:num="1">
            <w:col w:w="10564"/>
          </w:cols>
          <w:pgMar w:left="976" w:top="1440" w:right="359" w:bottom="1440" w:gutter="0" w:footer="0" w:header="0"/>
        </w:sectPr>
      </w:pPr>
    </w:p>
    <w:bookmarkStart w:id="59" w:name="page60"/>
    <w:bookmarkEnd w:id="59"/>
    <w:p>
      <w:pPr>
        <w:spacing w:after="0" w:line="195"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consult his or her own personal tax, legal and financial advisors regarding the Participant’s participation in the Plan before taking any action related to the Plan.</w:t>
      </w:r>
    </w:p>
    <w:p>
      <w:pPr>
        <w:spacing w:after="0" w:line="177" w:lineRule="exact"/>
        <w:rPr>
          <w:sz w:val="20"/>
          <w:szCs w:val="20"/>
          <w:color w:val="auto"/>
        </w:rPr>
      </w:pPr>
    </w:p>
    <w:p>
      <w:pPr>
        <w:ind w:firstLine="656"/>
        <w:spacing w:after="0" w:line="255" w:lineRule="auto"/>
        <w:tabs>
          <w:tab w:leader="none" w:pos="1286"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Interpretation</w:t>
      </w:r>
      <w:r>
        <w:rPr>
          <w:rFonts w:ascii="Arial" w:cs="Arial" w:eastAsia="Arial" w:hAnsi="Arial"/>
          <w:sz w:val="19"/>
          <w:szCs w:val="19"/>
          <w:color w:val="auto"/>
        </w:rPr>
        <w:t>. For purposes of this Agreement, if the Participant is not employed by the Company, “</w:t>
      </w:r>
      <w:r>
        <w:rPr>
          <w:rFonts w:ascii="Arial" w:cs="Arial" w:eastAsia="Arial" w:hAnsi="Arial"/>
          <w:sz w:val="19"/>
          <w:szCs w:val="19"/>
          <w:u w:val="single" w:color="auto"/>
          <w:color w:val="auto"/>
        </w:rPr>
        <w:t>Employer</w:t>
      </w:r>
      <w:r>
        <w:rPr>
          <w:rFonts w:ascii="Arial" w:cs="Arial" w:eastAsia="Arial" w:hAnsi="Arial"/>
          <w:sz w:val="19"/>
          <w:szCs w:val="19"/>
          <w:color w:val="auto"/>
        </w:rPr>
        <w:t>” means the Subsidiary that employs the Participant. This Agreement is subject to the terms and conditions of the Plan. In the event of any inconsistency between the provisions of this Agreement and the Plan, the Plan shall govern. The Administrator, acting pursuant to the Plan, as constituted from time to time, shall, except as expressly provided otherwise herein, have the right to determine reasonably and in good faith any questions that arise in connection with this Agreement, and any such determination shall be final, binding and conclusive on all Participants and other individuals claiming any right under the Plan. The failure of the Company or the Participant to insist upon strict performance of any provision hereunder, irrespective of the length of time for which such failure continues, shall not be deemed a waiver of such party’s right to demand strict performance at any time in the future. No consent or waiver, express or implied, to or of any breach or default in the performance of any obligation or provision hereunder shall constitute a consent or waiver to or of any other breach or default in the performance of the same or any other obligation hereunder.</w:t>
      </w:r>
    </w:p>
    <w:p>
      <w:pPr>
        <w:spacing w:after="0" w:line="189" w:lineRule="exact"/>
        <w:rPr>
          <w:rFonts w:ascii="Arial" w:cs="Arial" w:eastAsia="Arial" w:hAnsi="Arial"/>
          <w:sz w:val="19"/>
          <w:szCs w:val="19"/>
          <w:color w:val="auto"/>
        </w:rPr>
      </w:pPr>
    </w:p>
    <w:p>
      <w:pPr>
        <w:ind w:right="60" w:firstLine="656"/>
        <w:spacing w:after="0" w:line="244" w:lineRule="auto"/>
        <w:tabs>
          <w:tab w:leader="none" w:pos="1284"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Country-Specific Provisions</w:t>
      </w:r>
      <w:r>
        <w:rPr>
          <w:rFonts w:ascii="Arial" w:cs="Arial" w:eastAsia="Arial" w:hAnsi="Arial"/>
          <w:sz w:val="20"/>
          <w:szCs w:val="20"/>
          <w:color w:val="auto"/>
        </w:rPr>
        <w:t xml:space="preserve">. The Participant’s participation in the Plan shall be subject to any special terms and conditions set forth in </w:t>
      </w:r>
      <w:r>
        <w:rPr>
          <w:rFonts w:ascii="Arial" w:cs="Arial" w:eastAsia="Arial" w:hAnsi="Arial"/>
          <w:sz w:val="20"/>
          <w:szCs w:val="20"/>
          <w:u w:val="single" w:color="auto"/>
          <w:color w:val="auto"/>
        </w:rPr>
        <w:t>Appendix B</w:t>
      </w:r>
      <w:r>
        <w:rPr>
          <w:rFonts w:ascii="Arial" w:cs="Arial" w:eastAsia="Arial" w:hAnsi="Arial"/>
          <w:sz w:val="20"/>
          <w:szCs w:val="20"/>
          <w:color w:val="auto"/>
        </w:rPr>
        <w:t xml:space="preserve"> attached hereto for the Participant’s country. Moreover, if the Participant relocates to one of the countries included in </w:t>
      </w:r>
      <w:r>
        <w:rPr>
          <w:rFonts w:ascii="Arial" w:cs="Arial" w:eastAsia="Arial" w:hAnsi="Arial"/>
          <w:sz w:val="20"/>
          <w:szCs w:val="20"/>
          <w:u w:val="single" w:color="auto"/>
          <w:color w:val="auto"/>
        </w:rPr>
        <w:t>Appendix B</w:t>
      </w:r>
      <w:r>
        <w:rPr>
          <w:rFonts w:ascii="Arial" w:cs="Arial" w:eastAsia="Arial" w:hAnsi="Arial"/>
          <w:sz w:val="20"/>
          <w:szCs w:val="20"/>
          <w:color w:val="auto"/>
        </w:rPr>
        <w:t xml:space="preserve">, the special terms and conditions for such country will apply to the Participant, to the extent the Company determines that the application of such terms and conditions is necessary or advisable for legal or administrative reasons. </w:t>
      </w:r>
      <w:r>
        <w:rPr>
          <w:rFonts w:ascii="Arial" w:cs="Arial" w:eastAsia="Arial" w:hAnsi="Arial"/>
          <w:sz w:val="20"/>
          <w:szCs w:val="20"/>
          <w:u w:val="single" w:color="auto"/>
          <w:color w:val="auto"/>
        </w:rPr>
        <w:t>Appendix B</w:t>
      </w:r>
      <w:r>
        <w:rPr>
          <w:rFonts w:ascii="Arial" w:cs="Arial" w:eastAsia="Arial" w:hAnsi="Arial"/>
          <w:sz w:val="20"/>
          <w:szCs w:val="20"/>
          <w:color w:val="auto"/>
        </w:rPr>
        <w:t xml:space="preserve"> constitutes part of this Agreement.</w:t>
      </w:r>
    </w:p>
    <w:p>
      <w:pPr>
        <w:spacing w:after="0" w:line="221" w:lineRule="exact"/>
        <w:rPr>
          <w:rFonts w:ascii="Arial" w:cs="Arial" w:eastAsia="Arial" w:hAnsi="Arial"/>
          <w:sz w:val="20"/>
          <w:szCs w:val="20"/>
          <w:color w:val="auto"/>
        </w:rPr>
      </w:pPr>
    </w:p>
    <w:p>
      <w:pPr>
        <w:ind w:right="220" w:firstLine="656"/>
        <w:spacing w:after="0" w:line="238" w:lineRule="auto"/>
        <w:tabs>
          <w:tab w:leader="none" w:pos="1293" w:val="left"/>
        </w:tabs>
        <w:numPr>
          <w:ilvl w:val="0"/>
          <w:numId w:val="60"/>
        </w:numPr>
        <w:rPr>
          <w:rFonts w:ascii="Arial" w:cs="Arial" w:eastAsia="Arial" w:hAnsi="Arial"/>
          <w:sz w:val="22"/>
          <w:szCs w:val="22"/>
          <w:color w:val="auto"/>
        </w:rPr>
      </w:pPr>
      <w:r>
        <w:rPr>
          <w:rFonts w:ascii="Arial" w:cs="Arial" w:eastAsia="Arial" w:hAnsi="Arial"/>
          <w:sz w:val="20"/>
          <w:szCs w:val="20"/>
          <w:u w:val="single" w:color="auto"/>
          <w:color w:val="auto"/>
        </w:rPr>
        <w:t>Other Requirements</w:t>
      </w:r>
      <w:r>
        <w:rPr>
          <w:rFonts w:ascii="Arial" w:cs="Arial" w:eastAsia="Arial" w:hAnsi="Arial"/>
          <w:sz w:val="20"/>
          <w:szCs w:val="20"/>
          <w:color w:val="auto"/>
        </w:rPr>
        <w:t>. The Company reserves the right to impose other requirements on the Participant’s participation in the Plan and on any shares of Company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198" w:lineRule="exact"/>
        <w:rPr>
          <w:rFonts w:ascii="Arial" w:cs="Arial" w:eastAsia="Arial" w:hAnsi="Arial"/>
          <w:sz w:val="22"/>
          <w:szCs w:val="22"/>
          <w:color w:val="auto"/>
        </w:rPr>
      </w:pPr>
    </w:p>
    <w:p>
      <w:pPr>
        <w:ind w:right="300" w:firstLine="656"/>
        <w:spacing w:after="0" w:line="291" w:lineRule="auto"/>
        <w:tabs>
          <w:tab w:leader="none" w:pos="129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Participant acknowledges that the Company is organized under the laws of the State of Delaware, U.S.A. The Participant and the Company agree that this Agreement shall be construed in accordance with and governed by the laws of the State of Delaware, U.S.A., without reference to principles of conflict of laws that would apply the laws of any other jurisdiction.</w:t>
      </w:r>
    </w:p>
    <w:p>
      <w:pPr>
        <w:spacing w:after="0" w:line="178" w:lineRule="exact"/>
        <w:rPr>
          <w:rFonts w:ascii="Arial" w:cs="Arial" w:eastAsia="Arial" w:hAnsi="Arial"/>
          <w:sz w:val="18"/>
          <w:szCs w:val="18"/>
          <w:color w:val="auto"/>
        </w:rPr>
      </w:pPr>
    </w:p>
    <w:p>
      <w:pPr>
        <w:ind w:right="100" w:firstLine="656"/>
        <w:spacing w:after="0" w:line="270" w:lineRule="auto"/>
        <w:tabs>
          <w:tab w:leader="none" w:pos="1291" w:val="left"/>
        </w:tabs>
        <w:numPr>
          <w:ilvl w:val="0"/>
          <w:numId w:val="60"/>
        </w:numPr>
        <w:rPr>
          <w:rFonts w:ascii="Arial" w:cs="Arial" w:eastAsia="Arial" w:hAnsi="Arial"/>
          <w:sz w:val="19"/>
          <w:szCs w:val="19"/>
          <w:color w:val="auto"/>
        </w:rPr>
      </w:pPr>
      <w:r>
        <w:rPr>
          <w:rFonts w:ascii="Arial" w:cs="Arial" w:eastAsia="Arial" w:hAnsi="Arial"/>
          <w:sz w:val="18"/>
          <w:szCs w:val="18"/>
          <w:u w:val="single" w:color="auto"/>
          <w:color w:val="auto"/>
        </w:rPr>
        <w:t>Forum Selection</w:t>
      </w:r>
      <w:r>
        <w:rPr>
          <w:rFonts w:ascii="Arial" w:cs="Arial" w:eastAsia="Arial" w:hAnsi="Arial"/>
          <w:sz w:val="18"/>
          <w:szCs w:val="18"/>
          <w:color w:val="auto"/>
        </w:rPr>
        <w:t>. The Participant acknowledges that the Company’s principal place of business is in, and a substantial portion of the Company’s business is based out of, the Commonwealth of Virginia, U.S.A. The Participant also acknowledges that, as such, during the course of the Participant’s service with the Company and its Subsidiaries, the Participant shall have substantial contacts with the Commonwealth of Virginia, U.S.A.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U.S.A.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ectPr>
          <w:pgSz w:w="11900" w:h="16838" w:orient="portrait"/>
          <w:cols w:equalWidth="0" w:num="1">
            <w:col w:w="11240"/>
          </w:cols>
          <w:pgMar w:left="320" w:top="1440" w:right="339" w:bottom="1440" w:gutter="0" w:footer="0" w:header="0"/>
        </w:sectPr>
      </w:pPr>
    </w:p>
    <w:bookmarkStart w:id="60" w:name="page61"/>
    <w:bookmarkEnd w:id="60"/>
    <w:p>
      <w:pPr>
        <w:spacing w:after="0" w:line="6" w:lineRule="exact"/>
        <w:rPr>
          <w:sz w:val="20"/>
          <w:szCs w:val="20"/>
          <w:color w:val="auto"/>
        </w:rPr>
      </w:pPr>
    </w:p>
    <w:p>
      <w:pPr>
        <w:ind w:right="560" w:firstLine="656"/>
        <w:spacing w:after="0" w:line="238" w:lineRule="auto"/>
        <w:tabs>
          <w:tab w:leader="none" w:pos="1291" w:val="left"/>
        </w:tabs>
        <w:numPr>
          <w:ilvl w:val="0"/>
          <w:numId w:val="61"/>
        </w:numPr>
        <w:rPr>
          <w:rFonts w:ascii="Arial" w:cs="Arial" w:eastAsia="Arial" w:hAnsi="Arial"/>
          <w:sz w:val="22"/>
          <w:szCs w:val="22"/>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not be amended, modified or supplemented orally, but only by a written instrument executed by the Participant and the Company.</w:t>
      </w:r>
    </w:p>
    <w:p>
      <w:pPr>
        <w:spacing w:after="0" w:line="196" w:lineRule="exact"/>
        <w:rPr>
          <w:rFonts w:ascii="Arial" w:cs="Arial" w:eastAsia="Arial" w:hAnsi="Arial"/>
          <w:sz w:val="22"/>
          <w:szCs w:val="22"/>
          <w:color w:val="auto"/>
        </w:rPr>
      </w:pPr>
    </w:p>
    <w:p>
      <w:pPr>
        <w:ind w:right="260" w:firstLine="656"/>
        <w:spacing w:after="0" w:line="291" w:lineRule="auto"/>
        <w:tabs>
          <w:tab w:leader="none" w:pos="1294"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may assign all or any portion of its rights or obligations under this Agreement to one or more persons or other entities designated by it.</w:t>
      </w:r>
    </w:p>
    <w:p>
      <w:pPr>
        <w:spacing w:after="0" w:line="178" w:lineRule="exact"/>
        <w:rPr>
          <w:rFonts w:ascii="Arial" w:cs="Arial" w:eastAsia="Arial" w:hAnsi="Arial"/>
          <w:sz w:val="18"/>
          <w:szCs w:val="18"/>
          <w:color w:val="auto"/>
        </w:rPr>
      </w:pPr>
    </w:p>
    <w:p>
      <w:pPr>
        <w:ind w:right="180" w:firstLine="656"/>
        <w:spacing w:after="0" w:line="238" w:lineRule="auto"/>
        <w:tabs>
          <w:tab w:leader="none" w:pos="1284" w:val="left"/>
        </w:tabs>
        <w:numPr>
          <w:ilvl w:val="0"/>
          <w:numId w:val="61"/>
        </w:numPr>
        <w:rPr>
          <w:rFonts w:ascii="Arial" w:cs="Arial" w:eastAsia="Arial" w:hAnsi="Arial"/>
          <w:sz w:val="22"/>
          <w:szCs w:val="22"/>
          <w:color w:val="auto"/>
        </w:rPr>
      </w:pPr>
      <w:r>
        <w:rPr>
          <w:rFonts w:ascii="Arial" w:cs="Arial" w:eastAsia="Arial" w:hAnsi="Arial"/>
          <w:sz w:val="20"/>
          <w:szCs w:val="20"/>
          <w:u w:val="single" w:color="auto"/>
          <w:color w:val="auto"/>
        </w:rPr>
        <w:t>Severability; Blue Pencil</w:t>
      </w:r>
      <w:r>
        <w:rPr>
          <w:rFonts w:ascii="Arial" w:cs="Arial" w:eastAsia="Arial" w:hAnsi="Arial"/>
          <w:sz w:val="20"/>
          <w:szCs w:val="20"/>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197" w:lineRule="exact"/>
        <w:rPr>
          <w:rFonts w:ascii="Arial" w:cs="Arial" w:eastAsia="Arial" w:hAnsi="Arial"/>
          <w:sz w:val="22"/>
          <w:szCs w:val="22"/>
          <w:color w:val="auto"/>
        </w:rPr>
      </w:pPr>
    </w:p>
    <w:p>
      <w:pPr>
        <w:ind w:right="80" w:firstLine="656"/>
        <w:spacing w:after="0" w:line="244" w:lineRule="auto"/>
        <w:tabs>
          <w:tab w:leader="none" w:pos="1284"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Consent to Electronic Delivery</w:t>
      </w:r>
      <w:r>
        <w:rPr>
          <w:rFonts w:ascii="Arial" w:cs="Arial" w:eastAsia="Arial" w:hAnsi="Arial"/>
          <w:sz w:val="20"/>
          <w:szCs w:val="20"/>
          <w:color w:val="auto"/>
        </w:rPr>
        <w:t>. By entering into this Agreement and accepting the Restricted Stock Units evidenced hereby, Participant hereby consents to the delivery of information (including, without limitation, information required to be delivered to the Participant pursuant to applicable securities laws) regarding the Company and the Subsidiaries, the Plan, this Agreement and the Restricted Stock Units via Company website, the Fidelity NetBenefits website or any other online access system of the Company’s third party Plan administrator, email or other electronic delivery.</w:t>
      </w:r>
    </w:p>
    <w:p>
      <w:pPr>
        <w:spacing w:after="0" w:line="221" w:lineRule="exact"/>
        <w:rPr>
          <w:rFonts w:ascii="Arial" w:cs="Arial" w:eastAsia="Arial" w:hAnsi="Arial"/>
          <w:sz w:val="20"/>
          <w:szCs w:val="20"/>
          <w:color w:val="auto"/>
        </w:rPr>
      </w:pPr>
    </w:p>
    <w:p>
      <w:pPr>
        <w:ind w:right="40" w:firstLine="656"/>
        <w:spacing w:after="0" w:line="253" w:lineRule="auto"/>
        <w:tabs>
          <w:tab w:leader="none" w:pos="1284" w:val="left"/>
        </w:tabs>
        <w:numPr>
          <w:ilvl w:val="0"/>
          <w:numId w:val="61"/>
        </w:numPr>
        <w:rPr>
          <w:rFonts w:ascii="Arial" w:cs="Arial" w:eastAsia="Arial" w:hAnsi="Arial"/>
          <w:sz w:val="21"/>
          <w:szCs w:val="21"/>
          <w:color w:val="auto"/>
        </w:rPr>
      </w:pPr>
      <w:r>
        <w:rPr>
          <w:rFonts w:ascii="Arial" w:cs="Arial" w:eastAsia="Arial" w:hAnsi="Arial"/>
          <w:sz w:val="19"/>
          <w:szCs w:val="19"/>
          <w:u w:val="single" w:color="auto"/>
          <w:color w:val="auto"/>
        </w:rPr>
        <w:t>Section 409A of the Code</w:t>
      </w:r>
      <w:r>
        <w:rPr>
          <w:rFonts w:ascii="Arial" w:cs="Arial" w:eastAsia="Arial" w:hAnsi="Arial"/>
          <w:sz w:val="19"/>
          <w:szCs w:val="19"/>
          <w:color w:val="auto"/>
        </w:rPr>
        <w:t>. This Agreement is intended to be administered in a manner consistent with the requirements, where applicable, of Section 409A of the Code and the regulations promulgated thereunder (“</w:t>
      </w:r>
      <w:r>
        <w:rPr>
          <w:rFonts w:ascii="Arial" w:cs="Arial" w:eastAsia="Arial" w:hAnsi="Arial"/>
          <w:sz w:val="19"/>
          <w:szCs w:val="19"/>
          <w:u w:val="single" w:color="auto"/>
          <w:color w:val="auto"/>
        </w:rPr>
        <w:t>Section 409A</w:t>
      </w:r>
      <w:r>
        <w:rPr>
          <w:rFonts w:ascii="Arial" w:cs="Arial" w:eastAsia="Arial" w:hAnsi="Arial"/>
          <w:sz w:val="19"/>
          <w:szCs w:val="19"/>
          <w:color w:val="auto"/>
        </w:rPr>
        <w:t>”). Where reasonably practicable, the Agreement shall be administered in a manner to avoid the imposition on the Participant of immediate tax recognition and additional taxes pursuant to Section 409A. In addition, to the extent permissible under Section 409A, any series of installment payments under this Agreement shall be treated as a right to a series of separate payments. Notwithstanding the foregoing, the Company shall not have any liability to any Person in the event Section 409A applies to any payment hereunder in a manner that results in adverse tax consequences to the Participant or any of the Participant’s beneficiaries.</w:t>
      </w:r>
    </w:p>
    <w:p>
      <w:pPr>
        <w:spacing w:after="0" w:line="186" w:lineRule="exact"/>
        <w:rPr>
          <w:rFonts w:ascii="Arial" w:cs="Arial" w:eastAsia="Arial" w:hAnsi="Arial"/>
          <w:sz w:val="21"/>
          <w:szCs w:val="21"/>
          <w:color w:val="auto"/>
        </w:rPr>
      </w:pPr>
    </w:p>
    <w:p>
      <w:pPr>
        <w:ind w:firstLine="656"/>
        <w:spacing w:after="0" w:line="272" w:lineRule="auto"/>
        <w:tabs>
          <w:tab w:leader="none" w:pos="1285"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Specified Employee Delay</w:t>
      </w:r>
      <w:r>
        <w:rPr>
          <w:rFonts w:ascii="Arial" w:cs="Arial" w:eastAsia="Arial" w:hAnsi="Arial"/>
          <w:sz w:val="18"/>
          <w:szCs w:val="18"/>
          <w:color w:val="auto"/>
        </w:rPr>
        <w:t>. If the Participant is deemed a “specified employee” within the meaning of Section 409A, as determined by the Committee, at a time when the Participant becomes eligible for settlement of the Restricted Stock Units upon his or her “separation from service” within the meaning of Section 409A, then to the extent necessary to prevent any accelerated or additional tax under Section 409A, such settlement will be delayed until the earlier of: (</w:t>
      </w:r>
      <w:r>
        <w:rPr>
          <w:rFonts w:ascii="Arial" w:cs="Arial" w:eastAsia="Arial" w:hAnsi="Arial"/>
          <w:sz w:val="18"/>
          <w:szCs w:val="18"/>
          <w:u w:val="single" w:color="auto"/>
          <w:color w:val="auto"/>
        </w:rPr>
        <w:t>a</w:t>
      </w:r>
      <w:r>
        <w:rPr>
          <w:rFonts w:ascii="Arial" w:cs="Arial" w:eastAsia="Arial" w:hAnsi="Arial"/>
          <w:sz w:val="18"/>
          <w:szCs w:val="18"/>
          <w:color w:val="auto"/>
        </w:rPr>
        <w:t>) the date that is six months following the Participant’s termination of service and (</w:t>
      </w:r>
      <w:r>
        <w:rPr>
          <w:rFonts w:ascii="Arial" w:cs="Arial" w:eastAsia="Arial" w:hAnsi="Arial"/>
          <w:sz w:val="18"/>
          <w:szCs w:val="18"/>
          <w:u w:val="single" w:color="auto"/>
          <w:color w:val="auto"/>
        </w:rPr>
        <w:t>b</w:t>
      </w:r>
      <w:r>
        <w:rPr>
          <w:rFonts w:ascii="Arial" w:cs="Arial" w:eastAsia="Arial" w:hAnsi="Arial"/>
          <w:sz w:val="18"/>
          <w:szCs w:val="18"/>
          <w:color w:val="auto"/>
        </w:rPr>
        <w:t>) the Participant’s death. Notwithstanding anything to the contrary in this Agreement, if settlement is to occur upon a termination of service other than due to death or Disability and the Participant is a specified employee, to the extent necessary to comply with, and avoid imposition on the Participant of any additional tax or interest imposed under, Section 409A, settlement shall instead occur on the first business day following the six-month anniversary of the Participant’s termination of service (or, if earlier, upon the Participant’s death), or as soon thereafter as practicable (but no later than 90 days thereafter).</w:t>
      </w:r>
    </w:p>
    <w:p>
      <w:pPr>
        <w:spacing w:after="0" w:line="197" w:lineRule="exact"/>
        <w:rPr>
          <w:rFonts w:ascii="Arial" w:cs="Arial" w:eastAsia="Arial" w:hAnsi="Arial"/>
          <w:sz w:val="18"/>
          <w:szCs w:val="18"/>
          <w:color w:val="auto"/>
        </w:rPr>
      </w:pPr>
    </w:p>
    <w:p>
      <w:pPr>
        <w:ind w:right="400" w:firstLine="656"/>
        <w:spacing w:after="0" w:line="238" w:lineRule="auto"/>
        <w:tabs>
          <w:tab w:leader="none" w:pos="1291" w:val="left"/>
        </w:tabs>
        <w:numPr>
          <w:ilvl w:val="0"/>
          <w:numId w:val="61"/>
        </w:numPr>
        <w:rPr>
          <w:rFonts w:ascii="Arial" w:cs="Arial" w:eastAsia="Arial" w:hAnsi="Arial"/>
          <w:sz w:val="22"/>
          <w:szCs w:val="22"/>
          <w:color w:val="auto"/>
        </w:rPr>
      </w:pPr>
      <w:r>
        <w:rPr>
          <w:rFonts w:ascii="Arial" w:cs="Arial" w:eastAsia="Arial" w:hAnsi="Arial"/>
          <w:sz w:val="20"/>
          <w:szCs w:val="20"/>
          <w:u w:val="single" w:color="auto"/>
          <w:color w:val="auto"/>
        </w:rPr>
        <w:t>Headings and Captions</w:t>
      </w:r>
      <w:r>
        <w:rPr>
          <w:rFonts w:ascii="Arial" w:cs="Arial" w:eastAsia="Arial" w:hAnsi="Arial"/>
          <w:sz w:val="20"/>
          <w:szCs w:val="20"/>
          <w:color w:val="auto"/>
        </w:rPr>
        <w:t>. The section and other headings contained in this Agreement are for reference purposes only and shall not affect the meaning or interpretation of this Agreement.</w:t>
      </w:r>
    </w:p>
    <w:p>
      <w:pPr>
        <w:spacing w:after="0" w:line="196" w:lineRule="exact"/>
        <w:rPr>
          <w:rFonts w:ascii="Arial" w:cs="Arial" w:eastAsia="Arial" w:hAnsi="Arial"/>
          <w:sz w:val="22"/>
          <w:szCs w:val="22"/>
          <w:color w:val="auto"/>
        </w:rPr>
      </w:pPr>
    </w:p>
    <w:p>
      <w:pPr>
        <w:ind w:left="1300" w:hanging="644"/>
        <w:spacing w:after="0"/>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under this Agreement shall be (</w:t>
      </w:r>
      <w:r>
        <w:rPr>
          <w:rFonts w:ascii="Arial" w:cs="Arial" w:eastAsia="Arial" w:hAnsi="Arial"/>
          <w:sz w:val="18"/>
          <w:szCs w:val="18"/>
          <w:u w:val="single" w:color="auto"/>
          <w:color w:val="auto"/>
        </w:rPr>
        <w:t>i</w:t>
      </w:r>
      <w:r>
        <w:rPr>
          <w:rFonts w:ascii="Arial" w:cs="Arial" w:eastAsia="Arial" w:hAnsi="Arial"/>
          <w:sz w:val="18"/>
          <w:szCs w:val="18"/>
          <w:color w:val="auto"/>
        </w:rPr>
        <w:t>) delivered by hand, (</w:t>
      </w:r>
      <w:r>
        <w:rPr>
          <w:rFonts w:ascii="Arial" w:cs="Arial" w:eastAsia="Arial" w:hAnsi="Arial"/>
          <w:sz w:val="18"/>
          <w:szCs w:val="18"/>
          <w:u w:val="single" w:color="auto"/>
          <w:color w:val="auto"/>
        </w:rPr>
        <w:t>ii</w:t>
      </w:r>
      <w:r>
        <w:rPr>
          <w:rFonts w:ascii="Arial" w:cs="Arial" w:eastAsia="Arial" w:hAnsi="Arial"/>
          <w:sz w:val="18"/>
          <w:szCs w:val="18"/>
          <w:color w:val="auto"/>
        </w:rPr>
        <w:t>) sent by commercial overnight courier service,</w:t>
      </w:r>
    </w:p>
    <w:p>
      <w:pPr>
        <w:spacing w:after="0" w:line="39" w:lineRule="exact"/>
        <w:rPr>
          <w:sz w:val="20"/>
          <w:szCs w:val="20"/>
          <w:color w:val="auto"/>
        </w:rPr>
      </w:pPr>
    </w:p>
    <w:p>
      <w:pPr>
        <w:ind w:right="480"/>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iii</w:t>
      </w:r>
      <w:r>
        <w:rPr>
          <w:rFonts w:ascii="Arial" w:cs="Arial" w:eastAsia="Arial" w:hAnsi="Arial"/>
          <w:sz w:val="20"/>
          <w:szCs w:val="20"/>
          <w:color w:val="auto"/>
        </w:rPr>
        <w:t>) sent by registered or certified mail, return receipt requested, and first-class postage prepaid, (</w:t>
      </w:r>
      <w:r>
        <w:rPr>
          <w:rFonts w:ascii="Arial" w:cs="Arial" w:eastAsia="Arial" w:hAnsi="Arial"/>
          <w:sz w:val="20"/>
          <w:szCs w:val="20"/>
          <w:u w:val="single" w:color="auto"/>
          <w:color w:val="auto"/>
        </w:rPr>
        <w:t>iv</w:t>
      </w:r>
      <w:r>
        <w:rPr>
          <w:rFonts w:ascii="Arial" w:cs="Arial" w:eastAsia="Arial" w:hAnsi="Arial"/>
          <w:sz w:val="20"/>
          <w:szCs w:val="20"/>
          <w:color w:val="auto"/>
        </w:rPr>
        <w:t>) sent by e-mail or any other form of electronic transfer or delivery</w:t>
      </w:r>
    </w:p>
    <w:p>
      <w:pPr>
        <w:sectPr>
          <w:pgSz w:w="11900" w:h="16838" w:orient="portrait"/>
          <w:cols w:equalWidth="0" w:num="1">
            <w:col w:w="11220"/>
          </w:cols>
          <w:pgMar w:left="320" w:top="1440" w:right="359" w:bottom="1440" w:gutter="0" w:footer="0" w:header="0"/>
        </w:sectPr>
      </w:pPr>
    </w:p>
    <w:bookmarkStart w:id="61" w:name="page62"/>
    <w:bookmarkEnd w:id="61"/>
    <w:p>
      <w:pPr>
        <w:spacing w:after="0" w:line="195" w:lineRule="exact"/>
        <w:rPr>
          <w:sz w:val="20"/>
          <w:szCs w:val="20"/>
          <w:color w:val="auto"/>
        </w:rPr>
      </w:pPr>
    </w:p>
    <w:p>
      <w:pPr>
        <w:spacing w:after="0" w:line="316" w:lineRule="auto"/>
        <w:rPr>
          <w:sz w:val="20"/>
          <w:szCs w:val="20"/>
          <w:color w:val="auto"/>
        </w:rPr>
      </w:pPr>
      <w:r>
        <w:rPr>
          <w:rFonts w:ascii="Arial" w:cs="Arial" w:eastAsia="Arial" w:hAnsi="Arial"/>
          <w:sz w:val="18"/>
          <w:szCs w:val="18"/>
          <w:color w:val="auto"/>
        </w:rPr>
        <w:t>approved by the Administrator, or (</w:t>
      </w:r>
      <w:r>
        <w:rPr>
          <w:rFonts w:ascii="Arial" w:cs="Arial" w:eastAsia="Arial" w:hAnsi="Arial"/>
          <w:sz w:val="18"/>
          <w:szCs w:val="18"/>
          <w:u w:val="single" w:color="auto"/>
          <w:color w:val="auto"/>
        </w:rPr>
        <w:t>v</w:t>
      </w:r>
      <w:r>
        <w:rPr>
          <w:rFonts w:ascii="Arial" w:cs="Arial" w:eastAsia="Arial" w:hAnsi="Arial"/>
          <w:sz w:val="18"/>
          <w:szCs w:val="18"/>
          <w:color w:val="auto"/>
        </w:rPr>
        <w:t>) faxed, in each case to the parties at their respective addresses and facsimile numbers set forth in the records of the Company or at such other address or facsimile number as may be designated in a notice by either party to the other.</w:t>
      </w:r>
    </w:p>
    <w:p>
      <w:pPr>
        <w:spacing w:after="0" w:line="157" w:lineRule="exact"/>
        <w:rPr>
          <w:sz w:val="20"/>
          <w:szCs w:val="20"/>
          <w:color w:val="auto"/>
        </w:rPr>
      </w:pPr>
    </w:p>
    <w:p>
      <w:pPr>
        <w:ind w:right="180" w:firstLine="656"/>
        <w:spacing w:after="0" w:line="238" w:lineRule="auto"/>
        <w:tabs>
          <w:tab w:leader="none" w:pos="1291" w:val="left"/>
        </w:tabs>
        <w:numPr>
          <w:ilvl w:val="0"/>
          <w:numId w:val="62"/>
        </w:numPr>
        <w:rPr>
          <w:rFonts w:ascii="Arial" w:cs="Arial" w:eastAsia="Arial" w:hAnsi="Arial"/>
          <w:sz w:val="22"/>
          <w:szCs w:val="22"/>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each of which shall be deemed to be an original and all of which together shall constitute one and the same instrument.</w:t>
      </w:r>
    </w:p>
    <w:p>
      <w:pPr>
        <w:sectPr>
          <w:pgSz w:w="11900" w:h="16838" w:orient="portrait"/>
          <w:cols w:equalWidth="0" w:num="1">
            <w:col w:w="10900"/>
          </w:cols>
          <w:pgMar w:left="320" w:top="1440" w:right="679" w:bottom="1440" w:gutter="0" w:footer="0" w:header="0"/>
        </w:sectPr>
      </w:pPr>
    </w:p>
    <w:bookmarkStart w:id="62" w:name="page63"/>
    <w:bookmarkEnd w:id="62"/>
    <w:p>
      <w:pPr>
        <w:jc w:val="right"/>
        <w:spacing w:after="0"/>
        <w:rPr>
          <w:sz w:val="20"/>
          <w:szCs w:val="20"/>
          <w:color w:val="auto"/>
        </w:rPr>
      </w:pPr>
      <w:r>
        <w:rPr>
          <w:rFonts w:ascii="Arial" w:cs="Arial" w:eastAsia="Arial" w:hAnsi="Arial"/>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Agreement</w:t>
      </w:r>
    </w:p>
    <w:p>
      <w:pPr>
        <w:spacing w:after="0" w:line="226" w:lineRule="exact"/>
        <w:rPr>
          <w:sz w:val="20"/>
          <w:szCs w:val="20"/>
          <w:color w:val="auto"/>
        </w:rPr>
      </w:pPr>
    </w:p>
    <w:p>
      <w:pPr>
        <w:jc w:val="both"/>
        <w:ind w:right="180" w:firstLine="648"/>
        <w:spacing w:after="0" w:line="265" w:lineRule="auto"/>
        <w:rPr>
          <w:sz w:val="20"/>
          <w:szCs w:val="20"/>
          <w:color w:val="auto"/>
        </w:rPr>
      </w:pPr>
      <w:r>
        <w:rPr>
          <w:rFonts w:ascii="Arial" w:cs="Arial" w:eastAsia="Arial" w:hAnsi="Arial"/>
          <w:sz w:val="21"/>
          <w:szCs w:val="21"/>
          <w:color w:val="auto"/>
        </w:rPr>
        <w:t>This Restricted Stock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the Grant Date, between Booz Allen Hamilton Holding Corporation,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and the participant (the “</w:t>
      </w:r>
      <w:r>
        <w:rPr>
          <w:rFonts w:ascii="Arial" w:cs="Arial" w:eastAsia="Arial" w:hAnsi="Arial"/>
          <w:sz w:val="21"/>
          <w:szCs w:val="21"/>
          <w:u w:val="single" w:color="auto"/>
          <w:color w:val="auto"/>
        </w:rPr>
        <w:t>Participant</w:t>
      </w:r>
      <w:r>
        <w:rPr>
          <w:rFonts w:ascii="Arial" w:cs="Arial" w:eastAsia="Arial" w:hAnsi="Arial"/>
          <w:sz w:val="21"/>
          <w:szCs w:val="21"/>
          <w:color w:val="auto"/>
        </w:rPr>
        <w:t>”), is being entered into pursuant to the Third Amended and Restated Equity Incentive Plan of Booz Allen Hamilton Holding Corporation (the “</w:t>
      </w:r>
      <w:r>
        <w:rPr>
          <w:rFonts w:ascii="Arial" w:cs="Arial" w:eastAsia="Arial" w:hAnsi="Arial"/>
          <w:sz w:val="21"/>
          <w:szCs w:val="21"/>
          <w:u w:val="single" w:color="auto"/>
          <w:color w:val="auto"/>
        </w:rPr>
        <w:t>Plan</w:t>
      </w:r>
      <w:r>
        <w:rPr>
          <w:rFonts w:ascii="Arial" w:cs="Arial" w:eastAsia="Arial" w:hAnsi="Arial"/>
          <w:sz w:val="21"/>
          <w:szCs w:val="21"/>
          <w:color w:val="auto"/>
        </w:rPr>
        <w:t>”). Capitalized terms used herein without definition have the meaning given in the Plan.</w:t>
      </w:r>
    </w:p>
    <w:p>
      <w:pPr>
        <w:spacing w:after="0" w:line="175" w:lineRule="exact"/>
        <w:rPr>
          <w:sz w:val="20"/>
          <w:szCs w:val="20"/>
          <w:color w:val="auto"/>
        </w:rPr>
      </w:pPr>
    </w:p>
    <w:p>
      <w:pPr>
        <w:ind w:left="660" w:right="320" w:hanging="652"/>
        <w:spacing w:after="0" w:line="292" w:lineRule="auto"/>
        <w:tabs>
          <w:tab w:leader="none" w:pos="660" w:val="left"/>
        </w:tabs>
        <w:numPr>
          <w:ilvl w:val="0"/>
          <w:numId w:val="63"/>
        </w:numPr>
        <w:rPr>
          <w:rFonts w:ascii="Arial" w:cs="Arial" w:eastAsia="Arial" w:hAnsi="Arial"/>
          <w:sz w:val="19"/>
          <w:szCs w:val="19"/>
          <w:color w:val="auto"/>
        </w:rPr>
      </w:pPr>
      <w:r>
        <w:rPr>
          <w:rFonts w:ascii="Arial" w:cs="Arial" w:eastAsia="Arial" w:hAnsi="Arial"/>
          <w:sz w:val="19"/>
          <w:szCs w:val="19"/>
          <w:u w:val="single" w:color="auto"/>
          <w:color w:val="auto"/>
        </w:rPr>
        <w:t>Grant of Restricted Shares</w:t>
      </w:r>
      <w:r>
        <w:rPr>
          <w:rFonts w:ascii="Arial" w:cs="Arial" w:eastAsia="Arial" w:hAnsi="Arial"/>
          <w:sz w:val="19"/>
          <w:szCs w:val="19"/>
          <w:color w:val="auto"/>
        </w:rPr>
        <w:t>. Subject to the terms and conditions of this Agreement and the Plan, the Company hereby evidences and confirms its grant to the Participant, effective as of the Grant Date a number of shares of restricted stock (the “</w:t>
      </w:r>
      <w:r>
        <w:rPr>
          <w:rFonts w:ascii="Arial" w:cs="Arial" w:eastAsia="Arial" w:hAnsi="Arial"/>
          <w:sz w:val="19"/>
          <w:szCs w:val="19"/>
          <w:u w:val="single" w:color="auto"/>
          <w:color w:val="auto"/>
        </w:rPr>
        <w:t>Restricted Shares</w:t>
      </w:r>
      <w:r>
        <w:rPr>
          <w:rFonts w:ascii="Arial" w:cs="Arial" w:eastAsia="Arial" w:hAnsi="Arial"/>
          <w:sz w:val="19"/>
          <w:szCs w:val="19"/>
          <w:color w:val="auto"/>
        </w:rPr>
        <w:t>”). Upon grant, the Company shall record the Restricted Shares in the books and records of the Company or a certificate of Shares will be issued, which entry or certificate shall bear the legends set forth in Section 5(b). Any certificate issued in respect of the Restricted Shares will be delivered on behalf of the Participant to the Secretary of the Company, to be held in custody until the later of the date (</w:t>
      </w:r>
      <w:r>
        <w:rPr>
          <w:rFonts w:ascii="Arial" w:cs="Arial" w:eastAsia="Arial" w:hAnsi="Arial"/>
          <w:sz w:val="19"/>
          <w:szCs w:val="19"/>
          <w:u w:val="single" w:color="auto"/>
          <w:color w:val="auto"/>
        </w:rPr>
        <w:t>i</w:t>
      </w:r>
      <w:r>
        <w:rPr>
          <w:rFonts w:ascii="Arial" w:cs="Arial" w:eastAsia="Arial" w:hAnsi="Arial"/>
          <w:sz w:val="19"/>
          <w:szCs w:val="19"/>
          <w:color w:val="auto"/>
        </w:rPr>
        <w:t>) they become vested in accordance with Section 3(a) and (</w:t>
      </w:r>
      <w:r>
        <w:rPr>
          <w:rFonts w:ascii="Arial" w:cs="Arial" w:eastAsia="Arial" w:hAnsi="Arial"/>
          <w:sz w:val="19"/>
          <w:szCs w:val="19"/>
          <w:u w:val="single" w:color="auto"/>
          <w:color w:val="auto"/>
        </w:rPr>
        <w:t>ii</w:t>
      </w:r>
      <w:r>
        <w:rPr>
          <w:rFonts w:ascii="Arial" w:cs="Arial" w:eastAsia="Arial" w:hAnsi="Arial"/>
          <w:sz w:val="19"/>
          <w:szCs w:val="19"/>
          <w:color w:val="auto"/>
        </w:rPr>
        <w:t>) the Participant requests such instrument from the Company.</w:t>
      </w:r>
    </w:p>
    <w:p>
      <w:pPr>
        <w:spacing w:after="0" w:line="177" w:lineRule="exact"/>
        <w:rPr>
          <w:rFonts w:ascii="Arial" w:cs="Arial" w:eastAsia="Arial" w:hAnsi="Arial"/>
          <w:sz w:val="19"/>
          <w:szCs w:val="19"/>
          <w:color w:val="auto"/>
        </w:rPr>
      </w:pPr>
    </w:p>
    <w:p>
      <w:pPr>
        <w:ind w:left="660" w:right="20" w:hanging="652"/>
        <w:spacing w:after="0" w:line="247" w:lineRule="auto"/>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Forfeiture Risk</w:t>
      </w:r>
      <w:r>
        <w:rPr>
          <w:rFonts w:ascii="Arial" w:cs="Arial" w:eastAsia="Arial" w:hAnsi="Arial"/>
          <w:sz w:val="22"/>
          <w:szCs w:val="22"/>
          <w:color w:val="auto"/>
        </w:rPr>
        <w:t>. The Participant hereby (</w:t>
      </w:r>
      <w:r>
        <w:rPr>
          <w:rFonts w:ascii="Arial" w:cs="Arial" w:eastAsia="Arial" w:hAnsi="Arial"/>
          <w:sz w:val="22"/>
          <w:szCs w:val="22"/>
          <w:u w:val="single" w:color="auto"/>
          <w:color w:val="auto"/>
        </w:rPr>
        <w:t>i</w:t>
      </w:r>
      <w:r>
        <w:rPr>
          <w:rFonts w:ascii="Arial" w:cs="Arial" w:eastAsia="Arial" w:hAnsi="Arial"/>
          <w:sz w:val="22"/>
          <w:szCs w:val="22"/>
          <w:color w:val="auto"/>
        </w:rPr>
        <w:t>) appoints the Company as the limited attorney-in-fact of the Participant to take such actions as may be necessary or appropriate solely to effectuate a transfer of the record ownership of any such shares that are unvested and forfeited hereunder and (</w:t>
      </w:r>
      <w:r>
        <w:rPr>
          <w:rFonts w:ascii="Arial" w:cs="Arial" w:eastAsia="Arial" w:hAnsi="Arial"/>
          <w:sz w:val="22"/>
          <w:szCs w:val="22"/>
          <w:u w:val="single" w:color="auto"/>
          <w:color w:val="auto"/>
        </w:rPr>
        <w:t>ii</w:t>
      </w:r>
      <w:r>
        <w:rPr>
          <w:rFonts w:ascii="Arial" w:cs="Arial" w:eastAsia="Arial" w:hAnsi="Arial"/>
          <w:sz w:val="22"/>
          <w:szCs w:val="22"/>
          <w:color w:val="auto"/>
        </w:rPr>
        <w:t>) agrees to sign such stock powers and take such other actions as the Company may reasonably request to accomplish the transfer of any unvested Restricted Shares that are forfeited hereunder. The Company does hereby indemnify and hold harmless the Participant from any wrongful use of the power of attorney granted above.</w:t>
      </w:r>
    </w:p>
    <w:p>
      <w:pPr>
        <w:spacing w:after="0" w:line="219" w:lineRule="exact"/>
        <w:rPr>
          <w:rFonts w:ascii="Arial" w:cs="Arial" w:eastAsia="Arial" w:hAnsi="Arial"/>
          <w:sz w:val="22"/>
          <w:szCs w:val="22"/>
          <w:color w:val="auto"/>
        </w:rPr>
      </w:pPr>
    </w:p>
    <w:p>
      <w:pPr>
        <w:ind w:left="660" w:hanging="652"/>
        <w:spacing w:after="0"/>
        <w:tabs>
          <w:tab w:leader="none" w:pos="66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Vesting of Restricted Shares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300" w:right="380" w:hanging="644"/>
        <w:spacing w:after="0" w:line="253" w:lineRule="auto"/>
        <w:tabs>
          <w:tab w:leader="none" w:pos="1297"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Restricted Period</w:t>
      </w:r>
      <w:r>
        <w:rPr>
          <w:rFonts w:ascii="Arial" w:cs="Arial" w:eastAsia="Arial" w:hAnsi="Arial"/>
          <w:sz w:val="22"/>
          <w:szCs w:val="22"/>
          <w:color w:val="auto"/>
        </w:rPr>
        <w:t>. Subject to the continued service of the Participant as a Director of the Company through the applicable vesting date, the Restricted Shares granted pursuant to this Agreement shall vest as provided on the Fidelity NetBenefits website at www.netbenefits.com.</w:t>
      </w:r>
    </w:p>
    <w:p>
      <w:pPr>
        <w:spacing w:after="0" w:line="225" w:lineRule="exact"/>
        <w:rPr>
          <w:rFonts w:ascii="Arial" w:cs="Arial" w:eastAsia="Arial" w:hAnsi="Arial"/>
          <w:sz w:val="22"/>
          <w:szCs w:val="22"/>
          <w:color w:val="auto"/>
        </w:rPr>
      </w:pPr>
    </w:p>
    <w:p>
      <w:pPr>
        <w:ind w:left="1300" w:right="300" w:hanging="644"/>
        <w:spacing w:after="0" w:line="253" w:lineRule="auto"/>
        <w:tabs>
          <w:tab w:leader="none" w:pos="1295" w:val="left"/>
        </w:tabs>
        <w:numPr>
          <w:ilvl w:val="1"/>
          <w:numId w:val="63"/>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Notwithstanding anything contained in this Agreement to the contrary, if the Participant’s service as a director of the Company terminates for any reason prior to the applicable vesting date, any unvested Restricted Shares shall be forfeited.</w:t>
      </w:r>
    </w:p>
    <w:p>
      <w:pPr>
        <w:sectPr>
          <w:pgSz w:w="11900" w:h="16838" w:orient="portrait"/>
          <w:cols w:equalWidth="0" w:num="1">
            <w:col w:w="11240"/>
          </w:cols>
          <w:pgMar w:left="320" w:top="132" w:right="339" w:bottom="1440" w:gutter="0" w:footer="0" w:header="0"/>
        </w:sectPr>
      </w:pPr>
    </w:p>
    <w:bookmarkStart w:id="63" w:name="page64"/>
    <w:bookmarkEnd w:id="63"/>
    <w:p>
      <w:pPr>
        <w:spacing w:after="0" w:line="200" w:lineRule="exact"/>
        <w:rPr>
          <w:sz w:val="20"/>
          <w:szCs w:val="20"/>
          <w:color w:val="auto"/>
        </w:rPr>
      </w:pPr>
    </w:p>
    <w:p>
      <w:pPr>
        <w:spacing w:after="0" w:line="301" w:lineRule="exact"/>
        <w:rPr>
          <w:sz w:val="20"/>
          <w:szCs w:val="20"/>
          <w:color w:val="auto"/>
        </w:rPr>
      </w:pPr>
    </w:p>
    <w:p>
      <w:pPr>
        <w:ind w:left="652" w:right="160" w:hanging="652"/>
        <w:spacing w:after="0" w:line="265" w:lineRule="auto"/>
        <w:tabs>
          <w:tab w:leader="none" w:pos="652" w:val="left"/>
        </w:tabs>
        <w:numPr>
          <w:ilvl w:val="0"/>
          <w:numId w:val="64"/>
        </w:numPr>
        <w:rPr>
          <w:rFonts w:ascii="Arial" w:cs="Arial" w:eastAsia="Arial" w:hAnsi="Arial"/>
          <w:sz w:val="21"/>
          <w:szCs w:val="21"/>
          <w:color w:val="auto"/>
        </w:rPr>
      </w:pPr>
      <w:r>
        <w:rPr>
          <w:rFonts w:ascii="Arial" w:cs="Arial" w:eastAsia="Arial" w:hAnsi="Arial"/>
          <w:sz w:val="21"/>
          <w:szCs w:val="21"/>
          <w:u w:val="single" w:color="auto"/>
          <w:color w:val="auto"/>
        </w:rPr>
        <w:t>Restrictions on Transfer</w:t>
      </w:r>
      <w:r>
        <w:rPr>
          <w:rFonts w:ascii="Arial" w:cs="Arial" w:eastAsia="Arial" w:hAnsi="Arial"/>
          <w:sz w:val="21"/>
          <w:szCs w:val="21"/>
          <w:color w:val="auto"/>
        </w:rPr>
        <w:t>. Unvested Restricted Shares may not be transferred, other than by will or by the laws of descent and distribution and provided that the deceased Participant’s beneficiary or the representative of his or her estate acknowledges and agrees in writing, in a form reasonably acceptable to the Company, to be bound by the provisions of the Plan and this Agreement as if such beneficiary or estate were the Participant.</w:t>
      </w:r>
    </w:p>
    <w:p>
      <w:pPr>
        <w:spacing w:after="0" w:line="202" w:lineRule="exact"/>
        <w:rPr>
          <w:rFonts w:ascii="Arial" w:cs="Arial" w:eastAsia="Arial" w:hAnsi="Arial"/>
          <w:sz w:val="21"/>
          <w:szCs w:val="21"/>
          <w:color w:val="auto"/>
        </w:rPr>
      </w:pPr>
    </w:p>
    <w:p>
      <w:pPr>
        <w:ind w:left="652" w:hanging="652"/>
        <w:spacing w:after="0"/>
        <w:tabs>
          <w:tab w:leader="none" w:pos="652"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Participant’s Representations, Warranties and Covenants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8" w:firstLine="656"/>
        <w:spacing w:after="0" w:line="292" w:lineRule="auto"/>
        <w:tabs>
          <w:tab w:leader="none" w:pos="1285" w:val="left"/>
        </w:tabs>
        <w:numPr>
          <w:ilvl w:val="1"/>
          <w:numId w:val="64"/>
        </w:numPr>
        <w:rPr>
          <w:rFonts w:ascii="Arial" w:cs="Arial" w:eastAsia="Arial" w:hAnsi="Arial"/>
          <w:sz w:val="19"/>
          <w:szCs w:val="19"/>
          <w:color w:val="auto"/>
        </w:rPr>
      </w:pPr>
      <w:r>
        <w:rPr>
          <w:rFonts w:ascii="Arial" w:cs="Arial" w:eastAsia="Arial" w:hAnsi="Arial"/>
          <w:sz w:val="19"/>
          <w:szCs w:val="19"/>
          <w:u w:val="single" w:color="auto"/>
          <w:color w:val="auto"/>
        </w:rPr>
        <w:t>No Conflicts; No Consents</w:t>
      </w:r>
      <w:r>
        <w:rPr>
          <w:rFonts w:ascii="Arial" w:cs="Arial" w:eastAsia="Arial" w:hAnsi="Arial"/>
          <w:sz w:val="19"/>
          <w:szCs w:val="19"/>
          <w:color w:val="auto"/>
        </w:rPr>
        <w:t>. The execution and delivery by Participant of this Agreement, the consummation of the transactions contemplated hereby and the performance of Participant’s obligations hereunder do not and will not (</w:t>
      </w:r>
      <w:r>
        <w:rPr>
          <w:rFonts w:ascii="Arial" w:cs="Arial" w:eastAsia="Arial" w:hAnsi="Arial"/>
          <w:sz w:val="19"/>
          <w:szCs w:val="19"/>
          <w:u w:val="single" w:color="auto"/>
          <w:color w:val="auto"/>
        </w:rPr>
        <w:t>a</w:t>
      </w:r>
      <w:r>
        <w:rPr>
          <w:rFonts w:ascii="Arial" w:cs="Arial" w:eastAsia="Arial" w:hAnsi="Arial"/>
          <w:sz w:val="19"/>
          <w:szCs w:val="19"/>
          <w:color w:val="auto"/>
        </w:rPr>
        <w:t>) materially conflict with or result in a material violation or breach of any term or provision of any Law applicable to either Participant or the Restricted Shares or, (</w:t>
      </w:r>
      <w:r>
        <w:rPr>
          <w:rFonts w:ascii="Arial" w:cs="Arial" w:eastAsia="Arial" w:hAnsi="Arial"/>
          <w:sz w:val="19"/>
          <w:szCs w:val="19"/>
          <w:u w:val="single" w:color="auto"/>
          <w:color w:val="auto"/>
        </w:rPr>
        <w:t>b</w:t>
      </w:r>
      <w:r>
        <w:rPr>
          <w:rFonts w:ascii="Arial" w:cs="Arial" w:eastAsia="Arial" w:hAnsi="Arial"/>
          <w:sz w:val="19"/>
          <w:szCs w:val="19"/>
          <w:color w:val="auto"/>
        </w:rPr>
        <w:t>) violate in any material respect, conflict with in any material respect or result in any material breach of, or constitute (with or without notice or lapse of time or both) a material default under, or require either Participant to obtain any consent, approval or action of, make any filing with or give any notice to any Person as a result or under the terms of, any contract, agreement, instrument, commitment, arrangement, or understanding to which Participant is a party.</w:t>
      </w:r>
    </w:p>
    <w:p>
      <w:pPr>
        <w:spacing w:after="0" w:line="191" w:lineRule="exact"/>
        <w:rPr>
          <w:rFonts w:ascii="Arial" w:cs="Arial" w:eastAsia="Arial" w:hAnsi="Arial"/>
          <w:sz w:val="19"/>
          <w:szCs w:val="19"/>
          <w:color w:val="auto"/>
        </w:rPr>
      </w:pPr>
    </w:p>
    <w:p>
      <w:pPr>
        <w:ind w:left="-8" w:right="140" w:firstLine="656"/>
        <w:spacing w:after="0" w:line="251" w:lineRule="auto"/>
        <w:tabs>
          <w:tab w:leader="none" w:pos="1283" w:val="left"/>
        </w:tabs>
        <w:numPr>
          <w:ilvl w:val="1"/>
          <w:numId w:val="64"/>
        </w:numPr>
        <w:rPr>
          <w:rFonts w:ascii="Arial" w:cs="Arial" w:eastAsia="Arial" w:hAnsi="Arial"/>
          <w:sz w:val="22"/>
          <w:szCs w:val="22"/>
          <w:color w:val="auto"/>
        </w:rPr>
      </w:pPr>
      <w:r>
        <w:rPr>
          <w:rFonts w:ascii="Arial" w:cs="Arial" w:eastAsia="Arial" w:hAnsi="Arial"/>
          <w:sz w:val="22"/>
          <w:szCs w:val="22"/>
          <w:u w:val="single" w:color="auto"/>
          <w:color w:val="auto"/>
        </w:rPr>
        <w:t>Legends</w:t>
      </w:r>
      <w:r>
        <w:rPr>
          <w:rFonts w:ascii="Arial" w:cs="Arial" w:eastAsia="Arial" w:hAnsi="Arial"/>
          <w:sz w:val="22"/>
          <w:szCs w:val="22"/>
          <w:color w:val="auto"/>
        </w:rPr>
        <w:t>. The Participant acknowledges and agrees that the Restricted Shares received hereby and represented by physical certificate(s) will bear the following legend (or one to substantially similar effect):</w:t>
      </w:r>
    </w:p>
    <w:p>
      <w:pPr>
        <w:spacing w:after="0" w:line="1" w:lineRule="exact"/>
        <w:rPr>
          <w:rFonts w:ascii="Arial" w:cs="Arial" w:eastAsia="Arial" w:hAnsi="Arial"/>
          <w:sz w:val="22"/>
          <w:szCs w:val="22"/>
          <w:color w:val="auto"/>
        </w:rPr>
      </w:pPr>
    </w:p>
    <w:p>
      <w:pPr>
        <w:ind w:left="972" w:right="240"/>
        <w:spacing w:after="0" w:line="254" w:lineRule="auto"/>
        <w:rPr>
          <w:rFonts w:ascii="Arial" w:cs="Arial" w:eastAsia="Arial" w:hAnsi="Arial"/>
          <w:sz w:val="22"/>
          <w:szCs w:val="22"/>
          <w:color w:val="auto"/>
        </w:rPr>
      </w:pPr>
      <w:r>
        <w:rPr>
          <w:rFonts w:ascii="Arial" w:cs="Arial" w:eastAsia="Arial" w:hAnsi="Arial"/>
          <w:sz w:val="21"/>
          <w:szCs w:val="21"/>
          <w:color w:val="auto"/>
        </w:rPr>
        <w:t>“THE SECURITIES REPRESENTED HEREBY ARE SUBJECT TO ADDITIONAL RESTRICTIONS ON TRANSFER AND CERTAIN OTHER AGREEMENTS SET FORTH IN THE THIRD AMENDED AND RESTATED EQUITY INCENTIVE PLAN OF BOOZ ALLEN HAMILTON HOLDING CORPORATION AND A</w:t>
      </w:r>
    </w:p>
    <w:p>
      <w:pPr>
        <w:spacing w:after="0" w:line="3" w:lineRule="exact"/>
        <w:rPr>
          <w:sz w:val="20"/>
          <w:szCs w:val="20"/>
          <w:color w:val="auto"/>
        </w:rPr>
      </w:pPr>
    </w:p>
    <w:p>
      <w:pPr>
        <w:ind w:left="972"/>
        <w:spacing w:after="0"/>
        <w:rPr>
          <w:sz w:val="20"/>
          <w:szCs w:val="20"/>
          <w:color w:val="auto"/>
        </w:rPr>
      </w:pPr>
      <w:r>
        <w:rPr>
          <w:rFonts w:ascii="Arial" w:cs="Arial" w:eastAsia="Arial" w:hAnsi="Arial"/>
          <w:sz w:val="21"/>
          <w:szCs w:val="21"/>
          <w:color w:val="auto"/>
        </w:rPr>
        <w:t>RESTRICTED STOCK AGREEMENT BETWEEN THE ISSUER AND THE HOLDER OF THIS CERTIFICATE</w:t>
      </w:r>
    </w:p>
    <w:p>
      <w:pPr>
        <w:spacing w:after="0" w:line="15" w:lineRule="exact"/>
        <w:rPr>
          <w:sz w:val="20"/>
          <w:szCs w:val="20"/>
          <w:color w:val="auto"/>
        </w:rPr>
      </w:pPr>
    </w:p>
    <w:p>
      <w:pPr>
        <w:ind w:left="972" w:right="1020"/>
        <w:spacing w:after="0" w:line="269" w:lineRule="auto"/>
        <w:rPr>
          <w:sz w:val="20"/>
          <w:szCs w:val="20"/>
          <w:color w:val="auto"/>
        </w:rPr>
      </w:pPr>
      <w:r>
        <w:rPr>
          <w:rFonts w:ascii="Arial" w:cs="Arial" w:eastAsia="Arial" w:hAnsi="Arial"/>
          <w:sz w:val="21"/>
          <w:szCs w:val="21"/>
          <w:color w:val="auto"/>
        </w:rPr>
        <w:t>DATED AS OF . A COPY OF SUCH PLAN AND AGREEMENT SHALL BE FURNISHED WITHOUT CHARGE BY THE ISSUER TO THE HOLDER HEREOF UPON WRITTEN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1520190</wp:posOffset>
            </wp:positionH>
            <wp:positionV relativeFrom="paragraph">
              <wp:posOffset>-212090</wp:posOffset>
            </wp:positionV>
            <wp:extent cx="6858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77" w:lineRule="exact"/>
        <w:rPr>
          <w:sz w:val="20"/>
          <w:szCs w:val="20"/>
          <w:color w:val="auto"/>
        </w:rPr>
      </w:pPr>
    </w:p>
    <w:p>
      <w:pPr>
        <w:ind w:left="-8" w:right="120" w:firstLine="656"/>
        <w:spacing w:after="0" w:line="265" w:lineRule="auto"/>
        <w:tabs>
          <w:tab w:leader="none" w:pos="1285"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Compliance with Rule 144</w:t>
      </w:r>
      <w:r>
        <w:rPr>
          <w:rFonts w:ascii="Arial" w:cs="Arial" w:eastAsia="Arial" w:hAnsi="Arial"/>
          <w:sz w:val="21"/>
          <w:szCs w:val="21"/>
          <w:color w:val="auto"/>
        </w:rPr>
        <w:t>. If any of the Restricted Shares are to be disposed of in accordance with Rule 144, the Participant shall transmit to the Company an executed copy of Form 144 (if required by Rule 144) no later than the time such form is required to be transmitted to the Commission for filing and such other documentation as the Company may reasonably require to assure compliance with Rule 144 in connection with such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12"/>
          </w:cols>
          <w:pgMar w:left="328" w:top="1440" w:right="359" w:bottom="1440" w:gutter="0" w:footer="0" w:header="0"/>
        </w:sectPr>
      </w:pPr>
    </w:p>
    <w:bookmarkStart w:id="64" w:name="page65"/>
    <w:bookmarkEnd w:id="64"/>
    <w:p>
      <w:pPr>
        <w:spacing w:after="0" w:line="200" w:lineRule="exact"/>
        <w:rPr>
          <w:sz w:val="20"/>
          <w:szCs w:val="20"/>
          <w:color w:val="auto"/>
        </w:rPr>
      </w:pPr>
    </w:p>
    <w:p>
      <w:pPr>
        <w:spacing w:after="0" w:line="301" w:lineRule="exact"/>
        <w:rPr>
          <w:sz w:val="20"/>
          <w:szCs w:val="20"/>
          <w:color w:val="auto"/>
        </w:rPr>
      </w:pPr>
    </w:p>
    <w:p>
      <w:pPr>
        <w:ind w:left="-8" w:right="160" w:firstLine="656"/>
        <w:spacing w:after="0" w:line="263" w:lineRule="auto"/>
        <w:tabs>
          <w:tab w:leader="none" w:pos="1283"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Participant Status</w:t>
      </w:r>
      <w:r>
        <w:rPr>
          <w:rFonts w:ascii="Arial" w:cs="Arial" w:eastAsia="Arial" w:hAnsi="Arial"/>
          <w:sz w:val="22"/>
          <w:szCs w:val="22"/>
          <w:color w:val="auto"/>
        </w:rPr>
        <w:t>. The Participant represents and warrants that, as of the date hereof, the Participant is an officer, employee or director of the Company or a Subsidiary.</w:t>
      </w:r>
    </w:p>
    <w:p>
      <w:pPr>
        <w:spacing w:after="0" w:line="215" w:lineRule="exact"/>
        <w:rPr>
          <w:rFonts w:ascii="Arial" w:cs="Arial" w:eastAsia="Arial" w:hAnsi="Arial"/>
          <w:sz w:val="22"/>
          <w:szCs w:val="22"/>
          <w:color w:val="auto"/>
        </w:rPr>
      </w:pPr>
    </w:p>
    <w:p>
      <w:pPr>
        <w:ind w:left="-8" w:right="80" w:firstLine="656"/>
        <w:spacing w:after="0" w:line="297" w:lineRule="auto"/>
        <w:tabs>
          <w:tab w:leader="none" w:pos="1285" w:val="left"/>
        </w:tabs>
        <w:numPr>
          <w:ilvl w:val="1"/>
          <w:numId w:val="66"/>
        </w:numPr>
        <w:rPr>
          <w:rFonts w:ascii="Arial" w:cs="Arial" w:eastAsia="Arial" w:hAnsi="Arial"/>
          <w:sz w:val="19"/>
          <w:szCs w:val="19"/>
          <w:color w:val="auto"/>
        </w:rPr>
      </w:pPr>
      <w:r>
        <w:rPr>
          <w:rFonts w:ascii="Arial" w:cs="Arial" w:eastAsia="Arial" w:hAnsi="Arial"/>
          <w:sz w:val="19"/>
          <w:szCs w:val="19"/>
          <w:u w:val="single" w:color="auto"/>
          <w:color w:val="auto"/>
        </w:rPr>
        <w:t>Section 83(b) Election</w:t>
      </w:r>
      <w:r>
        <w:rPr>
          <w:rFonts w:ascii="Arial" w:cs="Arial" w:eastAsia="Arial" w:hAnsi="Arial"/>
          <w:sz w:val="19"/>
          <w:szCs w:val="19"/>
          <w:color w:val="auto"/>
        </w:rPr>
        <w:t>. The Participant agrees that, within 20 days of the date of this Agreement, the Participant shall give notice to the Company as to whether or not the Participant has made an election pursuant to Section 83(b) of the Internal Revenue Code of 1986, as amended, with respect to the Restricted Shares acquired hereunder (an “</w:t>
      </w:r>
      <w:r>
        <w:rPr>
          <w:rFonts w:ascii="Arial" w:cs="Arial" w:eastAsia="Arial" w:hAnsi="Arial"/>
          <w:sz w:val="19"/>
          <w:szCs w:val="19"/>
          <w:u w:val="single" w:color="auto"/>
          <w:color w:val="auto"/>
        </w:rPr>
        <w:t>83(b) election</w:t>
      </w:r>
      <w:r>
        <w:rPr>
          <w:rFonts w:ascii="Arial" w:cs="Arial" w:eastAsia="Arial" w:hAnsi="Arial"/>
          <w:sz w:val="19"/>
          <w:szCs w:val="19"/>
          <w:color w:val="auto"/>
        </w:rPr>
        <w:t>”). Any such 83(b) election shall use as the value of the Restricted Shares the Fair Market Value of the Restricted Shares on the Grant Date determined as provided in the Plan, and the Participant shall take a consistent position on the Participant’s tax returns.</w:t>
      </w:r>
    </w:p>
    <w:p>
      <w:pPr>
        <w:spacing w:after="0" w:line="173" w:lineRule="exact"/>
        <w:rPr>
          <w:rFonts w:ascii="Arial" w:cs="Arial" w:eastAsia="Arial" w:hAnsi="Arial"/>
          <w:sz w:val="19"/>
          <w:szCs w:val="19"/>
          <w:color w:val="auto"/>
        </w:rPr>
      </w:pPr>
    </w:p>
    <w:p>
      <w:pPr>
        <w:ind w:left="652" w:right="80" w:hanging="652"/>
        <w:spacing w:after="0" w:line="289" w:lineRule="auto"/>
        <w:tabs>
          <w:tab w:leader="none" w:pos="652"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Dividends, etc</w:t>
      </w:r>
      <w:r>
        <w:rPr>
          <w:rFonts w:ascii="Arial" w:cs="Arial" w:eastAsia="Arial" w:hAnsi="Arial"/>
          <w:sz w:val="19"/>
          <w:szCs w:val="19"/>
          <w:color w:val="auto"/>
        </w:rPr>
        <w:t>. The Participant shall be entitled to (</w:t>
      </w:r>
      <w:r>
        <w:rPr>
          <w:rFonts w:ascii="Arial" w:cs="Arial" w:eastAsia="Arial" w:hAnsi="Arial"/>
          <w:sz w:val="19"/>
          <w:szCs w:val="19"/>
          <w:u w:val="single" w:color="auto"/>
          <w:color w:val="auto"/>
        </w:rPr>
        <w:t>i</w:t>
      </w:r>
      <w:r>
        <w:rPr>
          <w:rFonts w:ascii="Arial" w:cs="Arial" w:eastAsia="Arial" w:hAnsi="Arial"/>
          <w:sz w:val="19"/>
          <w:szCs w:val="19"/>
          <w:color w:val="auto"/>
        </w:rPr>
        <w:t>) receive all dividends or other distributions at the time (and in the same calendar year as) such dividends or distributions are paid with respect to those vested and unvested Restricted Shares of which the Participant is the record owner on the record date for such dividend or other distribution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vote any Restricted Shares of which the Participant is the record owner on the record date for such vote;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property (other than cash) distributed with respect to a Restricted Share (the “</w:t>
      </w:r>
      <w:r>
        <w:rPr>
          <w:rFonts w:ascii="Arial" w:cs="Arial" w:eastAsia="Arial" w:hAnsi="Arial"/>
          <w:sz w:val="19"/>
          <w:szCs w:val="19"/>
          <w:u w:val="single" w:color="auto"/>
          <w:color w:val="auto"/>
        </w:rPr>
        <w:t>Associated Share</w:t>
      </w:r>
      <w:r>
        <w:rPr>
          <w:rFonts w:ascii="Arial" w:cs="Arial" w:eastAsia="Arial" w:hAnsi="Arial"/>
          <w:sz w:val="19"/>
          <w:szCs w:val="19"/>
          <w:color w:val="auto"/>
        </w:rPr>
        <w:t>”) acquired hereunder, including without limitation a distribution of Restricted Shares by reason of a stock dividend, stock split or otherwise, or a distribution of other securities with respect to an Associated Share, shall be subject to the restrictions of this Agreement in the same manner and for so long as the Associated Share remains subject to such restrictions, and shall be promptly forfeited if and when the Associated Share is so forfeited.</w:t>
      </w:r>
    </w:p>
    <w:p>
      <w:pPr>
        <w:spacing w:after="0" w:line="183" w:lineRule="exact"/>
        <w:rPr>
          <w:rFonts w:ascii="Arial" w:cs="Arial" w:eastAsia="Arial" w:hAnsi="Arial"/>
          <w:sz w:val="19"/>
          <w:szCs w:val="19"/>
          <w:color w:val="auto"/>
        </w:rPr>
      </w:pPr>
    </w:p>
    <w:p>
      <w:pPr>
        <w:ind w:left="652" w:hanging="652"/>
        <w:spacing w:after="0"/>
        <w:tabs>
          <w:tab w:leader="none" w:pos="652" w:val="left"/>
        </w:tabs>
        <w:numPr>
          <w:ilvl w:val="0"/>
          <w:numId w:val="67"/>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8" w:firstLine="656"/>
        <w:spacing w:after="0" w:line="259" w:lineRule="auto"/>
        <w:tabs>
          <w:tab w:leader="none" w:pos="1285" w:val="left"/>
        </w:tabs>
        <w:numPr>
          <w:ilvl w:val="1"/>
          <w:numId w:val="67"/>
        </w:numPr>
        <w:rPr>
          <w:rFonts w:ascii="Arial" w:cs="Arial" w:eastAsia="Arial" w:hAnsi="Arial"/>
          <w:sz w:val="21"/>
          <w:szCs w:val="21"/>
          <w:color w:val="auto"/>
        </w:rPr>
      </w:pPr>
      <w:r>
        <w:rPr>
          <w:rFonts w:ascii="Arial" w:cs="Arial" w:eastAsia="Arial" w:hAnsi="Arial"/>
          <w:sz w:val="21"/>
          <w:szCs w:val="21"/>
          <w:u w:val="single" w:color="auto"/>
          <w:color w:val="auto"/>
        </w:rPr>
        <w:t>Tax Withholding</w:t>
      </w:r>
      <w:r>
        <w:rPr>
          <w:rFonts w:ascii="Arial" w:cs="Arial" w:eastAsia="Arial" w:hAnsi="Arial"/>
          <w:sz w:val="21"/>
          <w:szCs w:val="21"/>
          <w:color w:val="auto"/>
        </w:rPr>
        <w:t xml:space="preserve">. Whenever any cash or other payment is to be made hereunder or with respect to the Restricted Shares, the Company or any Subsidiary shall have the power to withhold an amount (in cash or in Common Stock granted hereunder upon vesting) sufficient to satisfy federal, state, and local withholding tax requirements relating to such transaction and the Company or such Subsidiary may defer the payment of cash or other payment until such requirements are satisfied;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event that the Company withholds shares issuable to the Participant (or any portion thereof) to satisfy any applicable withholding taxes, the Company shall only withhold a number of whole shares having a Fair Market Value, determined as of the date of vesting, not in excess of the minimum of tax required to be withheld by law (or such lower amount as may be necessary to avoid liability award accounting). The Participant shall be responsible for all withholding taxes and other tax consequences of this award of Restricted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12"/>
          </w:cols>
          <w:pgMar w:left="328" w:top="1440" w:right="359" w:bottom="1440" w:gutter="0" w:footer="0" w:header="0"/>
        </w:sectPr>
      </w:pPr>
    </w:p>
    <w:bookmarkStart w:id="65" w:name="page66"/>
    <w:bookmarkEnd w:id="65"/>
    <w:p>
      <w:pPr>
        <w:spacing w:after="0" w:line="200" w:lineRule="exact"/>
        <w:rPr>
          <w:sz w:val="20"/>
          <w:szCs w:val="20"/>
          <w:color w:val="auto"/>
        </w:rPr>
      </w:pPr>
    </w:p>
    <w:p>
      <w:pPr>
        <w:spacing w:after="0" w:line="301" w:lineRule="exact"/>
        <w:rPr>
          <w:sz w:val="20"/>
          <w:szCs w:val="20"/>
          <w:color w:val="auto"/>
        </w:rPr>
      </w:pPr>
    </w:p>
    <w:p>
      <w:pPr>
        <w:ind w:left="-80" w:right="80" w:firstLine="656"/>
        <w:spacing w:after="0" w:line="253" w:lineRule="auto"/>
        <w:tabs>
          <w:tab w:leader="none" w:pos="1211"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No Right to Continued Service</w:t>
      </w:r>
      <w:r>
        <w:rPr>
          <w:rFonts w:ascii="Arial" w:cs="Arial" w:eastAsia="Arial" w:hAnsi="Arial"/>
          <w:sz w:val="22"/>
          <w:szCs w:val="22"/>
          <w:color w:val="auto"/>
        </w:rPr>
        <w:t>. Nothing in the Plan or this Agreement shall interfere with or limit in any way the right of the Company or any of its Subsidiaries to terminate the Participant’s service as a member of the Board at any time, or confer upon the Participant any right to continue as a member of the Board.</w:t>
      </w:r>
    </w:p>
    <w:p>
      <w:pPr>
        <w:spacing w:after="0" w:line="225" w:lineRule="exact"/>
        <w:rPr>
          <w:rFonts w:ascii="Arial" w:cs="Arial" w:eastAsia="Arial" w:hAnsi="Arial"/>
          <w:sz w:val="22"/>
          <w:szCs w:val="22"/>
          <w:color w:val="auto"/>
        </w:rPr>
      </w:pPr>
    </w:p>
    <w:p>
      <w:pPr>
        <w:ind w:left="-80" w:right="320" w:firstLine="656"/>
        <w:spacing w:after="0" w:line="302" w:lineRule="auto"/>
        <w:tabs>
          <w:tab w:leader="none" w:pos="1213"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Binding Effect; Benefits</w:t>
      </w:r>
      <w:r>
        <w:rPr>
          <w:rFonts w:ascii="Arial" w:cs="Arial" w:eastAsia="Arial" w:hAnsi="Arial"/>
          <w:sz w:val="19"/>
          <w:szCs w:val="19"/>
          <w:color w:val="auto"/>
        </w:rPr>
        <w:t>. This Agreement shall be binding upon and inure to the benefit of the parties to this Agreement and their respective successors and assigns. Nothing in this Agreement, express or implied, is intended or shall be construed to give any person other than the parties to this Agreement or their respective successors or assigns any legal or equitable right, remedy or claim under or in respect of any agreement or any provision contained herein.</w:t>
      </w:r>
    </w:p>
    <w:p>
      <w:pPr>
        <w:spacing w:after="0" w:line="169" w:lineRule="exact"/>
        <w:rPr>
          <w:rFonts w:ascii="Arial" w:cs="Arial" w:eastAsia="Arial" w:hAnsi="Arial"/>
          <w:sz w:val="19"/>
          <w:szCs w:val="19"/>
          <w:color w:val="auto"/>
        </w:rPr>
      </w:pPr>
    </w:p>
    <w:p>
      <w:pPr>
        <w:ind w:left="-80" w:right="620" w:firstLine="656"/>
        <w:spacing w:after="0" w:line="263" w:lineRule="auto"/>
        <w:tabs>
          <w:tab w:leader="none" w:pos="1211"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Amendment</w:t>
      </w:r>
      <w:r>
        <w:rPr>
          <w:rFonts w:ascii="Arial" w:cs="Arial" w:eastAsia="Arial" w:hAnsi="Arial"/>
          <w:sz w:val="22"/>
          <w:szCs w:val="22"/>
          <w:color w:val="auto"/>
        </w:rPr>
        <w:t>. This Agreement may not be amended, modified or supplemented orally, but only by a written instrument executed by the Participant and the Company.</w:t>
      </w:r>
    </w:p>
    <w:p>
      <w:pPr>
        <w:spacing w:after="0" w:line="201" w:lineRule="exact"/>
        <w:rPr>
          <w:rFonts w:ascii="Arial" w:cs="Arial" w:eastAsia="Arial" w:hAnsi="Arial"/>
          <w:sz w:val="22"/>
          <w:szCs w:val="22"/>
          <w:color w:val="auto"/>
        </w:rPr>
      </w:pPr>
    </w:p>
    <w:p>
      <w:pPr>
        <w:ind w:left="-80" w:right="40" w:firstLine="656"/>
        <w:spacing w:after="0" w:line="250" w:lineRule="auto"/>
        <w:tabs>
          <w:tab w:leader="none" w:pos="1213"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Assignability</w:t>
      </w:r>
      <w:r>
        <w:rPr>
          <w:rFonts w:ascii="Arial" w:cs="Arial" w:eastAsia="Arial" w:hAnsi="Arial"/>
          <w:sz w:val="22"/>
          <w:szCs w:val="22"/>
          <w:color w:val="auto"/>
        </w:rPr>
        <w:t xml:space="preserve">. Neither this Agreement nor any right, remedy, obligation or liability arising hereunder or by reason hereof shall be assignable by the Company or the Participant without the prior written consent of the other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Company may assign all or any portion of its rights or obligations under this Agreement to one or more persons or other entities designated by it.</w:t>
      </w:r>
    </w:p>
    <w:p>
      <w:pPr>
        <w:spacing w:after="0" w:line="228" w:lineRule="exact"/>
        <w:rPr>
          <w:rFonts w:ascii="Arial" w:cs="Arial" w:eastAsia="Arial" w:hAnsi="Arial"/>
          <w:sz w:val="22"/>
          <w:szCs w:val="22"/>
          <w:color w:val="auto"/>
        </w:rPr>
      </w:pPr>
    </w:p>
    <w:p>
      <w:pPr>
        <w:ind w:left="-80" w:right="140" w:firstLine="656"/>
        <w:spacing w:after="0" w:line="253" w:lineRule="auto"/>
        <w:tabs>
          <w:tab w:leader="none" w:pos="1216" w:val="left"/>
        </w:tabs>
        <w:numPr>
          <w:ilvl w:val="0"/>
          <w:numId w:val="68"/>
        </w:numPr>
        <w:rPr>
          <w:rFonts w:ascii="Arial" w:cs="Arial" w:eastAsia="Arial" w:hAnsi="Arial"/>
          <w:sz w:val="22"/>
          <w:szCs w:val="22"/>
          <w:color w:val="auto"/>
        </w:rPr>
      </w:pPr>
      <w:r>
        <w:rPr>
          <w:rFonts w:ascii="Arial" w:cs="Arial" w:eastAsia="Arial" w:hAnsi="Arial"/>
          <w:sz w:val="22"/>
          <w:szCs w:val="22"/>
          <w:u w:val="single" w:color="auto"/>
          <w:color w:val="auto"/>
        </w:rPr>
        <w:t>Applicable Law</w:t>
      </w:r>
      <w:r>
        <w:rPr>
          <w:rFonts w:ascii="Arial" w:cs="Arial" w:eastAsia="Arial" w:hAnsi="Arial"/>
          <w:sz w:val="22"/>
          <w:szCs w:val="22"/>
          <w:color w:val="auto"/>
        </w:rPr>
        <w:t>. This Agreement shall be construed in accordance with and governed by the laws of the State of Delaware, without reference to principles of conflict of laws which would give rise to the applicable of the substantive law of another jurisdiction.</w:t>
      </w:r>
    </w:p>
    <w:p>
      <w:pPr>
        <w:spacing w:after="0" w:line="212" w:lineRule="exact"/>
        <w:rPr>
          <w:rFonts w:ascii="Arial" w:cs="Arial" w:eastAsia="Arial" w:hAnsi="Arial"/>
          <w:sz w:val="22"/>
          <w:szCs w:val="22"/>
          <w:color w:val="auto"/>
        </w:rPr>
      </w:pPr>
    </w:p>
    <w:p>
      <w:pPr>
        <w:ind w:left="-80" w:firstLine="656"/>
        <w:spacing w:after="0" w:line="288" w:lineRule="auto"/>
        <w:tabs>
          <w:tab w:leader="none" w:pos="1211" w:val="left"/>
        </w:tabs>
        <w:numPr>
          <w:ilvl w:val="0"/>
          <w:numId w:val="68"/>
        </w:numPr>
        <w:rPr>
          <w:rFonts w:ascii="Arial" w:cs="Arial" w:eastAsia="Arial" w:hAnsi="Arial"/>
          <w:sz w:val="19"/>
          <w:szCs w:val="19"/>
          <w:color w:val="auto"/>
        </w:rPr>
      </w:pPr>
      <w:r>
        <w:rPr>
          <w:rFonts w:ascii="Arial" w:cs="Arial" w:eastAsia="Arial" w:hAnsi="Arial"/>
          <w:sz w:val="19"/>
          <w:szCs w:val="19"/>
          <w:u w:val="single" w:color="auto"/>
          <w:color w:val="auto"/>
        </w:rPr>
        <w:t>Forum Selection.</w:t>
      </w:r>
      <w:r>
        <w:rPr>
          <w:rFonts w:ascii="Arial" w:cs="Arial" w:eastAsia="Arial" w:hAnsi="Arial"/>
          <w:sz w:val="19"/>
          <w:szCs w:val="19"/>
          <w:color w:val="auto"/>
        </w:rPr>
        <w:t xml:space="preserve"> The Participant acknowledges that the Company’s principal place of business is in, and a substantial portion of the Company’s business is based out of, the Commonwealth of Virginia, U.S.A. The Participant also acknowledges that, as such, during the course of the Participant’s service with the Company and its Subsidiaries, the Participant shall have substantial contacts with the Commonwealth of Virginia, U.S.A. Accordingly, the Participant and the Company agree that the exclusive forum for any action, demand, claim or counterclaim relating to the terms and provisions of this Agreement, or to their breach, shall be in the appropriate state or federal court located in the Commonwealth of Virginia, U.S.A. The Participant and the Company hereby consent to the personal jurisdiction of such courts over the parties to this Agreement. The Participant expressly waives any defense that such courts lack personal jurisdiction or are inconvenient. The Participant and the Company further agree that in any such action for breach or enforcement of this Agreement, no party will seek to challenge the validity or enforceability of any part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80"/>
          </w:cols>
          <w:pgMar w:left="400" w:top="1440" w:right="419" w:bottom="1440" w:gutter="0" w:footer="0" w:header="0"/>
        </w:sectPr>
      </w:pPr>
    </w:p>
    <w:bookmarkStart w:id="66" w:name="page67"/>
    <w:bookmarkEnd w:id="66"/>
    <w:p>
      <w:pPr>
        <w:spacing w:after="0" w:line="200" w:lineRule="exact"/>
        <w:rPr>
          <w:sz w:val="20"/>
          <w:szCs w:val="20"/>
          <w:color w:val="auto"/>
        </w:rPr>
      </w:pPr>
    </w:p>
    <w:p>
      <w:pPr>
        <w:spacing w:after="0" w:line="301" w:lineRule="exact"/>
        <w:rPr>
          <w:sz w:val="20"/>
          <w:szCs w:val="20"/>
          <w:color w:val="auto"/>
        </w:rPr>
      </w:pPr>
    </w:p>
    <w:p>
      <w:pPr>
        <w:ind w:left="-20" w:right="20" w:firstLine="656"/>
        <w:spacing w:after="0" w:line="253" w:lineRule="auto"/>
        <w:tabs>
          <w:tab w:leader="none" w:pos="1271"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Severability; Blue Pencil</w:t>
      </w:r>
      <w:r>
        <w:rPr>
          <w:rFonts w:ascii="Arial" w:cs="Arial" w:eastAsia="Arial" w:hAnsi="Arial"/>
          <w:sz w:val="22"/>
          <w:szCs w:val="22"/>
          <w:color w:val="auto"/>
        </w:rPr>
        <w:t>. In the event that any one or more of the provisions of this Agreement shall be or become invalid, illegal or unenforceable in any respect, the validity, legality and enforceability of the remaining provisions contained herein shall not be affected thereby.</w:t>
      </w:r>
    </w:p>
    <w:p>
      <w:pPr>
        <w:spacing w:after="0" w:line="225" w:lineRule="exact"/>
        <w:rPr>
          <w:rFonts w:ascii="Arial" w:cs="Arial" w:eastAsia="Arial" w:hAnsi="Arial"/>
          <w:sz w:val="22"/>
          <w:szCs w:val="22"/>
          <w:color w:val="auto"/>
        </w:rPr>
      </w:pPr>
    </w:p>
    <w:p>
      <w:pPr>
        <w:ind w:left="-20" w:firstLine="656"/>
        <w:spacing w:after="0" w:line="250" w:lineRule="auto"/>
        <w:tabs>
          <w:tab w:leader="none" w:pos="1264"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Consent to Electronic Delivery</w:t>
      </w:r>
      <w:r>
        <w:rPr>
          <w:rFonts w:ascii="Arial" w:cs="Arial" w:eastAsia="Arial" w:hAnsi="Arial"/>
          <w:sz w:val="22"/>
          <w:szCs w:val="22"/>
          <w:color w:val="auto"/>
        </w:rPr>
        <w:t>. By executing this Agreement, the Participant hereby consents to the delivery of information (including, without limitation, information required to be delivered to the Participant pursuant to applicable securities laws) regarding the Company and the Subsidiaries, the Plan, and the Restricted Shares via the Company web site or other electronic delivery.</w:t>
      </w:r>
    </w:p>
    <w:p>
      <w:pPr>
        <w:spacing w:after="0" w:line="214" w:lineRule="exact"/>
        <w:rPr>
          <w:rFonts w:ascii="Arial" w:cs="Arial" w:eastAsia="Arial" w:hAnsi="Arial"/>
          <w:sz w:val="22"/>
          <w:szCs w:val="22"/>
          <w:color w:val="auto"/>
        </w:rPr>
      </w:pPr>
    </w:p>
    <w:p>
      <w:pPr>
        <w:ind w:left="-20" w:right="380" w:firstLine="656"/>
        <w:spacing w:after="0" w:line="263" w:lineRule="auto"/>
        <w:tabs>
          <w:tab w:leader="none" w:pos="1264"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Section and Other Headings, etc</w:t>
      </w:r>
      <w:r>
        <w:rPr>
          <w:rFonts w:ascii="Arial" w:cs="Arial" w:eastAsia="Arial" w:hAnsi="Arial"/>
          <w:sz w:val="22"/>
          <w:szCs w:val="22"/>
          <w:color w:val="auto"/>
        </w:rPr>
        <w:t>. The section and other headings contained in this Agreement are for reference purposes only and shall not affect the meaning or interpretation of this Agreement.</w:t>
      </w:r>
    </w:p>
    <w:p>
      <w:pPr>
        <w:spacing w:after="0" w:line="201" w:lineRule="exact"/>
        <w:rPr>
          <w:rFonts w:ascii="Arial" w:cs="Arial" w:eastAsia="Arial" w:hAnsi="Arial"/>
          <w:sz w:val="22"/>
          <w:szCs w:val="22"/>
          <w:color w:val="auto"/>
        </w:rPr>
      </w:pPr>
    </w:p>
    <w:p>
      <w:pPr>
        <w:ind w:left="-20" w:right="160" w:firstLine="656"/>
        <w:spacing w:after="0" w:line="248" w:lineRule="auto"/>
        <w:tabs>
          <w:tab w:leader="none" w:pos="1271" w:val="left"/>
        </w:tabs>
        <w:numPr>
          <w:ilvl w:val="0"/>
          <w:numId w:val="69"/>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xml:space="preserve">. All notices, requests, claims, demands and other communications hereunder shall be in writing and shall be given or made (and shall be deemed to have been duly given or made upon receipt) by delivery in person, by courier service, by cable, by facsimile, by telegram, by telex or by registered or certified mail (postage prepaid, return receipt requested) to the respective parties at the following addresses (or at such other address for a party as shall be specified in a notice given in accordance with this </w:t>
      </w:r>
      <w:r>
        <w:rPr>
          <w:rFonts w:ascii="Arial" w:cs="Arial" w:eastAsia="Arial" w:hAnsi="Arial"/>
          <w:sz w:val="22"/>
          <w:szCs w:val="22"/>
          <w:u w:val="single" w:color="auto"/>
          <w:color w:val="auto"/>
        </w:rPr>
        <w:t>Section 7(k)</w:t>
      </w:r>
      <w:r>
        <w:rPr>
          <w:rFonts w:ascii="Arial" w:cs="Arial" w:eastAsia="Arial" w:hAnsi="Arial"/>
          <w:sz w:val="22"/>
          <w:szCs w:val="22"/>
          <w:color w:val="auto"/>
        </w:rPr>
        <w:t>):</w:t>
      </w:r>
    </w:p>
    <w:p>
      <w:pPr>
        <w:spacing w:after="0" w:line="232" w:lineRule="exact"/>
        <w:rPr>
          <w:sz w:val="20"/>
          <w:szCs w:val="20"/>
          <w:color w:val="auto"/>
        </w:rPr>
      </w:pPr>
    </w:p>
    <w:p>
      <w:pPr>
        <w:ind w:left="1780" w:hanging="448"/>
        <w:spacing w:after="0"/>
        <w:tabs>
          <w:tab w:leader="none" w:pos="17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if to the Company:</w:t>
      </w:r>
    </w:p>
    <w:p>
      <w:pPr>
        <w:spacing w:after="0" w:line="220"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Booz Allen Hamilton Holding Corporation</w:t>
      </w:r>
    </w:p>
    <w:p>
      <w:pPr>
        <w:spacing w:after="0" w:line="21"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8283 Greensboro Drive</w:t>
      </w:r>
    </w:p>
    <w:p>
      <w:pPr>
        <w:spacing w:after="0" w:line="4"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McLean, Virginia 22102</w:t>
      </w:r>
    </w:p>
    <w:p>
      <w:pPr>
        <w:spacing w:after="0" w:line="4"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Attention: Law Department</w:t>
      </w:r>
    </w:p>
    <w:p>
      <w:pPr>
        <w:spacing w:after="0" w:line="4" w:lineRule="exact"/>
        <w:rPr>
          <w:sz w:val="20"/>
          <w:szCs w:val="20"/>
          <w:color w:val="auto"/>
        </w:rPr>
      </w:pPr>
    </w:p>
    <w:p>
      <w:pPr>
        <w:ind w:left="1940"/>
        <w:spacing w:after="0"/>
        <w:rPr>
          <w:sz w:val="20"/>
          <w:szCs w:val="20"/>
          <w:color w:val="auto"/>
        </w:rPr>
      </w:pPr>
      <w:r>
        <w:rPr>
          <w:rFonts w:ascii="Arial" w:cs="Arial" w:eastAsia="Arial" w:hAnsi="Arial"/>
          <w:sz w:val="22"/>
          <w:szCs w:val="22"/>
          <w:color w:val="auto"/>
        </w:rPr>
        <w:t>Facsimile No.: (703) 902-3580</w:t>
      </w:r>
    </w:p>
    <w:p>
      <w:pPr>
        <w:spacing w:after="0" w:line="202" w:lineRule="exact"/>
        <w:rPr>
          <w:sz w:val="20"/>
          <w:szCs w:val="20"/>
          <w:color w:val="auto"/>
        </w:rPr>
      </w:pPr>
    </w:p>
    <w:p>
      <w:pPr>
        <w:ind w:left="1940" w:hanging="494"/>
        <w:spacing w:after="0"/>
        <w:tabs>
          <w:tab w:leader="none" w:pos="194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if to the Participant, to the address set forth in the Company’s records.</w:t>
      </w:r>
    </w:p>
    <w:p>
      <w:pPr>
        <w:spacing w:after="0" w:line="219" w:lineRule="exact"/>
        <w:rPr>
          <w:rFonts w:ascii="Arial" w:cs="Arial" w:eastAsia="Arial" w:hAnsi="Arial"/>
          <w:sz w:val="22"/>
          <w:szCs w:val="22"/>
          <w:color w:val="auto"/>
        </w:rPr>
      </w:pPr>
    </w:p>
    <w:p>
      <w:pPr>
        <w:ind w:left="544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40" w:top="1440"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D. Rozanski, certify that:</w:t>
      </w:r>
    </w:p>
    <w:p>
      <w:pPr>
        <w:spacing w:after="0" w:line="171"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right="140" w:firstLine="8"/>
        <w:spacing w:after="0" w:line="263" w:lineRule="auto"/>
        <w:tabs>
          <w:tab w:leader="none" w:pos="2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360" w:firstLine="8"/>
        <w:spacing w:after="0" w:line="263" w:lineRule="auto"/>
        <w:tabs>
          <w:tab w:leader="none" w:pos="2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sz w:val="20"/>
          <w:szCs w:val="20"/>
          <w:color w:val="auto"/>
        </w:rPr>
      </w:pPr>
    </w:p>
    <w:p>
      <w:pPr>
        <w:ind w:right="500" w:firstLine="8"/>
        <w:spacing w:after="0" w:line="308" w:lineRule="auto"/>
        <w:tabs>
          <w:tab w:leader="none" w:pos="1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sz w:val="20"/>
          <w:szCs w:val="20"/>
          <w:color w:val="auto"/>
        </w:rPr>
      </w:pPr>
    </w:p>
    <w:p>
      <w:pPr>
        <w:ind w:right="40" w:firstLine="8"/>
        <w:spacing w:after="0" w:line="277" w:lineRule="auto"/>
        <w:tabs>
          <w:tab w:leader="none" w:pos="24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6960" w:val="left"/>
          <w:tab w:leader="none" w:pos="7420" w:val="left"/>
        </w:tabs>
        <w:rPr>
          <w:sz w:val="20"/>
          <w:szCs w:val="20"/>
          <w:color w:val="auto"/>
        </w:rPr>
      </w:pPr>
      <w:r>
        <w:rPr>
          <w:rFonts w:ascii="Arial" w:cs="Arial" w:eastAsia="Arial" w:hAnsi="Arial"/>
          <w:sz w:val="18"/>
          <w:szCs w:val="18"/>
          <w:color w:val="auto"/>
        </w:rPr>
        <w:t>Date: October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14605</wp:posOffset>
            </wp:positionV>
            <wp:extent cx="240919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2409190" cy="8890"/>
                    </a:xfrm>
                    <a:prstGeom prst="rect">
                      <a:avLst/>
                    </a:prstGeom>
                    <a:noFill/>
                  </pic:spPr>
                </pic:pic>
              </a:graphicData>
            </a:graphic>
          </wp:anchor>
        </w:drawing>
      </w:r>
    </w:p>
    <w:p>
      <w:pPr>
        <w:spacing w:after="0" w:line="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Horacio D. Rozanski</w:t>
      </w:r>
    </w:p>
    <w:p>
      <w:pPr>
        <w:ind w:left="7440"/>
        <w:spacing w:after="0" w:line="203" w:lineRule="auto"/>
        <w:rPr>
          <w:sz w:val="20"/>
          <w:szCs w:val="20"/>
          <w:color w:val="auto"/>
        </w:rPr>
      </w:pPr>
      <w:r>
        <w:rPr>
          <w:rFonts w:ascii="Arial" w:cs="Arial" w:eastAsia="Arial" w:hAnsi="Arial"/>
          <w:sz w:val="18"/>
          <w:szCs w:val="18"/>
          <w:color w:val="auto"/>
        </w:rPr>
        <w:t>President and Chief Executive Officer</w:t>
      </w:r>
    </w:p>
    <w:p>
      <w:pPr>
        <w:ind w:left="74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right="20" w:firstLine="8"/>
        <w:spacing w:after="0" w:line="263" w:lineRule="auto"/>
        <w:tabs>
          <w:tab w:leader="none" w:pos="1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0" w:lineRule="exact"/>
        <w:rPr>
          <w:sz w:val="20"/>
          <w:szCs w:val="20"/>
          <w:color w:val="auto"/>
        </w:rPr>
      </w:pPr>
    </w:p>
    <w:p>
      <w:pPr>
        <w:ind w:right="140" w:firstLine="8"/>
        <w:spacing w:after="0" w:line="263" w:lineRule="auto"/>
        <w:tabs>
          <w:tab w:leader="none" w:pos="2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jc w:val="both"/>
        <w:ind w:right="60" w:firstLine="8"/>
        <w:spacing w:after="0" w:line="263"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right="120" w:firstLine="8"/>
        <w:spacing w:after="0" w:line="277" w:lineRule="auto"/>
        <w:tabs>
          <w:tab w:leader="none" w:pos="245" w:val="left"/>
        </w:tabs>
        <w:numPr>
          <w:ilvl w:val="0"/>
          <w:numId w:val="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360" w:firstLine="8"/>
        <w:spacing w:after="0" w:line="263" w:lineRule="auto"/>
        <w:tabs>
          <w:tab w:leader="none" w:pos="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30" w:lineRule="exact"/>
        <w:rPr>
          <w:sz w:val="20"/>
          <w:szCs w:val="20"/>
          <w:color w:val="auto"/>
        </w:rPr>
      </w:pPr>
    </w:p>
    <w:p>
      <w:pPr>
        <w:ind w:right="500" w:firstLine="8"/>
        <w:spacing w:after="0" w:line="308" w:lineRule="auto"/>
        <w:tabs>
          <w:tab w:leader="none" w:pos="1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2" w:lineRule="exact"/>
        <w:rPr>
          <w:sz w:val="20"/>
          <w:szCs w:val="20"/>
          <w:color w:val="auto"/>
        </w:rPr>
      </w:pPr>
    </w:p>
    <w:p>
      <w:pPr>
        <w:ind w:right="40" w:firstLine="8"/>
        <w:spacing w:after="0" w:line="277" w:lineRule="auto"/>
        <w:tabs>
          <w:tab w:leader="none" w:pos="24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280" w:firstLine="8"/>
        <w:spacing w:after="0" w:line="277" w:lineRule="auto"/>
        <w:tabs>
          <w:tab w:leader="none" w:pos="25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20"/>
        <w:spacing w:after="0"/>
        <w:tabs>
          <w:tab w:leader="none" w:pos="5600" w:val="left"/>
          <w:tab w:leader="none" w:pos="6060" w:val="left"/>
        </w:tabs>
        <w:rPr>
          <w:sz w:val="20"/>
          <w:szCs w:val="20"/>
          <w:color w:val="auto"/>
        </w:rPr>
      </w:pPr>
      <w:r>
        <w:rPr>
          <w:rFonts w:ascii="Arial" w:cs="Arial" w:eastAsia="Arial" w:hAnsi="Arial"/>
          <w:sz w:val="18"/>
          <w:szCs w:val="18"/>
          <w:color w:val="auto"/>
        </w:rPr>
        <w:t>Date: October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14605</wp:posOffset>
            </wp:positionV>
            <wp:extent cx="32658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Lloyd W. Howell, Jr.</w:t>
      </w:r>
    </w:p>
    <w:p>
      <w:pPr>
        <w:ind w:left="6080"/>
        <w:spacing w:after="0" w:line="203" w:lineRule="auto"/>
        <w:rPr>
          <w:sz w:val="20"/>
          <w:szCs w:val="20"/>
          <w:color w:val="auto"/>
        </w:rPr>
      </w:pPr>
      <w:r>
        <w:rPr>
          <w:rFonts w:ascii="Arial" w:cs="Arial" w:eastAsia="Arial" w:hAnsi="Arial"/>
          <w:sz w:val="18"/>
          <w:szCs w:val="18"/>
          <w:color w:val="auto"/>
        </w:rPr>
        <w:t>Executive Vice President, Chief Financial Officer and Treasurer</w:t>
      </w: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2020,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20"/>
        <w:spacing w:after="0"/>
        <w:tabs>
          <w:tab w:leader="none" w:pos="6380" w:val="left"/>
        </w:tabs>
        <w:rPr>
          <w:sz w:val="20"/>
          <w:szCs w:val="20"/>
          <w:color w:val="auto"/>
        </w:rPr>
      </w:pPr>
      <w:r>
        <w:rPr>
          <w:rFonts w:ascii="Arial" w:cs="Arial" w:eastAsia="Arial" w:hAnsi="Arial"/>
          <w:sz w:val="18"/>
          <w:szCs w:val="18"/>
          <w:color w:val="auto"/>
        </w:rPr>
        <w:t>Date: October 30, 2020</w:t>
      </w:r>
      <w:r>
        <w:rPr>
          <w:sz w:val="20"/>
          <w:szCs w:val="20"/>
          <w:color w:val="auto"/>
        </w:rPr>
        <w:tab/>
      </w:r>
      <w:r>
        <w:rPr>
          <w:rFonts w:ascii="Arial" w:cs="Arial" w:eastAsia="Arial" w:hAnsi="Arial"/>
          <w:sz w:val="16"/>
          <w:szCs w:val="16"/>
          <w:color w:val="auto"/>
        </w:rPr>
        <w:t>By: /s/ Horacio D.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14605</wp:posOffset>
            </wp:positionV>
            <wp:extent cx="28803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Horacio D. Rozanski</w:t>
      </w:r>
    </w:p>
    <w:p>
      <w:pPr>
        <w:ind w:left="6700"/>
        <w:spacing w:after="0" w:line="203" w:lineRule="auto"/>
        <w:rPr>
          <w:sz w:val="20"/>
          <w:szCs w:val="20"/>
          <w:color w:val="auto"/>
        </w:rPr>
      </w:pPr>
      <w:r>
        <w:rPr>
          <w:rFonts w:ascii="Arial" w:cs="Arial" w:eastAsia="Arial" w:hAnsi="Arial"/>
          <w:sz w:val="18"/>
          <w:szCs w:val="18"/>
          <w:color w:val="auto"/>
        </w:rPr>
        <w:t>President and Chief Executive Officer</w:t>
      </w:r>
    </w:p>
    <w:p>
      <w:pPr>
        <w:ind w:left="6700"/>
        <w:spacing w:after="0"/>
        <w:rPr>
          <w:sz w:val="20"/>
          <w:szCs w:val="20"/>
          <w:color w:val="auto"/>
        </w:rPr>
      </w:pPr>
      <w:r>
        <w:rPr>
          <w:rFonts w:ascii="Arial" w:cs="Arial" w:eastAsia="Arial" w:hAnsi="Arial"/>
          <w:sz w:val="18"/>
          <w:szCs w:val="18"/>
          <w:color w:val="auto"/>
        </w:rPr>
        <w:t>(Principal Executive Officer)</w:t>
      </w:r>
    </w:p>
    <w:p>
      <w:pPr>
        <w:spacing w:after="0" w:line="15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2020,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45" w:lineRule="exact"/>
        <w:rPr>
          <w:sz w:val="20"/>
          <w:szCs w:val="20"/>
          <w:color w:val="auto"/>
        </w:rPr>
      </w:pPr>
    </w:p>
    <w:p>
      <w:pPr>
        <w:ind w:left="20"/>
        <w:spacing w:after="0"/>
        <w:tabs>
          <w:tab w:leader="none" w:pos="5560" w:val="left"/>
        </w:tabs>
        <w:rPr>
          <w:sz w:val="20"/>
          <w:szCs w:val="20"/>
          <w:color w:val="auto"/>
        </w:rPr>
      </w:pPr>
      <w:r>
        <w:rPr>
          <w:rFonts w:ascii="Arial" w:cs="Arial" w:eastAsia="Arial" w:hAnsi="Arial"/>
          <w:sz w:val="18"/>
          <w:szCs w:val="18"/>
          <w:color w:val="auto"/>
        </w:rPr>
        <w:t>Date: October 30, 2020</w:t>
      </w:r>
      <w:r>
        <w:rPr>
          <w:sz w:val="20"/>
          <w:szCs w:val="20"/>
          <w:color w:val="auto"/>
        </w:rPr>
        <w:tab/>
      </w:r>
      <w:r>
        <w:rPr>
          <w:rFonts w:ascii="Arial" w:cs="Arial" w:eastAsia="Arial" w:hAnsi="Arial"/>
          <w:sz w:val="16"/>
          <w:szCs w:val="16"/>
          <w:color w:val="auto"/>
        </w:rPr>
        <w:t>By: /s/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3858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Lloyd W. Howell, Jr.</w:t>
      </w:r>
    </w:p>
    <w:p>
      <w:pPr>
        <w:ind w:left="5880"/>
        <w:spacing w:after="0" w:line="203" w:lineRule="auto"/>
        <w:rPr>
          <w:sz w:val="20"/>
          <w:szCs w:val="20"/>
          <w:color w:val="auto"/>
        </w:rPr>
      </w:pPr>
      <w:r>
        <w:rPr>
          <w:rFonts w:ascii="Arial" w:cs="Arial" w:eastAsia="Arial" w:hAnsi="Arial"/>
          <w:sz w:val="18"/>
          <w:szCs w:val="18"/>
          <w:color w:val="auto"/>
        </w:rPr>
        <w:t>Executive Vice President, Chief Financial Officer and Treasurer</w:t>
      </w:r>
    </w:p>
    <w:p>
      <w:pPr>
        <w:ind w:left="5880"/>
        <w:spacing w:after="0"/>
        <w:rPr>
          <w:sz w:val="20"/>
          <w:szCs w:val="20"/>
          <w:color w:val="auto"/>
        </w:rPr>
      </w:pPr>
      <w:r>
        <w:rPr>
          <w:rFonts w:ascii="Arial" w:cs="Arial" w:eastAsia="Arial" w:hAnsi="Arial"/>
          <w:sz w:val="18"/>
          <w:szCs w:val="18"/>
          <w:color w:val="auto"/>
        </w:rPr>
        <w:t>(Principal Financial Officer)</w:t>
      </w:r>
    </w:p>
    <w:p>
      <w:pPr>
        <w:spacing w:after="0" w:line="15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1)"/>
      <w:numFmt w:val="decimal"/>
      <w:start w:val="1"/>
    </w:lvl>
  </w:abstractNum>
  <w:abstractNum w:abstractNumId="2">
    <w:nsid w:val="70A64E2A"/>
    <w:multiLevelType w:val="hybridMultilevel"/>
    <w:lvl w:ilvl="0">
      <w:lvlJc w:val="left"/>
      <w:lvlText w:val="(%1)"/>
      <w:numFmt w:val="decimal"/>
      <w:start w:val="2"/>
    </w:lvl>
  </w:abstractNum>
  <w:abstractNum w:abstractNumId="3">
    <w:nsid w:val="6A2342EC"/>
    <w:multiLevelType w:val="hybridMultilevel"/>
    <w:lvl w:ilvl="0">
      <w:lvlJc w:val="left"/>
      <w:lvlText w:val="•"/>
      <w:numFmt w:val="bullet"/>
      <w:start w:val="1"/>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1)"/>
      <w:numFmt w:val="decimal"/>
      <w:start w:val="1"/>
    </w:lvl>
  </w:abstractNum>
  <w:abstractNum w:abstractNumId="6">
    <w:nsid w:val="725A06FB"/>
    <w:multiLevelType w:val="hybridMultilevel"/>
    <w:lvl w:ilvl="0">
      <w:lvlJc w:val="left"/>
      <w:lvlText w:val="%1."/>
      <w:numFmt w:val="decimal"/>
      <w:start w:val="5"/>
    </w:lvl>
  </w:abstractNum>
  <w:abstractNum w:abstractNumId="7">
    <w:nsid w:val="2CD89A32"/>
    <w:multiLevelType w:val="hybridMultilevel"/>
    <w:lvl w:ilvl="0">
      <w:lvlJc w:val="left"/>
      <w:lvlText w:val="%1."/>
      <w:numFmt w:val="decimal"/>
      <w:start w:val="6"/>
    </w:lvl>
  </w:abstractNum>
  <w:abstractNum w:abstractNumId="8">
    <w:nsid w:val="57E4CCAF"/>
    <w:multiLevelType w:val="hybridMultilevel"/>
    <w:lvl w:ilvl="0">
      <w:lvlJc w:val="left"/>
      <w:lvlText w:val="(%1)"/>
      <w:numFmt w:val="lowerLetter"/>
      <w:start w:val="25"/>
    </w:lvl>
  </w:abstractNum>
  <w:abstractNum w:abstractNumId="9">
    <w:nsid w:val="7A6D8D3C"/>
    <w:multiLevelType w:val="hybridMultilevel"/>
    <w:lvl w:ilvl="0">
      <w:lvlJc w:val="left"/>
      <w:lvlText w:val="(%1)"/>
      <w:numFmt w:val="lowerRoman"/>
      <w:start w:val="5"/>
    </w:lvl>
  </w:abstractNum>
  <w:abstractNum w:abstractNumId="10">
    <w:nsid w:val="4B588F54"/>
    <w:multiLevelType w:val="hybridMultilevel"/>
    <w:lvl w:ilvl="0">
      <w:lvlJc w:val="left"/>
      <w:lvlText w:val="(%1)"/>
      <w:numFmt w:val="lowerRoman"/>
      <w:start w:val="11"/>
    </w:lvl>
  </w:abstractNum>
  <w:abstractNum w:abstractNumId="11">
    <w:nsid w:val="542289EC"/>
    <w:multiLevelType w:val="hybridMultilevel"/>
    <w:lvl w:ilvl="0">
      <w:lvlJc w:val="left"/>
      <w:lvlText w:val="%1"/>
      <w:numFmt w:val="decimal"/>
      <w:start w:val="1"/>
    </w:lvl>
    <w:lvl w:ilvl="1">
      <w:lvlJc w:val="left"/>
      <w:lvlText w:val="(%2)"/>
      <w:numFmt w:val="decimal"/>
      <w:start w:val="1"/>
    </w:lvl>
  </w:abstractNum>
  <w:abstractNum w:abstractNumId="12">
    <w:nsid w:val="6DE91B18"/>
    <w:multiLevelType w:val="hybridMultilevel"/>
    <w:lvl w:ilvl="0">
      <w:lvlJc w:val="left"/>
      <w:lvlText w:val="%1."/>
      <w:numFmt w:val="decimal"/>
      <w:start w:val="9"/>
    </w:lvl>
    <w:lvl w:ilvl="1">
      <w:lvlJc w:val="left"/>
      <w:lvlText w:val="%2"/>
      <w:numFmt w:val="decimal"/>
      <w:start w:val="1"/>
    </w:lvl>
  </w:abstractNum>
  <w:abstractNum w:abstractNumId="13">
    <w:nsid w:val="38437FDB"/>
    <w:multiLevelType w:val="hybridMultilevel"/>
    <w:lvl w:ilvl="0">
      <w:lvlJc w:val="left"/>
      <w:lvlText w:val="(%1)"/>
      <w:numFmt w:val="decimal"/>
      <w:start w:val="1"/>
    </w:lvl>
  </w:abstractNum>
  <w:abstractNum w:abstractNumId="14">
    <w:nsid w:val="7644A45C"/>
    <w:multiLevelType w:val="hybridMultilevel"/>
    <w:lvl w:ilvl="0">
      <w:lvlJc w:val="left"/>
      <w:lvlText w:val="(%1)"/>
      <w:numFmt w:val="decimal"/>
      <w:start w:val="1"/>
    </w:lvl>
  </w:abstractNum>
  <w:abstractNum w:abstractNumId="15">
    <w:nsid w:val="32FFF902"/>
    <w:multiLevelType w:val="hybridMultilevel"/>
    <w:lvl w:ilvl="0">
      <w:lvlJc w:val="left"/>
      <w:lvlText w:val="%1."/>
      <w:numFmt w:val="decimal"/>
      <w:start w:val="13"/>
    </w:lvl>
  </w:abstractNum>
  <w:abstractNum w:abstractNumId="16">
    <w:nsid w:val="684A481A"/>
    <w:multiLevelType w:val="hybridMultilevel"/>
    <w:lvl w:ilvl="0">
      <w:lvlJc w:val="left"/>
      <w:lvlText w:val="(%1)"/>
      <w:numFmt w:val="decimal"/>
      <w:start w:val="1"/>
    </w:lvl>
  </w:abstractNum>
  <w:abstractNum w:abstractNumId="17">
    <w:nsid w:val="579478FE"/>
    <w:multiLevelType w:val="hybridMultilevel"/>
    <w:lvl w:ilvl="0">
      <w:lvlJc w:val="left"/>
      <w:lvlText w:val="(%1)"/>
      <w:numFmt w:val="decimal"/>
      <w:start w:val="2"/>
    </w:lvl>
  </w:abstractNum>
  <w:abstractNum w:abstractNumId="18">
    <w:nsid w:val="749ABB43"/>
    <w:multiLevelType w:val="hybridMultilevel"/>
    <w:lvl w:ilvl="0">
      <w:lvlJc w:val="left"/>
      <w:lvlText w:val="(%1)"/>
      <w:numFmt w:val="decimal"/>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1)"/>
      <w:numFmt w:val="lowerLetter"/>
      <w:start w:val="1"/>
    </w:lvl>
  </w:abstractNum>
  <w:abstractNum w:abstractNumId="22">
    <w:nsid w:val="75C6C33A"/>
    <w:multiLevelType w:val="hybridMultilevel"/>
    <w:lvl w:ilvl="0">
      <w:lvlJc w:val="left"/>
      <w:lvlText w:val="(%1)"/>
      <w:numFmt w:val="lowerLetter"/>
      <w:start w:val="2"/>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abstractNum>
  <w:abstractNum w:abstractNumId="26">
    <w:nsid w:val="374A3FE6"/>
    <w:multiLevelType w:val="hybridMultilevel"/>
    <w:lvl w:ilvl="0">
      <w:lvlJc w:val="left"/>
      <w:lvlText w:val="•"/>
      <w:numFmt w:val="bullet"/>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1)"/>
      <w:numFmt w:val="lowerLetter"/>
      <w:start w:val="25"/>
    </w:lvl>
  </w:abstractNum>
  <w:abstractNum w:abstractNumId="33">
    <w:nsid w:val="180115BE"/>
    <w:multiLevelType w:val="hybridMultilevel"/>
    <w:lvl w:ilvl="0">
      <w:lvlJc w:val="left"/>
      <w:lvlText w:val="(%1)"/>
      <w:numFmt w:val="lowerRoman"/>
      <w:start w:val="5"/>
    </w:lvl>
  </w:abstractNum>
  <w:abstractNum w:abstractNumId="34">
    <w:nsid w:val="235BA861"/>
    <w:multiLevelType w:val="hybridMultilevel"/>
    <w:lvl w:ilvl="0">
      <w:lvlJc w:val="left"/>
      <w:lvlText w:val="(%1)"/>
      <w:numFmt w:val="lowerRoman"/>
      <w:start w:val="11"/>
    </w:lvl>
  </w:abstractNum>
  <w:abstractNum w:abstractNumId="35">
    <w:nsid w:val="47398C89"/>
    <w:multiLevelType w:val="hybridMultilevel"/>
    <w:lvl w:ilvl="0">
      <w:lvlJc w:val="left"/>
      <w:lvlText w:val="•"/>
      <w:numFmt w:val="bullet"/>
      <w:start w:val="1"/>
    </w:lvl>
  </w:abstractNum>
  <w:abstractNum w:abstractNumId="36">
    <w:nsid w:val="354FE9F9"/>
    <w:multiLevelType w:val="hybridMultilevel"/>
    <w:lvl w:ilvl="0">
      <w:lvlJc w:val="left"/>
      <w:lvlText w:val="•"/>
      <w:numFmt w:val="bullet"/>
      <w:start w:val="1"/>
    </w:lvl>
  </w:abstractNum>
  <w:abstractNum w:abstractNumId="37">
    <w:nsid w:val="15B5AF5C"/>
    <w:multiLevelType w:val="hybridMultilevel"/>
    <w:lvl w:ilvl="0">
      <w:lvlJc w:val="left"/>
      <w:lvlText w:val="•"/>
      <w:numFmt w:val="bullet"/>
      <w:start w:val="1"/>
    </w:lvl>
  </w:abstractNum>
  <w:abstractNum w:abstractNumId="38">
    <w:nsid w:val="741226BB"/>
    <w:multiLevelType w:val="hybridMultilevel"/>
    <w:lvl w:ilvl="0">
      <w:lvlJc w:val="left"/>
      <w:lvlText w:val="(%1)"/>
      <w:numFmt w:val="decimal"/>
      <w:start w:val="1"/>
    </w:lvl>
  </w:abstractNum>
  <w:abstractNum w:abstractNumId="39">
    <w:nsid w:val="D34B6A8"/>
    <w:multiLevelType w:val="hybridMultilevel"/>
    <w:lvl w:ilvl="0">
      <w:lvlJc w:val="left"/>
      <w:lvlText w:val="%1"/>
      <w:numFmt w:val="decimal"/>
      <w:start w:val="101"/>
    </w:lvl>
  </w:abstractNum>
  <w:abstractNum w:abstractNumId="40">
    <w:nsid w:val="10233C99"/>
    <w:multiLevelType w:val="hybridMultilevel"/>
    <w:lvl w:ilvl="0">
      <w:lvlJc w:val="left"/>
      <w:lvlText w:val="†"/>
      <w:numFmt w:val="bullet"/>
      <w:start w:val="1"/>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lowerLetter"/>
      <w:start w:val="1"/>
    </w:lvl>
    <w:lvl w:ilvl="1">
      <w:lvlJc w:val="left"/>
      <w:lvlText w:val="(%2)"/>
      <w:numFmt w:val="lowerRoman"/>
      <w:start w:val="1"/>
    </w:lvl>
  </w:abstractNum>
  <w:abstractNum w:abstractNumId="43">
    <w:nsid w:val="7E0C57B1"/>
    <w:multiLevelType w:val="hybridMultilevel"/>
    <w:lvl w:ilvl="0">
      <w:lvlJc w:val="left"/>
      <w:lvlText w:val="%1)"/>
      <w:numFmt w:val="decimal"/>
      <w:start w:val="31"/>
    </w:lvl>
    <w:lvl w:ilvl="1">
      <w:lvlJc w:val="left"/>
      <w:lvlText w:val="(%2)"/>
      <w:numFmt w:val="lowerLetter"/>
      <w:start w:val="2"/>
    </w:lvl>
    <w:lvl w:ilvl="2">
      <w:lvlJc w:val="left"/>
      <w:lvlText w:val="(%3)"/>
      <w:numFmt w:val="lowerRoman"/>
      <w:start w:val="4"/>
    </w:lvl>
  </w:abstractNum>
  <w:abstractNum w:abstractNumId="44">
    <w:nsid w:val="77AE35EB"/>
    <w:multiLevelType w:val="hybridMultilevel"/>
    <w:lvl w:ilvl="0">
      <w:lvlJc w:val="left"/>
      <w:lvlText w:val="(%1)"/>
      <w:numFmt w:val="lowerLetter"/>
      <w:start w:val="4"/>
    </w:lvl>
  </w:abstractNum>
  <w:abstractNum w:abstractNumId="45">
    <w:nsid w:val="579BE4F1"/>
    <w:multiLevelType w:val="hybridMultilevel"/>
    <w:lvl w:ilvl="0">
      <w:lvlJc w:val="left"/>
      <w:lvlText w:val="%1."/>
      <w:numFmt w:val="decimal"/>
      <w:start w:val="3"/>
    </w:lvl>
  </w:abstractNum>
  <w:abstractNum w:abstractNumId="46">
    <w:nsid w:val="310C50B3"/>
    <w:multiLevelType w:val="hybridMultilevel"/>
    <w:lvl w:ilvl="0">
      <w:lvlJc w:val="left"/>
      <w:lvlText w:val="%1"/>
      <w:numFmt w:val="decimal"/>
      <w:start w:val="1"/>
    </w:lvl>
    <w:lvl w:ilvl="1">
      <w:lvlJc w:val="left"/>
      <w:lvlText w:val="(%2)"/>
      <w:numFmt w:val="lowerLetter"/>
      <w:start w:val="1"/>
    </w:lvl>
  </w:abstractNum>
  <w:abstractNum w:abstractNumId="47">
    <w:nsid w:val="5FF87E05"/>
    <w:multiLevelType w:val="hybridMultilevel"/>
    <w:lvl w:ilvl="0">
      <w:lvlJc w:val="left"/>
      <w:lvlText w:val="(%1)"/>
      <w:numFmt w:val="decimal"/>
      <w:start w:val="1"/>
    </w:lvl>
    <w:lvl w:ilvl="1">
      <w:lvlJc w:val="left"/>
      <w:lvlText w:val="%2"/>
      <w:numFmt w:val="lowerLetter"/>
      <w:start w:val="1"/>
    </w:lvl>
  </w:abstractNum>
  <w:abstractNum w:abstractNumId="48">
    <w:nsid w:val="2F305DEF"/>
    <w:multiLevelType w:val="hybridMultilevel"/>
    <w:lvl w:ilvl="0">
      <w:lvlJc w:val="left"/>
      <w:lvlText w:val="%1."/>
      <w:numFmt w:val="decimal"/>
      <w:start w:val="4"/>
    </w:lvl>
  </w:abstractNum>
  <w:abstractNum w:abstractNumId="49">
    <w:nsid w:val="25A70BF7"/>
    <w:multiLevelType w:val="hybridMultilevel"/>
    <w:lvl w:ilvl="0">
      <w:lvlJc w:val="left"/>
      <w:lvlText w:val="(%1)"/>
      <w:numFmt w:val="lowerLetter"/>
      <w:start w:val="1"/>
    </w:lvl>
  </w:abstractNum>
  <w:abstractNum w:abstractNumId="50">
    <w:nsid w:val="1DBABF00"/>
    <w:multiLevelType w:val="hybridMultilevel"/>
    <w:lvl w:ilvl="0">
      <w:lvlJc w:val="left"/>
      <w:lvlText w:val="%1."/>
      <w:numFmt w:val="decimal"/>
      <w:start w:val="6"/>
    </w:lvl>
  </w:abstractNum>
  <w:abstractNum w:abstractNumId="51">
    <w:nsid w:val="4AD084E9"/>
    <w:multiLevelType w:val="hybridMultilevel"/>
    <w:lvl w:ilvl="0">
      <w:lvlJc w:val="left"/>
      <w:lvlText w:val="%1"/>
      <w:numFmt w:val="decimal"/>
      <w:start w:val="1"/>
    </w:lvl>
    <w:lvl w:ilvl="1">
      <w:lvlJc w:val="left"/>
      <w:lvlText w:val="(%2)"/>
      <w:numFmt w:val="lowerLetter"/>
      <w:start w:val="1"/>
    </w:lvl>
  </w:abstractNum>
  <w:abstractNum w:abstractNumId="52">
    <w:nsid w:val="1F48EAA1"/>
    <w:multiLevelType w:val="hybridMultilevel"/>
    <w:lvl w:ilvl="0">
      <w:lvlJc w:val="left"/>
      <w:lvlText w:val="%1)"/>
      <w:numFmt w:val="decimal"/>
      <w:start w:val="144"/>
    </w:lvl>
    <w:lvl w:ilvl="1">
      <w:lvlJc w:val="left"/>
      <w:lvlText w:val="(%2)"/>
      <w:numFmt w:val="lowerLetter"/>
      <w:start w:val="3"/>
    </w:lvl>
  </w:abstractNum>
  <w:abstractNum w:abstractNumId="53">
    <w:nsid w:val="1381823A"/>
    <w:multiLevelType w:val="hybridMultilevel"/>
    <w:lvl w:ilvl="0">
      <w:lvlJc w:val="left"/>
      <w:lvlText w:val="%1."/>
      <w:numFmt w:val="decimal"/>
      <w:start w:val="7"/>
    </w:lvl>
  </w:abstractNum>
  <w:abstractNum w:abstractNumId="54">
    <w:nsid w:val="5DB70AE5"/>
    <w:multiLevelType w:val="hybridMultilevel"/>
    <w:lvl w:ilvl="0">
      <w:lvlJc w:val="left"/>
      <w:lvlText w:val="%1."/>
      <w:numFmt w:val="decimal"/>
      <w:start w:val="9"/>
    </w:lvl>
  </w:abstractNum>
  <w:abstractNum w:abstractNumId="55">
    <w:nsid w:val="100F8FCA"/>
    <w:multiLevelType w:val="hybridMultilevel"/>
    <w:lvl w:ilvl="0">
      <w:lvlJc w:val="left"/>
      <w:lvlText w:val="(%1)"/>
      <w:numFmt w:val="lowerLetter"/>
      <w:start w:val="1"/>
    </w:lvl>
  </w:abstractNum>
  <w:abstractNum w:abstractNumId="56">
    <w:nsid w:val="6590700B"/>
    <w:multiLevelType w:val="hybridMultilevel"/>
    <w:lvl w:ilvl="0">
      <w:lvlJc w:val="left"/>
      <w:lvlText w:val="(%1)"/>
      <w:numFmt w:val="lowerLetter"/>
      <w:start w:val="7"/>
    </w:lvl>
  </w:abstractNum>
  <w:abstractNum w:abstractNumId="57">
    <w:nsid w:val="15014ACB"/>
    <w:multiLevelType w:val="hybridMultilevel"/>
    <w:lvl w:ilvl="0">
      <w:lvlJc w:val="left"/>
      <w:lvlText w:val="%1."/>
      <w:numFmt w:val="decimal"/>
      <w:start w:val="10"/>
    </w:lvl>
  </w:abstractNum>
  <w:abstractNum w:abstractNumId="58">
    <w:nsid w:val="5F5E7FD0"/>
    <w:multiLevelType w:val="hybridMultilevel"/>
    <w:lvl w:ilvl="0">
      <w:lvlJc w:val="left"/>
      <w:lvlText w:val="(%1)"/>
      <w:numFmt w:val="lowerLetter"/>
      <w:start w:val="1"/>
    </w:lvl>
  </w:abstractNum>
  <w:abstractNum w:abstractNumId="59">
    <w:nsid w:val="98A3148"/>
    <w:multiLevelType w:val="hybridMultilevel"/>
    <w:lvl w:ilvl="0">
      <w:lvlJc w:val="left"/>
      <w:lvlText w:val="(%1)"/>
      <w:numFmt w:val="lowerLetter"/>
      <w:start w:val="3"/>
    </w:lvl>
  </w:abstractNum>
  <w:abstractNum w:abstractNumId="60">
    <w:nsid w:val="799D0247"/>
    <w:multiLevelType w:val="hybridMultilevel"/>
    <w:lvl w:ilvl="0">
      <w:lvlJc w:val="left"/>
      <w:lvlText w:val="(%1)"/>
      <w:numFmt w:val="lowerLetter"/>
      <w:start w:val="8"/>
    </w:lvl>
  </w:abstractNum>
  <w:abstractNum w:abstractNumId="61">
    <w:nsid w:val="6B94764"/>
    <w:multiLevelType w:val="hybridMultilevel"/>
    <w:lvl w:ilvl="0">
      <w:lvlJc w:val="left"/>
      <w:lvlText w:val="(%1)"/>
      <w:numFmt w:val="lowerLetter"/>
      <w:start w:val="16"/>
    </w:lvl>
  </w:abstractNum>
  <w:abstractNum w:abstractNumId="62">
    <w:nsid w:val="42C296BD"/>
    <w:multiLevelType w:val="hybridMultilevel"/>
    <w:lvl w:ilvl="0">
      <w:lvlJc w:val="left"/>
      <w:lvlText w:val="%1."/>
      <w:numFmt w:val="decimal"/>
      <w:start w:val="1"/>
    </w:lvl>
    <w:lvl w:ilvl="1">
      <w:lvlJc w:val="left"/>
      <w:lvlText w:val="(%2)"/>
      <w:numFmt w:val="lowerLetter"/>
      <w:start w:val="1"/>
    </w:lvl>
  </w:abstractNum>
  <w:abstractNum w:abstractNumId="63">
    <w:nsid w:val="168E121F"/>
    <w:multiLevelType w:val="hybridMultilevel"/>
    <w:lvl w:ilvl="0">
      <w:lvlJc w:val="left"/>
      <w:lvlText w:val="%1."/>
      <w:numFmt w:val="decimal"/>
      <w:start w:val="4"/>
    </w:lvl>
    <w:lvl w:ilvl="1">
      <w:lvlJc w:val="left"/>
      <w:lvlText w:val="(%2)"/>
      <w:numFmt w:val="lowerLetter"/>
      <w:start w:val="1"/>
    </w:lvl>
  </w:abstractNum>
  <w:abstractNum w:abstractNumId="64">
    <w:nsid w:val="1EBA5D23"/>
    <w:multiLevelType w:val="hybridMultilevel"/>
    <w:lvl w:ilvl="0">
      <w:lvlJc w:val="left"/>
      <w:lvlText w:val="(%1)"/>
      <w:numFmt w:val="lowerLetter"/>
      <w:start w:val="3"/>
    </w:lvl>
  </w:abstractNum>
  <w:abstractNum w:abstractNumId="65">
    <w:nsid w:val="661E3F1E"/>
    <w:multiLevelType w:val="hybridMultilevel"/>
    <w:lvl w:ilvl="0">
      <w:lvlJc w:val="left"/>
      <w:lvlText w:val="%1"/>
      <w:numFmt w:val="decimal"/>
      <w:start w:val="1"/>
    </w:lvl>
    <w:lvl w:ilvl="1">
      <w:lvlJc w:val="left"/>
      <w:lvlText w:val="(%2)"/>
      <w:numFmt w:val="lowerLetter"/>
      <w:start w:val="4"/>
    </w:lvl>
  </w:abstractNum>
  <w:abstractNum w:abstractNumId="66">
    <w:nsid w:val="5DC79EA8"/>
    <w:multiLevelType w:val="hybridMultilevel"/>
    <w:lvl w:ilvl="0">
      <w:lvlJc w:val="left"/>
      <w:lvlText w:val="%1."/>
      <w:numFmt w:val="decimal"/>
      <w:start w:val="6"/>
    </w:lvl>
    <w:lvl w:ilvl="1">
      <w:lvlJc w:val="left"/>
      <w:lvlText w:val="(%2)"/>
      <w:numFmt w:val="lowerLetter"/>
      <w:start w:val="1"/>
    </w:lvl>
  </w:abstractNum>
  <w:abstractNum w:abstractNumId="67">
    <w:nsid w:val="540A471C"/>
    <w:multiLevelType w:val="hybridMultilevel"/>
    <w:lvl w:ilvl="0">
      <w:lvlJc w:val="left"/>
      <w:lvlText w:val="(%1)"/>
      <w:numFmt w:val="lowerLetter"/>
      <w:start w:val="2"/>
    </w:lvl>
  </w:abstractNum>
  <w:abstractNum w:abstractNumId="68">
    <w:nsid w:val="7BD3EE7B"/>
    <w:multiLevelType w:val="hybridMultilevel"/>
    <w:lvl w:ilvl="0">
      <w:lvlJc w:val="left"/>
      <w:lvlText w:val="(%1)"/>
      <w:numFmt w:val="lowerLetter"/>
      <w:start w:val="8"/>
    </w:lvl>
  </w:abstractNum>
  <w:abstractNum w:abstractNumId="69">
    <w:nsid w:val="51D9C564"/>
    <w:multiLevelType w:val="hybridMultilevel"/>
    <w:lvl w:ilvl="0">
      <w:lvlJc w:val="left"/>
      <w:lvlText w:val="%1."/>
      <w:numFmt w:val="lowerRoman"/>
      <w:start w:val="1"/>
    </w:lvl>
  </w:abstractNum>
  <w:abstractNum w:abstractNumId="70">
    <w:nsid w:val="613EFDC5"/>
    <w:multiLevelType w:val="hybridMultilevel"/>
    <w:lvl w:ilvl="0">
      <w:lvlJc w:val="left"/>
      <w:lvlText w:val="%1."/>
      <w:numFmt w:val="lowerRoman"/>
      <w:start w:val="2"/>
    </w:lvl>
  </w:abstractNum>
  <w:abstractNum w:abstractNumId="71">
    <w:nsid w:val="BF72B14"/>
    <w:multiLevelType w:val="hybridMultilevel"/>
    <w:lvl w:ilvl="0">
      <w:lvlJc w:val="left"/>
      <w:lvlText w:val="%1."/>
      <w:numFmt w:val="decimal"/>
      <w:start w:val="1"/>
    </w:lvl>
  </w:abstractNum>
  <w:abstractNum w:abstractNumId="72">
    <w:nsid w:val="11447B73"/>
    <w:multiLevelType w:val="hybridMultilevel"/>
    <w:lvl w:ilvl="0">
      <w:lvlJc w:val="left"/>
      <w:lvlText w:val="(%1)"/>
      <w:numFmt w:val="lowerLetter"/>
      <w:start w:val="1"/>
    </w:lvl>
  </w:abstractNum>
  <w:abstractNum w:abstractNumId="73">
    <w:nsid w:val="42963E5A"/>
    <w:multiLevelType w:val="hybridMultilevel"/>
    <w:lvl w:ilvl="0">
      <w:lvlJc w:val="left"/>
      <w:lvlText w:val="%1."/>
      <w:numFmt w:val="decimal"/>
      <w:start w:val="5"/>
    </w:lvl>
  </w:abstractNum>
  <w:abstractNum w:abstractNumId="74">
    <w:nsid w:val="A0382C5"/>
    <w:multiLevelType w:val="hybridMultilevel"/>
    <w:lvl w:ilvl="0">
      <w:lvlJc w:val="left"/>
      <w:lvlText w:val="(%1)"/>
      <w:numFmt w:val="lowerLetter"/>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lowerLetter"/>
      <w:start w:val="1"/>
    </w:lvl>
  </w:abstractNum>
  <w:abstractNum w:abstractNumId="77">
    <w:nsid w:val="3B0FD379"/>
    <w:multiLevelType w:val="hybridMultilevel"/>
    <w:lvl w:ilvl="0">
      <w:lvlJc w:val="left"/>
      <w:lvlText w:val="%1."/>
      <w:numFmt w:val="decimal"/>
      <w:start w:val="5"/>
    </w:lvl>
  </w:abstractNum>
  <w:abstractNum w:abstractNumId="78">
    <w:nsid w:val="68EB2F63"/>
    <w:multiLevelType w:val="hybridMultilevel"/>
    <w:lvl w:ilvl="0">
      <w:lvlJc w:val="left"/>
      <w:lvlText w:val="(%1)"/>
      <w:numFmt w:val="lowerLetter"/>
      <w:start w:val="1"/>
    </w:lvl>
  </w:abstractNum>
  <w:abstractNum w:abstractNumId="79">
    <w:nsid w:val="4962813B"/>
    <w:multiLevelType w:val="hybridMultilevel"/>
    <w:lvl w:ilvl="0">
      <w:lvlJc w:val="left"/>
      <w:lvlText w:val="(%1)"/>
      <w:numFmt w:val="decimal"/>
      <w:start w:val="1"/>
    </w:lvl>
  </w:abstractNum>
  <w:abstractNum w:abstractNumId="80">
    <w:nsid w:val="60B6DF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65" Type="http://schemas.openxmlformats.org/officeDocument/2006/relationships/hyperlink" Target="https://www.sec.gov/Archives/edgar/data/1443646/000110465920090824/tm2026196d2_ex3-1.htm" TargetMode="External"/><Relationship Id="rId66" Type="http://schemas.openxmlformats.org/officeDocument/2006/relationships/hyperlink" Target="https://www.sec.gov/Archives/edgar/data/1443646/000110465920090824/tm2026196d2_ex3-2.htm" TargetMode="External"/><Relationship Id="rId67" Type="http://schemas.openxmlformats.org/officeDocument/2006/relationships/hyperlink" Target="https://www.sec.gov/Archives/edgar/data/1443646/000110465920097997/tm2029202d1_ex4-1.htm" TargetMode="External"/><Relationship Id="rId68" Type="http://schemas.openxmlformats.org/officeDocument/2006/relationships/hyperlink" Target="https://www.sec.gov/Archives/edgar/data/1443646/000110465920097997/tm2029202d1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2020-10-30T05:59:42Z</dcterms:created>
  <dcterms:modified xsi:type="dcterms:W3CDTF">2020-10-30T05:59:42Z</dcterms:modified>
</cp:coreProperties>
</file>