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92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60" w:space="720"/>
            <w:col w:w="4620" w:space="720"/>
            <w:col w:w="2140" w:space="720"/>
            <w:col w:w="740"/>
          </w:cols>
          <w:pgMar w:left="240" w:top="922"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760" w:space="720"/>
            <w:col w:w="160" w:space="100"/>
            <w:col w:w="4360" w:space="720"/>
            <w:col w:w="2140" w:space="720"/>
            <w:col w:w="740"/>
          </w:cols>
          <w:pgMar w:left="240" w:top="92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9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20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60" w:type="dxa"/>
            <w:vAlign w:val="bottom"/>
          </w:tcPr>
          <w:p>
            <w:pPr>
              <w:spacing w:after="0"/>
              <w:rPr>
                <w:sz w:val="16"/>
                <w:szCs w:val="16"/>
                <w:color w:val="auto"/>
              </w:rPr>
            </w:pPr>
          </w:p>
        </w:tc>
        <w:tc>
          <w:tcPr>
            <w:tcW w:w="420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July 26, 2013</w:t>
            </w: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138,077,635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00" w:type="dxa"/>
            <w:vAlign w:val="bottom"/>
          </w:tcPr>
          <w:p>
            <w:pPr>
              <w:jc w:val="right"/>
              <w:spacing w:after="0"/>
              <w:rPr>
                <w:sz w:val="20"/>
                <w:szCs w:val="20"/>
                <w:color w:val="auto"/>
              </w:rPr>
            </w:pPr>
            <w:r>
              <w:rPr>
                <w:rFonts w:ascii="Arial" w:cs="Arial" w:eastAsia="Arial" w:hAnsi="Arial"/>
                <w:sz w:val="18"/>
                <w:szCs w:val="18"/>
                <w:color w:val="auto"/>
              </w:rPr>
              <w:t>971,070</w:t>
            </w:r>
          </w:p>
        </w:tc>
      </w:tr>
      <w:tr>
        <w:trPr>
          <w:trHeight w:val="27"/>
        </w:trPr>
        <w:tc>
          <w:tcPr>
            <w:tcW w:w="536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1,034,276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00" w:type="dxa"/>
            <w:vAlign w:val="bottom"/>
          </w:tcPr>
          <w:p>
            <w:pPr>
              <w:jc w:val="right"/>
              <w:spacing w:after="0"/>
              <w:rPr>
                <w:sz w:val="20"/>
                <w:szCs w:val="20"/>
                <w:color w:val="auto"/>
              </w:rPr>
            </w:pPr>
            <w:r>
              <w:rPr>
                <w:rFonts w:ascii="Arial" w:cs="Arial" w:eastAsia="Arial" w:hAnsi="Arial"/>
                <w:sz w:val="18"/>
                <w:szCs w:val="18"/>
                <w:color w:val="auto"/>
              </w:rPr>
              <w:t>7,244,207</w:t>
            </w:r>
          </w:p>
        </w:tc>
      </w:tr>
    </w:tbl>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7"/>
          </w:tcPr>
          <w:p>
            <w:pPr>
              <w:ind w:left="4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1</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700" w:type="dxa"/>
            <w:vAlign w:val="bottom"/>
            <w:gridSpan w:val="1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1</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700" w:type="dxa"/>
            <w:vAlign w:val="bottom"/>
            <w:gridSpan w:val="15"/>
          </w:tcPr>
          <w:p>
            <w:pPr>
              <w:spacing w:after="0"/>
              <w:rPr>
                <w:rFonts w:ascii="Arial" w:cs="Arial" w:eastAsia="Arial" w:hAnsi="Arial"/>
                <w:sz w:val="18"/>
                <w:szCs w:val="18"/>
                <w:b w:val="1"/>
                <w:bCs w:val="1"/>
                <w:color w:val="0000FF"/>
              </w:rPr>
            </w:pPr>
            <w:hyperlink w:anchor="page17">
              <w:r>
                <w:rPr>
                  <w:rFonts w:ascii="Arial" w:cs="Arial" w:eastAsia="Arial" w:hAnsi="Arial"/>
                  <w:sz w:val="18"/>
                  <w:szCs w:val="18"/>
                  <w:b w:val="1"/>
                  <w:bCs w:val="1"/>
                  <w:color w:val="0000FF"/>
                </w:rPr>
                <w:t>MANAGEMENT’S DISCUSSION AND ANALYSIS OF FINANCIAL CONDITION AND RESULTS OF</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17">
              <w:r>
                <w:rPr>
                  <w:rFonts w:ascii="Arial" w:cs="Arial" w:eastAsia="Arial" w:hAnsi="Arial"/>
                  <w:sz w:val="18"/>
                  <w:szCs w:val="18"/>
                  <w:b w:val="1"/>
                  <w:bCs w:val="1"/>
                  <w:color w:val="0000FF"/>
                  <w:w w:val="79"/>
                </w:rPr>
                <w:t>15</w:t>
              </w:r>
            </w:hyperlink>
          </w:p>
        </w:tc>
      </w:tr>
      <w:tr>
        <w:trPr>
          <w:trHeight w:val="196"/>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97"/>
              </w:rPr>
            </w:pPr>
            <w:hyperlink w:anchor="page17">
              <w:r>
                <w:rPr>
                  <w:rFonts w:ascii="Arial" w:cs="Arial" w:eastAsia="Arial" w:hAnsi="Arial"/>
                  <w:sz w:val="18"/>
                  <w:szCs w:val="18"/>
                  <w:b w:val="1"/>
                  <w:bCs w:val="1"/>
                  <w:color w:val="0000FF"/>
                  <w:w w:val="97"/>
                </w:rPr>
                <w:t>OPERATIONS</w:t>
              </w:r>
            </w:hyperlink>
          </w:p>
        </w:tc>
        <w:tc>
          <w:tcPr>
            <w:tcW w:w="6900" w:type="dxa"/>
            <w:vAlign w:val="bottom"/>
            <w:tcBorders>
              <w:top w:val="single" w:sz="8" w:color="0000FF"/>
            </w:tcBorders>
            <w:gridSpan w:val="12"/>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FF"/>
            </w:tcBorders>
            <w:gridSpan w:val="13"/>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QUANTITATIVE AND QUALITATIVE DISCLOSURES ABOUT MARKET RISK</w:t>
              </w:r>
            </w:hyperlink>
          </w:p>
        </w:tc>
        <w:tc>
          <w:tcPr>
            <w:tcW w:w="32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0">
              <w:r>
                <w:rPr>
                  <w:rFonts w:ascii="Arial" w:cs="Arial" w:eastAsia="Arial" w:hAnsi="Arial"/>
                  <w:sz w:val="18"/>
                  <w:szCs w:val="18"/>
                  <w:b w:val="1"/>
                  <w:bCs w:val="1"/>
                  <w:color w:val="0000FF"/>
                  <w:w w:val="79"/>
                </w:rPr>
                <w:t>28</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2740" w:type="dxa"/>
            <w:vAlign w:val="bottom"/>
            <w:tcBorders>
              <w:bottom w:val="single" w:sz="8" w:color="0000FF"/>
            </w:tcBorders>
            <w:gridSpan w:val="10"/>
          </w:tcPr>
          <w:p>
            <w:pPr>
              <w:spacing w:after="0"/>
              <w:rPr>
                <w:rFonts w:ascii="Arial" w:cs="Arial" w:eastAsia="Arial" w:hAnsi="Arial"/>
                <w:sz w:val="18"/>
                <w:szCs w:val="18"/>
                <w:b w:val="1"/>
                <w:bCs w:val="1"/>
                <w:color w:val="0000FF"/>
                <w:w w:val="98"/>
              </w:rPr>
            </w:pPr>
            <w:hyperlink w:anchor="page30">
              <w:r>
                <w:rPr>
                  <w:rFonts w:ascii="Arial" w:cs="Arial" w:eastAsia="Arial" w:hAnsi="Arial"/>
                  <w:sz w:val="18"/>
                  <w:szCs w:val="18"/>
                  <w:b w:val="1"/>
                  <w:bCs w:val="1"/>
                  <w:color w:val="0000FF"/>
                  <w:w w:val="98"/>
                </w:rPr>
                <w:t>CONTROLS AND PROCEDURES</w:t>
              </w:r>
            </w:hyperlink>
          </w:p>
        </w:tc>
        <w:tc>
          <w:tcPr>
            <w:tcW w:w="696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0">
              <w:r>
                <w:rPr>
                  <w:rFonts w:ascii="Arial" w:cs="Arial" w:eastAsia="Arial" w:hAnsi="Arial"/>
                  <w:sz w:val="18"/>
                  <w:szCs w:val="18"/>
                  <w:b w:val="1"/>
                  <w:bCs w:val="1"/>
                  <w:color w:val="0000FF"/>
                  <w:w w:val="79"/>
                </w:rPr>
                <w:t>28</w:t>
              </w:r>
            </w:hyperlink>
          </w:p>
        </w:tc>
      </w:tr>
      <w:tr>
        <w:trPr>
          <w:trHeight w:val="372"/>
        </w:trPr>
        <w:tc>
          <w:tcPr>
            <w:tcW w:w="11220" w:type="dxa"/>
            <w:vAlign w:val="bottom"/>
            <w:gridSpan w:val="17"/>
          </w:tcPr>
          <w:p>
            <w:pPr>
              <w:ind w:left="40"/>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0">
              <w:r>
                <w:rPr>
                  <w:rFonts w:ascii="Arial" w:cs="Arial" w:eastAsia="Arial" w:hAnsi="Arial"/>
                  <w:sz w:val="18"/>
                  <w:szCs w:val="18"/>
                  <w:b w:val="1"/>
                  <w:bCs w:val="1"/>
                  <w:color w:val="0000FF"/>
                  <w:w w:val="79"/>
                </w:rPr>
                <w:t>29</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00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31">
              <w:r>
                <w:rPr>
                  <w:rFonts w:ascii="Arial" w:cs="Arial" w:eastAsia="Arial" w:hAnsi="Arial"/>
                  <w:sz w:val="18"/>
                  <w:szCs w:val="18"/>
                  <w:b w:val="1"/>
                  <w:bCs w:val="1"/>
                  <w:color w:val="0000FF"/>
                  <w:w w:val="99"/>
                </w:rPr>
                <w:t>LEGAL PROCEEDINGS</w:t>
              </w:r>
            </w:hyperlink>
          </w:p>
        </w:tc>
        <w:tc>
          <w:tcPr>
            <w:tcW w:w="770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29</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700" w:type="dxa"/>
            <w:vAlign w:val="bottom"/>
            <w:gridSpan w:val="15"/>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RISK FACTORS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29</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00" w:type="dxa"/>
            <w:vAlign w:val="bottom"/>
            <w:tcBorders>
              <w:bottom w:val="single" w:sz="8" w:color="0000FF"/>
            </w:tcBorders>
            <w:gridSpan w:val="12"/>
          </w:tcPr>
          <w:p>
            <w:pPr>
              <w:spacing w:after="0"/>
              <w:rPr>
                <w:rFonts w:ascii="Arial" w:cs="Arial" w:eastAsia="Arial" w:hAnsi="Arial"/>
                <w:sz w:val="18"/>
                <w:szCs w:val="18"/>
                <w:b w:val="1"/>
                <w:bCs w:val="1"/>
                <w:color w:val="0000FF"/>
                <w:w w:val="98"/>
              </w:rPr>
            </w:pPr>
            <w:hyperlink w:anchor="page31">
              <w:r>
                <w:rPr>
                  <w:rFonts w:ascii="Arial" w:cs="Arial" w:eastAsia="Arial" w:hAnsi="Arial"/>
                  <w:sz w:val="18"/>
                  <w:szCs w:val="18"/>
                  <w:b w:val="1"/>
                  <w:bCs w:val="1"/>
                  <w:color w:val="0000FF"/>
                  <w:w w:val="98"/>
                </w:rPr>
                <w:t>UNREGISTERED SALES OF EQUITY SECURITIES AND USE OF PROCEEDS</w:t>
              </w:r>
            </w:hyperlink>
          </w:p>
        </w:tc>
        <w:tc>
          <w:tcPr>
            <w:tcW w:w="330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29</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3360" w:type="dxa"/>
            <w:vAlign w:val="bottom"/>
            <w:tcBorders>
              <w:bottom w:val="single" w:sz="8" w:color="0000FF"/>
            </w:tcBorders>
            <w:gridSpan w:val="11"/>
          </w:tcPr>
          <w:p>
            <w:pPr>
              <w:spacing w:after="0"/>
              <w:rPr>
                <w:rFonts w:ascii="Arial" w:cs="Arial" w:eastAsia="Arial" w:hAnsi="Arial"/>
                <w:sz w:val="18"/>
                <w:szCs w:val="18"/>
                <w:b w:val="1"/>
                <w:bCs w:val="1"/>
                <w:color w:val="0000FF"/>
                <w:w w:val="98"/>
              </w:rPr>
            </w:pPr>
            <w:hyperlink w:anchor="page31">
              <w:r>
                <w:rPr>
                  <w:rFonts w:ascii="Arial" w:cs="Arial" w:eastAsia="Arial" w:hAnsi="Arial"/>
                  <w:sz w:val="18"/>
                  <w:szCs w:val="18"/>
                  <w:b w:val="1"/>
                  <w:bCs w:val="1"/>
                  <w:color w:val="0000FF"/>
                  <w:w w:val="98"/>
                </w:rPr>
                <w:t>DEFAULTS UPON SENIOR SECURITIES</w:t>
              </w:r>
            </w:hyperlink>
          </w:p>
        </w:tc>
        <w:tc>
          <w:tcPr>
            <w:tcW w:w="634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29</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700" w:type="dxa"/>
            <w:vAlign w:val="bottom"/>
            <w:gridSpan w:val="15"/>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MINE SAFETY DISCLOSURES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29</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2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OTHER INFORMATION</w:t>
              </w:r>
            </w:hyperlink>
          </w:p>
        </w:tc>
        <w:tc>
          <w:tcPr>
            <w:tcW w:w="714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31">
              <w:r>
                <w:rPr>
                  <w:rFonts w:ascii="Arial" w:cs="Arial" w:eastAsia="Arial" w:hAnsi="Arial"/>
                  <w:sz w:val="18"/>
                  <w:szCs w:val="18"/>
                  <w:b w:val="1"/>
                  <w:bCs w:val="1"/>
                  <w:color w:val="0000FF"/>
                  <w:w w:val="79"/>
                </w:rPr>
                <w:t>29</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FF"/>
              <w:bottom w:val="single" w:sz="8" w:color="0000FF"/>
            </w:tcBorders>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EXHIBITS</w:t>
              </w:r>
            </w:hyperlink>
          </w:p>
        </w:tc>
        <w:tc>
          <w:tcPr>
            <w:tcW w:w="1140" w:type="dxa"/>
            <w:vAlign w:val="bottom"/>
            <w:tcBorders>
              <w:top w:val="single" w:sz="8" w:color="0000FF"/>
            </w:tcBorders>
            <w:gridSpan w:val="6"/>
          </w:tcPr>
          <w:p>
            <w:pPr>
              <w:spacing w:after="0"/>
              <w:rPr>
                <w:sz w:val="24"/>
                <w:szCs w:val="24"/>
                <w:color w:val="auto"/>
              </w:rPr>
            </w:pPr>
          </w:p>
        </w:tc>
        <w:tc>
          <w:tcPr>
            <w:tcW w:w="768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7"/>
                <w:szCs w:val="17"/>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6"/>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995,554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1,029,586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44,382</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1,431,345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1,424,352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166,570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236,220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1,277,123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1,277,369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73,408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3,168,023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60,094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451,065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299,955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385,433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912,895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964,646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1,643,889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1,659,611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323,046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326,478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2,879,830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2,950,735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17)</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137,641,125 shares at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2013 and 136,457,444 shares at March 31, 2013; outstanding, 137,087,952 shares at June 30, 2013</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136,051,601 shares at March 31, 2013</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1,103,330 shares at June 30, 2013 and 1,451,600 shares at March 31, 2013</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1,036,876 shares at June 30, 2013 and 1,224,319 shares at March 31, 2013</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7,244,207 shares at June 30, 2013 and 7,478,522 shares at March 31, 2013</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Treasury stock, at cost — 553,173 shares at June 30, 2013 and 405,843 shares at March 31, 2013</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181,174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124,775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288,193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3,168,023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26"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4"/>
          </w:tcPr>
          <w:p>
            <w:pPr>
              <w:jc w:val="right"/>
              <w:ind w:right="711"/>
              <w:spacing w:after="0" w:line="153"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1,432,424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727,370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397,888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378,460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193,355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1,289,018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1,317,688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138,673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41,062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40" w:right="239" w:bottom="1440" w:gutter="0" w:footer="0" w:header="0"/>
        </w:sectPr>
      </w:pPr>
    </w:p>
    <w:bookmarkStart w:id="4" w:name="page5"/>
    <w:bookmarkEnd w:id="4"/>
    <w:p>
      <w:pPr>
        <w:jc w:val="center"/>
        <w:spacing w:after="0" w:line="405"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714"/>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70,313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70,737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62,044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9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70,313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original issuance discount on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385,359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9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94"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60" w:right="216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June 30, 2013</w:t>
      </w:r>
    </w:p>
    <w:p>
      <w:pPr>
        <w:spacing w:after="0" w:line="176" w:lineRule="exact"/>
        <w:rPr>
          <w:sz w:val="20"/>
          <w:szCs w:val="20"/>
          <w:color w:val="auto"/>
        </w:rPr>
      </w:pPr>
    </w:p>
    <w:p>
      <w:pPr>
        <w:ind w:left="340" w:right="9280" w:hanging="332"/>
        <w:spacing w:after="0" w:line="367" w:lineRule="auto"/>
        <w:tabs>
          <w:tab w:leader="none" w:pos="19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ind w:right="120" w:firstLine="648"/>
        <w:spacing w:after="0" w:line="273"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in the defense, intelligence, and civil markets. The Company is also further developing the scope and scale of the engineering services capabilities that it provides to its U.S. government clients. The Company has expanded beyond its management consulting foundation to develop deep expertise in technology, engineering, and analytics. The Company reports operating results and financial data in one operating segment. The Company is headquartered in McLean, Virginia, with approximately 23,400 employees as of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2013 filed with the Securities and Exchange Commission on May 23, 2013, or Annual Report, and policies stated within this Form 10-Q. The Company’s fiscal year ends on March 31 and unless otherwise noted, references to fiscal year or fiscal are for fiscal years ended March 31.</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three months ended June 30, 2013 are not necessarily indicative of results to be expected for the full fiscal year.</w:t>
      </w:r>
    </w:p>
    <w:p>
      <w:pPr>
        <w:spacing w:after="0" w:line="12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Recent accounting pronouncements issued by the Financial Accounting Standards Board, or FASB, during the three months ended June 30, 2013, and through the filing date did not or are not believed by management to have a material impact on the Company's present or historical condensed consolidated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 entitled to participate in non-forfeitable dividends or other distributions. These unvested shares participated in the Company's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26" w:right="259" w:bottom="1440" w:gutter="0" w:footer="0" w:header="0"/>
        </w:sectPr>
      </w:pPr>
    </w:p>
    <w:bookmarkStart w:id="7" w:name="page8"/>
    <w:bookmarkEnd w:id="7"/>
    <w:p>
      <w:pPr>
        <w:ind w:right="100"/>
        <w:spacing w:after="0" w:line="264" w:lineRule="auto"/>
        <w:rPr>
          <w:sz w:val="20"/>
          <w:szCs w:val="20"/>
          <w:color w:val="auto"/>
        </w:rPr>
      </w:pPr>
      <w:r>
        <w:rPr>
          <w:rFonts w:ascii="Arial" w:cs="Arial" w:eastAsia="Arial" w:hAnsi="Arial"/>
          <w:sz w:val="18"/>
          <w:szCs w:val="18"/>
          <w:color w:val="auto"/>
        </w:rPr>
        <w:t>dividends declared and paid in the first quarter of fiscal 2014 and 2013. As such, EPS is calculated using the two-class method whereby earnings are reduced by distributed earnings as well as any available undistributed earnings allocable to restricted shareholders. A reconciliation of the income used to compute basic and diluted EPS for the periods presented are as follows:</w:t>
      </w:r>
    </w:p>
    <w:p>
      <w:pPr>
        <w:spacing w:after="0" w:line="30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13335</wp:posOffset>
            </wp:positionV>
            <wp:extent cx="1844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60,693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Weighted-average Class A Common Stock outstanding</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135,538,602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127,932,803</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Class B Non-Voting Common Stock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2,474,453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Weighted-average Class C Restricted Common Stock outstanding</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1,156,992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1,260,620</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weighted-average common shares outstanding for basic computations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138,044,506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131,667,876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Earnings for diluted computations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70,014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60,693</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Dilutive stock options and 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9,193,243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11,009,161</w:t>
            </w:r>
          </w:p>
        </w:tc>
      </w:tr>
      <w:tr>
        <w:trPr>
          <w:trHeight w:val="237"/>
        </w:trPr>
        <w:tc>
          <w:tcPr>
            <w:tcW w:w="7860" w:type="dxa"/>
            <w:vAlign w:val="bottom"/>
          </w:tcPr>
          <w:p>
            <w:pPr>
              <w:ind w:left="360"/>
              <w:spacing w:after="0"/>
              <w:rPr>
                <w:sz w:val="20"/>
                <w:szCs w:val="20"/>
                <w:color w:val="auto"/>
              </w:rPr>
            </w:pPr>
            <w:r>
              <w:rPr>
                <w:rFonts w:ascii="Arial" w:cs="Arial" w:eastAsia="Arial" w:hAnsi="Arial"/>
                <w:sz w:val="18"/>
                <w:szCs w:val="18"/>
                <w:color w:val="auto"/>
              </w:rPr>
              <w:t>Average number of common shares outstanding for diluted computations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147,237,749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142,677,037</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0.46</w:t>
            </w:r>
          </w:p>
        </w:tc>
      </w:tr>
      <w:tr>
        <w:trPr>
          <w:trHeight w:val="67"/>
        </w:trPr>
        <w:tc>
          <w:tcPr>
            <w:tcW w:w="78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78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8"/>
        <w:spacing w:after="0" w:line="297"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three months ended June 30, 2013 and 2012, approximately 600,000 and 800,000 participating securities were paid dividends totaling $62,000 and $1.3 million, respectively. Additionally, for the three months ended June 30, 2013, there were undistributed earnings of $253,000 and $237,000 allocated to the participating class of securities in basic and diluted earnings per share, respectively. The allocated undistributed earnings and the dividends paid for the three months ended June 30, 2013 comprise the difference from net income presented on the condensed consolidated statements of operations while only the dividends paid comprise the difference in net income for the three months ended June 30, 2012, as there were no excess undistributed earnings.</w:t>
      </w:r>
    </w:p>
    <w:p>
      <w:pPr>
        <w:spacing w:after="0" w:line="32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EPS calculation for the three months ended June 30, 2013 and 2012 excludes 990,000 and 2,480,000 options, respectively, as their impact was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On November 30, 2012 Booz Allen Hamilton Engineering Holding Co., LLC, a wholly owned subsidiary of the Company, acquired the Defense Systems Engineering and Support, or DSES, division of ARINC Incorporated, or ARINC, by acquiring 100% of the membership interests of ARINC Engineering Services, LLC, a formerly wholly owned subsidiary of ARINC that owns DSES. DSES is a provider of advanced aviation and maritime engineering, advanced weapons modernization and sustainment, and advanced systems engineering and integration. Subsequent to the acquisition, the Company changed the name of ARINC Engineering Services, LLC to Booz Allen Hamilton Engineering Services, or BES.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paid approximately $155.1 million in cash to ARINC for DSES on November 30, 2012, which includes a stated purchase price under the acquisition agreement of $154.0 million and a working capital adjustment of $1.1 million. The Company will recover $3.6 million from ARINC as the final net working capital agreed upon by both parties is lower than the amount paid in connection with the acquisition. The Company has accounted for this return of consideration and the purchase price allocation has been adjusted to assume a purchase price of $151.5 million. The Company has recognized the estimated fair values of the assets acquired and liabilities assumed and has allocated $86.9 million to goodwill and $26.5 million to identifiable intangible assets. The goodwill is largely attributed to the specialized workforce and the expected synergies between the Company and DSES. The value attributed to the identifiable intangible assets of $26.5 million is being amortized on an accelerated basis over the estimated useful life of 7 years.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5.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456,874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431,770</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598,004</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1,029,586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19,779</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1,018,828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1,049,365</w:t>
            </w: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recognized a provision for doubtful accounts of $2.0 million and $740,000 for the three months ended June 30, 2013 and 2012, respectively. Long-term unbilled receivables related to retainage, holdbacks, and long-term rate settlements to be billed at contract closeout are included in other long-term assets as accounts receivable in the accompanying condensed consolidated balance sheets.</w:t>
      </w:r>
    </w:p>
    <w:p>
      <w:pPr>
        <w:spacing w:after="0" w:line="162" w:lineRule="exact"/>
        <w:rPr>
          <w:sz w:val="20"/>
          <w:szCs w:val="20"/>
          <w:color w:val="auto"/>
        </w:rPr>
      </w:pPr>
    </w:p>
    <w:p>
      <w:pPr>
        <w:ind w:left="440" w:right="5560" w:hanging="432"/>
        <w:spacing w:after="0" w:line="660"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248,471</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202,594</w:t>
            </w:r>
          </w:p>
        </w:tc>
      </w:tr>
      <w:tr>
        <w:trPr>
          <w:trHeight w:val="27"/>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451,065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17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81,429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83,071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136,528</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14)</w:t>
            </w: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48,468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27,977</w:t>
            </w:r>
          </w:p>
        </w:tc>
        <w:tc>
          <w:tcPr>
            <w:tcW w:w="0" w:type="dxa"/>
            <w:vAlign w:val="bottom"/>
          </w:tcPr>
          <w:p>
            <w:pPr>
              <w:spacing w:after="0"/>
              <w:rPr>
                <w:sz w:val="1"/>
                <w:szCs w:val="1"/>
                <w:color w:val="auto"/>
              </w:rPr>
            </w:pPr>
          </w:p>
        </w:tc>
      </w:tr>
      <w:tr>
        <w:trPr>
          <w:trHeight w:val="237"/>
        </w:trPr>
        <w:tc>
          <w:tcPr>
            <w:tcW w:w="406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5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299,955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385,433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vMerge w:val="restart"/>
          </w:tcPr>
          <w:p>
            <w:pPr>
              <w:jc w:val="right"/>
              <w:ind w:right="165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958"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8.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2013</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A Loans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697,122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706,134</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Tranche B Loans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1,006,861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1,009,039</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1,703,983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1,715,173</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(60,094)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(55,562)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1,643,889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1,659,611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On July 31, 2012, the Company consummated a recapitalization transaction, or Recapitalization Transaction, which included the refinancing and termination of the Company's existing senior secured credit agreement with the proceeds of the borrowings under the Company's new senior secured credit agreement, or Credit Agreement. The Credit Agreement provided the Company with a $725.0 million Term Loan A tranche and a $1,025.0 million Term Loan B tranche, and a $500.0 million revolving credit facility, with a sublimit for letters of credit of $100.0 million. The outstanding obligations under the Credit Agreement are secured by a security interest in substantially all of the assets of the Company, subject to certain exceptions set forth in the Credit Agreement and related documentation.</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13.0%,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 As of June 30, 2013 and March 31, 2013, there were no amounts outstanding on the revolving credit facility.</w:t>
      </w:r>
    </w:p>
    <w:p>
      <w:pPr>
        <w:spacing w:after="0" w:line="18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interest rate on borrowings under Tranche A is LIBOR plus a 2.50% spread. The spread ranges from 2.00% to 2.75% based on the Company's total leverage ratio. The interest rate on borrowings under Tranche B is LIBOR plus a 3.5% spread with a 1% floor. The revolving credit facility margin and commitment fee are subject to the leveraged based pricing grid, as set forth in the Credit Agreement.</w:t>
      </w:r>
    </w:p>
    <w:p>
      <w:pPr>
        <w:spacing w:after="0" w:line="12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$11.1 million and $11.6 million as of June 30, 2013 and March 31, 2013,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2013 and March 31, 2013, the Company was in compliance with all of the Credit Agreement's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Company’s effective income tax rate was 40.4% and 39.9% for the three months ended June 30, 2013 and 2012, respectively. The effective tax rate of 40.4% for the three months ended June 30, 2013 differs from the statutory rate of 35.0% due to state income taxes, changes in uncertain tax positions, and the effect of permanent rate differences, which primarily relate to meals and entertainment.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7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10.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57,018</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40,548</w:t>
            </w:r>
          </w:p>
        </w:tc>
      </w:tr>
      <w:tr>
        <w:trPr>
          <w:trHeight w:val="27"/>
        </w:trPr>
        <w:tc>
          <w:tcPr>
            <w:tcW w:w="7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50,625</w:t>
            </w:r>
          </w:p>
        </w:tc>
      </w:tr>
      <w:tr>
        <w:trPr>
          <w:trHeight w:val="27"/>
        </w:trPr>
        <w:tc>
          <w:tcPr>
            <w:tcW w:w="7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85,443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83,761</w:t>
            </w:r>
          </w:p>
        </w:tc>
      </w:tr>
      <w:tr>
        <w:trPr>
          <w:trHeight w:val="27"/>
        </w:trPr>
        <w:tc>
          <w:tcPr>
            <w:tcW w:w="7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323,046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326,478</w:t>
            </w:r>
          </w:p>
        </w:tc>
      </w:tr>
      <w:tr>
        <w:trPr>
          <w:trHeight w:val="27"/>
        </w:trPr>
        <w:tc>
          <w:tcPr>
            <w:tcW w:w="7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the three months ended June 30, 2013 and 2012 was $41.6 million and $59.6 million, respectively, and the Company-paid contributions were $43.2 million and $41.3 million,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postretirement medical plan and a defined benefit retirement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63"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13335</wp:posOffset>
            </wp:positionV>
            <wp:extent cx="1903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973</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787</w:t>
            </w:r>
          </w:p>
        </w:tc>
      </w:tr>
      <w:tr>
        <w:trPr>
          <w:trHeight w:val="27"/>
        </w:trPr>
        <w:tc>
          <w:tcPr>
            <w:tcW w:w="8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2,823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2,144</w:t>
            </w:r>
          </w:p>
        </w:tc>
      </w:tr>
      <w:tr>
        <w:trPr>
          <w:trHeight w:val="27"/>
        </w:trPr>
        <w:tc>
          <w:tcPr>
            <w:tcW w:w="8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2013 and March 31, 2013, the unfunded status of the Officer Medical Plan was $80.4 million and $78.7 million, respectively, which is included in other long-term liabilities in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04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pension plan. The following table represents a rollforward of amounts recognized in accumulated other comprehensive loss, net of tax:</w:t>
      </w:r>
    </w:p>
    <w:p>
      <w:pPr>
        <w:spacing w:after="0" w:line="108"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13335</wp:posOffset>
            </wp:positionV>
            <wp:extent cx="1492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7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43"/>
        </w:trPr>
        <w:tc>
          <w:tcPr>
            <w:tcW w:w="772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7"/>
        </w:trPr>
        <w:tc>
          <w:tcPr>
            <w:tcW w:w="7720" w:type="dxa"/>
            <w:vAlign w:val="bottom"/>
          </w:tcPr>
          <w:p>
            <w:pPr>
              <w:ind w:left="340"/>
              <w:spacing w:after="0"/>
              <w:rPr>
                <w:sz w:val="20"/>
                <w:szCs w:val="20"/>
                <w:color w:val="auto"/>
              </w:rPr>
            </w:pPr>
            <w:r>
              <w:rPr>
                <w:rFonts w:ascii="Arial" w:cs="Arial" w:eastAsia="Arial" w:hAnsi="Arial"/>
                <w:sz w:val="18"/>
                <w:szCs w:val="18"/>
                <w:color w:val="auto"/>
              </w:rPr>
              <w:t>Net current-period other comprehensive loss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63"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13335</wp:posOffset>
            </wp:positionV>
            <wp:extent cx="1492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7"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43"/>
        </w:trPr>
        <w:tc>
          <w:tcPr>
            <w:tcW w:w="7840" w:type="dxa"/>
            <w:vAlign w:val="bottom"/>
          </w:tcPr>
          <w:p>
            <w:pPr>
              <w:ind w:left="200"/>
              <w:spacing w:after="0"/>
              <w:rPr>
                <w:sz w:val="20"/>
                <w:szCs w:val="20"/>
                <w:color w:val="auto"/>
              </w:rPr>
            </w:pPr>
            <w:r>
              <w:rPr>
                <w:rFonts w:ascii="Arial" w:cs="Arial" w:eastAsia="Arial" w:hAnsi="Arial"/>
                <w:sz w:val="18"/>
                <w:szCs w:val="18"/>
                <w:color w:val="auto"/>
              </w:rPr>
              <w:t>Amortization of net actuarial loss included in net periodic benefit cost (See Note 11)</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before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7840" w:type="dxa"/>
            <w:vAlign w:val="bottom"/>
          </w:tcPr>
          <w:p>
            <w:pPr>
              <w:ind w:left="480"/>
              <w:spacing w:after="0"/>
              <w:rPr>
                <w:sz w:val="20"/>
                <w:szCs w:val="20"/>
                <w:color w:val="auto"/>
              </w:rPr>
            </w:pPr>
            <w:r>
              <w:rPr>
                <w:rFonts w:ascii="Arial" w:cs="Arial" w:eastAsia="Arial" w:hAnsi="Arial"/>
                <w:sz w:val="18"/>
                <w:szCs w:val="18"/>
                <w:color w:val="auto"/>
              </w:rPr>
              <w:t>Tax benefit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8820" w:hanging="332"/>
        <w:spacing w:after="0" w:line="346"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128,726,324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2,487,125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1,533,020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1,182,004</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5,204,890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(2,661,545)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1,344,226</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(1,035,525)</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(308,701)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(72,068)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2013</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136,457,444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1,451,600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1,224,319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7,478,522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(405,843)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77,801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570,167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535,713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(147,330)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137,641,125</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1,103,330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1,036,876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7,244,207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(553,173)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5620" w:right="1080" w:hanging="5612"/>
        <w:spacing w:after="0" w:line="559"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shares repurchased on July 2, 2012 to cover for the withholding taxes on restricted stock awards that vested on June 30, 2012. 10</w:t>
      </w:r>
    </w:p>
    <w:p>
      <w:pPr>
        <w:sectPr>
          <w:pgSz w:w="11900" w:h="16838" w:orient="portrait"/>
          <w:cols w:equalWidth="0" w:num="1">
            <w:col w:w="11420"/>
          </w:cols>
          <w:pgMar w:left="240" w:top="1337" w:right="239" w:bottom="1440" w:gutter="0" w:footer="0" w:header="0"/>
        </w:sectPr>
      </w:pPr>
    </w:p>
    <w:bookmarkStart w:id="12" w:name="page13"/>
    <w:bookmarkEnd w:id="12"/>
    <w:p>
      <w:pPr>
        <w:ind w:left="660" w:right="20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shares repurchased on June 30, 2013 to cover for the withholding taxes on restricted stock awards that vested on June 30, 2013 and shares repurchased for the withholding taxes on accelerated restricted stock vesting for departing officers.</w:t>
      </w:r>
    </w:p>
    <w:p>
      <w:pPr>
        <w:spacing w:after="0" w:line="11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For the Company's Employee Stock Purchase Plan, or ESPP, quarterly offering period that closed on June 30, 2013, 77,801 Class A Common Stock shares were purchased by employees under the ESPP. As of the program's inception, 1,096,342 shares have been purchased by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63"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13335</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4,835</w:t>
            </w:r>
          </w:p>
        </w:tc>
      </w:tr>
      <w:tr>
        <w:trPr>
          <w:trHeight w:val="27"/>
        </w:trPr>
        <w:tc>
          <w:tcPr>
            <w:tcW w:w="6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08"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C Restricted Stock</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Rollover Options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
        </w:trPr>
        <w:tc>
          <w:tcPr>
            <w:tcW w:w="6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June 30, 2013, there was $17.3 million of total unrecognized compensation cost related to unvested stock-based compensation agreements. The unrecognized compensation cost as of June 30, 2013 is expected to be amortized over 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13,029</w:t>
            </w:r>
          </w:p>
        </w:tc>
        <w:tc>
          <w:tcPr>
            <w:tcW w:w="22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3.53</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6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4,302</w:t>
            </w:r>
          </w:p>
        </w:tc>
        <w:tc>
          <w:tcPr>
            <w:tcW w:w="228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1.81</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17,331</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Equity Incentive Plan</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23, 2013, 880,000 options were granted under the Amended and Restated Equity Incentive Plan, or EIP. The estimated fair value of our Class A Common Stock on May 23, 2013 at the time of the option grant, was $18.35.</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2013, there were 9,123,687 EIP options outstanding, of which 3,621,154 were unvested.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A Restricted Common Stock</w:t>
      </w:r>
    </w:p>
    <w:p>
      <w:pPr>
        <w:spacing w:after="0" w:line="6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permitted under the terms of the EIP, the Compensation Committee as Administrator of the Plan, authorized on June 3, 2011 the withholding of taxes not to exceed the minimum statutory withholding amount, through the surrender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3" w:name="page14"/>
    <w:bookmarkEnd w:id="13"/>
    <w:p>
      <w:pPr>
        <w:ind w:right="140"/>
        <w:spacing w:after="0" w:line="259" w:lineRule="auto"/>
        <w:rPr>
          <w:sz w:val="20"/>
          <w:szCs w:val="20"/>
          <w:color w:val="auto"/>
        </w:rPr>
      </w:pPr>
      <w:r>
        <w:rPr>
          <w:rFonts w:ascii="Arial" w:cs="Arial" w:eastAsia="Arial" w:hAnsi="Arial"/>
          <w:sz w:val="18"/>
          <w:szCs w:val="18"/>
          <w:color w:val="auto"/>
        </w:rPr>
        <w:t>shares of Class A Common Stock issuable upon the vesting or accelerated vesting of Class A Restricted Common Stock. For those holders who elected to participate, the trade dates were April 1, 2013 and June 30, 2013 for the vesting or accelerated vesting of the Class A Restricted Common Stock. As a result of these transactions the Company repurchased 10,219 shares at $13.45 and 137,111 shares at $17.38 and recorded them as treasury shares at a cost of $2.5 million.</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Board of Directors, as the Administrator of the Officers' Rollover Stock Plan and the EIP, has the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w:t>
      </w:r>
    </w:p>
    <w:p>
      <w:pPr>
        <w:spacing w:after="0" w:line="2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Total compensation expense recorded in conjunction with the payment of the dividends equivalent to holders of unvested EIP options for the three months ended June 30, 2013 was $117,000. Future compensation cost related to payment of the dividends equivalent to holders of EIP options not yet recognized in the statement of operations is $1.2 million and is expected to be recognized over 4 years. On June 30, 2013, a payment of $13.9 million was made to holders of vested outstanding EIP options.</w:t>
      </w:r>
    </w:p>
    <w:p>
      <w:pPr>
        <w:spacing w:after="0" w:line="26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2013 and March 31, 2013, the Company calculated a total recorded and unrecorded stock-based compensation liability of $92.3 million and $106.4 million, respectively, related to the special dividends paid in July 2009, December 2009, June 2012, and August 2012. The total recorded stock-based compensation liability as of June 30, 2013 and March 31, 2013 is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June 30, 2013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Rollover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Rollover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EIP Options</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1"/>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48,468</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53,369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53,369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7).</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Included in other long-term liabilities.</w:t>
      </w:r>
    </w:p>
    <w:p>
      <w:pPr>
        <w:spacing w:after="0" w:line="29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June 30, 2013, $3.5 million related to EIP Options will be recorded as liabilities as the related compensation expense is recognized over the next 4 years. There is no unrecorded liability related to Rollover Options as of June 30, 2013. As of March 31, 2013, there were unrecognized liabilities of $2.8 million and $4.5 million related to Rollover Options and EIP Options,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w:t>
      </w:r>
    </w:p>
    <w:p>
      <w:pPr>
        <w:spacing w:after="0" w:line="12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financial instrument's level within the fair value hierarchy is based on the lowest level of input that is significant to the fair value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represent the fair value of the Company's cash and cash equivalents as of June 30, 2013.</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611"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Fair Value of Cash and Cash Equivalents as of June 30,</w:t>
            </w:r>
          </w:p>
        </w:tc>
      </w:tr>
      <w:tr>
        <w:trPr>
          <w:trHeight w:val="234"/>
        </w:trPr>
        <w:tc>
          <w:tcPr>
            <w:tcW w:w="6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Level 1</w:t>
            </w:r>
          </w:p>
        </w:tc>
        <w:tc>
          <w:tcPr>
            <w:tcW w:w="13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1"/>
              </w:rPr>
              <w:t>Level 2</w:t>
            </w:r>
          </w:p>
        </w:tc>
        <w:tc>
          <w:tcPr>
            <w:tcW w:w="9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1"/>
              </w:rPr>
              <w:t>Level 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$137,520</w:t>
            </w:r>
          </w:p>
        </w:tc>
        <w:tc>
          <w:tcPr>
            <w:tcW w:w="1360" w:type="dxa"/>
            <w:vAlign w:val="bottom"/>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$137,520</w:t>
            </w: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(a)</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0"/>
              </w:rPr>
              <w:t>$247,839</w:t>
            </w:r>
          </w:p>
        </w:tc>
        <w:tc>
          <w:tcPr>
            <w:tcW w:w="96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$247,839</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$137,520</w:t>
            </w:r>
          </w:p>
        </w:tc>
        <w:tc>
          <w:tcPr>
            <w:tcW w:w="136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$247,839</w:t>
            </w:r>
          </w:p>
        </w:tc>
        <w:tc>
          <w:tcPr>
            <w:tcW w:w="96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$385,359</w:t>
            </w:r>
          </w:p>
        </w:tc>
      </w:tr>
      <w:tr>
        <w:trPr>
          <w:trHeight w:val="20"/>
        </w:trPr>
        <w:tc>
          <w:tcPr>
            <w:tcW w:w="6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56"/>
        <w:spacing w:after="0" w:line="298" w:lineRule="auto"/>
        <w:tabs>
          <w:tab w:leader="none" w:pos="931" w:val="left"/>
        </w:tabs>
        <w:numPr>
          <w:ilvl w:val="0"/>
          <w:numId w:val="10"/>
        </w:numPr>
        <w:rPr>
          <w:rFonts w:ascii="Arial" w:cs="Arial" w:eastAsia="Arial" w:hAnsi="Arial"/>
          <w:sz w:val="20"/>
          <w:szCs w:val="20"/>
          <w:color w:val="auto"/>
        </w:rPr>
      </w:pPr>
      <w:r>
        <w:rPr>
          <w:rFonts w:ascii="Arial" w:cs="Arial" w:eastAsia="Arial" w:hAnsi="Arial"/>
          <w:sz w:val="18"/>
          <w:szCs w:val="18"/>
          <w:color w:val="auto"/>
        </w:rPr>
        <w:t>Level two cash and cash equivalents are invested in money market funds that are intended to maintain a stable net asset value of $1.00 per share by investing in liquid, high quality U.S. dollar-denominated money market instruments.</w:t>
      </w:r>
    </w:p>
    <w:p>
      <w:pPr>
        <w:spacing w:after="0" w:line="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June 30, 2013 and March 31, 2013 because of the short-term nature of these instruments. The fair value of the Company's debt instruments approximates its carrying value at June 30, 2013 and March 31, 2013. The fair value of debt is determined based on interest rates available for debt with terms and maturities similar to the Company's existing debt arrangements (Level 2 inputs).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94"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June 30, 2013 were $96,000 and $82,000, respectively. Revenue and cost associated with these related parties for the three months ended June 30, 2012 were $150,000 and $144,000, respectively.</w:t>
      </w:r>
    </w:p>
    <w:p>
      <w:pPr>
        <w:spacing w:after="0" w:line="10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June 30, 2013 and 2012, the Company incurred $250,000 in advisory fees.</w:t>
      </w:r>
    </w:p>
    <w:p>
      <w:pPr>
        <w:spacing w:after="0" w:line="183" w:lineRule="exact"/>
        <w:rPr>
          <w:sz w:val="20"/>
          <w:szCs w:val="20"/>
          <w:color w:val="auto"/>
        </w:rPr>
      </w:pPr>
    </w:p>
    <w:p>
      <w:pPr>
        <w:ind w:left="340" w:right="7700" w:hanging="332"/>
        <w:spacing w:after="0" w:line="346" w:lineRule="auto"/>
        <w:tabs>
          <w:tab w:leader="none" w:pos="28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Parsippany, Troy, Houston, Cleveland and Dallas leases, which expired, the Company remains liable under the terms of the original leases should Booz &amp; Co. default on its obligations. There were no events of default under these leases as of June 30, 2013 or March 31, 2013. The maximum potential amount of undiscounted future payments is $22.0 million, and the leases expire at different dates between September 2013 and March 2017. Based on the Company’s assessment of the likelihood of future payment, no amounts have been recorded related to the Company’s contingent liability on such leases.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the three months ended June 30, 2013 and 2012, approximately 99% and 98%, respectively,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June 30, 2013 and March 31, 2013, the Company has recorded a liability of approximately $167.5 million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5" w:name="page16"/>
    <w:bookmarkEnd w:id="15"/>
    <w:p>
      <w:pPr>
        <w:ind w:right="340"/>
        <w:spacing w:after="0" w:line="277" w:lineRule="auto"/>
        <w:rPr>
          <w:sz w:val="20"/>
          <w:szCs w:val="20"/>
          <w:color w:val="auto"/>
        </w:rPr>
      </w:pPr>
      <w:r>
        <w:rPr>
          <w:rFonts w:ascii="Arial" w:cs="Arial" w:eastAsia="Arial" w:hAnsi="Arial"/>
          <w:sz w:val="18"/>
          <w:szCs w:val="18"/>
          <w:color w:val="auto"/>
        </w:rPr>
        <w:t>$156.2 million, respectively, for its current best estimate of amounts to be refunded to customers for potential adjustments from such audits or reviews of contract costs incurred subsequent to fiscal year 2007.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June 30, 2013, there are no material amounts accrued in the condensed consolidated financial statements related to these proceedings.</w:t>
      </w:r>
    </w:p>
    <w:p>
      <w:pPr>
        <w:spacing w:after="0" w:line="1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June 30, 2013 and March 31, 2013,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611" w:right="27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2013 filed with the Securities and Exchange Commission on May 23, 2013,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 We are further developing the scope and scale of our engineering services capabilities that we provide to our U.S. government clients. Additionally, we provide our management and technology consulting services to major corporations, institutions, and not for profit organizations. As the needs of our clients have grown more complex, we have expanded beyond our management consulting foundation to develop deep expertise in technology, engineering, and analytics.</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Leveraging our 99-year consulting heritage and a talent base of approximately 23,400 people, we deploy our deep domain knowledge, functional expertise, and experience to help our clients achieve their objectives.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General Services Administration.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 decreased 0.3% from the three months ended June 30, 2012 to the three months ended June 30, 2013. We continue to focus on effective management of our capacity and efficient management of our costs. Capacity management continued throughout the current period, and may influence future periods, particularly to the extent that the trends relating to fiscal uncertainty described below under "—Factors and Trends Affecting Our Results of Operations" persist. Modestly lower demand in an uncertain federal budget environment has resulted in a reduction in billable hours. Lower billable hours combined with the need to manage costs and capacity has resulted in reductions in headcount. However, a continued high level of productivity of consulting staff, recovery of additional allowable expenses, and higher billable expenses minimized the impact on our revenue from headcount declines. In this environment, we continue to focus on the effective deployment of our consulting staff to minimize the amount of time our staff spend on non-revenue producing activities and increase the amount of time our staff spends on revenue producing activities, which has helped minimize the decline in revenue. This reduction in unbillable time along with efficient use of our indirect costs, contributes to lower indirect costs, and most importantly a lower ratio of indirect costs to direct labor. Reductions in indirect costs have a direct correlation to a reduction of revenue recognized on our large portfolio of cost-reimbursable contracts. Substantially all of our revenue and backlog continues to be derived from services and solutions provided to client organizations across the U.S. government, primarily by our consulting staff and, to a lesser extent, our subcontractors. The mix of revenue generated by our consulting staff and subcontractors affects our operating margin, as the portion of our operating income derived from fees we earn on services provided by our subcontractors is significantly less than the operating income derived from direct consulting staff labor. The decline in our revenue described above was partially offset by an increase in revenue during the three months ended June 30, 2013 of $78.9 million from our acquisition of DSES that closed on November 30, 2012.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21" w:right="239" w:bottom="1440" w:gutter="0" w:footer="0" w:header="0"/>
        </w:sectPr>
      </w:pPr>
    </w:p>
    <w:bookmarkStart w:id="17" w:name="page18"/>
    <w:bookmarkEnd w:id="17"/>
    <w:p>
      <w:pPr>
        <w:spacing w:after="0" w:line="272" w:lineRule="auto"/>
        <w:rPr>
          <w:sz w:val="20"/>
          <w:szCs w:val="20"/>
          <w:color w:val="auto"/>
        </w:rPr>
      </w:pPr>
      <w:r>
        <w:rPr>
          <w:rFonts w:ascii="Arial" w:cs="Arial" w:eastAsia="Arial" w:hAnsi="Arial"/>
          <w:sz w:val="17"/>
          <w:szCs w:val="17"/>
          <w:color w:val="auto"/>
        </w:rPr>
        <w:t>Operating income grew 20.9% to $138.7 million in the three months ended June 30, 2013 from $114.7 million in the three months ended June 30, 2012, which reflects a 170 basis point increase in operating margin to 9.7% from 8.0% in the comparable periods. The improvement in operating margin was due to increased contract profitability due to disciplined cost management of indirect spending and recovery of additional allowable expenses, as described above, as well as decreases in salaries and salary related benefits, employer retirement plan contributions and incentive compensation costs primarily due to the net decline in our headcount and, to a lesser extent, changes in our executives' compensation and our employer retirement plan discretionary contributions. Our effective management of other indirect costs and lower ratio of indirect costs to direct labor produces higher margins on our time-and-material contracts and ultimately produces higher margins on our fixed-price contracts.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00" w:lineRule="exact"/>
        <w:rPr>
          <w:sz w:val="20"/>
          <w:szCs w:val="20"/>
          <w:color w:val="auto"/>
        </w:rPr>
      </w:pPr>
    </w:p>
    <w:p>
      <w:pPr>
        <w:spacing w:after="0" w:line="244" w:lineRule="exact"/>
        <w:rPr>
          <w:sz w:val="20"/>
          <w:szCs w:val="20"/>
          <w:color w:val="auto"/>
        </w:rPr>
      </w:pPr>
    </w:p>
    <w:p>
      <w:pPr>
        <w:ind w:left="1300" w:right="20" w:hanging="644"/>
        <w:spacing w:after="0" w:line="30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hanging="644"/>
        <w:spacing w:after="0" w:line="29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20" w:hanging="644"/>
        <w:spacing w:after="0" w:line="29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8" w:name="page19"/>
    <w:bookmarkEnd w:id="18"/>
    <w:p>
      <w:pPr>
        <w:ind w:left="1300" w:right="2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center"/>
              <w:ind w:left="733"/>
              <w:spacing w:after="0"/>
              <w:rPr>
                <w:sz w:val="20"/>
                <w:szCs w:val="20"/>
                <w:color w:val="auto"/>
              </w:rPr>
            </w:pPr>
            <w:r>
              <w:rPr>
                <w:rFonts w:ascii="Arial" w:cs="Arial" w:eastAsia="Arial" w:hAnsi="Arial"/>
                <w:sz w:val="14"/>
                <w:szCs w:val="14"/>
                <w:b w:val="1"/>
                <w:bCs w:val="1"/>
                <w:color w:val="auto"/>
                <w:w w:val="97"/>
              </w:rPr>
              <w:t>(Unaudited)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138,673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114,736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120,262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41,062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133,239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(c)</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73,227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65,979</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147,237,749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142,677,037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74,043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70,074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9" w:name="page20"/>
    <w:bookmarkEnd w:id="19"/>
    <w:p>
      <w:pPr>
        <w:ind w:left="660" w:right="92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Excludes an adjustment of approximately $299,000 and $1.3 million of net earnings for the three months ended June 30, 2013 and 2012, respectively, associated with the application of the two-class method for computing diluted earnings per share.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20" w:hanging="644"/>
        <w:spacing w:after="0" w:line="29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reductions, continued implementation of Congressionally mandated 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especially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13" w:lineRule="exact"/>
        <w:rPr>
          <w:rFonts w:ascii="Arial" w:cs="Arial" w:eastAsia="Arial" w:hAnsi="Arial"/>
          <w:sz w:val="16"/>
          <w:szCs w:val="16"/>
          <w:color w:val="auto"/>
        </w:rPr>
      </w:pPr>
    </w:p>
    <w:p>
      <w:pPr>
        <w:ind w:left="1300" w:right="10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and nature of Congressional and other U.S. government action to address budgetary constraints and the U.S. government's ability to incur indebtedness in excess of its current limit and the U.S. deficit, including, the required reductions under the Budget Control Act of 2011 (as amended by the American Taxpayer Relief Act of 2012), which provides for automatic spending cuts totaling approximately $1.2 trillion between 2013 and 2021;</w:t>
      </w:r>
    </w:p>
    <w:p>
      <w:pPr>
        <w:spacing w:after="0" w:line="132"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implementation by U.S. government agencies of the approximately $85 billion in mandated 2013 sequestration spending cuts, including approximately $37 billion in cuts to the Department of Defense;</w:t>
      </w:r>
    </w:p>
    <w:p>
      <w:pPr>
        <w:spacing w:after="0" w:line="116"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30" w:right="259" w:bottom="1440" w:gutter="0" w:footer="0" w:header="0"/>
        </w:sectPr>
      </w:pPr>
    </w:p>
    <w:bookmarkStart w:id="20" w:name="page21"/>
    <w:bookmarkEnd w:id="20"/>
    <w:p>
      <w:pPr>
        <w:ind w:left="1300" w:right="3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w:t>
      </w:r>
    </w:p>
    <w:p>
      <w:pPr>
        <w:spacing w:after="0" w:line="194"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and regulatory changes to the allowability of executive compensation in excess of a benchmark compensation cap established by the Administrator of the Office Federal Procurement Policy, which previously was only applicable to the five most highly compensated employees in management positions; and</w:t>
      </w:r>
    </w:p>
    <w:p>
      <w:pPr>
        <w:spacing w:after="0" w:line="12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which provides for automatic spending cuts totaling approximately $1.2 trillion between 2013 and 2021, requires an estimated $500 billion in federal defense spending cuts over this time period. The Consolidated and Further Continuing Appropriations Act, 2013, which provides funding for federal government agencies through the end of the current U.S. government fiscal year ending September 30, 2013, implements the approximately $85 billion in mandated 2013 sequestration cuts, including approximately $37 billion in cuts to the Department of Defense. A reduction in the amount of services that we are contracted to provide to the Department of Defense could have a material adverse effect on our business and results of operations, and given the uncertainty of how these automatic reductions may be applied, we are unable to predict the nature or magnitude of the potential adverse effect.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5"/>
        <w:spacing w:after="0" w:line="291" w:lineRule="auto"/>
        <w:tabs>
          <w:tab w:leader="none" w:pos="1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9" w:lineRule="exact"/>
        <w:rPr>
          <w:rFonts w:ascii="Arial" w:cs="Arial" w:eastAsia="Arial" w:hAnsi="Arial"/>
          <w:sz w:val="16"/>
          <w:szCs w:val="16"/>
          <w:color w:val="auto"/>
        </w:rPr>
      </w:pPr>
    </w:p>
    <w:p>
      <w:pPr>
        <w:ind w:left="1960" w:hanging="655"/>
        <w:spacing w:after="0" w:line="264" w:lineRule="auto"/>
        <w:tabs>
          <w:tab w:leader="none" w:pos="19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allowable material costs and allowable out-of-pocket expenses. To the extent our actual direct labor and associated costs vary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1" w:name="page22"/>
    <w:bookmarkEnd w:id="21"/>
    <w:p>
      <w:pPr>
        <w:ind w:left="1960"/>
        <w:spacing w:after="0"/>
        <w:rPr>
          <w:sz w:val="20"/>
          <w:szCs w:val="20"/>
          <w:color w:val="auto"/>
        </w:rPr>
      </w:pPr>
      <w:r>
        <w:rPr>
          <w:rFonts w:ascii="Arial" w:cs="Arial" w:eastAsia="Arial" w:hAnsi="Arial"/>
          <w:sz w:val="17"/>
          <w:szCs w:val="17"/>
          <w:color w:val="auto"/>
        </w:rPr>
        <w:t>relation to the fixed hourly billing rates provided in the contract, we will generate more or less profit, or could incur a loss.</w:t>
      </w:r>
    </w:p>
    <w:p>
      <w:pPr>
        <w:spacing w:after="0" w:line="142" w:lineRule="exact"/>
        <w:rPr>
          <w:sz w:val="20"/>
          <w:szCs w:val="20"/>
          <w:color w:val="auto"/>
        </w:rPr>
      </w:pPr>
    </w:p>
    <w:p>
      <w:pPr>
        <w:ind w:left="1960" w:hanging="655"/>
        <w:spacing w:after="0" w:line="276" w:lineRule="auto"/>
        <w:tabs>
          <w:tab w:leader="none" w:pos="196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Under a fixed-price contract, we agree to perform the specified work for a pre-determined price.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our actual 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over the last twelve months we have experienced a shift from time-and-materials contracts to cost-reimbursable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220980</wp:posOffset>
            </wp:positionV>
            <wp:extent cx="1920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45"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13335</wp:posOffset>
            </wp:positionV>
            <wp:extent cx="1920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8780" w:type="dxa"/>
            <w:vAlign w:val="bottom"/>
            <w:gridSpan w:val="2"/>
          </w:tcPr>
          <w:p>
            <w:pPr>
              <w:ind w:left="8380"/>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43"/>
        </w:trPr>
        <w:tc>
          <w:tcPr>
            <w:tcW w:w="280" w:type="dxa"/>
            <w:vAlign w:val="bottom"/>
          </w:tcPr>
          <w:p>
            <w:pPr>
              <w:spacing w:after="0"/>
              <w:rPr>
                <w:sz w:val="21"/>
                <w:szCs w:val="21"/>
                <w:color w:val="auto"/>
              </w:rPr>
            </w:pPr>
          </w:p>
        </w:tc>
        <w:tc>
          <w:tcPr>
            <w:tcW w:w="7800" w:type="dxa"/>
            <w:vAlign w:val="bottom"/>
          </w:tcPr>
          <w:p>
            <w:pPr>
              <w:ind w:left="80"/>
              <w:spacing w:after="0"/>
              <w:rPr>
                <w:sz w:val="20"/>
                <w:szCs w:val="20"/>
                <w:color w:val="auto"/>
              </w:rPr>
            </w:pPr>
            <w:r>
              <w:rPr>
                <w:rFonts w:ascii="Arial" w:cs="Arial" w:eastAsia="Arial" w:hAnsi="Arial"/>
                <w:sz w:val="18"/>
                <w:szCs w:val="18"/>
                <w:color w:val="auto"/>
              </w:rPr>
              <w:t>Cost-reimbursable (1)</w:t>
            </w:r>
          </w:p>
        </w:tc>
        <w:tc>
          <w:tcPr>
            <w:tcW w:w="9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280" w:type="dxa"/>
            <w:vAlign w:val="bottom"/>
          </w:tcPr>
          <w:p>
            <w:pPr>
              <w:spacing w:after="0"/>
              <w:rPr>
                <w:sz w:val="23"/>
                <w:szCs w:val="23"/>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Time-and-materials</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80" w:type="dxa"/>
            <w:vAlign w:val="bottom"/>
          </w:tcPr>
          <w:p>
            <w:pPr>
              <w:spacing w:after="0"/>
              <w:rPr>
                <w:sz w:val="23"/>
                <w:szCs w:val="23"/>
                <w:color w:val="auto"/>
              </w:rPr>
            </w:pPr>
          </w:p>
        </w:tc>
        <w:tc>
          <w:tcPr>
            <w:tcW w:w="8780" w:type="dxa"/>
            <w:vAlign w:val="bottom"/>
            <w:gridSpan w:val="2"/>
          </w:tcPr>
          <w:p>
            <w:pPr>
              <w:ind w:left="80"/>
              <w:spacing w:after="0"/>
              <w:rPr>
                <w:sz w:val="20"/>
                <w:szCs w:val="20"/>
                <w:color w:val="auto"/>
              </w:rPr>
            </w:pPr>
            <w:r>
              <w:rPr>
                <w:rFonts w:ascii="Arial" w:cs="Arial" w:eastAsia="Arial" w:hAnsi="Arial"/>
                <w:sz w:val="18"/>
                <w:szCs w:val="18"/>
                <w:color w:val="auto"/>
              </w:rPr>
              <w:t>Fixed-price (2)</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28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8780" w:type="dxa"/>
            <w:vAlign w:val="bottom"/>
            <w:gridSpan w:val="2"/>
          </w:tcPr>
          <w:p>
            <w:pPr>
              <w:ind w:left="380"/>
              <w:spacing w:after="0"/>
              <w:rPr>
                <w:sz w:val="20"/>
                <w:szCs w:val="20"/>
                <w:color w:val="auto"/>
              </w:rPr>
            </w:pPr>
            <w:r>
              <w:rPr>
                <w:rFonts w:ascii="Arial" w:cs="Arial" w:eastAsia="Arial" w:hAnsi="Arial"/>
                <w:sz w:val="18"/>
                <w:szCs w:val="18"/>
                <w:color w:val="auto"/>
              </w:rPr>
              <w:t>Includes both cost-plus-fixed-fee and cost-plus-award-fee contracts.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8780" w:type="dxa"/>
            <w:vAlign w:val="bottom"/>
            <w:gridSpan w:val="2"/>
          </w:tcPr>
          <w:p>
            <w:pPr>
              <w:ind w:left="380"/>
              <w:spacing w:after="0"/>
              <w:rPr>
                <w:sz w:val="20"/>
                <w:szCs w:val="20"/>
                <w:color w:val="auto"/>
              </w:rPr>
            </w:pPr>
            <w:r>
              <w:rPr>
                <w:rFonts w:ascii="Arial" w:cs="Arial" w:eastAsia="Arial" w:hAnsi="Arial"/>
                <w:sz w:val="18"/>
                <w:szCs w:val="18"/>
                <w:color w:val="auto"/>
              </w:rPr>
              <w:t>Includes fixed-price level of effort contracts.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65" w:right="259" w:bottom="1440" w:gutter="0" w:footer="0" w:header="0"/>
        </w:sectPr>
      </w:pPr>
    </w:p>
    <w:bookmarkStart w:id="22" w:name="page23"/>
    <w:bookmarkEnd w:id="22"/>
    <w:p>
      <w:pPr>
        <w:ind w:right="220"/>
        <w:spacing w:after="0" w:line="277" w:lineRule="auto"/>
        <w:rPr>
          <w:sz w:val="20"/>
          <w:szCs w:val="20"/>
          <w:color w:val="auto"/>
        </w:rPr>
      </w:pPr>
      <w:r>
        <w:rPr>
          <w:rFonts w:ascii="Arial" w:cs="Arial" w:eastAsia="Arial" w:hAnsi="Arial"/>
          <w:sz w:val="18"/>
          <w:szCs w:val="18"/>
          <w:color w:val="auto"/>
        </w:rPr>
        <w:t>achieve that result through recruitment and management of capacity and compensation. As of June 30, 2013 and 2012, we employed approximately 23,400 and 24,100 people, respectively, of which approximately 21,100 and 22,000, respectively, were consulting staff.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20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20"/>
        <w:spacing w:after="0"/>
        <w:tabs>
          <w:tab w:leader="none" w:pos="90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Backlog:</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36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70"/>
        </w:trPr>
        <w:tc>
          <w:tcPr>
            <w:tcW w:w="5340" w:type="dxa"/>
            <w:vAlign w:val="bottom"/>
          </w:tcPr>
          <w:p>
            <w:pPr>
              <w:ind w:left="360"/>
              <w:spacing w:after="0"/>
              <w:rPr>
                <w:sz w:val="20"/>
                <w:szCs w:val="20"/>
                <w:color w:val="auto"/>
              </w:rPr>
            </w:pPr>
            <w:r>
              <w:rPr>
                <w:rFonts w:ascii="Arial" w:cs="Arial" w:eastAsia="Arial" w:hAnsi="Arial"/>
                <w:sz w:val="18"/>
                <w:szCs w:val="18"/>
                <w:color w:val="auto"/>
              </w:rPr>
              <w:t>Unfunded (1)</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0"/>
        </w:trPr>
        <w:tc>
          <w:tcPr>
            <w:tcW w:w="5340" w:type="dxa"/>
            <w:vAlign w:val="bottom"/>
          </w:tcPr>
          <w:p>
            <w:pPr>
              <w:ind w:left="36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68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right="62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including backlog from Booz Allen Hamilton Engineering Services, or BES, of $1.3 billion, increased by 10.1% from June 30, 2012 to June 30, 2013. Funded backlog of $2.2 billion, including funded backlog from BES of $217 million, decreased by 14.9% from June 30, 2012 to June 30, 2013. Additions to funded backlog during the twelve months ended June 30, 2013, including backlog from BES, totaled $5.4 billion in comparison to $6.0 billion for the comparable period,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 We report internally on our backlog on a monthly basis and review backlog upon occurrence of certain events to determine if any adjustments are necessary.</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11" w:right="259" w:bottom="1440" w:gutter="0" w:footer="0" w:header="0"/>
        </w:sectPr>
      </w:pPr>
    </w:p>
    <w:bookmarkStart w:id="23" w:name="page24"/>
    <w:bookmarkEnd w:id="23"/>
    <w:p>
      <w:pPr>
        <w:spacing w:after="0" w:line="284" w:lineRule="auto"/>
        <w:rPr>
          <w:sz w:val="20"/>
          <w:szCs w:val="20"/>
          <w:color w:val="auto"/>
        </w:rPr>
      </w:pPr>
      <w:r>
        <w:rPr>
          <w:rFonts w:ascii="Arial" w:cs="Arial" w:eastAsia="Arial" w:hAnsi="Arial"/>
          <w:sz w:val="16"/>
          <w:szCs w:val="16"/>
          <w:color w:val="auto"/>
        </w:rPr>
        <w:t>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5.8% of funded backlog as of the end of any of the eight fiscal quarters preceding the fiscal quarter ended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June 30, 2013.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U.S. government's fiscal year ends on September 30 of each year. While not certain, it is not uncommon for U.S. government agencies to award extra tasks or complete other contract actions in the period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3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11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1,427,691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1,432,424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727,370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397,888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378,460</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193,355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18,503</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1,289,018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1,317,688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138,673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114,736</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41,062</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70,313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61,945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2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June 30, 2013 Compared to Three Months Ended June 30, 2012 </w:t>
      </w:r>
      <w:r>
        <w:rPr>
          <w:rFonts w:ascii="Arial" w:cs="Arial" w:eastAsia="Arial" w:hAnsi="Arial"/>
          <w:sz w:val="18"/>
          <w:szCs w:val="18"/>
          <w:i w:val="1"/>
          <w:iCs w:val="1"/>
          <w:color w:val="auto"/>
        </w:rPr>
        <w:t>Revenue</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Revenue decreased to $1,427.7 million from $1,432.4 million, or a 0.3% decrease. The decrease was primarily driven by a reduction in billable hours due to modestly lower demand in an uncertain federal budget environment. Lower billable hours combined with capacity and cost management efforts has resulted in reductions in headcount. However, a continued high level of productivity of consulting staff, recovery of additional allowable expenses, and higher billable expenses minimized the impact on our revenue from headcount declines. We also had a lower rate of indirect expenses period over period which has a direct correlation to the reduction of revenue on our large portfolio of cost reimbursable contracts. The decrease in revenue was partially offset by an increase in revenue of $78.9 million from the Company's acquisition of BES. Conversions to funded backlog during the twelve months ended June 30, 2013 totaled $5.4 billion in comparison to $6.0 billion for the twelve months ended June 30, 2012,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 decreased to $701.5 million from $727.4 million, or a 3.6% decrease. This decrease was primarily due to a decrease in salaries and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benefits of $14.2 million, a decrease in employer retirement plan contributions of $13.7 million, and a decrease in incentive compensation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The decrease was partially offset by increases in other direct consulting staff expenses of $3.5 million. The decrease in salaries and salary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benefits and incentive compensation costs was primarily due to reduced headcount in the direct consulting staff senior ranks. The decrease in employer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retirement plan contributions was due to a decrease in the Company's expected discretionary employer contribution for fiscal 2014 as well as the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headcount noted above. Cost of revenue as a percentage of revenue was 49.1% and 50.8% in the three months ended June 30, 2013 and 2012,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Billable expenses increased to $397.9 million from $378.5 million, or a 5.1% increase. The overall increase was primarily due to increases in subcontractor-related expenses of $12.0 million, increases in travel and materials expenses of $2.4 million, and increases in other billable expenses of $5.0 million incurred to perform on contracts. While direct subcontractor related expenses increased period over period, billable expenses excluding BES decreased due to the Company's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4" w:right="239" w:bottom="1440" w:gutter="0" w:footer="0" w:header="0"/>
        </w:sectPr>
      </w:pPr>
    </w:p>
    <w:bookmarkStart w:id="25" w:name="page26"/>
    <w:bookmarkEnd w:id="25"/>
    <w:p>
      <w:pPr>
        <w:ind w:right="80"/>
        <w:spacing w:after="0" w:line="342" w:lineRule="auto"/>
        <w:rPr>
          <w:sz w:val="20"/>
          <w:szCs w:val="20"/>
          <w:color w:val="auto"/>
        </w:rPr>
      </w:pPr>
      <w:r>
        <w:rPr>
          <w:rFonts w:ascii="Arial" w:cs="Arial" w:eastAsia="Arial" w:hAnsi="Arial"/>
          <w:sz w:val="16"/>
          <w:szCs w:val="16"/>
          <w:color w:val="auto"/>
        </w:rPr>
        <w:t>management of subcontractor costs. This decrease was more than offset by additional billable expenses from BES due to BES' large percentage of work from subcontractors. Billable expenses as a percentage of revenue were 27.9% and 26.4% in the three months ended June 30, 2013 and 2012,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General and administrative expenses decreased to $171.3 million from $193.4 million, or an 11.4% decrease. This decrease was primarily due to a decrease in salaries and salary-related benefits of $15.7 million and a decrease of $4.2 million in employer retirement plan contributions. The decrease in salaries and salary related expenses was primarily driven by the net reduction in our headcount. The decrease in employer retirement plan contributions was due to a decrease in the Company's expected discretionary employer contribution percentage for fiscal 2014 as well as the reduced headcount noted above. General and administrative expenses as a percentage of revenue were 12.0% and 13.5% for the three months ended June 30, 2013 and 2012,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Depreciation and amortization decreased to $18.3 million from $18.5 million, or a 0.9% decrease. This decrease was primarily due to decreased capital expenditures.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increased to $20.7 million from $11.2 million, or an 84.2% increase, primarily due to additional principal incurred in connection with the Recapitalization Transaction consummated on July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to $47.7 million from $41.1 million or a 16.2% increase.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historically been able to generate sufficient cash to fund our operations, debt payments, capital expenditures, and discretionary funding needs. We had $385.4 million and $350.4 million in cash and cash equivalents as of June 30, 2013 and March 31, 2013, respectively, and our debt totaled $1,704.0 million and $1,715.2 million as of June 30, 2013 and March 31, 2013, respectively. However, due to fluctuations in cash flows and the growth in operations, it may be necessary from time to 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4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periodically consider opportunities to optimize our capital structure. In light of the current strength of the credit markets, there is a likelihood that we will engage in a process intended to effectuate a repricing of the outstanding term loan indebtedness under our senior secured facilities, possibly including an extension of the maturities of such indebtedness, and to amend certain terms of such facilities to provide us with more operating flexibility. While the timing of a potential repricing transaction has not been determined and any decision to ultimately launch or consummate such a transaction will be subject to market conditions and remain within the sole discretion of our Board of Directors, we currently view it as reasonably likely that we would launch such a transaction sometime during calendar year 2013.</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July 31, 2013, we announced a regular quarterly cash dividend in the amount of $0.10 per share. The quarterly dividend is payable on August 30, 2013 to shareholders of record on August 12, 2013. During the three months ended June 30, 2013, we declared a recurring cash dividend totaling $13.9 million ($0.10 per share). During the three months ended June 30, 2012,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declared a recurring cash dividend totaling $11.9 million ($0.09 per share) and a special cash dividend totaling $208.5 million ($1.50 per share).</w:t>
      </w:r>
    </w:p>
    <w:p>
      <w:pPr>
        <w:spacing w:after="0" w:line="3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Board of Directors, as the Administrator of the Officers' Rollover Stock Plan and the Amended and Restated Equity Incentive Plan has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6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June 30, 2013 and March 31, 2013, the Company calculated a total recorded and unrecorded stock-based compensation liability of $92.3 million and $106.4 million, respectively, related to the special dividends paid in July 2009, December 2009, June 2012, and August 2012.</w:t>
      </w:r>
    </w:p>
    <w:p>
      <w:pPr>
        <w:spacing w:after="0" w:line="30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we evaluate alternative uses for excess cash resources including debt prepayments, payment of recurring and special dividends, funding acquisitions or share repurchases up to the Board of Directors current approved amount of $30.0 million, of which no shares have been repurchased as of June 30, 2013.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65 as of June 30, 2013 and 61 as of March 31, 2013.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73,847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74,043</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Total increase / (decrease) in cash and cash equivalents</w:t>
            </w:r>
          </w:p>
        </w:tc>
        <w:tc>
          <w:tcPr>
            <w:tcW w:w="206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34,975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60" w:type="dxa"/>
            <w:vAlign w:val="bottom"/>
            <w:vMerge w:val="restart"/>
          </w:tcPr>
          <w:p>
            <w:pPr>
              <w:jc w:val="right"/>
              <w:ind w:right="121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remained consistent year over year at $73.8 million in the three months ended June 30, 2013 compared to $74.0 million in the same prior 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in investing activities was $2.4 million in the three months ended June 30, 2013 compared to $4.0 million in the same prior year period, or a 39% decrease. The decrease in net cash used in investing activities was primarily due to decreased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Net cash used in financing activities was $36.4 million in the three months ended June 30, 2013 compared to $218.4 million in the same prior year period. The decrease in net cash used in financing activities was primarily due to special cash dividends paid in the three months ended June 30, 2012 with no comparable special dividend paid in the three months ended June 30,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debt totaled $1,704.0 million and $1,715.2 million as of June 30, 2013 and March 31, 2013, respectively. The interest rate in effect for Tranche A was 2.70% and for Tranche B was 4.50% as of June 30, 2013 and March 31, 2013. As of June 30, 2013 and March 31, 2013, there were no amounts outstanding under our revolving credit facility of $500 million. As of June 30, 2013 the Company was in compliance with all of its financial covenants under its credit facilities.</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July 31, 2012, the Company consummated the Recapitalization Transaction, which included the refinancing and termination of the Company's existing senior secured credit agreement with the proceeds of the borrowings under the Company's new senior secured credit agreement. Additionally the net proceeds of the recapitalization were used to pay a special dividend on August 31, 2012, as described above under "Liquidity and Capital Resources." The new senior secured credit agreement, or the Credit Agreement, provided the Company with a $725.0 million Term Loan A tranche and a $1,025.0 million Term Loan B tranche, and a $500.0 million revolving credit facility with a $100.0 million sublimit for letters of credit.</w:t>
      </w:r>
    </w:p>
    <w:p>
      <w:pPr>
        <w:spacing w:after="0" w:line="3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Tranche A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10,594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B Loans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8,819</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1,957</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2,573</w:t>
            </w:r>
          </w:p>
        </w:tc>
      </w:tr>
      <w:tr>
        <w:trPr>
          <w:trHeight w:val="20"/>
        </w:trPr>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 on borrowings under Tranche A is LIBOR plus 2.50%, and will range from 2.00% to 2.75% based on the Company's total leverage ratio. The interest rate on borrowings under Tranche B is LIBOR plus 3.5% with a 1% floor. The revolving credit facility margin and commitment fee are subject to the leveraged based pricing grid, as set forth in the Credit Agreement.</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loans under the Credit Agreement are secured by substantially all of our assets and none of such assets will be available to satisfy the claims of our general creditors. The Credit Agreement contains customary representations and warranties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73" w:right="259" w:bottom="1440" w:gutter="0" w:footer="0" w:header="0"/>
        </w:sectPr>
      </w:pPr>
    </w:p>
    <w:bookmarkStart w:id="28" w:name="page29"/>
    <w:bookmarkEnd w:id="28"/>
    <w:p>
      <w:pPr>
        <w:spacing w:after="0" w:line="293" w:lineRule="auto"/>
        <w:rPr>
          <w:sz w:val="20"/>
          <w:szCs w:val="20"/>
          <w:color w:val="auto"/>
        </w:rPr>
      </w:pPr>
      <w:r>
        <w:rPr>
          <w:rFonts w:ascii="Arial" w:cs="Arial" w:eastAsia="Arial" w:hAnsi="Arial"/>
          <w:sz w:val="16"/>
          <w:szCs w:val="16"/>
          <w:color w:val="auto"/>
        </w:rPr>
        <w:t>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June 30, 2013, we were compliant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stockholders’ equity amounted to $288.2 million as of June 30, 2013, an increase of $61.4 million compared to stockholders’ equity of $226.8 million as of March 31, 2013, primarily due to net income of $70.3 million in the three months ended June 30, 2013, stock option exercises, common stock issuances, and stock-based compensation expense of $5.1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2013 and 2012 were $2.4 million and $4.0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17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which have reduced and delayed and may further reduce or delay contract awards or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delays in the completion of the U.S. government's budgeting process and the use of continuing resolutions by the U.S. government to fund its operations or changes in the pattern or timing of government funding and spending (including those resulting from or related to cuts associated with sequestration or other budgetary cuts made in lieu of sequestration); current and continued uncertainty around the timing, extent, and nature of Congressional and other U.S. government action to address budgetary constraints, the U.S. government's ability to incur indebtedness in excess of its current limit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30" w:right="259" w:bottom="1440" w:gutter="0" w:footer="0" w:header="0"/>
        </w:sectPr>
      </w:pPr>
    </w:p>
    <w:bookmarkStart w:id="29" w:name="page30"/>
    <w:bookmarkEnd w:id="29"/>
    <w:p>
      <w:pPr>
        <w:spacing w:after="0" w:line="284" w:lineRule="auto"/>
        <w:rPr>
          <w:sz w:val="20"/>
          <w:szCs w:val="20"/>
          <w:color w:val="auto"/>
        </w:rPr>
      </w:pPr>
      <w:r>
        <w:rPr>
          <w:rFonts w:ascii="Arial" w:cs="Arial" w:eastAsia="Arial" w:hAnsi="Arial"/>
          <w:sz w:val="16"/>
          <w:szCs w:val="16"/>
          <w:color w:val="auto"/>
        </w:rPr>
        <w:t>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2013 filed with the Securities and Exchange Commission on May 23, 2013.</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during the period covered by this Quarterly Report on Form 10-Q to the risk factors disclosed in Part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1A, of our Annual Report on Form 10-K for the fiscal year ended March 31, 2013 filed with the Securities and Exchange Commission on May 23, 2013.</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26"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 period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360"/>
          </w:cols>
          <w:pgMar w:left="240" w:top="526" w:right="29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40"/>
          </w:cols>
          <w:pgMar w:left="280" w:top="692" w:right="279" w:bottom="1440" w:gutter="0" w:footer="0" w:header="0"/>
          <w:type w:val="continuous"/>
        </w:sectPr>
      </w:pPr>
    </w:p>
    <w:bookmarkStart w:id="33" w:name="page34"/>
    <w:bookmarkEnd w:id="33"/>
    <w:p>
      <w:pPr>
        <w:ind w:left="960" w:hanging="925"/>
        <w:spacing w:after="0" w:line="25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months ended June 30, 2013 formatted in XBRL (eXtensible Business Reporting Language): (i) Condensed Consolidated Balance Sheets at June 30, 2013 and March 31, 2013; (ii) Condensed Consolidated Statements of Operations for the three months ended June 30, 2013 and 2012; (iii) Condensed Consolidated Statements of Comprehensive Income for the three months ended June 30, 2013 and 2012; (iv) Condensed Consolidated Statements of Cash Flows for the three months ended June 30, 2013 and 2012;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20" w:hanging="652"/>
        <w:spacing w:after="0" w:line="277"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692" w:right="35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364"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2013,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2013,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decimal"/>
      <w:start w:val="6"/>
    </w:lvl>
  </w:abstractNum>
  <w:abstractNum w:abstractNumId="5">
    <w:nsid w:val="628C895D"/>
    <w:multiLevelType w:val="hybridMultilevel"/>
    <w:lvl w:ilvl="0">
      <w:lvlJc w:val="left"/>
      <w:lvlText w:val="%1."/>
      <w:numFmt w:val="decimal"/>
      <w:start w:val="13"/>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2"/>
    </w:lvl>
  </w:abstractNum>
  <w:abstractNum w:abstractNumId="8">
    <w:nsid w:val="2443A858"/>
    <w:multiLevelType w:val="hybridMultilevel"/>
    <w:lvl w:ilvl="0">
      <w:lvlJc w:val="left"/>
      <w:lvlText w:val="1"/>
      <w:numFmt w:val="bullet"/>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decimal"/>
      <w:start w:val="17"/>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4"/>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0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2019-12-07T19:48:41Z</dcterms:created>
  <dcterms:modified xsi:type="dcterms:W3CDTF">2019-12-07T19:48:41Z</dcterms:modified>
</cp:coreProperties>
</file>