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137795</wp:posOffset>
            </wp:positionH>
            <wp:positionV relativeFrom="paragraph">
              <wp:posOffset>194945</wp:posOffset>
            </wp:positionV>
            <wp:extent cx="68986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8640" cy="698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214630</wp:posOffset>
            </wp:positionV>
            <wp:extent cx="68986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8640" cy="6985"/>
                    </a:xfrm>
                    <a:prstGeom prst="rect">
                      <a:avLst/>
                    </a:prstGeom>
                    <a:noFill/>
                  </pic:spPr>
                </pic:pic>
              </a:graphicData>
            </a:graphic>
          </wp:anchor>
        </w:drawing>
      </w:r>
    </w:p>
    <w:p>
      <w:pPr>
        <w:spacing w:after="0" w:line="3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6"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___________________________________</w:t>
      </w:r>
    </w:p>
    <w:p>
      <w:pPr>
        <w:spacing w:after="0" w:line="6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color w:val="auto"/>
        </w:rPr>
        <w:t>___________________________________</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(Mark One)</w:t>
      </w:r>
    </w:p>
    <w:p>
      <w:pPr>
        <w:spacing w:after="0" w:line="8"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 the fiscal year ended March 31, 2024</w:t>
      </w:r>
    </w:p>
    <w:p>
      <w:pPr>
        <w:spacing w:after="0" w:line="96" w:lineRule="exact"/>
        <w:rPr>
          <w:sz w:val="24"/>
          <w:szCs w:val="24"/>
          <w:color w:val="auto"/>
        </w:rPr>
      </w:pPr>
    </w:p>
    <w:p>
      <w:pPr>
        <w:ind w:left="340" w:hanging="335"/>
        <w:spacing w:after="0"/>
        <w:tabs>
          <w:tab w:leader="none" w:pos="3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360" w:type="dxa"/>
            <w:vAlign w:val="bottom"/>
          </w:tcPr>
          <w:p>
            <w:pPr>
              <w:spacing w:after="0"/>
              <w:rPr>
                <w:sz w:val="13"/>
                <w:szCs w:val="13"/>
                <w:color w:val="auto"/>
              </w:rPr>
            </w:pPr>
          </w:p>
        </w:tc>
        <w:tc>
          <w:tcPr>
            <w:tcW w:w="3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360" w:type="dxa"/>
            <w:vAlign w:val="bottom"/>
            <w:gridSpan w:val="7"/>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Commission File No. 001-34972</w:t>
            </w: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900" w:type="dxa"/>
            <w:vAlign w:val="bottom"/>
            <w:gridSpan w:val="5"/>
          </w:tcPr>
          <w:p>
            <w:pPr>
              <w:jc w:val="center"/>
              <w:ind w:left="392"/>
              <w:spacing w:after="0" w:line="156" w:lineRule="exact"/>
              <w:rPr>
                <w:sz w:val="20"/>
                <w:szCs w:val="20"/>
                <w:color w:val="auto"/>
              </w:rPr>
            </w:pPr>
            <w:r>
              <w:rPr>
                <w:rFonts w:ascii="Times New Roman" w:cs="Times New Roman" w:eastAsia="Times New Roman" w:hAnsi="Times New Roman"/>
                <w:sz w:val="14"/>
                <w:szCs w:val="14"/>
                <w:color w:val="auto"/>
              </w:rPr>
              <w:t>___________________________________</w:t>
            </w: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gridSpan w:val="9"/>
          </w:tcPr>
          <w:p>
            <w:pPr>
              <w:jc w:val="center"/>
              <w:ind w:right="780"/>
              <w:spacing w:after="0"/>
              <w:rPr>
                <w:sz w:val="20"/>
                <w:szCs w:val="20"/>
                <w:color w:val="auto"/>
              </w:rPr>
            </w:pPr>
            <w:r>
              <w:rPr>
                <w:rFonts w:ascii="Times New Roman" w:cs="Times New Roman" w:eastAsia="Times New Roman" w:hAnsi="Times New Roman"/>
                <w:sz w:val="34"/>
                <w:szCs w:val="34"/>
                <w:b w:val="1"/>
                <w:bCs w:val="1"/>
                <w:color w:val="auto"/>
                <w:w w:val="99"/>
              </w:rPr>
              <w:t>Booz Allen Hamilton Holding Corporation</w:t>
            </w: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360" w:type="dxa"/>
            <w:vAlign w:val="bottom"/>
            <w:gridSpan w:val="7"/>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900" w:type="dxa"/>
            <w:vAlign w:val="bottom"/>
            <w:gridSpan w:val="5"/>
          </w:tcPr>
          <w:p>
            <w:pPr>
              <w:jc w:val="center"/>
              <w:ind w:left="392"/>
              <w:spacing w:after="0"/>
              <w:rPr>
                <w:sz w:val="20"/>
                <w:szCs w:val="20"/>
                <w:color w:val="auto"/>
              </w:rPr>
            </w:pPr>
            <w:r>
              <w:rPr>
                <w:rFonts w:ascii="Times New Roman" w:cs="Times New Roman" w:eastAsia="Times New Roman" w:hAnsi="Times New Roman"/>
                <w:sz w:val="14"/>
                <w:szCs w:val="14"/>
                <w:color w:val="auto"/>
              </w:rPr>
              <w:t>___________________________________</w:t>
            </w: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480" w:type="dxa"/>
            <w:vAlign w:val="bottom"/>
            <w:gridSpan w:val="4"/>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26-2634160</w:t>
            </w:r>
          </w:p>
        </w:tc>
        <w:tc>
          <w:tcPr>
            <w:tcW w:w="0" w:type="dxa"/>
            <w:vAlign w:val="bottom"/>
          </w:tcPr>
          <w:p>
            <w:pPr>
              <w:spacing w:after="0"/>
              <w:rPr>
                <w:sz w:val="1"/>
                <w:szCs w:val="1"/>
                <w:color w:val="auto"/>
              </w:rPr>
            </w:pPr>
          </w:p>
        </w:tc>
      </w:tr>
      <w:tr>
        <w:trPr>
          <w:trHeight w:val="117"/>
        </w:trPr>
        <w:tc>
          <w:tcPr>
            <w:tcW w:w="3480" w:type="dxa"/>
            <w:vAlign w:val="bottom"/>
            <w:gridSpan w:val="4"/>
          </w:tcPr>
          <w:p>
            <w:pPr>
              <w:jc w:val="center"/>
              <w:ind w:left="757"/>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60" w:type="dxa"/>
            <w:vAlign w:val="bottom"/>
            <w:gridSpan w:val="2"/>
          </w:tcPr>
          <w:p>
            <w:pPr>
              <w:jc w:val="center"/>
              <w:ind w:left="1500"/>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9"/>
        </w:trPr>
        <w:tc>
          <w:tcPr>
            <w:tcW w:w="3480" w:type="dxa"/>
            <w:vAlign w:val="bottom"/>
            <w:gridSpan w:val="4"/>
          </w:tcPr>
          <w:p>
            <w:pPr>
              <w:jc w:val="center"/>
              <w:ind w:left="777"/>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gridSpan w:val="2"/>
          </w:tcPr>
          <w:p>
            <w:pPr>
              <w:jc w:val="center"/>
              <w:ind w:left="1500"/>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223"/>
        </w:trPr>
        <w:tc>
          <w:tcPr>
            <w:tcW w:w="19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8283 Greensboro Drive,</w:t>
            </w:r>
          </w:p>
        </w:tc>
        <w:tc>
          <w:tcPr>
            <w:tcW w:w="280" w:type="dxa"/>
            <w:vAlign w:val="bottom"/>
          </w:tcPr>
          <w:p>
            <w:pPr>
              <w:spacing w:after="0"/>
              <w:rPr>
                <w:sz w:val="19"/>
                <w:szCs w:val="19"/>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McLean,</w:t>
            </w: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Virginia</w:t>
            </w:r>
          </w:p>
        </w:tc>
        <w:tc>
          <w:tcPr>
            <w:tcW w:w="360" w:type="dxa"/>
            <w:vAlign w:val="bottom"/>
          </w:tcPr>
          <w:p>
            <w:pPr>
              <w:spacing w:after="0"/>
              <w:rPr>
                <w:sz w:val="19"/>
                <w:szCs w:val="19"/>
                <w:color w:val="auto"/>
              </w:rPr>
            </w:pP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22102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480" w:type="dxa"/>
            <w:vAlign w:val="bottom"/>
            <w:gridSpan w:val="4"/>
          </w:tcPr>
          <w:p>
            <w:pPr>
              <w:jc w:val="center"/>
              <w:ind w:left="757"/>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gridSpan w:val="2"/>
          </w:tcPr>
          <w:p>
            <w:pPr>
              <w:jc w:val="center"/>
              <w:ind w:left="1500"/>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44"/>
        </w:trPr>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(703) 902-5000</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360" w:type="dxa"/>
            <w:vAlign w:val="bottom"/>
            <w:gridSpan w:val="7"/>
          </w:tcPr>
          <w:p>
            <w:pPr>
              <w:jc w:val="center"/>
              <w:ind w:right="204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360" w:type="dxa"/>
            <w:vAlign w:val="bottom"/>
            <w:gridSpan w:val="7"/>
          </w:tcPr>
          <w:p>
            <w:pPr>
              <w:jc w:val="center"/>
              <w:ind w:right="2040"/>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c>
          <w:tcPr>
            <w:tcW w:w="0" w:type="dxa"/>
            <w:vAlign w:val="bottom"/>
          </w:tcPr>
          <w:p>
            <w:pPr>
              <w:spacing w:after="0"/>
              <w:rPr>
                <w:sz w:val="1"/>
                <w:szCs w:val="1"/>
                <w:color w:val="auto"/>
              </w:rPr>
            </w:pPr>
          </w:p>
        </w:tc>
      </w:tr>
      <w:tr>
        <w:trPr>
          <w:trHeight w:val="238"/>
        </w:trPr>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6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360" w:type="dxa"/>
            <w:vAlign w:val="bottom"/>
          </w:tcPr>
          <w:p>
            <w:pPr>
              <w:spacing w:after="0"/>
              <w:rPr>
                <w:sz w:val="20"/>
                <w:szCs w:val="20"/>
                <w:color w:val="auto"/>
              </w:rPr>
            </w:pPr>
          </w:p>
        </w:tc>
        <w:tc>
          <w:tcPr>
            <w:tcW w:w="3380" w:type="dxa"/>
            <w:vAlign w:val="bottom"/>
            <w:gridSpan w:val="3"/>
          </w:tcPr>
          <w:p>
            <w:pPr>
              <w:jc w:val="center"/>
              <w:ind w:left="614"/>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960" w:type="dxa"/>
            <w:vAlign w:val="bottom"/>
          </w:tcPr>
          <w:p>
            <w:pPr>
              <w:spacing w:after="0"/>
              <w:rPr>
                <w:sz w:val="17"/>
                <w:szCs w:val="17"/>
                <w:color w:val="auto"/>
              </w:rPr>
            </w:pPr>
          </w:p>
        </w:tc>
        <w:tc>
          <w:tcPr>
            <w:tcW w:w="15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Class A Common Stock</w:t>
            </w:r>
          </w:p>
        </w:tc>
        <w:tc>
          <w:tcPr>
            <w:tcW w:w="166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BAH</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1"/>
        </w:trPr>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360" w:type="dxa"/>
            <w:vAlign w:val="bottom"/>
            <w:gridSpan w:val="7"/>
          </w:tcPr>
          <w:p>
            <w:pPr>
              <w:jc w:val="center"/>
              <w:ind w:right="2020"/>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12(g) of the Act:</w:t>
            </w:r>
          </w:p>
        </w:tc>
        <w:tc>
          <w:tcPr>
            <w:tcW w:w="0" w:type="dxa"/>
            <w:vAlign w:val="bottom"/>
          </w:tcPr>
          <w:p>
            <w:pPr>
              <w:spacing w:after="0"/>
              <w:rPr>
                <w:sz w:val="1"/>
                <w:szCs w:val="1"/>
                <w:color w:val="auto"/>
              </w:rPr>
            </w:pPr>
          </w:p>
        </w:tc>
      </w:tr>
      <w:tr>
        <w:trPr>
          <w:trHeight w:val="161"/>
        </w:trPr>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None.</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980" w:type="dxa"/>
            <w:vAlign w:val="bottom"/>
            <w:gridSpan w:val="4"/>
          </w:tcPr>
          <w:p>
            <w:pPr>
              <w:jc w:val="right"/>
              <w:ind w:right="176"/>
              <w:spacing w:after="0" w:line="128" w:lineRule="exact"/>
              <w:rPr>
                <w:sz w:val="20"/>
                <w:szCs w:val="20"/>
                <w:color w:val="auto"/>
              </w:rPr>
            </w:pPr>
            <w:r>
              <w:rPr>
                <w:rFonts w:ascii="Times New Roman" w:cs="Times New Roman" w:eastAsia="Times New Roman" w:hAnsi="Times New Roman"/>
                <w:sz w:val="13"/>
                <w:szCs w:val="13"/>
                <w:color w:val="auto"/>
              </w:rPr>
              <w:t>__________________</w:t>
            </w:r>
          </w:p>
        </w:tc>
        <w:tc>
          <w:tcPr>
            <w:tcW w:w="3380" w:type="dxa"/>
            <w:vAlign w:val="bottom"/>
            <w:gridSpan w:val="3"/>
            <w:vMerge w:val="restart"/>
          </w:tcPr>
          <w:p>
            <w:pPr>
              <w:jc w:val="center"/>
              <w:ind w:right="276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49"/>
        </w:trPr>
        <w:tc>
          <w:tcPr>
            <w:tcW w:w="6100" w:type="dxa"/>
            <w:vAlign w:val="bottom"/>
            <w:gridSpan w:val="7"/>
          </w:tcPr>
          <w:p>
            <w:pPr>
              <w:spacing w:after="0"/>
              <w:rPr>
                <w:sz w:val="20"/>
                <w:szCs w:val="20"/>
                <w:color w:val="auto"/>
              </w:rPr>
            </w:pPr>
            <w:r>
              <w:rPr>
                <w:rFonts w:ascii="Times New Roman" w:cs="Times New Roman" w:eastAsia="Times New Roman" w:hAnsi="Times New Roman"/>
                <w:sz w:val="13"/>
                <w:szCs w:val="13"/>
                <w:color w:val="auto"/>
                <w:w w:val="99"/>
              </w:rPr>
              <w:t>Indicate by check mark if the registrant is a well-known seasoned issuer, as defined in Rule 405 of the Securities Act.</w:t>
            </w:r>
          </w:p>
        </w:tc>
        <w:tc>
          <w:tcPr>
            <w:tcW w:w="36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w w:val="93"/>
              </w:rPr>
              <w:t xml:space="preserve">Yes </w:t>
            </w:r>
            <w:r>
              <w:rPr>
                <w:rFonts w:ascii="MS PGothic" w:cs="MS PGothic" w:eastAsia="MS PGothic" w:hAnsi="MS PGothic"/>
                <w:sz w:val="13"/>
                <w:szCs w:val="13"/>
                <w:color w:val="auto"/>
                <w:w w:val="93"/>
              </w:rPr>
              <w:t>☒</w:t>
            </w:r>
          </w:p>
        </w:tc>
        <w:tc>
          <w:tcPr>
            <w:tcW w:w="3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100" w:type="dxa"/>
            <w:vAlign w:val="bottom"/>
            <w:gridSpan w:val="7"/>
          </w:tcPr>
          <w:p>
            <w:pPr>
              <w:spacing w:after="0"/>
              <w:rPr>
                <w:sz w:val="20"/>
                <w:szCs w:val="20"/>
                <w:color w:val="auto"/>
              </w:rPr>
            </w:pPr>
            <w:r>
              <w:rPr>
                <w:rFonts w:ascii="Times New Roman" w:cs="Times New Roman" w:eastAsia="Times New Roman" w:hAnsi="Times New Roman"/>
                <w:sz w:val="13"/>
                <w:szCs w:val="13"/>
                <w:color w:val="auto"/>
                <w:w w:val="97"/>
              </w:rPr>
              <w:t>Indicate by check mark if the registrant is not required to file reports pursuant to Section 13 or Section 15(d) of the Act.</w:t>
            </w:r>
          </w:p>
        </w:tc>
        <w:tc>
          <w:tcPr>
            <w:tcW w:w="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Yes</w:t>
            </w:r>
          </w:p>
        </w:tc>
        <w:tc>
          <w:tcPr>
            <w:tcW w:w="3380" w:type="dxa"/>
            <w:vAlign w:val="bottom"/>
            <w:gridSpan w:val="3"/>
          </w:tcPr>
          <w:p>
            <w:pPr>
              <w:jc w:val="center"/>
              <w:ind w:right="280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60"/>
        <w:spacing w:after="0" w:line="15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25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460" w:type="dxa"/>
            <w:vAlign w:val="bottom"/>
          </w:tcPr>
          <w:p>
            <w:pPr>
              <w:ind w:left="640"/>
              <w:spacing w:after="0" w:line="131" w:lineRule="exact"/>
              <w:rPr>
                <w:sz w:val="20"/>
                <w:szCs w:val="20"/>
                <w:color w:val="auto"/>
              </w:rPr>
            </w:pPr>
            <w:r>
              <w:rPr>
                <w:rFonts w:ascii="MS PGothic" w:cs="MS PGothic" w:eastAsia="MS PGothic" w:hAnsi="MS PGothic"/>
                <w:sz w:val="13"/>
                <w:szCs w:val="13"/>
                <w:color w:val="auto"/>
              </w:rPr>
              <w:t>☒</w:t>
            </w:r>
          </w:p>
        </w:tc>
        <w:tc>
          <w:tcPr>
            <w:tcW w:w="4840" w:type="dxa"/>
            <w:vAlign w:val="bottom"/>
          </w:tcPr>
          <w:p>
            <w:pPr>
              <w:ind w:left="2720"/>
              <w:spacing w:after="0"/>
              <w:rPr>
                <w:sz w:val="20"/>
                <w:szCs w:val="20"/>
                <w:color w:val="auto"/>
              </w:rPr>
            </w:pPr>
            <w:r>
              <w:rPr>
                <w:rFonts w:ascii="Times New Roman" w:cs="Times New Roman" w:eastAsia="Times New Roman" w:hAnsi="Times New Roman"/>
                <w:sz w:val="13"/>
                <w:szCs w:val="13"/>
                <w:color w:val="auto"/>
              </w:rPr>
              <w:t>Accelerated filer</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2"/>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460" w:type="dxa"/>
            <w:vAlign w:val="bottom"/>
          </w:tcPr>
          <w:p>
            <w:pPr>
              <w:ind w:left="640"/>
              <w:spacing w:after="0" w:line="131" w:lineRule="exact"/>
              <w:rPr>
                <w:sz w:val="20"/>
                <w:szCs w:val="20"/>
                <w:color w:val="auto"/>
              </w:rPr>
            </w:pPr>
            <w:r>
              <w:rPr>
                <w:rFonts w:ascii="MS PGothic" w:cs="MS PGothic" w:eastAsia="MS PGothic" w:hAnsi="MS PGothic"/>
                <w:sz w:val="13"/>
                <w:szCs w:val="13"/>
                <w:color w:val="auto"/>
              </w:rPr>
              <w:t>☐</w:t>
            </w:r>
          </w:p>
        </w:tc>
        <w:tc>
          <w:tcPr>
            <w:tcW w:w="4840" w:type="dxa"/>
            <w:vAlign w:val="bottom"/>
          </w:tcPr>
          <w:p>
            <w:pPr>
              <w:ind w:left="27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4"/>
        </w:trPr>
        <w:tc>
          <w:tcPr>
            <w:tcW w:w="18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840" w:type="dxa"/>
            <w:vAlign w:val="bottom"/>
          </w:tcPr>
          <w:p>
            <w:pPr>
              <w:ind w:left="2720"/>
              <w:spacing w:after="0"/>
              <w:rPr>
                <w:sz w:val="20"/>
                <w:szCs w:val="20"/>
                <w:color w:val="auto"/>
              </w:rPr>
            </w:pPr>
            <w:r>
              <w:rPr>
                <w:rFonts w:ascii="Times New Roman" w:cs="Times New Roman" w:eastAsia="Times New Roman" w:hAnsi="Times New Roman"/>
                <w:sz w:val="13"/>
                <w:szCs w:val="13"/>
                <w:color w:val="auto"/>
              </w:rPr>
              <w:t>Emerging growth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59" w:lineRule="exact"/>
        <w:rPr>
          <w:sz w:val="24"/>
          <w:szCs w:val="24"/>
          <w:color w:val="auto"/>
        </w:rPr>
      </w:pPr>
    </w:p>
    <w:p>
      <w:pPr>
        <w:ind w:right="14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8" w:lineRule="exact"/>
        <w:rPr>
          <w:sz w:val="24"/>
          <w:szCs w:val="24"/>
          <w:color w:val="auto"/>
        </w:rPr>
      </w:pPr>
    </w:p>
    <w:p>
      <w:pPr>
        <w:ind w:right="6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408940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439" w:right="419" w:bottom="1440" w:gutter="0" w:footer="0" w:header="0"/>
        </w:sectPr>
      </w:pPr>
    </w:p>
    <w:bookmarkStart w:id="1" w:name="page2"/>
    <w:bookmarkEnd w:id="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38" w:lineRule="exact"/>
        <w:rPr>
          <w:sz w:val="20"/>
          <w:szCs w:val="20"/>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0"/>
          <w:szCs w:val="20"/>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0" w:lineRule="exact"/>
        <w:rPr>
          <w:sz w:val="20"/>
          <w:szCs w:val="20"/>
          <w:color w:val="auto"/>
        </w:rPr>
      </w:pPr>
    </w:p>
    <w:p>
      <w:pPr>
        <w:spacing w:after="0" w:line="150" w:lineRule="exact"/>
        <w:tabs>
          <w:tab w:leader="none" w:pos="5920" w:val="left"/>
          <w:tab w:leader="none" w:pos="64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6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3"/>
          <w:szCs w:val="13"/>
          <w:color w:val="auto"/>
        </w:rPr>
        <w:t>As of September 30, 2023, the last business day of the registrant's most recently completed second quarter, the aggregate market value of the registrant's voting and non-voting common stock held by non-affiliates was $14,260,987,781.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shares outstanding of each of the issuer’s classes of common stock, as of the latest practicable date</w:t>
      </w:r>
      <w:r>
        <w:rPr>
          <w:rFonts w:ascii="Times New Roman" w:cs="Times New Roman" w:eastAsia="Times New Roman" w:hAnsi="Times New Roman"/>
          <w:sz w:val="14"/>
          <w:szCs w:val="14"/>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5760" w:type="dxa"/>
            <w:vAlign w:val="bottom"/>
            <w:gridSpan w:val="2"/>
          </w:tcPr>
          <w:p>
            <w:pPr>
              <w:jc w:val="center"/>
              <w:ind w:left="3521"/>
              <w:spacing w:after="0"/>
              <w:rPr>
                <w:sz w:val="20"/>
                <w:szCs w:val="20"/>
                <w:color w:val="auto"/>
              </w:rPr>
            </w:pPr>
            <w:r>
              <w:rPr>
                <w:rFonts w:ascii="Times New Roman" w:cs="Times New Roman" w:eastAsia="Times New Roman" w:hAnsi="Times New Roman"/>
                <w:sz w:val="11"/>
                <w:szCs w:val="11"/>
                <w:b w:val="1"/>
                <w:bCs w:val="1"/>
                <w:color w:val="auto"/>
              </w:rPr>
              <w:t>Shares Outstanding</w:t>
            </w:r>
          </w:p>
        </w:tc>
      </w:tr>
      <w:tr>
        <w:trPr>
          <w:trHeight w:val="153"/>
        </w:trPr>
        <w:tc>
          <w:tcPr>
            <w:tcW w:w="2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5760" w:type="dxa"/>
            <w:vAlign w:val="bottom"/>
            <w:gridSpan w:val="2"/>
          </w:tcPr>
          <w:p>
            <w:pPr>
              <w:jc w:val="center"/>
              <w:ind w:left="3521"/>
              <w:spacing w:after="0"/>
              <w:rPr>
                <w:sz w:val="20"/>
                <w:szCs w:val="20"/>
                <w:color w:val="auto"/>
              </w:rPr>
            </w:pPr>
            <w:r>
              <w:rPr>
                <w:rFonts w:ascii="Times New Roman" w:cs="Times New Roman" w:eastAsia="Times New Roman" w:hAnsi="Times New Roman"/>
                <w:sz w:val="11"/>
                <w:szCs w:val="11"/>
                <w:b w:val="1"/>
                <w:bCs w:val="1"/>
                <w:color w:val="auto"/>
              </w:rPr>
              <w:t>as of May 20, 2024</w:t>
            </w:r>
          </w:p>
        </w:tc>
      </w:tr>
      <w:tr>
        <w:trPr>
          <w:trHeight w:val="174"/>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A Common Stock</w:t>
            </w:r>
          </w:p>
        </w:tc>
        <w:tc>
          <w:tcPr>
            <w:tcW w:w="5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129,320,488</w:t>
            </w:r>
          </w:p>
        </w:tc>
      </w:tr>
      <w:tr>
        <w:trPr>
          <w:trHeight w:val="117"/>
        </w:trPr>
        <w:tc>
          <w:tcPr>
            <w:tcW w:w="220" w:type="dxa"/>
            <w:vAlign w:val="bottom"/>
          </w:tcPr>
          <w:p>
            <w:pPr>
              <w:spacing w:after="0"/>
              <w:rPr>
                <w:sz w:val="10"/>
                <w:szCs w:val="10"/>
                <w:color w:val="auto"/>
              </w:rPr>
            </w:pPr>
          </w:p>
        </w:tc>
        <w:tc>
          <w:tcPr>
            <w:tcW w:w="5200" w:type="dxa"/>
            <w:vAlign w:val="bottom"/>
            <w:tcBorders>
              <w:bottom w:val="single" w:sz="8" w:color="auto"/>
            </w:tcBorders>
          </w:tcPr>
          <w:p>
            <w:pPr>
              <w:spacing w:after="0"/>
              <w:rPr>
                <w:sz w:val="10"/>
                <w:szCs w:val="10"/>
                <w:color w:val="auto"/>
              </w:rPr>
            </w:pPr>
          </w:p>
        </w:tc>
        <w:tc>
          <w:tcPr>
            <w:tcW w:w="5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0"/>
        </w:trPr>
        <w:tc>
          <w:tcPr>
            <w:tcW w:w="2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Portions of the registrant’s Proxy Statement for its Annual Meeting of Stockholders scheduled for July 24, 2024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431800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4" w:right="359" w:bottom="1440" w:gutter="0" w:footer="0" w:header="0"/>
        </w:sectPr>
      </w:pPr>
    </w:p>
    <w:bookmarkStart w:id="2" w:name="page3"/>
    <w:bookmarkEnd w:id="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8380" w:type="dxa"/>
            <w:vAlign w:val="bottom"/>
          </w:tcPr>
          <w:p>
            <w:pPr>
              <w:ind w:left="37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720" w:type="dxa"/>
            <w:vAlign w:val="bottom"/>
          </w:tcPr>
          <w:p>
            <w:pPr>
              <w:spacing w:after="0"/>
              <w:rPr>
                <w:sz w:val="16"/>
                <w:szCs w:val="16"/>
                <w:color w:val="auto"/>
              </w:rPr>
            </w:pPr>
          </w:p>
        </w:tc>
      </w:tr>
      <w:tr>
        <w:trPr>
          <w:trHeight w:val="419"/>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00FF"/>
              </w:rPr>
              <w:t>INTRODUCTORY NOTE</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1</w:t>
            </w: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00FF"/>
              </w:rPr>
              <w:t>PART I</w:t>
            </w:r>
          </w:p>
        </w:tc>
        <w:tc>
          <w:tcPr>
            <w:tcW w:w="8380" w:type="dxa"/>
            <w:vAlign w:val="bottom"/>
          </w:tcPr>
          <w:p>
            <w:pPr>
              <w:spacing w:after="0"/>
              <w:rPr>
                <w:sz w:val="15"/>
                <w:szCs w:val="15"/>
                <w:color w:val="auto"/>
              </w:rPr>
            </w:pP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3</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Business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3</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1A.</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Risk Factors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15</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1B.</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Unresolved Staff Comments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43</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1C.</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Cybersecurity</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43</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Properties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45</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3.</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Legal Proceedings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45</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4.</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Mine Safety Disclosures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46</w:t>
            </w:r>
          </w:p>
        </w:tc>
      </w:tr>
      <w:tr>
        <w:trPr>
          <w:trHeight w:val="180"/>
        </w:trPr>
        <w:tc>
          <w:tcPr>
            <w:tcW w:w="95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0000FF"/>
              </w:rPr>
              <w:t>Information on Our Executive Officers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46</w:t>
            </w: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00FF"/>
              </w:rPr>
              <w:t>PART II</w:t>
            </w:r>
          </w:p>
        </w:tc>
        <w:tc>
          <w:tcPr>
            <w:tcW w:w="8380" w:type="dxa"/>
            <w:vAlign w:val="bottom"/>
          </w:tcPr>
          <w:p>
            <w:pPr>
              <w:spacing w:after="0"/>
              <w:rPr>
                <w:sz w:val="15"/>
                <w:szCs w:val="15"/>
                <w:color w:val="auto"/>
              </w:rPr>
            </w:pP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48</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5.</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Market for Registrant's Common Equity, Related Stockholder Matters and Issuer Purchases of Equity Securities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48</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Reserved</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49</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7.</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Management's Discussion and Analysis of Financial Condition and Results of Operations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50</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7A.</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Quantitative and Qualitative Disclosures About Market Risk</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71</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8.</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Financial Statements and Supplementary Data</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3051F2"/>
              </w:rPr>
              <w:t>F-1</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9.</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Changes in and Disagreements With Accountants on Accounting and Financial Disclosure</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72</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9A.</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Controls and Procedures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72</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9B.</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Other Information</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74</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9C.</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Disclosure Regarding Foreign Jurisdictions that Prevent Inspections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74</w:t>
            </w: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00FF"/>
              </w:rPr>
              <w:t>PART III</w:t>
            </w:r>
          </w:p>
        </w:tc>
        <w:tc>
          <w:tcPr>
            <w:tcW w:w="8380" w:type="dxa"/>
            <w:vAlign w:val="bottom"/>
          </w:tcPr>
          <w:p>
            <w:pPr>
              <w:spacing w:after="0"/>
              <w:rPr>
                <w:sz w:val="15"/>
                <w:szCs w:val="15"/>
                <w:color w:val="auto"/>
              </w:rPr>
            </w:pP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74</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10.</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Directors, Executive Officers and Corporate Governance</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74</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11.</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Executive Compensation</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75</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12.</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Security Ownership of Certain Beneficial Owners and Management and Related Stockholder Matters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75</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13.</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Certain Relationships and Related Transactions, and Director Independence</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75</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14.</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Principal Accounting Fees and Services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75</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15.</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Exhibits, Financial Statement Schedules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75</w:t>
            </w:r>
          </w:p>
        </w:tc>
      </w:tr>
      <w:tr>
        <w:trPr>
          <w:trHeight w:val="186"/>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Form 10-K Summary</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81</w:t>
            </w:r>
          </w:p>
        </w:tc>
      </w:tr>
      <w:tr>
        <w:trPr>
          <w:trHeight w:val="946"/>
        </w:trPr>
        <w:tc>
          <w:tcPr>
            <w:tcW w:w="118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3" w:name="page4"/>
    <w:bookmarkEnd w:id="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INTRODUCTORY NOTE</w:t>
      </w:r>
    </w:p>
    <w:p>
      <w:pPr>
        <w:spacing w:after="0" w:line="94" w:lineRule="exact"/>
        <w:rPr>
          <w:sz w:val="20"/>
          <w:szCs w:val="20"/>
          <w:color w:val="auto"/>
        </w:rPr>
      </w:pPr>
    </w:p>
    <w:p>
      <w:pPr>
        <w:ind w:right="20" w:firstLine="350"/>
        <w:spacing w:after="0" w:line="260" w:lineRule="auto"/>
        <w:rPr>
          <w:sz w:val="20"/>
          <w:szCs w:val="20"/>
          <w:color w:val="auto"/>
        </w:rPr>
      </w:pPr>
      <w:r>
        <w:rPr>
          <w:rFonts w:ascii="Times New Roman" w:cs="Times New Roman" w:eastAsia="Times New Roman" w:hAnsi="Times New Roman"/>
          <w:sz w:val="14"/>
          <w:szCs w:val="14"/>
          <w:i w:val="1"/>
          <w:iCs w:val="1"/>
          <w:color w:val="auto"/>
        </w:rPr>
        <w:t>Unless the context otherwise indicates or requires, as used in this Annual Report on Form 10-K for the fiscal year ended March 31, 2024, references to: (i) “we,” “us,” “our,” or our “company” refer to Booz Allen Hamilton Holding Corporation, its consolidated subsidiaries and predecessors; (ii) “Booz Allen Holding” refers to Booz Allen Hamilton Holding Corporation, exclusive of its subsidiaries; (iii) “Booz Allen Investor” refers to Booz Allen Hamilton Investor Corporation, a wholly-owned subsidiary of Booz Allen Holding; (iv) “Booz Allen Hamilton” and “Booz Allen” refer to Booz Allen Hamilton Inc., our primary operating company and a wholly-owned subsidiary of Booz Allen Holding; and (v) “fiscal,” when used in reference to any twelve-month period ended March 31, refers to our fiscal years ended March 31. Unless otherwise indicated, information contained in this Annual Report is as of March 31, 2024. We have made rounding adjustments to reach some of the figures included in this Annual Report and, unless otherwise indicated, percentages presented in this Annual Report are approximate.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96" w:lineRule="exact"/>
        <w:rPr>
          <w:sz w:val="20"/>
          <w:szCs w:val="20"/>
          <w:color w:val="auto"/>
        </w:rPr>
      </w:pPr>
    </w:p>
    <w:p>
      <w:pPr>
        <w:ind w:right="60" w:firstLine="350"/>
        <w:spacing w:after="0" w:line="259" w:lineRule="auto"/>
        <w:rPr>
          <w:sz w:val="20"/>
          <w:szCs w:val="20"/>
          <w:color w:val="auto"/>
        </w:rPr>
      </w:pPr>
      <w:r>
        <w:rPr>
          <w:rFonts w:ascii="Times New Roman" w:cs="Times New Roman" w:eastAsia="Times New Roman" w:hAnsi="Times New Roman"/>
          <w:sz w:val="14"/>
          <w:szCs w:val="14"/>
          <w:color w:val="auto"/>
        </w:rPr>
        <w:t>Certain statements contained or incorporated in this Annual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61" w:lineRule="exact"/>
        <w:rPr>
          <w:sz w:val="20"/>
          <w:szCs w:val="20"/>
          <w:color w:val="auto"/>
        </w:rPr>
      </w:pPr>
    </w:p>
    <w:p>
      <w:pPr>
        <w:ind w:left="460" w:right="80" w:hanging="137"/>
        <w:spacing w:after="0" w:line="284" w:lineRule="auto"/>
        <w:tabs>
          <w:tab w:leader="none" w:pos="4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issue that compromises our relationships with the U.S. government or damages our professional reputation, including negative publicity concerning government contractors in general or us in particular;</w:t>
      </w:r>
    </w:p>
    <w:p>
      <w:pPr>
        <w:ind w:left="460" w:right="120" w:hanging="137"/>
        <w:spacing w:after="0" w:line="284" w:lineRule="auto"/>
        <w:tabs>
          <w:tab w:leader="none" w:pos="4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government spending, including a continuation of efforts by the U.S. government to decrease spending for management support service contracts, and mission priorities that shift expenditures away from agencies or programs that we support, or as a result of U.S. administration transitions;</w:t>
      </w:r>
    </w:p>
    <w:p>
      <w:pPr>
        <w:ind w:left="460" w:hanging="137"/>
        <w:spacing w:after="0" w:line="284" w:lineRule="auto"/>
        <w:tabs>
          <w:tab w:leader="none" w:pos="4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efforts by Congress and other U.S. government bodies to reduce U.S. government spending and address budgetary constraints and the U.S. deficit, as well as associated uncertainty around the timing, extent, nature, and effect of such efforts;</w:t>
      </w:r>
    </w:p>
    <w:p>
      <w:pPr>
        <w:ind w:left="440" w:hanging="117"/>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delayed long-term funding of our contracts, including uncertainty relating to funding the U.S. government and increasing the debt ceiling;</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government shutdowns as a result of the failure by elected officials to fund the government;</w:t>
      </w:r>
    </w:p>
    <w:p>
      <w:pPr>
        <w:spacing w:after="0" w:line="51" w:lineRule="exact"/>
        <w:rPr>
          <w:rFonts w:ascii="Times New Roman" w:cs="Times New Roman" w:eastAsia="Times New Roman" w:hAnsi="Times New Roman"/>
          <w:sz w:val="14"/>
          <w:szCs w:val="14"/>
          <w:color w:val="auto"/>
        </w:rPr>
      </w:pPr>
    </w:p>
    <w:p>
      <w:pPr>
        <w:ind w:left="460" w:right="360" w:hanging="137"/>
        <w:spacing w:after="0" w:line="279" w:lineRule="auto"/>
        <w:tabs>
          <w:tab w:leader="none" w:pos="456"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failure to comply with numerous laws and regulations, including, but not limited to, the Federal Acquisition Regulation (“FAR”), the False Claims Act, the Defense Federal Acquisition Regulation Supplement (“DFARS”), and FAR Cost Accounting Standards and Cost Principles;</w:t>
      </w:r>
    </w:p>
    <w:p>
      <w:pPr>
        <w:spacing w:after="0" w:line="17" w:lineRule="exact"/>
        <w:rPr>
          <w:rFonts w:ascii="Times New Roman" w:cs="Times New Roman" w:eastAsia="Times New Roman" w:hAnsi="Times New Roman"/>
          <w:sz w:val="14"/>
          <w:szCs w:val="14"/>
          <w:i w:val="1"/>
          <w:iCs w:val="1"/>
          <w:color w:val="auto"/>
        </w:rPr>
      </w:pPr>
    </w:p>
    <w:p>
      <w:pPr>
        <w:ind w:left="440" w:hanging="117"/>
        <w:spacing w:after="0"/>
        <w:tabs>
          <w:tab w:leader="none" w:pos="44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the effects of disease outbreaks, pandemics, or widespread health epidemics, including disruptions to our workforce and the impact on government spending and demand for our solutions;</w:t>
      </w:r>
    </w:p>
    <w:p>
      <w:pPr>
        <w:spacing w:after="0" w:line="17" w:lineRule="exact"/>
        <w:rPr>
          <w:rFonts w:ascii="Arial" w:cs="Arial" w:eastAsia="Arial" w:hAnsi="Arial"/>
          <w:sz w:val="17"/>
          <w:szCs w:val="17"/>
          <w:color w:val="auto"/>
        </w:rPr>
      </w:pPr>
    </w:p>
    <w:p>
      <w:pPr>
        <w:ind w:left="440" w:hanging="117"/>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effectively in the competitive bidding process and delays or losses of contract awards caused by competitors’ protests of major contract awards received by us;</w:t>
      </w:r>
    </w:p>
    <w:p>
      <w:pPr>
        <w:spacing w:after="0" w:line="51" w:lineRule="exact"/>
        <w:rPr>
          <w:rFonts w:ascii="Times New Roman" w:cs="Times New Roman" w:eastAsia="Times New Roman" w:hAnsi="Times New Roman"/>
          <w:sz w:val="14"/>
          <w:szCs w:val="14"/>
          <w:color w:val="auto"/>
        </w:rPr>
      </w:pPr>
    </w:p>
    <w:p>
      <w:pPr>
        <w:ind w:left="460" w:right="260" w:hanging="137"/>
        <w:spacing w:after="0" w:line="284" w:lineRule="auto"/>
        <w:tabs>
          <w:tab w:leader="none" w:pos="4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purchasing patterns under U.S. government General Services Administration Multiple Award schedule contracts, or General Services Administration (“GSA”) schedules, blanket purchase agreements, and indefinite delivery/indefinite quantity (“IDIQ”) contracts;</w:t>
      </w:r>
    </w:p>
    <w:p>
      <w:pPr>
        <w:ind w:left="440" w:hanging="117"/>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GSA schedules or our position as prime contractor on government-wide acquisition contract vehicles (“GWACs”);</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mix of our contracts and our ability to accurately estimate or otherwise recover expenses, time, and resources for our contracts;</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estimates used in recognizing revenue;</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the full value of and replenish our backlog, generate revenue under certain of our contracts, and the timing of our receipt of revenue under contracts included in backlog;</w:t>
      </w:r>
    </w:p>
    <w:p>
      <w:pPr>
        <w:spacing w:after="0" w:line="51" w:lineRule="exact"/>
        <w:rPr>
          <w:rFonts w:ascii="Times New Roman" w:cs="Times New Roman" w:eastAsia="Times New Roman" w:hAnsi="Times New Roman"/>
          <w:sz w:val="14"/>
          <w:szCs w:val="14"/>
          <w:color w:val="auto"/>
        </w:rPr>
      </w:pPr>
    </w:p>
    <w:p>
      <w:pPr>
        <w:ind w:left="460" w:right="260" w:hanging="137"/>
        <w:spacing w:after="0" w:line="284" w:lineRule="auto"/>
        <w:tabs>
          <w:tab w:leader="none" w:pos="4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system or service failures and security breaches, including, but not limited to, those resulting from external or internal threats, including cyber attacks on our network and internal systems;</w:t>
      </w:r>
    </w:p>
    <w:p>
      <w:pPr>
        <w:ind w:left="440" w:hanging="117"/>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operations of financial management systems;</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attract, train, or retain employees with the requisite skills and experience;</w:t>
      </w:r>
    </w:p>
    <w:p>
      <w:pPr>
        <w:spacing w:after="0" w:line="200" w:lineRule="exact"/>
        <w:rPr>
          <w:sz w:val="20"/>
          <w:szCs w:val="20"/>
          <w:color w:val="auto"/>
        </w:rPr>
      </w:pPr>
    </w:p>
    <w:p>
      <w:pPr>
        <w:spacing w:after="0" w:line="25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4" w:right="359" w:bottom="1440" w:gutter="0" w:footer="0" w:header="0"/>
        </w:sectPr>
      </w:pPr>
    </w:p>
    <w:bookmarkStart w:id="4" w:name="page5"/>
    <w:bookmarkEnd w:id="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460" w:right="28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timely hire, assimilate, and effectively utilize our employees, ensure that employees obtain and maintain necessary security clearances, and/or effectively manage our cost structure;</w:t>
      </w: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inflation that could impact the cost of doing business and/or reduce customer buying power;</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members of senior management or failure to develop new leaders;</w:t>
      </w:r>
    </w:p>
    <w:p>
      <w:pPr>
        <w:spacing w:after="0" w:line="51" w:lineRule="exact"/>
        <w:rPr>
          <w:rFonts w:ascii="Times New Roman" w:cs="Times New Roman" w:eastAsia="Times New Roman" w:hAnsi="Times New Roman"/>
          <w:sz w:val="14"/>
          <w:szCs w:val="14"/>
          <w:color w:val="auto"/>
        </w:rPr>
      </w:pPr>
    </w:p>
    <w:p>
      <w:pPr>
        <w:ind w:left="460" w:right="64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misconduct or other improper activities from our employees, subcontractors, or suppliers, including the improper access, use or release of our or our clients’ sensitive or classified information;</w:t>
      </w: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from other companies in our industry;</w:t>
      </w:r>
    </w:p>
    <w:p>
      <w:pPr>
        <w:spacing w:after="0" w:line="51" w:lineRule="exact"/>
        <w:rPr>
          <w:rFonts w:ascii="Times New Roman" w:cs="Times New Roman" w:eastAsia="Times New Roman" w:hAnsi="Times New Roman"/>
          <w:sz w:val="14"/>
          <w:szCs w:val="14"/>
          <w:color w:val="auto"/>
        </w:rPr>
      </w:pPr>
    </w:p>
    <w:p>
      <w:pPr>
        <w:ind w:left="46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strong relationships with other contractors, or the failure of contractors with which we have entered into a sub- or prime-contractor relationship to meet their obligations to us or our clients;</w:t>
      </w:r>
    </w:p>
    <w:p>
      <w:pPr>
        <w:ind w:left="460" w:right="8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special U.S. government laws and regulations relating to our international operations;</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increased competition, new relationships, clients, capabilities, and service offerings in our U.S. and international businesses;</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to our operating structure, capabilities, or strategy intended to address client needs, grow our business, or respond to market developments;</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by the U.S. government of new laws, rules, and regulations, such as those relating to organizational conflicts of interest issues or limits;</w:t>
      </w:r>
    </w:p>
    <w:p>
      <w:pPr>
        <w:spacing w:after="0" w:line="51" w:lineRule="exact"/>
        <w:rPr>
          <w:rFonts w:ascii="Times New Roman" w:cs="Times New Roman" w:eastAsia="Times New Roman" w:hAnsi="Times New Roman"/>
          <w:sz w:val="14"/>
          <w:szCs w:val="14"/>
          <w:color w:val="auto"/>
        </w:rPr>
      </w:pPr>
    </w:p>
    <w:p>
      <w:pPr>
        <w:ind w:left="460" w:right="22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a possible recession and volatility or instability of the global financial system, including the failures of financial institutions and the resulting impact on counterparties and business conditions generally;</w:t>
      </w: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a deterioration of economic conditions or weakening in credit or capital markets;</w:t>
      </w:r>
    </w:p>
    <w:p>
      <w:pPr>
        <w:spacing w:after="0" w:line="51" w:lineRule="exact"/>
        <w:rPr>
          <w:rFonts w:ascii="Times New Roman" w:cs="Times New Roman" w:eastAsia="Times New Roman" w:hAnsi="Times New Roman"/>
          <w:sz w:val="14"/>
          <w:szCs w:val="14"/>
          <w:color w:val="auto"/>
        </w:rPr>
      </w:pPr>
    </w:p>
    <w:p>
      <w:pPr>
        <w:ind w:left="460" w:right="28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pending, completed, and future acquisitions and dispositions, including the ability to satisfy specified closing conditions for pending transactions, such as those related to receipt of regulatory approval or lack of regulatory intervention, and to realize the expected benefits from completed acquisitions and dispositions;</w:t>
      </w: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additional tax liabilities, including as a result of changes in tax laws or management judgments involving complex tax matters;</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inherent in the government contracting environment;</w:t>
      </w:r>
    </w:p>
    <w:p>
      <w:pPr>
        <w:spacing w:after="0" w:line="51" w:lineRule="exact"/>
        <w:rPr>
          <w:rFonts w:ascii="Times New Roman" w:cs="Times New Roman" w:eastAsia="Times New Roman" w:hAnsi="Times New Roman"/>
          <w:sz w:val="14"/>
          <w:szCs w:val="14"/>
          <w:color w:val="auto"/>
        </w:rPr>
      </w:pPr>
    </w:p>
    <w:p>
      <w:pPr>
        <w:ind w:left="460" w:right="64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efforts to change how the U.S. government reimburses compensation related costs and other expenses or otherwise limits such reimbursements, and an increased risk of compensation being deemed unreasonable and unallowable or payments being withheld as a result of U.S. government audit, review, or investigation;</w:t>
      </w:r>
    </w:p>
    <w:p>
      <w:pPr>
        <w:ind w:left="460" w:right="12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insourcing by various U.S. government agencies due to changes in the definition of “inherently governmental” work, including proposals to limit contractor access to sensitive or classified information and work assignments;</w:t>
      </w: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our addressable markets and the amount of U.S. government spending on private contractors;</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indebtedness and credit facilities which contain financial and operating covenants;</w:t>
      </w:r>
    </w:p>
    <w:p>
      <w:pPr>
        <w:spacing w:after="0" w:line="51" w:lineRule="exact"/>
        <w:rPr>
          <w:rFonts w:ascii="Times New Roman" w:cs="Times New Roman" w:eastAsia="Times New Roman" w:hAnsi="Times New Roman"/>
          <w:sz w:val="14"/>
          <w:szCs w:val="14"/>
          <w:color w:val="auto"/>
        </w:rPr>
      </w:pPr>
    </w:p>
    <w:p>
      <w:pPr>
        <w:ind w:left="460" w:right="16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changes in accounting rules and regulations, or interpretations thereof, that may affect the way we recognize and report our financial results, including changes in accounting rules governing recognition of revenue;</w:t>
      </w: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ESG-related risks and climate change generally on our and our clients' businesses and operations; and</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factors listed under “Item 1A. Risk Factors” and elsewhere in this Annual Report.</w:t>
      </w:r>
    </w:p>
    <w:p>
      <w:pPr>
        <w:spacing w:after="0" w:line="94" w:lineRule="exact"/>
        <w:rPr>
          <w:sz w:val="20"/>
          <w:szCs w:val="20"/>
          <w:color w:val="auto"/>
        </w:rPr>
      </w:pPr>
    </w:p>
    <w:p>
      <w:pPr>
        <w:ind w:right="60" w:firstLine="350"/>
        <w:spacing w:after="0" w:line="270" w:lineRule="auto"/>
        <w:rPr>
          <w:sz w:val="20"/>
          <w:szCs w:val="20"/>
          <w:color w:val="auto"/>
        </w:rPr>
      </w:pPr>
      <w:r>
        <w:rPr>
          <w:rFonts w:ascii="Times New Roman" w:cs="Times New Roman" w:eastAsia="Times New Roman" w:hAnsi="Times New Roman"/>
          <w:sz w:val="14"/>
          <w:szCs w:val="14"/>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39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354" w:right="419" w:bottom="1440" w:gutter="0" w:footer="0" w:header="0"/>
        </w:sectPr>
      </w:pPr>
    </w:p>
    <w:bookmarkStart w:id="5" w:name="page6"/>
    <w:bookmarkEnd w:id="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rFonts w:ascii="Times New Roman" w:cs="Times New Roman" w:eastAsia="Times New Roman" w:hAnsi="Times New Roman"/>
          <w:sz w:val="14"/>
          <w:szCs w:val="14"/>
          <w:b w:val="1"/>
          <w:bCs w:val="1"/>
          <w:i w:val="1"/>
          <w:iCs w:val="1"/>
          <w:color w:val="auto"/>
        </w:rPr>
        <w:t>.</w:t>
      </w:r>
      <w:r>
        <w:rPr>
          <w:sz w:val="20"/>
          <w:szCs w:val="20"/>
          <w:color w:val="auto"/>
        </w:rPr>
        <w:tab/>
      </w:r>
      <w:r>
        <w:rPr>
          <w:rFonts w:ascii="Times New Roman" w:cs="Times New Roman" w:eastAsia="Times New Roman" w:hAnsi="Times New Roman"/>
          <w:sz w:val="13"/>
          <w:szCs w:val="13"/>
          <w:b w:val="1"/>
          <w:bCs w:val="1"/>
          <w:color w:val="auto"/>
        </w:rPr>
        <w:t>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53"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For 110 years, business, government, and military leaders have turned to Booz Allen Hamilton to solve their most complex problems. A values-driven organization with a guiding purpose to empower people to change the world, we remain focused on providing long-term solutions to our clients’ emerging and ever-changing challenges. Our people are passionate about their service to our clients and their missions and supporting the communities in which we live and work. This is our heritage, and it is as true today as when the Company was founded in 1914.</w:t>
      </w:r>
    </w:p>
    <w:p>
      <w:pPr>
        <w:spacing w:after="0" w:line="8"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A collaborative culture is an integral part of our unique operating model and encourages our people to bring a diversity of ideas and talent to every client engagement. We combine our in-depth expertise in artificial intelligence and cybersecurity with leading-edge technology and engineering practices to deliver powerful solutions. Leveraging 110 years of strategic consulting expertise with the perspectives of diverse talent, we strive for results by integrating technology with an enduring focus on our clients. By investing in markets, capabilities, and talent, and building new business models, including ventures, partnerships, and product offerings, we believe we are creating sustainable quality growth for the Company.</w:t>
      </w:r>
    </w:p>
    <w:p>
      <w:pPr>
        <w:spacing w:after="0" w:line="77"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Through our dedication to our clients' missions, and a commitment to evolving our business to address their needs, we have longstanding relationships with our clients, the longest of which is more than 80 years. We support critical missions for a diverse base of federal government clients, including nearly all of the U.S. government’s cabinet-level departments, as well as for commercial clients, both domestically and internationally. We support our federal government clients by helping them tackle their most complex and pressing challenges, such as protecting soldiers in combat and supporting their families, advancing cyber capabilities, securing our national infrastructure, enabling and enhancing digital services, transforming the healthcare system, and improving governmental efficiency to achieve better outcomes. Drawing on our deep understanding and leading position in cybersecurity, we serve commercial clients across industries, including financial services, health and life sciences, energy, and technology.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History and Corporate Structure</w:t>
      </w:r>
    </w:p>
    <w:p>
      <w:pPr>
        <w:spacing w:after="0" w:line="53" w:lineRule="exact"/>
        <w:rPr>
          <w:sz w:val="20"/>
          <w:szCs w:val="20"/>
          <w:color w:val="auto"/>
        </w:rPr>
      </w:pPr>
    </w:p>
    <w:p>
      <w:pPr>
        <w:jc w:val="both"/>
        <w:ind w:right="60" w:firstLine="350"/>
        <w:spacing w:after="0" w:line="270" w:lineRule="auto"/>
        <w:rPr>
          <w:sz w:val="20"/>
          <w:szCs w:val="20"/>
          <w:color w:val="auto"/>
        </w:rPr>
      </w:pPr>
      <w:r>
        <w:rPr>
          <w:rFonts w:ascii="Times New Roman" w:cs="Times New Roman" w:eastAsia="Times New Roman" w:hAnsi="Times New Roman"/>
          <w:sz w:val="14"/>
          <w:szCs w:val="14"/>
          <w:color w:val="auto"/>
        </w:rPr>
        <w:t>We were founded in 1914 by Edwin Booz, one of the pioneers of management consulting. In 1940, we began serving the U.S. government by advising the Secretary of the Navy in preparation for World War II. As the needs of our clients have grown more complex, we have expanded beyond our management consulting foundation to develop deep expertise in the fields of analytics, digital solutions, engineering, cyber and artificial intelligence.</w:t>
      </w:r>
    </w:p>
    <w:p>
      <w:pPr>
        <w:spacing w:after="0" w:line="8" w:lineRule="exact"/>
        <w:rPr>
          <w:sz w:val="20"/>
          <w:szCs w:val="20"/>
          <w:color w:val="auto"/>
        </w:rPr>
      </w:pPr>
    </w:p>
    <w:p>
      <w:pPr>
        <w:ind w:right="120" w:firstLine="350"/>
        <w:spacing w:after="0" w:line="284" w:lineRule="auto"/>
        <w:rPr>
          <w:sz w:val="20"/>
          <w:szCs w:val="20"/>
          <w:color w:val="auto"/>
        </w:rPr>
      </w:pPr>
      <w:r>
        <w:rPr>
          <w:rFonts w:ascii="Times New Roman" w:cs="Times New Roman" w:eastAsia="Times New Roman" w:hAnsi="Times New Roman"/>
          <w:sz w:val="14"/>
          <w:szCs w:val="14"/>
          <w:color w:val="auto"/>
        </w:rPr>
        <w:t>We are organized and operate as a corporation, but sometimes use the term “partner” to refer to our Chief Executive Officer and our Executive and Senior Vice Presidents. The use of the term “partner” reflects our collaborative culture and is not meant to imply that we operate our Company as, or have any intention to create a legal entity that is, a partnership.</w:t>
      </w:r>
    </w:p>
    <w:p>
      <w:pPr>
        <w:spacing w:after="0" w:line="1"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Booz Allen Holding was incorporated in Delaware in May 2008 to serve as the top-level holding company for the consolidated Booz Allen Hamilton U.S. government consulting business. On July 31, 2008, Booz Allen Hamilton completed the separation of its U.S. government consulting business from its legacy commercial and international consulting business, and the sale of 100% of its outstanding common stock to Booz Allen Holding, or the Carlyle Acquisition, which was majority owned by The Carlyle Group and certain of its affiliated investment funds, or Carlyle. Our Company is a corporation that is the successor to the U.S. government consulting business of Booz Allen Hamilton following the separation. Between 2013 and 2016, we registered the offering and sale of common stock by Carlyle, and on December 6, 2016, Carlyle disposed of its remaining shares of the Company's Class A Common Stock in a registered secondary offering.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Institution and Operating Model</w:t>
      </w:r>
    </w:p>
    <w:p>
      <w:pPr>
        <w:spacing w:after="0" w:line="53"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We operate as a single profit/loss center with a single bonus pool for leadership. Our operating model encourages collaboration allowing us to bring a mix of the best talent to every client engagement. Our partnership-style culture provides the operational flexibility necessary to quickly mobilize people and capabilities to react to market changes faster than our competitors. As a result, we can go to market as a whole company rather than as a collection of individual competing business units or profit centers. Our operating model also encourages and enables continuous investment in the right markets, capabilities, and talent to position the Company for further growth by anticipating what government and commercial clients will need next.</w:t>
      </w:r>
    </w:p>
    <w:p>
      <w:pPr>
        <w:spacing w:after="0" w:line="13" w:lineRule="exact"/>
        <w:rPr>
          <w:sz w:val="20"/>
          <w:szCs w:val="20"/>
          <w:color w:val="auto"/>
        </w:rPr>
      </w:pPr>
    </w:p>
    <w:p>
      <w:pPr>
        <w:ind w:right="80" w:firstLine="350"/>
        <w:spacing w:after="0" w:line="261" w:lineRule="auto"/>
        <w:rPr>
          <w:sz w:val="20"/>
          <w:szCs w:val="20"/>
          <w:color w:val="auto"/>
        </w:rPr>
      </w:pPr>
      <w:r>
        <w:rPr>
          <w:rFonts w:ascii="Times New Roman" w:cs="Times New Roman" w:eastAsia="Times New Roman" w:hAnsi="Times New Roman"/>
          <w:sz w:val="14"/>
          <w:szCs w:val="14"/>
          <w:color w:val="auto"/>
        </w:rPr>
        <w:t>Across all markets, we address our clients’ complex and evolving needs by deploying multifaceted teams with a combination of deep mission understanding, market-leading functional capabilities, consulting talent, and true technical and engineering expertise. These client-facing teams, which are fundamental to our differentiated value proposition, better position us to create market-relevant growth strategies and plan for and meet current, future, and prospective market needs. They also help us identify and deliver against diverse client needs in a more agile manner. Our significant win rates during fiscal 2024 on new and re-competed contracts of 63% and 92%, respectively, as compared to 66% and 88%, respectively, in fiscal 2023, demonstrate the strength of this approach.</w:t>
      </w:r>
    </w:p>
    <w:p>
      <w:pPr>
        <w:spacing w:after="0" w:line="200" w:lineRule="exact"/>
        <w:rPr>
          <w:sz w:val="20"/>
          <w:szCs w:val="20"/>
          <w:color w:val="auto"/>
        </w:rPr>
      </w:pPr>
    </w:p>
    <w:p>
      <w:pPr>
        <w:spacing w:after="0" w:line="21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6" w:name="page7"/>
    <w:bookmarkEnd w:id="6"/>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Management</w:t>
      </w:r>
    </w:p>
    <w:p>
      <w:pPr>
        <w:spacing w:after="0" w:line="53" w:lineRule="exact"/>
        <w:rPr>
          <w:sz w:val="20"/>
          <w:szCs w:val="20"/>
          <w:color w:val="auto"/>
        </w:rPr>
      </w:pPr>
    </w:p>
    <w:p>
      <w:pPr>
        <w:ind w:right="200" w:firstLine="350"/>
        <w:spacing w:after="0" w:line="270" w:lineRule="auto"/>
        <w:rPr>
          <w:sz w:val="20"/>
          <w:szCs w:val="20"/>
          <w:color w:val="auto"/>
        </w:rPr>
      </w:pPr>
      <w:r>
        <w:rPr>
          <w:rFonts w:ascii="Times New Roman" w:cs="Times New Roman" w:eastAsia="Times New Roman" w:hAnsi="Times New Roman"/>
          <w:sz w:val="14"/>
          <w:szCs w:val="14"/>
          <w:color w:val="auto"/>
        </w:rPr>
        <w:t>As we embrace new and future-focused ways of working, we remain true to what has always defined who we are: our commitments to our purpose and values, our clients and their missions, and our people. At Booz Allen, we strive to create an environment where all of our 34,200 employees feel a sense of belonging and feel empowered to bring their diverse skills, perspectives, and talents to bear on our clients’ biggest challenges and to create careers that are meaningful to them.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Booz Allen is a place where you can be you.</w:t>
      </w:r>
    </w:p>
    <w:p>
      <w:pPr>
        <w:spacing w:after="0" w:line="51" w:lineRule="exact"/>
        <w:rPr>
          <w:sz w:val="20"/>
          <w:szCs w:val="20"/>
          <w:color w:val="auto"/>
        </w:rPr>
      </w:pPr>
    </w:p>
    <w:p>
      <w:pPr>
        <w:jc w:val="both"/>
        <w:ind w:right="4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Culture. </w:t>
      </w:r>
      <w:r>
        <w:rPr>
          <w:rFonts w:ascii="Times New Roman" w:cs="Times New Roman" w:eastAsia="Times New Roman" w:hAnsi="Times New Roman"/>
          <w:sz w:val="14"/>
          <w:szCs w:val="14"/>
          <w:color w:val="auto"/>
        </w:rPr>
        <w:t>Our VoLT (Velocity, Leadership, and Technology) strategy and the modern workplace have created the opportunity for us to invigorate our culture to propel us into the next era. As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navigate a hybrid work environment and seek to perform on an exceptional level, culture is more important than ever. Intentionally building, modeling, and driving a culture that reinforces our strategic objectives, propels our connectedness, and solidifies our purpose is key to unleashing our potential.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cultural aspirations are to:</w:t>
      </w:r>
    </w:p>
    <w:p>
      <w:pPr>
        <w:spacing w:after="0" w:line="23"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Cultivate a culture where everyone can thrive and belong</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Preserve our cornerstone of strong relationships and collaboration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Embrace a flexible work environment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Empower our people to be successful at work and in life</w:t>
      </w:r>
    </w:p>
    <w:p>
      <w:pPr>
        <w:spacing w:after="0" w:line="37"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4"/>
          <w:szCs w:val="14"/>
          <w:color w:val="auto"/>
        </w:rPr>
        <w:t>These aspirations drive our performance by building off our strengths. By committing to practice an evolved way of “how we do things,” we can amplify the positive impact we have on our people, our clients, and the world.</w:t>
      </w:r>
    </w:p>
    <w:p>
      <w:pPr>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Diversity, Equity, and Inclusion (“DEI”). </w:t>
      </w:r>
      <w:r>
        <w:rPr>
          <w:rFonts w:ascii="Times New Roman" w:cs="Times New Roman" w:eastAsia="Times New Roman" w:hAnsi="Times New Roman"/>
          <w:sz w:val="14"/>
          <w:szCs w:val="14"/>
          <w:color w:val="auto"/>
        </w:rPr>
        <w:t>Empowering our people includes our commitment to making Booz Allen a more diverse, equitable, and inclusive workplace, enabling the execution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strategy and enabling our people to achieve their full potential. This is aligned with our strong value proposition and assists in attracting and retaining the highest caliber employees. We celebrate diversity in all forms, fostering a sense of belonging for our workforce across all ethnicities, religions, genders, sexual orientations, ages, and disabilities Our VoLT strategy and programs are designed to recruit, incentivize, and retain top talent based on merit and contributions to our company and culture.</w:t>
      </w:r>
    </w:p>
    <w:p>
      <w:pPr>
        <w:spacing w:after="0" w:line="2" w:lineRule="exact"/>
        <w:rPr>
          <w:sz w:val="20"/>
          <w:szCs w:val="20"/>
          <w:color w:val="auto"/>
        </w:rPr>
      </w:pPr>
    </w:p>
    <w:p>
      <w:pPr>
        <w:ind w:left="520" w:right="320" w:hanging="260"/>
        <w:spacing w:after="0" w:line="24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VoLT requires us to lead and compete differently to achieve velocity, agility and scale. Our DEI strategy focuses on leading by example through transparency and modeling inclusion; empowering potential by driving equitable access and outcomes, inspiring belonging, and being a force for advancing equity. As we look to the near future, we intend to evolve our DEI strategy to further cultivate culture, preserve relationships, embrace flexibility, and empower potential.</w:t>
      </w:r>
    </w:p>
    <w:p>
      <w:pPr>
        <w:spacing w:after="0" w:line="24" w:lineRule="exact"/>
        <w:rPr>
          <w:rFonts w:ascii="Times New Roman" w:cs="Times New Roman" w:eastAsia="Times New Roman" w:hAnsi="Times New Roman"/>
          <w:sz w:val="14"/>
          <w:szCs w:val="14"/>
          <w:color w:val="auto"/>
        </w:rPr>
      </w:pPr>
    </w:p>
    <w:p>
      <w:pPr>
        <w:ind w:left="520" w:right="160" w:hanging="260"/>
        <w:spacing w:after="0" w:line="268"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Nearly a quarter of our employees are members of at least one of our company-sponsored Employee Communities, which any employee can join. These groups support our people at every stage of the employment lifecycle by cultivating meaningful networks and development opportunities across locations, job roles, levels, and functional expertise. They are a facet of our devotion to inspiring belonging.</w:t>
      </w:r>
    </w:p>
    <w:p>
      <w:pPr>
        <w:spacing w:after="0" w:line="1" w:lineRule="exact"/>
        <w:rPr>
          <w:rFonts w:ascii="Times New Roman" w:cs="Times New Roman" w:eastAsia="Times New Roman" w:hAnsi="Times New Roman"/>
          <w:sz w:val="14"/>
          <w:szCs w:val="14"/>
          <w:color w:val="auto"/>
        </w:rPr>
      </w:pPr>
    </w:p>
    <w:p>
      <w:pPr>
        <w:ind w:left="520" w:right="20" w:hanging="260"/>
        <w:spacing w:after="0" w:line="25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“Unstoppable Together” is our global, employee-led, DEI movement. Through the power of storytelling, it strives to humanize the complex issues facing the modern workforce. Its assets, all of which are available to employees and non-employees alike, include an annual summit, syndicated podcast, digital quarterly magazine, video library, and discussion guides and conversation cards. Through our people-first perspective, our integrated wellbeing strategy supports all aspects of our people’s lives and empowers them to thrive.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2024, based upon voluntary self-reporting:</w:t>
      </w:r>
    </w:p>
    <w:p>
      <w:pPr>
        <w:spacing w:after="0" w:line="51"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 of our global workforce identified as female, including 37% of senior management.</w:t>
      </w:r>
    </w:p>
    <w:p>
      <w:pPr>
        <w:spacing w:after="0" w:line="51" w:lineRule="exact"/>
        <w:rPr>
          <w:rFonts w:ascii="Times New Roman" w:cs="Times New Roman" w:eastAsia="Times New Roman" w:hAnsi="Times New Roman"/>
          <w:sz w:val="14"/>
          <w:szCs w:val="14"/>
          <w:color w:val="auto"/>
        </w:rPr>
      </w:pPr>
    </w:p>
    <w:p>
      <w:pPr>
        <w:ind w:left="520" w:right="320" w:hanging="260"/>
        <w:spacing w:after="0" w:line="284"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 of our U.S. workforce identified as a person of color, including 12% Asian, 12% Black or African American, and 7% Hispanic or Latino, and 4% two or more races; 21% of senior management identified as a person of color.</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Nearly 28% of our employees identified as a veteran or an individual with military experience.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 of our employees identified as an individual with a disability.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of our U.S. workforce identified as LGBTQIA+.</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87% of our employees hold a bachelor’s degree or higher; of that 87%, approximately 40% hold master’s degrees and 4% hold doctoral degrees.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65% hold one or more professional certifications, including certifications on over 10 topics such as Artificial Intelligence, Cyber and IT, Project Management, and Agile.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65% of our employees hold security clearances.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new employee hires, 32% globally identified as female and 40% in the U.S. identified as people of color.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employee departures, 29% globally identified as female and 36% in the U.S. identified as people of color.</w:t>
      </w:r>
    </w:p>
    <w:p>
      <w:pPr>
        <w:spacing w:after="0" w:line="49"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4"/>
          <w:szCs w:val="14"/>
          <w:i w:val="1"/>
          <w:iCs w:val="1"/>
          <w:color w:val="auto"/>
        </w:rPr>
        <w:t>Employee Engagement</w:t>
      </w:r>
      <w:r>
        <w:rPr>
          <w:rFonts w:ascii="Times New Roman" w:cs="Times New Roman" w:eastAsia="Times New Roman" w:hAnsi="Times New Roman"/>
          <w:sz w:val="14"/>
          <w:szCs w:val="14"/>
          <w:color w:val="auto"/>
        </w:rPr>
        <w:t>. We conduct an annual Employee Experience Survey. The survey results provide insights into our employees’ experience. Eighty-three percent of our employees reported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having a favorable experience, with higher results than competitors against whom we benchmark our performance.</w:t>
      </w:r>
    </w:p>
    <w:p>
      <w:pPr>
        <w:spacing w:after="0" w:line="39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7" w:name="page8"/>
    <w:bookmarkEnd w:id="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Booz Allen is a place where you are part of something bigger than yourself.</w:t>
      </w:r>
    </w:p>
    <w:p>
      <w:pPr>
        <w:spacing w:after="0" w:line="53" w:lineRule="exact"/>
        <w:rPr>
          <w:sz w:val="20"/>
          <w:szCs w:val="20"/>
          <w:color w:val="auto"/>
        </w:rPr>
      </w:pPr>
    </w:p>
    <w:p>
      <w:pPr>
        <w:ind w:right="340" w:firstLine="350"/>
        <w:spacing w:after="0" w:line="283" w:lineRule="auto"/>
        <w:rPr>
          <w:sz w:val="20"/>
          <w:szCs w:val="20"/>
          <w:color w:val="auto"/>
        </w:rPr>
      </w:pPr>
      <w:r>
        <w:rPr>
          <w:rFonts w:ascii="Times New Roman" w:cs="Times New Roman" w:eastAsia="Times New Roman" w:hAnsi="Times New Roman"/>
          <w:sz w:val="14"/>
          <w:szCs w:val="14"/>
          <w:color w:val="auto"/>
        </w:rPr>
        <w:t>We look out for one another, solve the world’s toughest problems, and do what’s right. With our purpose and values as our North Star, our unique culture provides us with a platform to set ourselves apart from our competitors.</w:t>
      </w:r>
    </w:p>
    <w:p>
      <w:pPr>
        <w:spacing w:after="0"/>
        <w:rPr>
          <w:sz w:val="20"/>
          <w:szCs w:val="20"/>
          <w:color w:val="auto"/>
        </w:rPr>
      </w:pPr>
      <w:r>
        <w:rPr>
          <w:rFonts w:ascii="Times New Roman" w:cs="Times New Roman" w:eastAsia="Times New Roman" w:hAnsi="Times New Roman"/>
          <w:sz w:val="14"/>
          <w:szCs w:val="14"/>
          <w:i w:val="1"/>
          <w:iCs w:val="1"/>
          <w:color w:val="auto"/>
        </w:rPr>
        <w:t>Purpose and values</w:t>
      </w:r>
      <w:r>
        <w:rPr>
          <w:rFonts w:ascii="Times New Roman" w:cs="Times New Roman" w:eastAsia="Times New Roman" w:hAnsi="Times New Roman"/>
          <w:sz w:val="14"/>
          <w:szCs w:val="14"/>
          <w:color w:val="auto"/>
        </w:rPr>
        <w:t>. Our purpose—to empower people to change the world—is an expression of our values. Together, they form the foundation of everything at Booz Allen. Our values are:</w:t>
      </w:r>
    </w:p>
    <w:p>
      <w:pPr>
        <w:spacing w:after="0" w:line="53"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Ferocious Integrity: Do right, and hold yourself and each other accountable.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Unflinching Courage: Bring bold thinking and speak truth to power. Maintain conviction no matter the circumstances.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Passionate Service: Listen and act with empathy as you make meaningful connections. Build community through generosity, and above all, embrace the mission.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Champion’s Heart: Bring joy to the pursuit and learn from failure. Compete with passion and crave being the best.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Collective Ingenuity: Be resourceful and creative, seek to make the biggest difference in every problem you solve. Be devoted to the team and harness the power of diversity.</w:t>
      </w:r>
    </w:p>
    <w:p>
      <w:pPr>
        <w:spacing w:after="0" w:line="4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i w:val="1"/>
          <w:iCs w:val="1"/>
          <w:color w:val="auto"/>
        </w:rPr>
        <w:t>Ethics &amp; Compliance</w:t>
      </w:r>
      <w:r>
        <w:rPr>
          <w:rFonts w:ascii="Times New Roman" w:cs="Times New Roman" w:eastAsia="Times New Roman" w:hAnsi="Times New Roman"/>
          <w:sz w:val="14"/>
          <w:szCs w:val="14"/>
          <w:color w:val="auto"/>
        </w:rPr>
        <w:t>. As one of the first organizations in the United States to adopt a formal code of business ethics, we believe that doing right and holding ourselves and others accountable is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only way to do business. Our Code of Business Ethics and Conduct represents our values in action and serves as a guide for all Booz Allen people on how they should operate on behalf of the Company, day in and day out. It outlines what is expected of us and how we meet those expectations.</w:t>
      </w:r>
    </w:p>
    <w:p>
      <w:pPr>
        <w:spacing w:after="0" w:line="8" w:lineRule="exact"/>
        <w:rPr>
          <w:sz w:val="20"/>
          <w:szCs w:val="20"/>
          <w:color w:val="auto"/>
        </w:rPr>
      </w:pPr>
    </w:p>
    <w:p>
      <w:pPr>
        <w:ind w:left="520" w:right="100" w:hanging="260"/>
        <w:spacing w:after="0" w:line="28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2024, the Ethisphere Institute named Booz Allen among the World’s Most Ethical Companies for the fifth consecutive year. The annual list recognizes global companies dedicated to integrity, sustainability, governance, and community with a commitment to ethical behavior, accountability, and driving positive change.</w:t>
      </w:r>
    </w:p>
    <w:p>
      <w:pPr>
        <w:ind w:right="80"/>
        <w:spacing w:after="0" w:line="271" w:lineRule="auto"/>
        <w:rPr>
          <w:sz w:val="20"/>
          <w:szCs w:val="20"/>
          <w:color w:val="auto"/>
        </w:rPr>
      </w:pPr>
      <w:r>
        <w:rPr>
          <w:rFonts w:ascii="Times New Roman" w:cs="Times New Roman" w:eastAsia="Times New Roman" w:hAnsi="Times New Roman"/>
          <w:sz w:val="14"/>
          <w:szCs w:val="14"/>
          <w:i w:val="1"/>
          <w:iCs w:val="1"/>
          <w:color w:val="auto"/>
        </w:rPr>
        <w:t>Community Impact</w:t>
      </w:r>
      <w:r>
        <w:rPr>
          <w:rFonts w:ascii="Times New Roman" w:cs="Times New Roman" w:eastAsia="Times New Roman" w:hAnsi="Times New Roman"/>
          <w:sz w:val="14"/>
          <w:szCs w:val="14"/>
          <w:color w:val="auto"/>
        </w:rPr>
        <w:t>. To create a more secure, resilient, and equitable future for all, we support and partner with charitable organizations. For fiscal 2024, Booz Allen donated $5.4 million to nonprofit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organizations. Through Booz Allen initiatives, our employees donated $1.7 million to more than 2,200 nonprofit organizations and engaged in more than 68,000 hours of volunteer service to more than 760 nonprofit organizations. Some of our calendar year 2023 highlights include:</w:t>
      </w:r>
    </w:p>
    <w:p>
      <w:pPr>
        <w:spacing w:after="0" w:line="8" w:lineRule="exact"/>
        <w:rPr>
          <w:sz w:val="20"/>
          <w:szCs w:val="20"/>
          <w:color w:val="auto"/>
        </w:rPr>
      </w:pPr>
    </w:p>
    <w:p>
      <w:pPr>
        <w:ind w:left="520" w:right="140" w:hanging="260"/>
        <w:spacing w:after="0" w:line="28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Launched a national movement for equitable access to responsible AI education with the AI Education Project, including thought leadership, convenings, and teacher workshops, including the training of more than 1,000 educators in Hawaii and Maryland.</w:t>
      </w:r>
    </w:p>
    <w:p>
      <w:pPr>
        <w:ind w:left="520" w:right="300" w:hanging="260"/>
        <w:spacing w:after="0" w:line="28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in 2023 by the San Diego Business Journal for “Outstanding Collaboration between a Business &amp; Nonprofit,” Booz Allen’s partnership with Girl Scouts San Diego includes sponsorship of the annual ‘Incredible Race’ STEM scavenger hunt and educational Cybersecurity Workshops led by Booz Allen volunteers.</w:t>
      </w:r>
    </w:p>
    <w:p>
      <w:pPr>
        <w:ind w:left="520" w:right="60" w:hanging="260"/>
        <w:spacing w:after="0" w:line="28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Supported Thurgood Marshall College Fund’s Teacher Retention and Quality Program to recruit and retain more black teachers, and to provide them with technology, resources, and training to be leaders in their schools. Our funding supported 83 teachers who were able to affect 10,000 students, 90 percent from Title 1 schools.</w:t>
      </w: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Established the multi-year Booz Allen Scholarship for Intelligence Studies at University of Hawai'i at Manoa.</w:t>
      </w:r>
    </w:p>
    <w:p>
      <w:pPr>
        <w:spacing w:after="0" w:line="51"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Empowered 400 students and 40 teachers through sponsorship of Wolf Trap Institute's Early STEM/Arts Program which provides professional development for educators in techniques and strategies that offer opportunities for arts integration which can lead to higher levels of learning in STEM subjects.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Booz Allen is a place where you are empowered with knowledge and support to change the world.</w:t>
      </w:r>
    </w:p>
    <w:p>
      <w:pPr>
        <w:spacing w:after="0" w:line="5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4"/>
          <w:szCs w:val="14"/>
          <w:color w:val="auto"/>
        </w:rPr>
        <w:t>Our “think global, act local” approach to total rewards aims to provide our people with access to meaningful benefits and programs across a spectrum of life and career stages regardless of where they are based.</w:t>
      </w:r>
    </w:p>
    <w:p>
      <w:pPr>
        <w:ind w:right="20"/>
        <w:spacing w:after="0" w:line="265" w:lineRule="auto"/>
        <w:rPr>
          <w:sz w:val="20"/>
          <w:szCs w:val="20"/>
          <w:color w:val="auto"/>
        </w:rPr>
      </w:pPr>
      <w:r>
        <w:rPr>
          <w:rFonts w:ascii="Times New Roman" w:cs="Times New Roman" w:eastAsia="Times New Roman" w:hAnsi="Times New Roman"/>
          <w:sz w:val="14"/>
          <w:szCs w:val="14"/>
          <w:i w:val="1"/>
          <w:iCs w:val="1"/>
          <w:color w:val="auto"/>
        </w:rPr>
        <w:t>Learning without Limits</w:t>
      </w:r>
      <w:r>
        <w:rPr>
          <w:rFonts w:ascii="Times New Roman" w:cs="Times New Roman" w:eastAsia="Times New Roman" w:hAnsi="Times New Roman"/>
          <w:sz w:val="14"/>
          <w:szCs w:val="14"/>
          <w:color w:val="auto"/>
        </w:rPr>
        <w:t>. From in-house, award-winning training and badging programs to external tuition reimbursement and more, we strive to provide our employees with limitless opportunities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enhance and broaden their skill set—anytime, anywhere. In support of our VoLT growth strategy and its reliance on a highly skilled, technical workforce, we launched Technical Experience Groups (“TXGs”) to help attract, engage, and retain technically focused employees. Through TXGs, all Booz Allen employees can build technical acumen, unlock career opportunities, build connections through technical mentorships, and access and create technical thought leadership and intellectual property.</w:t>
      </w:r>
    </w:p>
    <w:p>
      <w:pPr>
        <w:spacing w:after="0" w:line="1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Owning the Experience</w:t>
      </w:r>
      <w:r>
        <w:rPr>
          <w:rFonts w:ascii="Times New Roman" w:cs="Times New Roman" w:eastAsia="Times New Roman" w:hAnsi="Times New Roman"/>
          <w:sz w:val="14"/>
          <w:szCs w:val="14"/>
          <w:color w:val="auto"/>
        </w:rPr>
        <w:t>. Our Talent Mobility and Performance programs move employees from where they are now to where they want to be. Our programs emphasize the importance of goal setting,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regular touchpoints to share feedback and aspirations, and career profiles that display and unlock experiences—all with the support system of trained managers and leaders who help build and guide personalized career journeys.</w:t>
      </w:r>
    </w:p>
    <w:p>
      <w:pPr>
        <w:spacing w:after="0" w:line="6"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Enjoying the Pursuit. </w:t>
      </w:r>
      <w:r>
        <w:rPr>
          <w:rFonts w:ascii="Times New Roman" w:cs="Times New Roman" w:eastAsia="Times New Roman" w:hAnsi="Times New Roman"/>
          <w:sz w:val="14"/>
          <w:szCs w:val="14"/>
          <w:color w:val="auto"/>
        </w:rPr>
        <w:t>Appreciation is personal for us. Our Total Rewards program supports a resilient, high-performing workforce by investing in the financial, emotional, and physical well-being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employees and the people they care most about.</w:t>
      </w:r>
    </w:p>
    <w:p>
      <w:pPr>
        <w:spacing w:after="0" w:line="38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8" w:name="page9"/>
    <w:bookmarkEnd w:id="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i w:val="1"/>
          <w:iCs w:val="1"/>
          <w:color w:val="auto"/>
        </w:rPr>
        <w:t>Pay Practices &amp; Pay Equity</w:t>
      </w:r>
      <w:r>
        <w:rPr>
          <w:rFonts w:ascii="Times New Roman" w:cs="Times New Roman" w:eastAsia="Times New Roman" w:hAnsi="Times New Roman"/>
          <w:sz w:val="14"/>
          <w:szCs w:val="14"/>
          <w:color w:val="auto"/>
        </w:rPr>
        <w:t>. Our commitment to provide a fair and equitable workplace for employees, including through our pay practices, is woven into our Code of Business Ethics and Conduct,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policies, and practices, with support and oversight from the Compensation, Culture and People Committee of the Company’s board of directors (the “Board”). We have designed our compensation structure to pay our people competitively in the market and equitably based on their skills, qualifications, roles, and abilities.</w:t>
      </w:r>
    </w:p>
    <w:p>
      <w:pPr>
        <w:spacing w:after="0" w:line="8"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As part of our commitment to pay equity, we have processes in place to monitor our compensation practices, and we conduct a pay equity analysis on an annual basis in the U.S. to examine differences in pay between employees of different genders, races and ethnicities.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Booz Allen is a place that is recognized for providing an exceptional experience.</w:t>
      </w:r>
    </w:p>
    <w:p>
      <w:pPr>
        <w:spacing w:after="0" w:line="53"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4"/>
          <w:szCs w:val="14"/>
          <w:color w:val="auto"/>
        </w:rPr>
        <w:t>We are proud of the recognition we continue to receive for empowering great talent, exhibiting a spirit of corporate citizenship, and achieving excellence. Some of our recent awards and recognitions include:</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Black Engineer of the Year Award</w:t>
      </w:r>
      <w:r>
        <w:rPr>
          <w:rFonts w:ascii="Times New Roman" w:cs="Times New Roman" w:eastAsia="Times New Roman" w:hAnsi="Times New Roman"/>
          <w:sz w:val="14"/>
          <w:szCs w:val="14"/>
          <w:color w:val="auto"/>
        </w:rPr>
        <w:t>: 100+ employees recognized since 2005</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Bloomberg Government</w:t>
      </w:r>
      <w:r>
        <w:rPr>
          <w:rFonts w:ascii="Times New Roman" w:cs="Times New Roman" w:eastAsia="Times New Roman" w:hAnsi="Times New Roman"/>
          <w:sz w:val="14"/>
          <w:szCs w:val="14"/>
          <w:color w:val="auto"/>
        </w:rPr>
        <w:t>’s BGOV200 Federal Industry Leaders Report</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Business Group on Health</w:t>
      </w:r>
      <w:r>
        <w:rPr>
          <w:rFonts w:ascii="Times New Roman" w:cs="Times New Roman" w:eastAsia="Times New Roman" w:hAnsi="Times New Roman"/>
          <w:sz w:val="14"/>
          <w:szCs w:val="14"/>
          <w:color w:val="auto"/>
        </w:rPr>
        <w:t>’s Best Employers: Excellence in Health &amp; Well-Being</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DefenseNews</w:t>
      </w:r>
      <w:r>
        <w:rPr>
          <w:rFonts w:ascii="Times New Roman" w:cs="Times New Roman" w:eastAsia="Times New Roman" w:hAnsi="Times New Roman"/>
          <w:sz w:val="14"/>
          <w:szCs w:val="14"/>
          <w:color w:val="auto"/>
        </w:rPr>
        <w:t>’ Top 100 Defense Companies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Disability Equality Index</w:t>
      </w:r>
      <w:r>
        <w:rPr>
          <w:rFonts w:ascii="Times New Roman" w:cs="Times New Roman" w:eastAsia="Times New Roman" w:hAnsi="Times New Roman"/>
          <w:sz w:val="14"/>
          <w:szCs w:val="14"/>
          <w:color w:val="auto"/>
        </w:rPr>
        <w:t>’s Best Places to Work</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Diversity First</w:t>
      </w:r>
      <w:r>
        <w:rPr>
          <w:rFonts w:ascii="Times New Roman" w:cs="Times New Roman" w:eastAsia="Times New Roman" w:hAnsi="Times New Roman"/>
          <w:sz w:val="14"/>
          <w:szCs w:val="14"/>
          <w:color w:val="auto"/>
        </w:rPr>
        <w:t>’s Top 50 Companies for Diversity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Ethisphere</w:t>
      </w:r>
      <w:r>
        <w:rPr>
          <w:rFonts w:ascii="Times New Roman" w:cs="Times New Roman" w:eastAsia="Times New Roman" w:hAnsi="Times New Roman"/>
          <w:sz w:val="14"/>
          <w:szCs w:val="14"/>
          <w:color w:val="auto"/>
        </w:rPr>
        <w:t>’s World’s Most Ethical Companies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Forbes</w:t>
      </w:r>
      <w:r>
        <w:rPr>
          <w:rFonts w:ascii="Times New Roman" w:cs="Times New Roman" w:eastAsia="Times New Roman" w:hAnsi="Times New Roman"/>
          <w:sz w:val="14"/>
          <w:szCs w:val="14"/>
          <w:color w:val="auto"/>
        </w:rPr>
        <w:t>’ America’s Best Employers for Veterans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Forbes</w:t>
      </w:r>
      <w:r>
        <w:rPr>
          <w:rFonts w:ascii="Times New Roman" w:cs="Times New Roman" w:eastAsia="Times New Roman" w:hAnsi="Times New Roman"/>
          <w:sz w:val="14"/>
          <w:szCs w:val="14"/>
          <w:color w:val="auto"/>
        </w:rPr>
        <w:t>’ America’s Best Large Employers and America’s Best Employers for Diversity</w:t>
      </w:r>
    </w:p>
    <w:p>
      <w:pPr>
        <w:spacing w:after="0" w:line="51" w:lineRule="exact"/>
        <w:rPr>
          <w:rFonts w:ascii="Times New Roman" w:cs="Times New Roman" w:eastAsia="Times New Roman" w:hAnsi="Times New Roman"/>
          <w:sz w:val="14"/>
          <w:szCs w:val="14"/>
          <w:i w:val="1"/>
          <w:iCs w:val="1"/>
          <w:color w:val="auto"/>
        </w:rPr>
      </w:pPr>
    </w:p>
    <w:p>
      <w:pPr>
        <w:ind w:left="520" w:right="160" w:hanging="260"/>
        <w:spacing w:after="0" w:line="284" w:lineRule="auto"/>
        <w:tabs>
          <w:tab w:leader="none" w:pos="516"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Fortune</w:t>
      </w:r>
      <w:r>
        <w:rPr>
          <w:rFonts w:ascii="Times New Roman" w:cs="Times New Roman" w:eastAsia="Times New Roman" w:hAnsi="Times New Roman"/>
          <w:sz w:val="14"/>
          <w:szCs w:val="14"/>
          <w:color w:val="auto"/>
        </w:rPr>
        <w:t>’s America’s Most Innovative Companies: This award recognizes a company’s entrepreneurial innovation based on product innovation, process innovation, innovation culture,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revenue growth</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Fortune’s </w:t>
      </w:r>
      <w:r>
        <w:rPr>
          <w:rFonts w:ascii="Times New Roman" w:cs="Times New Roman" w:eastAsia="Times New Roman" w:hAnsi="Times New Roman"/>
          <w:sz w:val="14"/>
          <w:szCs w:val="14"/>
          <w:color w:val="auto"/>
        </w:rPr>
        <w:t>Fortune 500</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Fortune</w:t>
      </w:r>
      <w:r>
        <w:rPr>
          <w:rFonts w:ascii="Times New Roman" w:cs="Times New Roman" w:eastAsia="Times New Roman" w:hAnsi="Times New Roman"/>
          <w:sz w:val="14"/>
          <w:szCs w:val="14"/>
          <w:color w:val="auto"/>
        </w:rPr>
        <w:t>’s World’s Most Admired Companies</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Glassdoor</w:t>
      </w:r>
      <w:r>
        <w:rPr>
          <w:rFonts w:ascii="Times New Roman" w:cs="Times New Roman" w:eastAsia="Times New Roman" w:hAnsi="Times New Roman"/>
          <w:sz w:val="14"/>
          <w:szCs w:val="14"/>
          <w:color w:val="auto"/>
        </w:rPr>
        <w:t>’s Best 100 Places to Work</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Investor’s Business Daily</w:t>
      </w:r>
      <w:r>
        <w:rPr>
          <w:rFonts w:ascii="Times New Roman" w:cs="Times New Roman" w:eastAsia="Times New Roman" w:hAnsi="Times New Roman"/>
          <w:sz w:val="14"/>
          <w:szCs w:val="14"/>
          <w:color w:val="auto"/>
        </w:rPr>
        <w:t>’s Best ESG Companies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Newsweek’s: </w:t>
      </w:r>
      <w:r>
        <w:rPr>
          <w:rFonts w:ascii="Times New Roman" w:cs="Times New Roman" w:eastAsia="Times New Roman" w:hAnsi="Times New Roman"/>
          <w:sz w:val="14"/>
          <w:szCs w:val="14"/>
          <w:color w:val="auto"/>
        </w:rPr>
        <w:t>America’s Greatest Workplaces for Parents and Families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Newsweek</w:t>
      </w:r>
      <w:r>
        <w:rPr>
          <w:rFonts w:ascii="Times New Roman" w:cs="Times New Roman" w:eastAsia="Times New Roman" w:hAnsi="Times New Roman"/>
          <w:sz w:val="14"/>
          <w:szCs w:val="14"/>
          <w:color w:val="auto"/>
        </w:rPr>
        <w:t>’s: America’s Greatest Workplaces for Remote Work</w:t>
      </w:r>
    </w:p>
    <w:p>
      <w:pPr>
        <w:spacing w:after="0" w:line="5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Newsweek’s: Most Loved Workplaces in America</w:t>
      </w:r>
    </w:p>
    <w:p>
      <w:pPr>
        <w:spacing w:after="0" w:line="4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Seramount</w:t>
      </w:r>
      <w:r>
        <w:rPr>
          <w:rFonts w:ascii="Times New Roman" w:cs="Times New Roman" w:eastAsia="Times New Roman" w:hAnsi="Times New Roman"/>
          <w:sz w:val="14"/>
          <w:szCs w:val="14"/>
          <w:color w:val="auto"/>
        </w:rPr>
        <w:t>’s 100 Best Companies for Working Parents</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TIME</w:t>
      </w:r>
      <w:r>
        <w:rPr>
          <w:rFonts w:ascii="Times New Roman" w:cs="Times New Roman" w:eastAsia="Times New Roman" w:hAnsi="Times New Roman"/>
          <w:sz w:val="14"/>
          <w:szCs w:val="14"/>
          <w:color w:val="auto"/>
        </w:rPr>
        <w:t>’s World’s Best Companies of 2023</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U.S. Department of Labor</w:t>
      </w:r>
      <w:r>
        <w:rPr>
          <w:rFonts w:ascii="Times New Roman" w:cs="Times New Roman" w:eastAsia="Times New Roman" w:hAnsi="Times New Roman"/>
          <w:sz w:val="14"/>
          <w:szCs w:val="14"/>
          <w:color w:val="auto"/>
        </w:rPr>
        <w:t>’s 2023 HIRE Vets Platinum Medallion Award</w:t>
      </w:r>
    </w:p>
    <w:p>
      <w:pPr>
        <w:spacing w:after="0" w:line="51"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U.S. News &amp; World Report</w:t>
      </w:r>
      <w:r>
        <w:rPr>
          <w:rFonts w:ascii="Times New Roman" w:cs="Times New Roman" w:eastAsia="Times New Roman" w:hAnsi="Times New Roman"/>
          <w:sz w:val="14"/>
          <w:szCs w:val="14"/>
          <w:color w:val="auto"/>
        </w:rPr>
        <w:t>’s Best Companies to Work For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Washington Technology </w:t>
      </w:r>
      <w:r>
        <w:rPr>
          <w:rFonts w:ascii="Times New Roman" w:cs="Times New Roman" w:eastAsia="Times New Roman" w:hAnsi="Times New Roman"/>
          <w:sz w:val="14"/>
          <w:szCs w:val="14"/>
          <w:color w:val="auto"/>
        </w:rPr>
        <w:t>Top 100</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Women of Color in STEM</w:t>
      </w:r>
      <w:r>
        <w:rPr>
          <w:rFonts w:ascii="Times New Roman" w:cs="Times New Roman" w:eastAsia="Times New Roman" w:hAnsi="Times New Roman"/>
          <w:sz w:val="14"/>
          <w:szCs w:val="14"/>
          <w:color w:val="auto"/>
        </w:rPr>
        <w:t>: 250+ employees recognized since 2004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Innovation and Solutions</w:t>
      </w:r>
    </w:p>
    <w:p>
      <w:pPr>
        <w:spacing w:after="0" w:line="53" w:lineRule="exact"/>
        <w:rPr>
          <w:sz w:val="20"/>
          <w:szCs w:val="20"/>
          <w:color w:val="auto"/>
        </w:rPr>
      </w:pPr>
    </w:p>
    <w:p>
      <w:pPr>
        <w:ind w:right="200" w:firstLine="350"/>
        <w:spacing w:after="0" w:line="284" w:lineRule="auto"/>
        <w:rPr>
          <w:sz w:val="20"/>
          <w:szCs w:val="20"/>
          <w:color w:val="auto"/>
        </w:rPr>
      </w:pPr>
      <w:r>
        <w:rPr>
          <w:rFonts w:ascii="Times New Roman" w:cs="Times New Roman" w:eastAsia="Times New Roman" w:hAnsi="Times New Roman"/>
          <w:sz w:val="14"/>
          <w:szCs w:val="14"/>
          <w:color w:val="auto"/>
        </w:rPr>
        <w:t>Our company's innovation engine is focused on harnessing our ability to identify and ride successive waves of emerging technologies, with the goal to amass a portfolio of differentiated and mission-centric technology businesses.</w:t>
      </w:r>
    </w:p>
    <w:p>
      <w:pPr>
        <w:spacing w:after="0" w:line="1"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We identify, assess, build, and deploy emerging technology solutions, while ensuring that our technical expertise is closely integrated with mission insight from across the business. Within the larger innovation ecosystem, we cultivate relationships through technology scouting, partnerships, and venturing to identify emerging technology with applicability to our clients' missions. We then incubate and prototype that technology against mission use cases to assess market readiness. Once proven, we focus on building capacity in emerging technology capabilities and solutions, such as AI, Cyber, and 5G, in partnership with our business sectors. Throughout this innovation lifecycle, we are focused on advancing our solution engineering standards, the creation of reusable Intellectual Property/Intellectual Capital, and the application of new business and delivery models.</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9" w:name="page10"/>
    <w:bookmarkEnd w:id="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To complement our innovation engine, we are deeply invested in cultivating and inspiring our technical talent. We lead programs to grow our Company's capacity in emerging technology skills and cultivate a vibrant technical community that fuels innovation for our client missions. We also maintain an active network of innovation centers, labs, and studios that serve clients with some of the best technologies, talent, and research that our industry has to offer. Beyond The Helix—our innovation center in Washington, DC—Booz Allen’s regional research-and-development labs are stationed close to critical missions, providing clients with access to on-demand innovation and the latest in experimentation, from 5G to the metaverse.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Empowering Our Technical Communities</w:t>
      </w:r>
    </w:p>
    <w:p>
      <w:pPr>
        <w:spacing w:after="0" w:line="53"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Booz Allen is intentional about building a culture of empowerment where we can grow today’s talent and future leaders from within. Our Technical Experience Groups are open to all employees and are designed to build technical affiliation and skills, generate opportunities for career growth, and advance our technical capabilities and solutions around the following eight functional areas that are important to the Company’s growth:</w:t>
      </w:r>
    </w:p>
    <w:p>
      <w:pPr>
        <w:spacing w:after="0" w:line="6" w:lineRule="exact"/>
        <w:rPr>
          <w:sz w:val="20"/>
          <w:szCs w:val="20"/>
          <w:color w:val="auto"/>
        </w:rPr>
      </w:pPr>
    </w:p>
    <w:p>
      <w:pPr>
        <w:ind w:left="520" w:right="16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Artificial Intelligence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Artificial Intelligence (“AI”) TXG’s computer programmers, mathematicians, and scientists harness computer learning to tackle complex decision-making with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speed and precision. The group focuses on current and emerging AI capability areas, including machine learning (“ML”), predictive modeling, automation and decision analytics, and quantum computing.</w:t>
      </w:r>
    </w:p>
    <w:p>
      <w:pPr>
        <w:spacing w:after="0" w:line="6" w:lineRule="exact"/>
        <w:rPr>
          <w:rFonts w:ascii="Times New Roman" w:cs="Times New Roman" w:eastAsia="Times New Roman" w:hAnsi="Times New Roman"/>
          <w:sz w:val="14"/>
          <w:szCs w:val="14"/>
          <w:color w:val="auto"/>
        </w:rPr>
      </w:pPr>
    </w:p>
    <w:p>
      <w:pPr>
        <w:jc w:val="both"/>
        <w:ind w:left="520" w:right="40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Cyber: </w:t>
      </w:r>
      <w:r>
        <w:rPr>
          <w:rFonts w:ascii="Times New Roman" w:cs="Times New Roman" w:eastAsia="Times New Roman" w:hAnsi="Times New Roman"/>
          <w:sz w:val="14"/>
          <w:szCs w:val="14"/>
          <w:color w:val="auto"/>
        </w:rPr>
        <w:t>The Cyber TXG’s threat hunters, intelligence analysts, and ethical hackers utilize cybersecurity expertise to protect and defend computer networks, cyber physical systems,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infrastructure. The group prioritizes cyber capability areas, including strategy and policy, risk management, architecture and engineering, defense operations, analytics and AI/ML, and computer network operations.</w:t>
      </w:r>
    </w:p>
    <w:p>
      <w:pPr>
        <w:spacing w:after="0" w:line="6" w:lineRule="exact"/>
        <w:rPr>
          <w:rFonts w:ascii="Times New Roman" w:cs="Times New Roman" w:eastAsia="Times New Roman" w:hAnsi="Times New Roman"/>
          <w:sz w:val="14"/>
          <w:szCs w:val="14"/>
          <w:color w:val="auto"/>
        </w:rPr>
      </w:pPr>
    </w:p>
    <w:p>
      <w:pPr>
        <w:ind w:left="520" w:right="520" w:hanging="260"/>
        <w:spacing w:after="0" w:line="284"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Data Science &amp; Data Engineering: </w:t>
      </w:r>
      <w:r>
        <w:rPr>
          <w:rFonts w:ascii="Times New Roman" w:cs="Times New Roman" w:eastAsia="Times New Roman" w:hAnsi="Times New Roman"/>
          <w:sz w:val="14"/>
          <w:szCs w:val="14"/>
          <w:color w:val="auto"/>
        </w:rPr>
        <w:t>The Data Science &amp; Data Engineering TXG’s data scientists, analysts, and engineers transform data into insights to inform decisions. The group</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emphasizes data science and data engineering capability areas, such as data science, engineering, visualization, strategy, and analysis.</w:t>
      </w:r>
    </w:p>
    <w:p>
      <w:pPr>
        <w:ind w:left="520" w:right="30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Experience &amp; Immersive: </w:t>
      </w:r>
      <w:r>
        <w:rPr>
          <w:rFonts w:ascii="Times New Roman" w:cs="Times New Roman" w:eastAsia="Times New Roman" w:hAnsi="Times New Roman"/>
          <w:sz w:val="14"/>
          <w:szCs w:val="14"/>
          <w:color w:val="auto"/>
        </w:rPr>
        <w:t>The Experience &amp; Immersive TXG’s artists, engineers, strategists, and storytellers combine human-centered design, digital, and data expertise to create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meaningful customer experiences that improve how people interact with their environments. The group highlights experience and immersive capability areas, including User Experience (“UX”)/User Interface (“UI”), design thinking, sketching, graphic design, web design, and digital product design.</w:t>
      </w:r>
    </w:p>
    <w:p>
      <w:pPr>
        <w:spacing w:after="0" w:line="6" w:lineRule="exact"/>
        <w:rPr>
          <w:rFonts w:ascii="Times New Roman" w:cs="Times New Roman" w:eastAsia="Times New Roman" w:hAnsi="Times New Roman"/>
          <w:sz w:val="14"/>
          <w:szCs w:val="14"/>
          <w:color w:val="auto"/>
        </w:rPr>
      </w:pPr>
    </w:p>
    <w:p>
      <w:pPr>
        <w:ind w:left="520" w:right="60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Cloud &amp; Infrastructure: </w:t>
      </w:r>
      <w:r>
        <w:rPr>
          <w:rFonts w:ascii="Times New Roman" w:cs="Times New Roman" w:eastAsia="Times New Roman" w:hAnsi="Times New Roman"/>
          <w:sz w:val="14"/>
          <w:szCs w:val="14"/>
          <w:color w:val="auto"/>
        </w:rPr>
        <w:t>The Platform &amp; Infrastructure TXG’s architects and engineers help accelerate, scale, secure, and transform mission and business outcomes using the latest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technologies and partner offerings. The group advances platform and infrastructure capabilities, including hybrid and multi-cloud deployment, edge cloud, cloud migration and modernization, DevSecOps, and enterprise mobility, security, and infrastructure modernization.</w:t>
      </w:r>
    </w:p>
    <w:p>
      <w:pPr>
        <w:spacing w:after="0" w:line="6" w:lineRule="exact"/>
        <w:rPr>
          <w:rFonts w:ascii="Times New Roman" w:cs="Times New Roman" w:eastAsia="Times New Roman" w:hAnsi="Times New Roman"/>
          <w:sz w:val="14"/>
          <w:szCs w:val="14"/>
          <w:color w:val="auto"/>
        </w:rPr>
      </w:pPr>
    </w:p>
    <w:p>
      <w:pPr>
        <w:ind w:left="520" w:right="24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Software Engineering: </w:t>
      </w:r>
      <w:r>
        <w:rPr>
          <w:rFonts w:ascii="Times New Roman" w:cs="Times New Roman" w:eastAsia="Times New Roman" w:hAnsi="Times New Roman"/>
          <w:sz w:val="14"/>
          <w:szCs w:val="14"/>
          <w:color w:val="auto"/>
        </w:rPr>
        <w:t>The Software Engineering TXG’s front end, back end, and full stack developers, architects, designers, testers, and UX resources apply engineering methods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principles to the design, development, testing, and maintenance of software. The group harnesses modern software and systems development capability areas, in particular agile practices, DevSecOps, automation and Cloud, and Low/No Code Platform engineering.</w:t>
      </w:r>
    </w:p>
    <w:p>
      <w:pPr>
        <w:spacing w:after="0" w:line="6" w:lineRule="exact"/>
        <w:rPr>
          <w:rFonts w:ascii="Times New Roman" w:cs="Times New Roman" w:eastAsia="Times New Roman" w:hAnsi="Times New Roman"/>
          <w:sz w:val="14"/>
          <w:szCs w:val="14"/>
          <w:color w:val="auto"/>
        </w:rPr>
      </w:pPr>
    </w:p>
    <w:p>
      <w:pPr>
        <w:jc w:val="both"/>
        <w:ind w:left="520" w:right="12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Systems &amp; Digital Engineering: </w:t>
      </w:r>
      <w:r>
        <w:rPr>
          <w:rFonts w:ascii="Times New Roman" w:cs="Times New Roman" w:eastAsia="Times New Roman" w:hAnsi="Times New Roman"/>
          <w:sz w:val="14"/>
          <w:szCs w:val="14"/>
          <w:color w:val="auto"/>
        </w:rPr>
        <w:t>The Systems &amp; Digital Engineering TXG’s engineers, system architects, computer programmers, and digital analysts combine traditional engineering with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modern digital tools and practices to more efficiently and effectively conceptualize, design, develop, and deploy integrated services and solutions. The group focuses on systems and digital engineering capability areas, like engineering and science, data and ML, cloud automation, Digital Twin, and 5G.</w:t>
      </w:r>
    </w:p>
    <w:p>
      <w:pPr>
        <w:spacing w:after="0" w:line="6"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Tech Strategy &amp; Product Management: </w:t>
      </w:r>
      <w:r>
        <w:rPr>
          <w:rFonts w:ascii="Times New Roman" w:cs="Times New Roman" w:eastAsia="Times New Roman" w:hAnsi="Times New Roman"/>
          <w:sz w:val="14"/>
          <w:szCs w:val="14"/>
          <w:color w:val="auto"/>
        </w:rPr>
        <w:t>The Tech Strategy &amp; Product Management TXG’s agile practitioners, operational specialists, and product and project managers manage the strategic,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operational, and management functions that enable digital execution and IT transformation. The group prioritizes tech strategy and product management capability areas, including corporate venture capital, digital transformation, emerging tech, partnerships, product management, strategic assessments and technology adoption, and tech scouting.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Long-Term Growth Strategy</w:t>
      </w:r>
    </w:p>
    <w:p>
      <w:pPr>
        <w:spacing w:after="0" w:line="53" w:lineRule="exact"/>
        <w:rPr>
          <w:sz w:val="20"/>
          <w:szCs w:val="20"/>
          <w:color w:val="auto"/>
        </w:rPr>
      </w:pPr>
    </w:p>
    <w:p>
      <w:pPr>
        <w:ind w:right="140" w:firstLine="350"/>
        <w:spacing w:after="0" w:line="261" w:lineRule="auto"/>
        <w:rPr>
          <w:sz w:val="20"/>
          <w:szCs w:val="20"/>
          <w:color w:val="auto"/>
        </w:rPr>
      </w:pPr>
      <w:r>
        <w:rPr>
          <w:rFonts w:ascii="Times New Roman" w:cs="Times New Roman" w:eastAsia="Times New Roman" w:hAnsi="Times New Roman"/>
          <w:sz w:val="14"/>
          <w:szCs w:val="14"/>
          <w:color w:val="auto"/>
        </w:rPr>
        <w:t>Fiscal year 2024 was the second year of our VoLT strategy, which acknowledges that continued growth requires us to operate with increased speed, agility, and scale in a rapidly changing, highly competitive, and increasingly technical environment. The competitive landscape is changing, and investments in technology from both public and private sectors are gaining momentum. The need for highly qualified technical professionals greatly exceeds availability. In this context, our clients are increasingly reliant on technology as their missions grow in size, complexity, and digital focus. We must continually adapt to keep pace with these shifts and guide our clients towards a future of digital missions. Our ability to embrace and drive change is crucial to our success, which is why we are using our VoLT strategy and its framework to rapidly innovate and scale solutions to transform missions and address our clients’ complex challenges.</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10" w:name="page11"/>
    <w:bookmarkEnd w:id="1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440" w:firstLine="350"/>
        <w:spacing w:after="0" w:line="283" w:lineRule="auto"/>
        <w:rPr>
          <w:sz w:val="20"/>
          <w:szCs w:val="20"/>
          <w:color w:val="auto"/>
        </w:rPr>
      </w:pPr>
      <w:r>
        <w:rPr>
          <w:rFonts w:ascii="Times New Roman" w:cs="Times New Roman" w:eastAsia="Times New Roman" w:hAnsi="Times New Roman"/>
          <w:sz w:val="14"/>
          <w:szCs w:val="14"/>
          <w:color w:val="auto"/>
        </w:rPr>
        <w:t>VoLT is the next era of Booz Allen and is accelerating our growth by focusing on the powerful convergence of Velocity, Leadership, and Technology—the blueprint for transforming our Company.</w:t>
      </w:r>
    </w:p>
    <w:p>
      <w:pPr>
        <w:spacing w:after="0"/>
        <w:rPr>
          <w:sz w:val="20"/>
          <w:szCs w:val="20"/>
          <w:color w:val="auto"/>
        </w:rPr>
      </w:pPr>
      <w:r>
        <w:rPr>
          <w:rFonts w:ascii="Times New Roman" w:cs="Times New Roman" w:eastAsia="Times New Roman" w:hAnsi="Times New Roman"/>
          <w:sz w:val="14"/>
          <w:szCs w:val="14"/>
          <w:b w:val="1"/>
          <w:bCs w:val="1"/>
          <w:i w:val="1"/>
          <w:iCs w:val="1"/>
          <w:color w:val="auto"/>
        </w:rPr>
        <w:t>Velocity: Get There First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Leverage our mission knowledge to get to the future at speed and scale</w:t>
      </w:r>
    </w:p>
    <w:p>
      <w:pPr>
        <w:spacing w:after="0" w:line="53" w:lineRule="exact"/>
        <w:rPr>
          <w:sz w:val="20"/>
          <w:szCs w:val="20"/>
          <w:color w:val="auto"/>
        </w:rPr>
      </w:pP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Double-down on innovation</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Strategically use mergers and acquisitions and partnerships to build market positions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decisions closer to the needs of clients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Leadership: Transform with Conviction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Redefine mission leadership to stand apart in this new era</w:t>
      </w:r>
    </w:p>
    <w:p>
      <w:pPr>
        <w:spacing w:after="0" w:line="53" w:lineRule="exact"/>
        <w:rPr>
          <w:sz w:val="20"/>
          <w:szCs w:val="20"/>
          <w:color w:val="auto"/>
        </w:rPr>
      </w:pPr>
    </w:p>
    <w:p>
      <w:pPr>
        <w:ind w:left="520" w:hanging="133"/>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client needs ripe for hyper-growth</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Scale businesses at the nexus of mission and technology</w:t>
      </w:r>
    </w:p>
    <w:p>
      <w:pPr>
        <w:spacing w:after="0" w:line="4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Technology: Differentiate to Win</w:t>
      </w:r>
    </w:p>
    <w:p>
      <w:pPr>
        <w:spacing w:after="0" w:line="5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Put technology at the heart of the client mission to define the next generation of impact</w:t>
      </w:r>
    </w:p>
    <w:p>
      <w:pPr>
        <w:spacing w:after="0" w:line="53"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mission insights to develop solutions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build, and scale next generation technology to transform mission</w:t>
      </w:r>
    </w:p>
    <w:p>
      <w:pPr>
        <w:spacing w:after="0" w:line="51"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With VoLT as the catalyst, our ambition is that by 2030 Booz Allen will be a market-leading mission partner for the U.S. government in the new digital environment, highly differentiated across a portfolio of scaled mission and technology businesses, and recognized for integrating, applying, and scaling technologies in the service of national mission priorities.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Clients</w:t>
      </w:r>
    </w:p>
    <w:p>
      <w:pPr>
        <w:spacing w:after="0" w:line="53" w:lineRule="exact"/>
        <w:rPr>
          <w:sz w:val="20"/>
          <w:szCs w:val="20"/>
          <w:color w:val="auto"/>
        </w:rPr>
      </w:pPr>
    </w:p>
    <w:p>
      <w:pPr>
        <w:ind w:right="640" w:firstLine="318"/>
        <w:spacing w:after="0" w:line="284" w:lineRule="auto"/>
        <w:rPr>
          <w:sz w:val="20"/>
          <w:szCs w:val="20"/>
          <w:color w:val="auto"/>
        </w:rPr>
      </w:pPr>
      <w:r>
        <w:rPr>
          <w:rFonts w:ascii="Times New Roman" w:cs="Times New Roman" w:eastAsia="Times New Roman" w:hAnsi="Times New Roman"/>
          <w:sz w:val="14"/>
          <w:szCs w:val="14"/>
          <w:color w:val="auto"/>
        </w:rPr>
        <w:t>Booz Allen is committed to solving our clients’ toughest challenges, and we work with a diverse base of public and private sector clients across a number of industries in the U.S. and internationally, operating at the intersection of technology and mission understanding.</w:t>
      </w:r>
    </w:p>
    <w:p>
      <w:pPr>
        <w:spacing w:after="0" w:line="1" w:lineRule="exact"/>
        <w:rPr>
          <w:sz w:val="20"/>
          <w:szCs w:val="20"/>
          <w:color w:val="auto"/>
        </w:rPr>
      </w:pPr>
    </w:p>
    <w:p>
      <w:pPr>
        <w:ind w:right="80" w:firstLine="318"/>
        <w:spacing w:after="0" w:line="284" w:lineRule="auto"/>
        <w:rPr>
          <w:sz w:val="20"/>
          <w:szCs w:val="20"/>
          <w:color w:val="auto"/>
        </w:rPr>
      </w:pPr>
      <w:r>
        <w:rPr>
          <w:rFonts w:ascii="Times New Roman" w:cs="Times New Roman" w:eastAsia="Times New Roman" w:hAnsi="Times New Roman"/>
          <w:sz w:val="14"/>
          <w:szCs w:val="14"/>
          <w:color w:val="auto"/>
        </w:rPr>
        <w:t>Our clients call us to work on their hardest problems, such as delivering effective healthcare, protecting soldiers in combat and their families, and keeping our national infrastructure secure. We are investing in markets, capabilities, and talent and are building new business models through strategic ventures, partnerships, and product offerings.</w:t>
      </w:r>
    </w:p>
    <w:p>
      <w:pPr>
        <w:spacing w:after="0" w:line="1" w:lineRule="exact"/>
        <w:rPr>
          <w:sz w:val="20"/>
          <w:szCs w:val="20"/>
          <w:color w:val="auto"/>
        </w:rPr>
      </w:pPr>
    </w:p>
    <w:p>
      <w:pPr>
        <w:ind w:right="100" w:firstLine="318"/>
        <w:spacing w:after="0" w:line="270" w:lineRule="auto"/>
        <w:rPr>
          <w:sz w:val="20"/>
          <w:szCs w:val="20"/>
          <w:color w:val="auto"/>
        </w:rPr>
      </w:pPr>
      <w:r>
        <w:rPr>
          <w:rFonts w:ascii="Times New Roman" w:cs="Times New Roman" w:eastAsia="Times New Roman" w:hAnsi="Times New Roman"/>
          <w:sz w:val="14"/>
          <w:szCs w:val="14"/>
          <w:color w:val="auto"/>
        </w:rPr>
        <w:t>Our government clients include nearly all of the cabinet-level departments of the U.S. government. We also serve large commercial clients across industries, including financial services, health and life sciences, energy, and technology to solve their hardest and most sophisticated cyber challenges. Internationally, we also serve a portfolio of U.S. and non-U.S. government and commercial clients.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Large Addressable Market</w:t>
      </w:r>
    </w:p>
    <w:p>
      <w:pPr>
        <w:spacing w:after="0" w:line="53" w:lineRule="exact"/>
        <w:rPr>
          <w:sz w:val="20"/>
          <w:szCs w:val="20"/>
          <w:color w:val="auto"/>
        </w:rPr>
      </w:pPr>
    </w:p>
    <w:p>
      <w:pPr>
        <w:ind w:right="20" w:firstLine="318"/>
        <w:spacing w:after="0" w:line="257" w:lineRule="auto"/>
        <w:rPr>
          <w:sz w:val="20"/>
          <w:szCs w:val="20"/>
          <w:color w:val="auto"/>
        </w:rPr>
      </w:pPr>
      <w:r>
        <w:rPr>
          <w:rFonts w:ascii="Times New Roman" w:cs="Times New Roman" w:eastAsia="Times New Roman" w:hAnsi="Times New Roman"/>
          <w:sz w:val="14"/>
          <w:szCs w:val="14"/>
          <w:color w:val="auto"/>
        </w:rPr>
        <w:t>We believe that the U.S. government is the world’s largest consumer of management consulting and technology services. According to the Congressional Budget Office and the U.S. Department of the Treasury, the U.S. government’s total spending for its fiscal year ended September 30, 2023 was $6.1 trillion. Memorandum baseline estimates for fiscal year 2023 indicate approximately $1.7 trillion was for discretionary budget authority, including $806 billion for the Department of Defense and intelligence community and $912 billion for civil agencies. Based on data from the Federal Procurement Data System, approximately $775.9 billion of the U.S. government’s fiscal year 2023 discretionary outlays were non-intelligence agency funding-related products and services procured from private contractors. We estimate that $172.8 billion of the spending directed toward private contractors in U.S. government fiscal year 2023 was for management, technology, and engineering services, with $89.0 billion spent by the Department of Defense and $83.8 billion spent by civil agencies. The agencies of the U.S. intelligence community that we serve represent an additional addressable market that is classified and, therefore, excluded from these numbers. These numbers also exclude a large addressable market for our services and capabilities in the global commercial markets where we have a modest footprint.</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Highlights of Booz Allen’s fiscal 2024 are as follows:</w:t>
      </w:r>
    </w:p>
    <w:p>
      <w:pPr>
        <w:spacing w:after="0" w:line="51"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derived 98% of our revenue from contracts where the end client was an agency or department of the U.S. government.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delivered services under 4,755 contracts and task orders.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derived 95% of our revenue in fiscal 2024 from engagements for which we acted as the prime contractor.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derived 13% of our revenue in fiscal 2024 from the Department of Veterans Affairs, which was the single largest client that we served in that year.</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11" w:name="page12"/>
    <w:bookmarkEnd w:id="1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Selected Long-Term Client Relationships</w:t>
            </w: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800" w:type="dxa"/>
            <w:vAlign w:val="bottom"/>
          </w:tcPr>
          <w:p>
            <w:pPr>
              <w:jc w:val="center"/>
              <w:ind w:left="1169"/>
              <w:spacing w:after="0" w:line="159" w:lineRule="exact"/>
              <w:rPr>
                <w:sz w:val="20"/>
                <w:szCs w:val="20"/>
                <w:color w:val="auto"/>
              </w:rPr>
            </w:pPr>
            <w:r>
              <w:rPr>
                <w:rFonts w:ascii="Times New Roman" w:cs="Times New Roman" w:eastAsia="Times New Roman" w:hAnsi="Times New Roman"/>
                <w:sz w:val="14"/>
                <w:szCs w:val="14"/>
                <w:b w:val="1"/>
                <w:bCs w:val="1"/>
                <w:color w:val="auto"/>
              </w:rPr>
              <w:t>Relationship</w:t>
            </w:r>
          </w:p>
        </w:tc>
        <w:tc>
          <w:tcPr>
            <w:tcW w:w="0" w:type="dxa"/>
            <w:vAlign w:val="bottom"/>
          </w:tcPr>
          <w:p>
            <w:pPr>
              <w:spacing w:after="0"/>
              <w:rPr>
                <w:sz w:val="1"/>
                <w:szCs w:val="1"/>
                <w:color w:val="auto"/>
              </w:rPr>
            </w:pPr>
          </w:p>
        </w:tc>
      </w:tr>
      <w:tr>
        <w:trPr>
          <w:trHeight w:val="138"/>
        </w:trPr>
        <w:tc>
          <w:tcPr>
            <w:tcW w:w="1020" w:type="dxa"/>
            <w:vAlign w:val="bottom"/>
          </w:tcPr>
          <w:p>
            <w:pPr>
              <w:spacing w:after="0"/>
              <w:rPr>
                <w:sz w:val="11"/>
                <w:szCs w:val="11"/>
                <w:color w:val="auto"/>
              </w:rPr>
            </w:pPr>
          </w:p>
        </w:tc>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Client </w:t>
            </w:r>
            <w:r>
              <w:rPr>
                <w:rFonts w:ascii="Times New Roman" w:cs="Times New Roman" w:eastAsia="Times New Roman" w:hAnsi="Times New Roman"/>
                <w:sz w:val="18"/>
                <w:szCs w:val="18"/>
                <w:color w:val="auto"/>
                <w:vertAlign w:val="superscript"/>
              </w:rPr>
              <w:t>(1)</w:t>
            </w:r>
          </w:p>
        </w:tc>
        <w:tc>
          <w:tcPr>
            <w:tcW w:w="2800" w:type="dxa"/>
            <w:vAlign w:val="bottom"/>
          </w:tcPr>
          <w:p>
            <w:pPr>
              <w:jc w:val="center"/>
              <w:ind w:left="1169"/>
              <w:spacing w:after="0" w:line="138" w:lineRule="exact"/>
              <w:rPr>
                <w:sz w:val="20"/>
                <w:szCs w:val="20"/>
                <w:color w:val="auto"/>
              </w:rPr>
            </w:pPr>
            <w:r>
              <w:rPr>
                <w:rFonts w:ascii="Times New Roman" w:cs="Times New Roman" w:eastAsia="Times New Roman" w:hAnsi="Times New Roman"/>
                <w:sz w:val="14"/>
                <w:szCs w:val="14"/>
                <w:b w:val="1"/>
                <w:bCs w:val="1"/>
                <w:color w:val="auto"/>
              </w:rPr>
              <w:t>Length</w:t>
            </w: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4080" w:type="dxa"/>
            <w:vAlign w:val="bottom"/>
            <w:tcBorders>
              <w:bottom w:val="single" w:sz="8" w:color="auto"/>
            </w:tcBorders>
            <w:vMerge w:val="continue"/>
          </w:tcPr>
          <w:p>
            <w:pPr>
              <w:spacing w:after="0"/>
              <w:rPr>
                <w:sz w:val="16"/>
                <w:szCs w:val="16"/>
                <w:color w:val="auto"/>
              </w:rPr>
            </w:pPr>
          </w:p>
        </w:tc>
        <w:tc>
          <w:tcPr>
            <w:tcW w:w="2800" w:type="dxa"/>
            <w:vAlign w:val="bottom"/>
            <w:tcBorders>
              <w:bottom w:val="single" w:sz="8" w:color="auto"/>
            </w:tcBorders>
          </w:tcPr>
          <w:p>
            <w:pPr>
              <w:jc w:val="center"/>
              <w:ind w:left="1169"/>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171"/>
        </w:trPr>
        <w:tc>
          <w:tcPr>
            <w:tcW w:w="1020" w:type="dxa"/>
            <w:vAlign w:val="bottom"/>
          </w:tcPr>
          <w:p>
            <w:pPr>
              <w:spacing w:after="0"/>
              <w:rPr>
                <w:sz w:val="14"/>
                <w:szCs w:val="14"/>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Navy</w:t>
            </w:r>
          </w:p>
        </w:tc>
        <w:tc>
          <w:tcPr>
            <w:tcW w:w="2800" w:type="dxa"/>
            <w:vAlign w:val="bottom"/>
            <w:shd w:val="clear" w:color="auto" w:fill="CCEEFF"/>
          </w:tcPr>
          <w:p>
            <w:pPr>
              <w:jc w:val="center"/>
              <w:ind w:left="1189"/>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Army</w:t>
            </w:r>
          </w:p>
        </w:tc>
        <w:tc>
          <w:tcPr>
            <w:tcW w:w="280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Department of Veterans Affairs</w:t>
            </w:r>
          </w:p>
        </w:tc>
        <w:tc>
          <w:tcPr>
            <w:tcW w:w="2800" w:type="dxa"/>
            <w:vAlign w:val="bottom"/>
            <w:shd w:val="clear" w:color="auto" w:fill="CCEEFF"/>
          </w:tcPr>
          <w:p>
            <w:pPr>
              <w:jc w:val="center"/>
              <w:ind w:left="1189"/>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Department of Energy</w:t>
            </w:r>
          </w:p>
        </w:tc>
        <w:tc>
          <w:tcPr>
            <w:tcW w:w="280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Air Force</w:t>
            </w:r>
          </w:p>
        </w:tc>
        <w:tc>
          <w:tcPr>
            <w:tcW w:w="2800" w:type="dxa"/>
            <w:vAlign w:val="bottom"/>
            <w:shd w:val="clear" w:color="auto" w:fill="CCEEFF"/>
          </w:tcPr>
          <w:p>
            <w:pPr>
              <w:jc w:val="center"/>
              <w:ind w:left="1189"/>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National Security Agency</w:t>
            </w:r>
          </w:p>
        </w:tc>
        <w:tc>
          <w:tcPr>
            <w:tcW w:w="280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Department of Homeland Security</w:t>
            </w:r>
          </w:p>
        </w:tc>
        <w:tc>
          <w:tcPr>
            <w:tcW w:w="2800" w:type="dxa"/>
            <w:vAlign w:val="bottom"/>
            <w:shd w:val="clear" w:color="auto" w:fill="CCEEFF"/>
          </w:tcPr>
          <w:p>
            <w:pPr>
              <w:jc w:val="center"/>
              <w:ind w:left="1189"/>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Bureau of Investigation</w:t>
            </w:r>
          </w:p>
        </w:tc>
        <w:tc>
          <w:tcPr>
            <w:tcW w:w="280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 Revenue Service</w:t>
            </w:r>
          </w:p>
        </w:tc>
        <w:tc>
          <w:tcPr>
            <w:tcW w:w="2800" w:type="dxa"/>
            <w:vAlign w:val="bottom"/>
            <w:shd w:val="clear" w:color="auto" w:fill="CCEEFF"/>
          </w:tcPr>
          <w:p>
            <w:pPr>
              <w:jc w:val="center"/>
              <w:ind w:left="1189"/>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Department of Health and Human Services</w:t>
            </w:r>
          </w:p>
        </w:tc>
        <w:tc>
          <w:tcPr>
            <w:tcW w:w="280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National Reconnaissance Office</w:t>
            </w:r>
          </w:p>
        </w:tc>
        <w:tc>
          <w:tcPr>
            <w:tcW w:w="2800" w:type="dxa"/>
            <w:vAlign w:val="bottom"/>
            <w:shd w:val="clear" w:color="auto" w:fill="CCEEFF"/>
          </w:tcPr>
          <w:p>
            <w:pPr>
              <w:jc w:val="center"/>
              <w:ind w:left="1189"/>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 U.S. intelligence agency</w:t>
            </w:r>
          </w:p>
        </w:tc>
        <w:tc>
          <w:tcPr>
            <w:tcW w:w="280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80"/>
        <w:spacing w:after="0"/>
        <w:tabs>
          <w:tab w:leader="none" w:pos="1500" w:val="left"/>
        </w:tabs>
        <w:rPr>
          <w:sz w:val="20"/>
          <w:szCs w:val="20"/>
          <w:color w:val="auto"/>
        </w:rPr>
      </w:pPr>
      <w:r>
        <w:rPr>
          <w:rFonts w:ascii="Times New Roman" w:cs="Times New Roman" w:eastAsia="Times New Roman" w:hAnsi="Times New Roman"/>
          <w:sz w:val="18"/>
          <w:szCs w:val="18"/>
          <w:color w:val="auto"/>
          <w:vertAlign w:val="superscript"/>
        </w:rPr>
        <w:t>(1)</w:t>
      </w:r>
      <w:r>
        <w:rPr>
          <w:sz w:val="20"/>
          <w:szCs w:val="20"/>
          <w:color w:val="auto"/>
        </w:rPr>
        <w:tab/>
      </w:r>
      <w:r>
        <w:rPr>
          <w:rFonts w:ascii="Times New Roman" w:cs="Times New Roman" w:eastAsia="Times New Roman" w:hAnsi="Times New Roman"/>
          <w:sz w:val="14"/>
          <w:szCs w:val="14"/>
          <w:color w:val="auto"/>
        </w:rPr>
        <w:t>Includes predecessor organizations.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Defense Clients</w:t>
      </w:r>
    </w:p>
    <w:p>
      <w:pPr>
        <w:spacing w:after="0" w:line="53" w:lineRule="exact"/>
        <w:rPr>
          <w:sz w:val="20"/>
          <w:szCs w:val="20"/>
          <w:color w:val="auto"/>
        </w:rPr>
      </w:pPr>
    </w:p>
    <w:p>
      <w:pPr>
        <w:ind w:right="80" w:firstLine="350"/>
        <w:spacing w:after="0" w:line="264" w:lineRule="auto"/>
        <w:rPr>
          <w:sz w:val="20"/>
          <w:szCs w:val="20"/>
          <w:color w:val="auto"/>
        </w:rPr>
      </w:pPr>
      <w:r>
        <w:rPr>
          <w:rFonts w:ascii="Times New Roman" w:cs="Times New Roman" w:eastAsia="Times New Roman" w:hAnsi="Times New Roman"/>
          <w:sz w:val="14"/>
          <w:szCs w:val="14"/>
          <w:color w:val="auto"/>
        </w:rPr>
        <w:t>We are a preferred partner to the Department of Defense in the generation and sustainment of differentiated mission outcomes. We blend decades of mission experience with state of-the-art AI/ML, next-generation data solutions, resilient communications, cyber, and advanced software development. As we operate in an environment where our adversaries are deeply investing in technology, we design open architectures to lower lifecycle cost and maintain a technical edge to modernize, achieve interoperability, and win. Our technologists partner with our mission experts to build solutions that deliver mission technologies for today’s digital battlespace, the fully networked conflict space extending across all warfighting domains.</w:t>
      </w:r>
    </w:p>
    <w:p>
      <w:pPr>
        <w:spacing w:after="0" w:line="13" w:lineRule="exact"/>
        <w:rPr>
          <w:sz w:val="20"/>
          <w:szCs w:val="20"/>
          <w:color w:val="auto"/>
        </w:rPr>
      </w:pPr>
    </w:p>
    <w:p>
      <w:pPr>
        <w:ind w:firstLine="350"/>
        <w:spacing w:after="0" w:line="284" w:lineRule="auto"/>
        <w:rPr>
          <w:sz w:val="20"/>
          <w:szCs w:val="20"/>
          <w:color w:val="auto"/>
        </w:rPr>
      </w:pPr>
      <w:r>
        <w:rPr>
          <w:rFonts w:ascii="Times New Roman" w:cs="Times New Roman" w:eastAsia="Times New Roman" w:hAnsi="Times New Roman"/>
          <w:sz w:val="14"/>
          <w:szCs w:val="14"/>
          <w:color w:val="auto"/>
        </w:rPr>
        <w:t>Our core defense clients include all six branches of the U.S. military, the Office of the Secretary of Defense, NASA and the Joint Staff. Our key defense clients include the Army, Navy/Marine Corps, Air Force, Space Force, Coast Guard, and Joint Combatant Commands.</w:t>
      </w:r>
    </w:p>
    <w:p>
      <w:pPr>
        <w:spacing w:after="0" w:line="1" w:lineRule="exact"/>
        <w:rPr>
          <w:sz w:val="20"/>
          <w:szCs w:val="20"/>
          <w:color w:val="auto"/>
        </w:rPr>
      </w:pPr>
    </w:p>
    <w:p>
      <w:pPr>
        <w:ind w:right="60" w:firstLine="350"/>
        <w:spacing w:after="0" w:line="287" w:lineRule="auto"/>
        <w:rPr>
          <w:sz w:val="20"/>
          <w:szCs w:val="20"/>
          <w:color w:val="auto"/>
        </w:rPr>
      </w:pPr>
      <w:r>
        <w:rPr>
          <w:rFonts w:ascii="Times New Roman" w:cs="Times New Roman" w:eastAsia="Times New Roman" w:hAnsi="Times New Roman"/>
          <w:sz w:val="14"/>
          <w:szCs w:val="14"/>
          <w:color w:val="auto"/>
        </w:rPr>
        <w:t>Revenue generated from defense clients was $5.1 billion, or approximately 47.1% of our revenue, in fiscal 2024, as compared to $4.2 billion, or approximately 45.2% of our revenue, in fiscal 2023. Revenue generated from defense clients also includes foreign military sales and work performed under status of forces agreements to U.S. and non-U.S. government clients.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Intelligence Clients</w:t>
      </w:r>
    </w:p>
    <w:p>
      <w:pPr>
        <w:spacing w:after="0" w:line="53" w:lineRule="exact"/>
        <w:rPr>
          <w:sz w:val="20"/>
          <w:szCs w:val="20"/>
          <w:color w:val="auto"/>
        </w:rPr>
      </w:pPr>
    </w:p>
    <w:p>
      <w:pPr>
        <w:ind w:right="160" w:firstLine="350"/>
        <w:spacing w:after="0" w:line="261" w:lineRule="auto"/>
        <w:rPr>
          <w:sz w:val="20"/>
          <w:szCs w:val="20"/>
          <w:color w:val="auto"/>
        </w:rPr>
      </w:pPr>
      <w:r>
        <w:rPr>
          <w:rFonts w:ascii="Times New Roman" w:cs="Times New Roman" w:eastAsia="Times New Roman" w:hAnsi="Times New Roman"/>
          <w:sz w:val="14"/>
          <w:szCs w:val="14"/>
          <w:color w:val="auto"/>
        </w:rPr>
        <w:t>We deliver innovative, high-value services, capabilities, and solutions that directly impact core national security missions across the Intelligence Community and national cyber mission providers. We leverage our knowledge of the mission and tailor our capabilities for our clients—our biggest driver is the demand for innovation, requiring us to be ahead of the pace of technology adoption. Technology is at the center of our clients' missions and ours—we are investing in emerging technologies like AI, zero trust cyber solutions, multi-cloud, and 5G to adapt ahead of adversaries. The national security workforce remains focused on what's next, blending cleared and uncleared talent across dispersed geographies, ensuring mission impact. Our combination of technology, innovation, and talent is helping to shape the future of our national security ecosystem.</w:t>
      </w:r>
    </w:p>
    <w:p>
      <w:pPr>
        <w:spacing w:after="0" w:line="16" w:lineRule="exact"/>
        <w:rPr>
          <w:sz w:val="20"/>
          <w:szCs w:val="20"/>
          <w:color w:val="auto"/>
        </w:rPr>
      </w:pPr>
    </w:p>
    <w:p>
      <w:pPr>
        <w:ind w:right="60" w:firstLine="350"/>
        <w:spacing w:after="0" w:line="284" w:lineRule="auto"/>
        <w:rPr>
          <w:sz w:val="20"/>
          <w:szCs w:val="20"/>
          <w:color w:val="auto"/>
        </w:rPr>
      </w:pPr>
      <w:r>
        <w:rPr>
          <w:rFonts w:ascii="Times New Roman" w:cs="Times New Roman" w:eastAsia="Times New Roman" w:hAnsi="Times New Roman"/>
          <w:sz w:val="14"/>
          <w:szCs w:val="14"/>
          <w:color w:val="auto"/>
        </w:rPr>
        <w:t>Our intelligence clients are the 18 organizations of the U.S. Intelligence Community, which includes independent agencies, the Department of Defense elements, such as the National Security Agency and Defense Intelligence Agency, and other departments or agencies.</w:t>
      </w:r>
    </w:p>
    <w:p>
      <w:pPr>
        <w:spacing w:after="0" w:line="1" w:lineRule="exact"/>
        <w:rPr>
          <w:sz w:val="20"/>
          <w:szCs w:val="20"/>
          <w:color w:val="auto"/>
        </w:rPr>
      </w:pPr>
    </w:p>
    <w:p>
      <w:pPr>
        <w:ind w:right="180" w:firstLine="350"/>
        <w:spacing w:after="0" w:line="287" w:lineRule="auto"/>
        <w:rPr>
          <w:sz w:val="20"/>
          <w:szCs w:val="20"/>
          <w:color w:val="auto"/>
        </w:rPr>
      </w:pPr>
      <w:r>
        <w:rPr>
          <w:rFonts w:ascii="Times New Roman" w:cs="Times New Roman" w:eastAsia="Times New Roman" w:hAnsi="Times New Roman"/>
          <w:sz w:val="14"/>
          <w:szCs w:val="14"/>
          <w:color w:val="auto"/>
        </w:rPr>
        <w:t>Revenue generated from intelligence clients was $1.8 billion, or approximately 16.6% of our revenue, in fiscal 2024, as compared to $1.7 billion, or approximately 18.2% of our revenue, in fiscal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Civil Clients</w:t>
      </w:r>
    </w:p>
    <w:p>
      <w:pPr>
        <w:spacing w:after="0" w:line="53" w:lineRule="exact"/>
        <w:rPr>
          <w:sz w:val="20"/>
          <w:szCs w:val="20"/>
          <w:color w:val="auto"/>
        </w:rPr>
      </w:pPr>
    </w:p>
    <w:p>
      <w:pPr>
        <w:jc w:val="both"/>
        <w:ind w:right="140" w:firstLine="350"/>
        <w:spacing w:after="0" w:line="287" w:lineRule="auto"/>
        <w:rPr>
          <w:sz w:val="20"/>
          <w:szCs w:val="20"/>
          <w:color w:val="auto"/>
        </w:rPr>
      </w:pPr>
      <w:r>
        <w:rPr>
          <w:rFonts w:ascii="Times New Roman" w:cs="Times New Roman" w:eastAsia="Times New Roman" w:hAnsi="Times New Roman"/>
          <w:sz w:val="14"/>
          <w:szCs w:val="14"/>
          <w:color w:val="auto"/>
        </w:rPr>
        <w:t>Our civil work centers on the federal missions that are the highest priority to the domestic agenda, and we excel at helping our clients innovate their most critical missions. From healthcare, homeland security, and financial services to justice, law enforcement, immigration, energy, transportation, and labor, we work at the core of the mission to address our clients' most pressing needs.</w:t>
      </w:r>
    </w:p>
    <w:p>
      <w:pPr>
        <w:spacing w:after="0" w:line="40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354" w:right="399" w:bottom="1440" w:gutter="0" w:footer="0" w:header="0"/>
        </w:sectPr>
      </w:pPr>
    </w:p>
    <w:bookmarkStart w:id="12" w:name="page13"/>
    <w:bookmarkEnd w:id="1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360" w:firstLine="350"/>
        <w:spacing w:after="0" w:line="270" w:lineRule="auto"/>
        <w:rPr>
          <w:sz w:val="20"/>
          <w:szCs w:val="20"/>
          <w:color w:val="auto"/>
        </w:rPr>
      </w:pPr>
      <w:r>
        <w:rPr>
          <w:rFonts w:ascii="Times New Roman" w:cs="Times New Roman" w:eastAsia="Times New Roman" w:hAnsi="Times New Roman"/>
          <w:sz w:val="14"/>
          <w:szCs w:val="14"/>
          <w:color w:val="auto"/>
        </w:rPr>
        <w:t>Our major civil government clients include the Departments of Veterans Affairs, Health and Human Services, Treasury, Labor, Homeland Security, Justice, Energy, Commerce, and Transportation. Modernization and transformation are key needs of our clients, and we offer the technical expertise and mission understanding required to deliver innovative solutions to all our clients' needs across the civil portfolio.</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Revenue generated from civil clients was $3.7 billion, or approximately 34.3% of our revenue, in fiscal 2024, as compared to $3.1 billion, or approximately 33.6% of our revenue, in fiscal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Commercial Clients</w:t>
      </w:r>
    </w:p>
    <w:p>
      <w:pPr>
        <w:spacing w:after="0" w:line="53"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The Global Commercial business partners with clients, from sophisticated multinational organizations to small-to-medium sized organizations, to transform cybersecurity into a sustainable, competitive advantage to drive their businesses forward. We deliver advanced cyber defense solutions across two industry leading lines of business: enterprise consulting and incident response. Our team is led by practitioners with decades of cyber operational, strategic consulting, incident response, commercial, and federal experience. Our extensive industry expertise is earned through years of working with market leading clients in financial services, health and life sciences, software and technology, manufacturing, logistics, and energy.</w:t>
      </w:r>
    </w:p>
    <w:p>
      <w:pPr>
        <w:spacing w:after="0" w:line="13" w:lineRule="exact"/>
        <w:rPr>
          <w:sz w:val="20"/>
          <w:szCs w:val="20"/>
          <w:color w:val="auto"/>
        </w:rPr>
      </w:pPr>
    </w:p>
    <w:p>
      <w:pPr>
        <w:ind w:right="240" w:firstLine="350"/>
        <w:spacing w:after="0" w:line="287" w:lineRule="auto"/>
        <w:rPr>
          <w:sz w:val="20"/>
          <w:szCs w:val="20"/>
          <w:color w:val="auto"/>
        </w:rPr>
      </w:pPr>
      <w:r>
        <w:rPr>
          <w:rFonts w:ascii="Times New Roman" w:cs="Times New Roman" w:eastAsia="Times New Roman" w:hAnsi="Times New Roman"/>
          <w:sz w:val="14"/>
          <w:szCs w:val="14"/>
          <w:color w:val="auto"/>
        </w:rPr>
        <w:t>Revenue generated from global commercial clients was $173.2 million, or approximately 1.6% of our revenue, in fiscal 2024, as compared to $231.6 million, or approximately 2.5% of our revenue, in fiscal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Contracts</w:t>
      </w:r>
    </w:p>
    <w:p>
      <w:pPr>
        <w:spacing w:after="0" w:line="53" w:lineRule="exact"/>
        <w:rPr>
          <w:sz w:val="20"/>
          <w:szCs w:val="20"/>
          <w:color w:val="auto"/>
        </w:rPr>
      </w:pPr>
    </w:p>
    <w:p>
      <w:pPr>
        <w:ind w:right="100" w:firstLine="350"/>
        <w:spacing w:after="0" w:line="261" w:lineRule="auto"/>
        <w:rPr>
          <w:sz w:val="20"/>
          <w:szCs w:val="20"/>
          <w:color w:val="auto"/>
        </w:rPr>
      </w:pPr>
      <w:r>
        <w:rPr>
          <w:rFonts w:ascii="Times New Roman" w:cs="Times New Roman" w:eastAsia="Times New Roman" w:hAnsi="Times New Roman"/>
          <w:sz w:val="14"/>
          <w:szCs w:val="14"/>
          <w:color w:val="auto"/>
        </w:rPr>
        <w:t>Booz Allen’s approach has long been to ensure that we have prime or subcontractor positions on a wide range of contracts that allow clients maximum opportunity to access our services. Our diverse contract base provides stability to our business. This diversity shows that more than 85% of our revenue for fiscal 2024 was derived from 2,650 active task orders under IDIQ contract vehicles. Our top IDIQ contract vehicle represented approximately 15.2% of our revenue in fiscal 2024. Our largest task order under an IDIQ contract vehicle accounted for approximately 4.5% of our revenue in fiscal 2024. Our largest definite contract represented approximately 0.7% of our revenue in fiscal 2024. For risks related to our contracts, see “Item 1A. Risk Factors—Industry and Economic Risks.”</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U.S. government procures services through two predominant contracting methods: indefinite contract vehicles and definite contracts. Each of these is described below:</w:t>
      </w:r>
    </w:p>
    <w:p>
      <w:pPr>
        <w:spacing w:after="0" w:line="51" w:lineRule="exact"/>
        <w:rPr>
          <w:sz w:val="20"/>
          <w:szCs w:val="20"/>
          <w:color w:val="auto"/>
        </w:rPr>
      </w:pPr>
    </w:p>
    <w:p>
      <w:pPr>
        <w:ind w:left="520" w:hanging="133"/>
        <w:spacing w:after="0" w:line="261"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Indefinite contract vehicles provide for the issuance by the client of orders for services or products under the terms of the contract. Indefinite contracts are often referred to as contract vehicles or ordering contracts. IDIQ contracts may be awarded to one contractor (single award) or several contractors (multiple award). Under a multiple award IDIQ contract, there is no guarantee of work as contract holders must compete for individual work orders. IDIQ contracts will often include pre-established labor categories and rates, and the ordering process is streamlined (usually taking less than a month from recognition of a need to an established order with a contractor). IDIQ contracts often have multiyear terms and unfunded ceiling amounts, thereby enabling but not committing the U.S. government to purchase substantial amounts of products and services from one or more contractors in a streamlined procurement process.</w:t>
      </w:r>
    </w:p>
    <w:p>
      <w:pPr>
        <w:spacing w:after="0" w:line="15" w:lineRule="exact"/>
        <w:rPr>
          <w:rFonts w:ascii="Times New Roman" w:cs="Times New Roman" w:eastAsia="Times New Roman" w:hAnsi="Times New Roman"/>
          <w:sz w:val="14"/>
          <w:szCs w:val="14"/>
          <w:color w:val="auto"/>
        </w:rPr>
      </w:pPr>
    </w:p>
    <w:p>
      <w:pPr>
        <w:ind w:left="520" w:right="40" w:hanging="133"/>
        <w:spacing w:after="0" w:line="261"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Definite contracts call for the performance of specified services or the delivery of specified products. The U.S. government procures services and solutions through single award, definite contracts that specify the scope of services that will be delivered and identify the contractor that will provide the specified services. When an agency recognizes a need for services or products, it develops an acquisition plan, which details how it will procure those services or products. During the acquisition process, the agency may release a request for information to determine if qualified bidders exist, a draft request for a proposal to allow the industry to comment on the scope of work and acquisition strategy, and finally a formal request for a proposal. Following the evaluation of submitted proposals, the agency will award the contract to the winning bidder.</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54" w:right="379" w:bottom="1440" w:gutter="0" w:footer="0" w:header="0"/>
        </w:sectPr>
      </w:pPr>
    </w:p>
    <w:bookmarkStart w:id="13" w:name="page14"/>
    <w:bookmarkEnd w:id="1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80" w:type="dxa"/>
            <w:vAlign w:val="bottom"/>
            <w:gridSpan w:val="6"/>
          </w:tcPr>
          <w:p>
            <w:pPr>
              <w:ind w:left="240"/>
              <w:spacing w:after="0"/>
              <w:rPr>
                <w:sz w:val="20"/>
                <w:szCs w:val="20"/>
                <w:color w:val="auto"/>
              </w:rPr>
            </w:pPr>
            <w:r>
              <w:rPr>
                <w:rFonts w:ascii="Times New Roman" w:cs="Times New Roman" w:eastAsia="Times New Roman" w:hAnsi="Times New Roman"/>
                <w:sz w:val="14"/>
                <w:szCs w:val="14"/>
                <w:color w:val="auto"/>
              </w:rPr>
              <w:t>Listed below are our top IDIQ contracts for fiscal 2024 and the number of active task orders under these contracts as of March 31, 2024</w:t>
            </w:r>
            <w:r>
              <w:rPr>
                <w:rFonts w:ascii="Times New Roman" w:cs="Times New Roman" w:eastAsia="Times New Roman" w:hAnsi="Times New Roman"/>
                <w:sz w:val="12"/>
                <w:szCs w:val="12"/>
                <w:color w:val="auto"/>
              </w:rPr>
              <w:t>.</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400" w:type="dxa"/>
            <w:vAlign w:val="bottom"/>
          </w:tcPr>
          <w:p>
            <w:pPr>
              <w:spacing w:after="0"/>
              <w:rPr>
                <w:sz w:val="13"/>
                <w:szCs w:val="13"/>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80" w:type="dxa"/>
            <w:vAlign w:val="bottom"/>
            <w:gridSpan w:val="3"/>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 of</w:t>
            </w:r>
          </w:p>
        </w:tc>
        <w:tc>
          <w:tcPr>
            <w:tcW w:w="162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4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80" w:type="dxa"/>
            <w:vAlign w:val="bottom"/>
            <w:gridSpan w:val="3"/>
          </w:tcPr>
          <w:p>
            <w:pPr>
              <w:jc w:val="center"/>
              <w:ind w:right="340"/>
              <w:spacing w:after="0" w:line="138"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62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4"/>
                <w:szCs w:val="14"/>
                <w:b w:val="1"/>
                <w:bCs w:val="1"/>
                <w:color w:val="auto"/>
                <w:w w:val="99"/>
              </w:rPr>
              <w:t>Task Orders as of</w:t>
            </w:r>
          </w:p>
        </w:tc>
        <w:tc>
          <w:tcPr>
            <w:tcW w:w="1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Expiration Date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2024 Revenue</w:t>
            </w: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400" w:type="dxa"/>
            <w:vAlign w:val="bottom"/>
          </w:tcPr>
          <w:p>
            <w:pPr>
              <w:spacing w:after="0"/>
              <w:rPr>
                <w:sz w:val="12"/>
                <w:szCs w:val="12"/>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GSA Alliant 2</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$1,625.5</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99"/>
              </w:rPr>
              <w:t>83</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6/30/2028</w:t>
            </w:r>
          </w:p>
        </w:tc>
        <w:tc>
          <w:tcPr>
            <w:tcW w:w="0" w:type="dxa"/>
            <w:vAlign w:val="bottom"/>
          </w:tcPr>
          <w:p>
            <w:pPr>
              <w:spacing w:after="0"/>
              <w:rPr>
                <w:sz w:val="1"/>
                <w:szCs w:val="1"/>
                <w:color w:val="auto"/>
              </w:rPr>
            </w:pP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(OASIS) One Acquisition Solution for Integrated Services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1,225.2</w:t>
            </w:r>
          </w:p>
        </w:tc>
        <w:tc>
          <w:tcPr>
            <w:tcW w:w="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98</w:t>
            </w:r>
          </w:p>
        </w:tc>
        <w:tc>
          <w:tcPr>
            <w:tcW w:w="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3/1/2025</w:t>
            </w: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 Transformation Twenty-One Total Technology Next Generation (T4NG) IDIQ</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765.9</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99"/>
              </w:rPr>
              <w:t>12</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3/6/2026</w:t>
            </w:r>
          </w:p>
        </w:tc>
        <w:tc>
          <w:tcPr>
            <w:tcW w:w="0" w:type="dxa"/>
            <w:vAlign w:val="bottom"/>
          </w:tcPr>
          <w:p>
            <w:pPr>
              <w:spacing w:after="0"/>
              <w:rPr>
                <w:sz w:val="1"/>
                <w:szCs w:val="1"/>
                <w:color w:val="auto"/>
              </w:rPr>
            </w:pP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IT - VA T4NG IDIQ</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585.9</w:t>
            </w:r>
          </w:p>
        </w:tc>
        <w:tc>
          <w:tcPr>
            <w:tcW w:w="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3/6/2026</w:t>
            </w: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DTIC Information Analysis Center Multiple Award Contract (IAC MAC) IDIQ</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571.8</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99"/>
              </w:rPr>
              <w:t>59</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9/29/2027</w:t>
            </w:r>
          </w:p>
        </w:tc>
        <w:tc>
          <w:tcPr>
            <w:tcW w:w="0" w:type="dxa"/>
            <w:vAlign w:val="bottom"/>
          </w:tcPr>
          <w:p>
            <w:pPr>
              <w:spacing w:after="0"/>
              <w:rPr>
                <w:sz w:val="1"/>
                <w:szCs w:val="1"/>
                <w:color w:val="auto"/>
              </w:rPr>
            </w:pP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SeaPort Next Generation (SeaPort NxG) IDIQ</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558.9</w:t>
            </w:r>
          </w:p>
        </w:tc>
        <w:tc>
          <w:tcPr>
            <w:tcW w:w="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37</w:t>
            </w:r>
          </w:p>
        </w:tc>
        <w:tc>
          <w:tcPr>
            <w:tcW w:w="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1/1/2029</w:t>
            </w: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Alliant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375.0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99"/>
              </w:rPr>
              <w:t>24</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4/30/2019</w:t>
            </w:r>
          </w:p>
        </w:tc>
        <w:tc>
          <w:tcPr>
            <w:tcW w:w="0" w:type="dxa"/>
            <w:vAlign w:val="bottom"/>
          </w:tcPr>
          <w:p>
            <w:pPr>
              <w:spacing w:after="0"/>
              <w:rPr>
                <w:sz w:val="1"/>
                <w:szCs w:val="1"/>
                <w:color w:val="auto"/>
              </w:rPr>
            </w:pPr>
          </w:p>
        </w:tc>
      </w:tr>
      <w:tr>
        <w:trPr>
          <w:trHeight w:val="138"/>
        </w:trPr>
        <w:tc>
          <w:tcPr>
            <w:tcW w:w="54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Multiple Award Schedule (MAS) - Formerly known as Information Technology (IT)</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Schedule 70 (New)</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197.1</w:t>
            </w:r>
          </w:p>
        </w:tc>
        <w:tc>
          <w:tcPr>
            <w:tcW w:w="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27</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6/28/2036</w:t>
            </w: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CIOSP3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170.2</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4/29/2024</w:t>
            </w:r>
          </w:p>
        </w:tc>
        <w:tc>
          <w:tcPr>
            <w:tcW w:w="0" w:type="dxa"/>
            <w:vAlign w:val="bottom"/>
          </w:tcPr>
          <w:p>
            <w:pPr>
              <w:spacing w:after="0"/>
              <w:rPr>
                <w:sz w:val="1"/>
                <w:szCs w:val="1"/>
                <w:color w:val="auto"/>
              </w:rPr>
            </w:pPr>
          </w:p>
        </w:tc>
      </w:tr>
      <w:tr>
        <w:trPr>
          <w:trHeight w:val="184"/>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Solutions for Intelligence Analysis 3 IDIQ</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165.5</w:t>
            </w:r>
          </w:p>
        </w:tc>
        <w:tc>
          <w:tcPr>
            <w:tcW w:w="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85"/>
              </w:rPr>
              <w:t>7</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8/4/2029</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520" w:hanging="133"/>
        <w:spacing w:after="0"/>
        <w:tabs>
          <w:tab w:leader="none" w:pos="52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Expiration date applies to the IDIQ vehicle. Task orders awarded under the IDIQ can run past the expiration of the IDIQ itself.</w:t>
      </w:r>
    </w:p>
    <w:p>
      <w:pPr>
        <w:spacing w:after="0" w:line="44" w:lineRule="exact"/>
        <w:rPr>
          <w:sz w:val="20"/>
          <w:szCs w:val="20"/>
          <w:color w:val="auto"/>
        </w:rPr>
      </w:pPr>
    </w:p>
    <w:p>
      <w:pPr>
        <w:ind w:right="20" w:firstLine="350"/>
        <w:spacing w:after="0" w:line="255" w:lineRule="auto"/>
        <w:rPr>
          <w:sz w:val="20"/>
          <w:szCs w:val="20"/>
          <w:color w:val="auto"/>
        </w:rPr>
      </w:pPr>
      <w:r>
        <w:rPr>
          <w:rFonts w:ascii="Times New Roman" w:cs="Times New Roman" w:eastAsia="Times New Roman" w:hAnsi="Times New Roman"/>
          <w:sz w:val="14"/>
          <w:szCs w:val="14"/>
          <w:color w:val="auto"/>
        </w:rPr>
        <w:t>Listed below for each specified revenue band is the number of task orders, revenue derived from the task orders, and average duration of the task orders as of March 31, 2024. The table includes revenue earned during fiscal 2024 under all task orders that were active during fiscal 2024 under these IDIQ contracts and the number of active task orders on which this revenue was earned. Average duration reflected in the table below is calculated based on the inception date of the task order, which may be prior to the beginning of fiscal 2024, and the completion date which may have been prior or subsequent to March 31, 2024. As a result, the actual average remaining duration for task orders included in this table may be less than the average duration shown in the table, and task orders included in the table may have been complete on March 31, 2024.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Number of Task</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Segmentation of Task Order by Revenue Fiscal 2024</w:t>
            </w:r>
          </w:p>
        </w:tc>
        <w:tc>
          <w:tcPr>
            <w:tcW w:w="1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Orders Active During Fiscal</w:t>
            </w:r>
          </w:p>
        </w:tc>
        <w:tc>
          <w:tcPr>
            <w:tcW w:w="1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580" w:type="dxa"/>
            <w:vAlign w:val="bottom"/>
            <w:gridSpan w:val="2"/>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Duration</w:t>
            </w:r>
          </w:p>
        </w:tc>
        <w:tc>
          <w:tcPr>
            <w:tcW w:w="0" w:type="dxa"/>
            <w:vAlign w:val="bottom"/>
          </w:tcPr>
          <w:p>
            <w:pPr>
              <w:spacing w:after="0"/>
              <w:rPr>
                <w:sz w:val="1"/>
                <w:szCs w:val="1"/>
                <w:color w:val="auto"/>
              </w:rPr>
            </w:pPr>
          </w:p>
        </w:tc>
      </w:tr>
      <w:tr>
        <w:trPr>
          <w:trHeight w:val="149"/>
        </w:trPr>
        <w:tc>
          <w:tcPr>
            <w:tcW w:w="426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2"/>
                <w:szCs w:val="12"/>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(Years)</w:t>
            </w:r>
          </w:p>
        </w:tc>
        <w:tc>
          <w:tcPr>
            <w:tcW w:w="0" w:type="dxa"/>
            <w:vAlign w:val="bottom"/>
          </w:tcPr>
          <w:p>
            <w:pPr>
              <w:spacing w:after="0"/>
              <w:rPr>
                <w:sz w:val="1"/>
                <w:szCs w:val="1"/>
                <w:color w:val="auto"/>
              </w:rPr>
            </w:pPr>
          </w:p>
        </w:tc>
      </w:tr>
      <w:tr>
        <w:trPr>
          <w:trHeight w:val="171"/>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$1 million</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1,891</w:t>
            </w:r>
          </w:p>
        </w:tc>
        <w:tc>
          <w:tcPr>
            <w:tcW w:w="8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$357.2</w:t>
            </w: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2.3</w:t>
            </w:r>
          </w:p>
        </w:tc>
        <w:tc>
          <w:tcPr>
            <w:tcW w:w="0" w:type="dxa"/>
            <w:vAlign w:val="bottom"/>
          </w:tcPr>
          <w:p>
            <w:pPr>
              <w:spacing w:after="0"/>
              <w:rPr>
                <w:sz w:val="1"/>
                <w:szCs w:val="1"/>
                <w:color w:val="auto"/>
              </w:rPr>
            </w:pPr>
          </w:p>
        </w:tc>
      </w:tr>
      <w:tr>
        <w:trPr>
          <w:trHeight w:val="18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Between $1 million and $3 million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341</w:t>
            </w:r>
          </w:p>
        </w:tc>
        <w:tc>
          <w:tcPr>
            <w:tcW w:w="8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603.9</w:t>
            </w:r>
          </w:p>
        </w:tc>
        <w:tc>
          <w:tcPr>
            <w:tcW w:w="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3.6</w:t>
            </w:r>
          </w:p>
        </w:tc>
        <w:tc>
          <w:tcPr>
            <w:tcW w:w="0" w:type="dxa"/>
            <w:vAlign w:val="bottom"/>
          </w:tcPr>
          <w:p>
            <w:pPr>
              <w:spacing w:after="0"/>
              <w:rPr>
                <w:sz w:val="1"/>
                <w:szCs w:val="1"/>
                <w:color w:val="auto"/>
              </w:rPr>
            </w:pPr>
          </w:p>
        </w:tc>
      </w:tr>
      <w:tr>
        <w:trPr>
          <w:trHeight w:val="180"/>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Between $3 million and $5 million</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142</w:t>
            </w: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542.2</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4.0</w:t>
            </w:r>
          </w:p>
        </w:tc>
        <w:tc>
          <w:tcPr>
            <w:tcW w:w="0" w:type="dxa"/>
            <w:vAlign w:val="bottom"/>
          </w:tcPr>
          <w:p>
            <w:pPr>
              <w:spacing w:after="0"/>
              <w:rPr>
                <w:sz w:val="1"/>
                <w:szCs w:val="1"/>
                <w:color w:val="auto"/>
              </w:rPr>
            </w:pPr>
          </w:p>
        </w:tc>
      </w:tr>
      <w:tr>
        <w:trPr>
          <w:trHeight w:val="18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Between $5 million and $10 million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122</w:t>
            </w:r>
          </w:p>
        </w:tc>
        <w:tc>
          <w:tcPr>
            <w:tcW w:w="8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862.8</w:t>
            </w:r>
          </w:p>
        </w:tc>
        <w:tc>
          <w:tcPr>
            <w:tcW w:w="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4.5</w:t>
            </w:r>
          </w:p>
        </w:tc>
        <w:tc>
          <w:tcPr>
            <w:tcW w:w="0" w:type="dxa"/>
            <w:vAlign w:val="bottom"/>
          </w:tcPr>
          <w:p>
            <w:pPr>
              <w:spacing w:after="0"/>
              <w:rPr>
                <w:sz w:val="1"/>
                <w:szCs w:val="1"/>
                <w:color w:val="auto"/>
              </w:rPr>
            </w:pPr>
          </w:p>
        </w:tc>
      </w:tr>
      <w:tr>
        <w:trPr>
          <w:trHeight w:val="180"/>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$10 million</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154</w:t>
            </w:r>
          </w:p>
        </w:tc>
        <w:tc>
          <w:tcPr>
            <w:tcW w:w="80" w:type="dxa"/>
            <w:vAlign w:val="bottom"/>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6,758.5</w:t>
            </w:r>
          </w:p>
        </w:tc>
        <w:tc>
          <w:tcPr>
            <w:tcW w:w="8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4.8</w:t>
            </w:r>
          </w:p>
        </w:tc>
        <w:tc>
          <w:tcPr>
            <w:tcW w:w="0" w:type="dxa"/>
            <w:vAlign w:val="bottom"/>
          </w:tcPr>
          <w:p>
            <w:pPr>
              <w:spacing w:after="0"/>
              <w:rPr>
                <w:sz w:val="1"/>
                <w:szCs w:val="1"/>
                <w:color w:val="auto"/>
              </w:rPr>
            </w:pPr>
          </w:p>
        </w:tc>
      </w:tr>
      <w:tr>
        <w:trPr>
          <w:trHeight w:val="175"/>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2,650</w:t>
            </w:r>
          </w:p>
        </w:tc>
        <w:tc>
          <w:tcPr>
            <w:tcW w:w="8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$9,124.6</w:t>
            </w:r>
          </w:p>
        </w:tc>
        <w:tc>
          <w:tcPr>
            <w:tcW w:w="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2.8</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Listed below are our top definite contracts for fiscal 2024 and revenue recognized under these contracts. Classified contracts that cannot be named are noted generically in the table: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240" w:type="dxa"/>
            <w:vAlign w:val="bottom"/>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2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Expiration</w:t>
            </w:r>
          </w:p>
        </w:tc>
      </w:tr>
      <w:tr>
        <w:trPr>
          <w:trHeight w:val="188"/>
        </w:trPr>
        <w:tc>
          <w:tcPr>
            <w:tcW w:w="54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240" w:type="dxa"/>
            <w:vAlign w:val="bottom"/>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w w:val="98"/>
              </w:rPr>
              <w:t>2024 Revenue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Revenue</w:t>
            </w:r>
          </w:p>
        </w:tc>
        <w:tc>
          <w:tcPr>
            <w:tcW w:w="21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147"/>
        </w:trPr>
        <w:tc>
          <w:tcPr>
            <w:tcW w:w="5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40" w:type="dxa"/>
            <w:vAlign w:val="bottom"/>
            <w:tcBorders>
              <w:top w:val="single" w:sz="8" w:color="auto"/>
            </w:tcBorders>
          </w:tcPr>
          <w:p>
            <w:pPr>
              <w:jc w:val="center"/>
              <w:ind w:left="272"/>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r>
      <w:tr>
        <w:trPr>
          <w:trHeight w:val="186"/>
        </w:trPr>
        <w:tc>
          <w:tcPr>
            <w:tcW w:w="540" w:type="dxa"/>
            <w:vAlign w:val="bottom"/>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Classified Contract</w:t>
            </w: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6/30/2025</w:t>
            </w:r>
          </w:p>
        </w:tc>
        <w:tc>
          <w:tcPr>
            <w:tcW w:w="520" w:type="dxa"/>
            <w:vAlign w:val="bottom"/>
          </w:tcPr>
          <w:p>
            <w:pPr>
              <w:spacing w:after="0"/>
              <w:rPr>
                <w:sz w:val="16"/>
                <w:szCs w:val="16"/>
                <w:color w:val="auto"/>
              </w:rPr>
            </w:pPr>
          </w:p>
        </w:tc>
      </w:tr>
      <w:tr>
        <w:trPr>
          <w:trHeight w:val="180"/>
        </w:trPr>
        <w:tc>
          <w:tcPr>
            <w:tcW w:w="54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Classified Contract</w:t>
            </w:r>
          </w:p>
        </w:tc>
        <w:tc>
          <w:tcPr>
            <w:tcW w:w="1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12/29/2023</w:t>
            </w: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USDA FOREST SERVICES R1S</w:t>
            </w: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9/30/2028</w:t>
            </w: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Classified Contract</w:t>
            </w:r>
          </w:p>
        </w:tc>
        <w:tc>
          <w:tcPr>
            <w:tcW w:w="1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3/31/2025</w:t>
            </w: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Classified Contract</w:t>
            </w: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4/18/2028</w:t>
            </w: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Classified Contract</w:t>
            </w:r>
          </w:p>
        </w:tc>
        <w:tc>
          <w:tcPr>
            <w:tcW w:w="1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9/16/2024</w:t>
            </w: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ARPA-E SETA BRIDGE V</w:t>
            </w: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4/30/2024</w:t>
            </w: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Classified Contract</w:t>
            </w:r>
          </w:p>
        </w:tc>
        <w:tc>
          <w:tcPr>
            <w:tcW w:w="1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1/18/2029</w:t>
            </w: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Classified Contract</w:t>
            </w: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1/7/2024</w:t>
            </w:r>
          </w:p>
        </w:tc>
        <w:tc>
          <w:tcPr>
            <w:tcW w:w="520" w:type="dxa"/>
            <w:vAlign w:val="bottom"/>
          </w:tcPr>
          <w:p>
            <w:pPr>
              <w:spacing w:after="0"/>
              <w:rPr>
                <w:sz w:val="15"/>
                <w:szCs w:val="15"/>
                <w:color w:val="auto"/>
              </w:rPr>
            </w:pPr>
          </w:p>
        </w:tc>
      </w:tr>
      <w:tr>
        <w:trPr>
          <w:trHeight w:val="184"/>
        </w:trPr>
        <w:tc>
          <w:tcPr>
            <w:tcW w:w="540" w:type="dxa"/>
            <w:vAlign w:val="bottom"/>
          </w:tcPr>
          <w:p>
            <w:pPr>
              <w:spacing w:after="0"/>
              <w:rPr>
                <w:sz w:val="16"/>
                <w:szCs w:val="16"/>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Classified Contract</w:t>
            </w:r>
          </w:p>
        </w:tc>
        <w:tc>
          <w:tcPr>
            <w:tcW w:w="12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7/31/2024</w:t>
            </w:r>
          </w:p>
        </w:tc>
        <w:tc>
          <w:tcPr>
            <w:tcW w:w="520" w:type="dxa"/>
            <w:vAlign w:val="bottom"/>
          </w:tcPr>
          <w:p>
            <w:pPr>
              <w:spacing w:after="0"/>
              <w:rPr>
                <w:sz w:val="16"/>
                <w:szCs w:val="16"/>
                <w:color w:val="auto"/>
              </w:rPr>
            </w:pPr>
          </w:p>
        </w:tc>
      </w:tr>
      <w:tr>
        <w:trPr>
          <w:trHeight w:val="675"/>
        </w:trPr>
        <w:tc>
          <w:tcPr>
            <w:tcW w:w="5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87"/>
        </w:trPr>
        <w:tc>
          <w:tcPr>
            <w:tcW w:w="540" w:type="dxa"/>
            <w:vAlign w:val="bottom"/>
            <w:tcBorders>
              <w:bottom w:val="single" w:sz="8" w:color="9A9A9A"/>
            </w:tcBorders>
          </w:tcPr>
          <w:p>
            <w:pPr>
              <w:spacing w:after="0"/>
              <w:rPr>
                <w:sz w:val="7"/>
                <w:szCs w:val="7"/>
                <w:color w:val="auto"/>
              </w:rPr>
            </w:pPr>
          </w:p>
        </w:tc>
        <w:tc>
          <w:tcPr>
            <w:tcW w:w="52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14" w:name="page15"/>
    <w:bookmarkEnd w:id="1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Backlog</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define backlog to include the following three components:</w:t>
      </w:r>
    </w:p>
    <w:p>
      <w:pPr>
        <w:spacing w:after="0" w:line="49" w:lineRule="exact"/>
        <w:rPr>
          <w:sz w:val="20"/>
          <w:szCs w:val="20"/>
          <w:color w:val="auto"/>
        </w:rPr>
      </w:pPr>
    </w:p>
    <w:p>
      <w:pPr>
        <w:ind w:left="520" w:right="540" w:hanging="133"/>
        <w:spacing w:after="0" w:line="284"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Funded Backlog. </w:t>
      </w:r>
      <w:r>
        <w:rPr>
          <w:rFonts w:ascii="Times New Roman" w:cs="Times New Roman" w:eastAsia="Times New Roman" w:hAnsi="Times New Roman"/>
          <w:sz w:val="14"/>
          <w:szCs w:val="14"/>
          <w:color w:val="auto"/>
        </w:rPr>
        <w:t>Funded backlog represents the revenue value of orders for services under existing contracts for which funding is appropriated or otherwise authorized less revenue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previously recognized on these contracts.</w:t>
      </w:r>
    </w:p>
    <w:p>
      <w:pPr>
        <w:ind w:left="520" w:right="60" w:hanging="133"/>
        <w:spacing w:after="0" w:line="284" w:lineRule="auto"/>
        <w:tabs>
          <w:tab w:leader="none" w:pos="516"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Unfunded Backlog. </w:t>
      </w:r>
      <w:r>
        <w:rPr>
          <w:rFonts w:ascii="Times New Roman" w:cs="Times New Roman" w:eastAsia="Times New Roman" w:hAnsi="Times New Roman"/>
          <w:sz w:val="14"/>
          <w:szCs w:val="14"/>
          <w:color w:val="auto"/>
        </w:rPr>
        <w:t>Unfunded backlog represents the revenue value of orders (including optional orders) for services under existing contracts for which funding has not been appropriated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otherwise authorized.</w:t>
      </w:r>
    </w:p>
    <w:p>
      <w:pPr>
        <w:ind w:left="520" w:right="60" w:hanging="133"/>
        <w:spacing w:after="0" w:line="286"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Priced Options. </w:t>
      </w:r>
      <w:r>
        <w:rPr>
          <w:rFonts w:ascii="Times New Roman" w:cs="Times New Roman" w:eastAsia="Times New Roman" w:hAnsi="Times New Roman"/>
          <w:sz w:val="14"/>
          <w:szCs w:val="14"/>
          <w:color w:val="auto"/>
        </w:rPr>
        <w:t>Priced contract options represent 100% of the revenue value of all future contract option periods under existing contracts that may be exercised at our clients’ option and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funding has not been appropriated or otherwise authorized.</w:t>
      </w:r>
    </w:p>
    <w:p>
      <w:pPr>
        <w:ind w:right="300" w:firstLine="350"/>
        <w:spacing w:after="0" w:line="284" w:lineRule="auto"/>
        <w:rPr>
          <w:sz w:val="20"/>
          <w:szCs w:val="20"/>
          <w:color w:val="auto"/>
        </w:rPr>
      </w:pPr>
      <w:r>
        <w:rPr>
          <w:rFonts w:ascii="Times New Roman" w:cs="Times New Roman" w:eastAsia="Times New Roman" w:hAnsi="Times New Roman"/>
          <w:sz w:val="14"/>
          <w:szCs w:val="14"/>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the value of our contract backlog as of the respective periods shown: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80" w:type="dxa"/>
            <w:vAlign w:val="bottom"/>
            <w:tcBorders>
              <w:bottom w:val="single" w:sz="8" w:color="auto"/>
            </w:tcBorders>
          </w:tcPr>
          <w:p>
            <w:pPr>
              <w:spacing w:after="0"/>
              <w:rPr>
                <w:sz w:val="16"/>
                <w:szCs w:val="16"/>
                <w:color w:val="auto"/>
              </w:rPr>
            </w:pPr>
          </w:p>
        </w:tc>
      </w:tr>
      <w:tr>
        <w:trPr>
          <w:trHeight w:val="171"/>
        </w:trPr>
        <w:tc>
          <w:tcPr>
            <w:tcW w:w="6140" w:type="dxa"/>
            <w:vAlign w:val="bottom"/>
          </w:tcPr>
          <w:p>
            <w:pPr>
              <w:spacing w:after="0"/>
              <w:rPr>
                <w:sz w:val="14"/>
                <w:szCs w:val="14"/>
                <w:color w:val="auto"/>
              </w:rPr>
            </w:pPr>
          </w:p>
        </w:tc>
        <w:tc>
          <w:tcPr>
            <w:tcW w:w="1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6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80" w:type="dxa"/>
            <w:vAlign w:val="bottom"/>
          </w:tcPr>
          <w:p>
            <w:pPr>
              <w:spacing w:after="0"/>
              <w:rPr>
                <w:sz w:val="12"/>
                <w:szCs w:val="12"/>
                <w:color w:val="auto"/>
              </w:rPr>
            </w:pPr>
          </w:p>
        </w:tc>
      </w:tr>
      <w:tr>
        <w:trPr>
          <w:trHeight w:val="18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Funded</w:t>
            </w:r>
          </w:p>
        </w:tc>
        <w:tc>
          <w:tcPr>
            <w:tcW w:w="1280" w:type="dxa"/>
            <w:vAlign w:val="bottom"/>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w:t>
            </w: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Unfunded</w:t>
            </w:r>
          </w:p>
        </w:tc>
        <w:tc>
          <w:tcPr>
            <w:tcW w:w="1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9,519</w:t>
            </w:r>
          </w:p>
        </w:tc>
      </w:tr>
      <w:tr>
        <w:trPr>
          <w:trHeight w:val="18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Priced options</w:t>
            </w:r>
          </w:p>
        </w:tc>
        <w:tc>
          <w:tcPr>
            <w:tcW w:w="12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19,533</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w:t>
            </w:r>
          </w:p>
        </w:tc>
      </w:tr>
      <w:tr>
        <w:trPr>
          <w:trHeight w:val="17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backlog</w:t>
            </w:r>
          </w:p>
        </w:tc>
        <w:tc>
          <w:tcPr>
            <w:tcW w:w="1280" w:type="dxa"/>
            <w:vAlign w:val="bottom"/>
            <w:tcBorders>
              <w:bottom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33,818</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31,202</w:t>
            </w:r>
          </w:p>
        </w:tc>
      </w:tr>
      <w:tr>
        <w:trPr>
          <w:trHeight w:val="20"/>
        </w:trPr>
        <w:tc>
          <w:tcPr>
            <w:tcW w:w="6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We may never realize all of the revenue that is included in our total backlog, and there is a higher degree of risk in this regard with respect to unfunded backlog and priced options. See “Item 7. Management’s Discussion and Analysis of Financial Condition and Results of Operations—Factors and Trends Affecting Our Results of Operations—Sources of Revenue—Contract Backlog” for additional disclosure regarding our backlog. See also “Item 1A. Risk Factors—Industry and Economic Risks—We may not realize the full value of our backlog, which may result in lower than expected revenue.”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53"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The government services market is highly fragmented and competition within the government professional services industry has intensified as a result of market pressure and consolidation activity. In addition to professional service companies like ours that focus principally on the provision of services to the U.S. government, other companies active in our markets include large defense contractors; diversified consulting, technology, and outsourcing service providers; and small businesses.</w:t>
      </w:r>
    </w:p>
    <w:p>
      <w:pPr>
        <w:spacing w:after="0" w:line="8" w:lineRule="exact"/>
        <w:rPr>
          <w:sz w:val="20"/>
          <w:szCs w:val="20"/>
          <w:color w:val="auto"/>
        </w:rPr>
      </w:pPr>
    </w:p>
    <w:p>
      <w:pPr>
        <w:ind w:right="80" w:firstLine="350"/>
        <w:spacing w:after="0" w:line="264" w:lineRule="auto"/>
        <w:rPr>
          <w:sz w:val="20"/>
          <w:szCs w:val="20"/>
          <w:color w:val="auto"/>
        </w:rPr>
      </w:pPr>
      <w:r>
        <w:rPr>
          <w:rFonts w:ascii="Times New Roman" w:cs="Times New Roman" w:eastAsia="Times New Roman" w:hAnsi="Times New Roman"/>
          <w:sz w:val="14"/>
          <w:szCs w:val="14"/>
          <w:color w:val="auto"/>
        </w:rPr>
        <w:t>Changing government policies and market dynamics are impacting the competitive landscape. In the past, the government’s focus on organizational conflicts of interest has driven divestitures, which have changed the competitive landscape. There has been increasing pressure from government clients to utilize small businesses, in large part because of a push by both past and present administrations to bolster the economy by helping small business owners. Finally, as a result of the foregoing factors and the drive in our markets to quickly build competencies in growth areas and achieve economies of scale, we believe that consolidation activity among market participants will continue.</w:t>
      </w:r>
    </w:p>
    <w:p>
      <w:pPr>
        <w:spacing w:after="0" w:line="13" w:lineRule="exact"/>
        <w:rPr>
          <w:sz w:val="20"/>
          <w:szCs w:val="20"/>
          <w:color w:val="auto"/>
        </w:rPr>
      </w:pPr>
    </w:p>
    <w:p>
      <w:pPr>
        <w:ind w:firstLine="350"/>
        <w:spacing w:after="0" w:line="258" w:lineRule="auto"/>
        <w:rPr>
          <w:sz w:val="20"/>
          <w:szCs w:val="20"/>
          <w:color w:val="auto"/>
        </w:rPr>
      </w:pPr>
      <w:r>
        <w:rPr>
          <w:rFonts w:ascii="Times New Roman" w:cs="Times New Roman" w:eastAsia="Times New Roman" w:hAnsi="Times New Roman"/>
          <w:sz w:val="14"/>
          <w:szCs w:val="14"/>
          <w:color w:val="auto"/>
        </w:rPr>
        <w:t>In the course of doing business, we compete and collaborate with companies of all types and sizes. We strive to maintain positive and productive relationships with these organizations. Some of them hire us as a subcontractor, and we hire some of them to work with us as our subcontractors. Our major competitors include: (1) contractors focused principally on the provision of services to the U.S. government, (2) large defense contractors that provide both products and services to the U.S. government, and (3) diversified service providers. We compete based on our technical expertise and client knowledge, our ability to successfully recruit and retain appropriately skilled and experienced talent, our ability to deliver cost-effective multifaceted services in a timely manner, our reputation and relationship with our clients, our past performance, security clearances, and the size and scale of our Company. In addition, to maintain our competitive position, we routinely review our operating structure, capabilities, and strategy to determine whether we are effectively meeting the needs of existing clients, effectively responding to developments in our markets, and successfully building a platform intended to provide the foundation for the future growth of our business.</w:t>
      </w:r>
    </w:p>
    <w:p>
      <w:pPr>
        <w:spacing w:after="0" w:line="200" w:lineRule="exact"/>
        <w:rPr>
          <w:sz w:val="20"/>
          <w:szCs w:val="20"/>
          <w:color w:val="auto"/>
        </w:rPr>
      </w:pPr>
    </w:p>
    <w:p>
      <w:pPr>
        <w:spacing w:after="0" w:line="22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15" w:name="page16"/>
    <w:bookmarkEnd w:id="1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Patents and Proprietary Information</w:t>
      </w:r>
    </w:p>
    <w:p>
      <w:pPr>
        <w:spacing w:after="0" w:line="53" w:lineRule="exact"/>
        <w:rPr>
          <w:sz w:val="20"/>
          <w:szCs w:val="20"/>
          <w:color w:val="auto"/>
        </w:rPr>
      </w:pPr>
    </w:p>
    <w:p>
      <w:pPr>
        <w:ind w:right="100" w:firstLine="350"/>
        <w:spacing w:after="0" w:line="261" w:lineRule="auto"/>
        <w:rPr>
          <w:sz w:val="20"/>
          <w:szCs w:val="20"/>
          <w:color w:val="auto"/>
        </w:rPr>
      </w:pPr>
      <w:r>
        <w:rPr>
          <w:rFonts w:ascii="Times New Roman" w:cs="Times New Roman" w:eastAsia="Times New Roman" w:hAnsi="Times New Roman"/>
          <w:sz w:val="14"/>
          <w:szCs w:val="14"/>
          <w:color w:val="auto"/>
        </w:rPr>
        <w:t>Our management and technology consulting services business utilizes a variety of proprietary rights in delivering products and services to our clients. We claim a proprietary interest in certain service offerings, products, software tools, methodologies, and know-how, and also have certain licenses to third-party intellectual property that may be significant to our business. While we have several patents issued and pending in the United States and in certain foreign countries, we do not consider our overall business to be materially dependent on the protection of such patents. In addition, we have a number of trade secrets that contribute to our success and competitive position, and we endeavor to protect this proprietary information. While protecting trade secrets and proprietary information is important, we are not materially dependent on any specific trade secret or group of trade secrets.</w:t>
      </w:r>
    </w:p>
    <w:p>
      <w:pPr>
        <w:spacing w:after="0" w:line="16" w:lineRule="exact"/>
        <w:rPr>
          <w:sz w:val="20"/>
          <w:szCs w:val="20"/>
          <w:color w:val="auto"/>
        </w:rPr>
      </w:pPr>
    </w:p>
    <w:p>
      <w:pPr>
        <w:ind w:right="40" w:firstLine="350"/>
        <w:spacing w:after="0" w:line="260" w:lineRule="auto"/>
        <w:rPr>
          <w:sz w:val="20"/>
          <w:szCs w:val="20"/>
          <w:color w:val="auto"/>
        </w:rPr>
      </w:pPr>
      <w:r>
        <w:rPr>
          <w:rFonts w:ascii="Times New Roman" w:cs="Times New Roman" w:eastAsia="Times New Roman" w:hAnsi="Times New Roman"/>
          <w:sz w:val="14"/>
          <w:szCs w:val="14"/>
          <w:color w:val="auto"/>
        </w:rPr>
        <w:t>We rely 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We have a variety of trademarks registered in the United States and certain foreign countries, including “Booz Allen Hamilton” and “Booz Allen.” Generally, registered trademarks have perpetual life, provided that they are renewed on a timely basis and continue to be used properly as trademarks. We have registered trademarks related to our name and logo in the United States, with the earliest renewal in November 2032, while the earliest renewal for our trademarks outside of the United States is October 2024.</w:t>
      </w:r>
    </w:p>
    <w:p>
      <w:pPr>
        <w:spacing w:after="0" w:line="189" w:lineRule="exact"/>
        <w:rPr>
          <w:sz w:val="20"/>
          <w:szCs w:val="20"/>
          <w:color w:val="auto"/>
        </w:rPr>
      </w:pPr>
    </w:p>
    <w:p>
      <w:pPr>
        <w:jc w:val="both"/>
        <w:ind w:right="20" w:firstLine="350"/>
        <w:spacing w:after="0" w:line="270" w:lineRule="auto"/>
        <w:rPr>
          <w:sz w:val="20"/>
          <w:szCs w:val="20"/>
          <w:color w:val="auto"/>
        </w:rPr>
      </w:pPr>
      <w:r>
        <w:rPr>
          <w:rFonts w:ascii="Times New Roman" w:cs="Times New Roman" w:eastAsia="Times New Roman" w:hAnsi="Times New Roman"/>
          <w:sz w:val="14"/>
          <w:szCs w:val="14"/>
          <w:color w:val="auto"/>
        </w:rPr>
        <w:t>For our work under U.S. government funded contracts and subcontracts, the U.S. government obtains certain rights to data, software, and related information developed under such contracts or subcontracts. These rights may allow the U.S. government to disclose such data, software, and related information to third parties, which may include our competitors in some instances. In the case of our work as a subcontractor, our prime contractor may also have certain rights to data, information, and products we develop under the subcontract.</w:t>
      </w:r>
    </w:p>
    <w:p>
      <w:pPr>
        <w:spacing w:after="0" w:line="8" w:lineRule="exact"/>
        <w:rPr>
          <w:sz w:val="20"/>
          <w:szCs w:val="20"/>
          <w:color w:val="auto"/>
        </w:rPr>
      </w:pPr>
    </w:p>
    <w:p>
      <w:pPr>
        <w:ind w:right="120" w:firstLine="350"/>
        <w:spacing w:after="0" w:line="287" w:lineRule="auto"/>
        <w:rPr>
          <w:sz w:val="20"/>
          <w:szCs w:val="20"/>
          <w:color w:val="auto"/>
        </w:rPr>
      </w:pPr>
      <w:r>
        <w:rPr>
          <w:rFonts w:ascii="Times New Roman" w:cs="Times New Roman" w:eastAsia="Times New Roman" w:hAnsi="Times New Roman"/>
          <w:sz w:val="14"/>
          <w:szCs w:val="14"/>
          <w:color w:val="auto"/>
        </w:rPr>
        <w:t>Booz Allen Hamilton and other trademarks or service marks of Booz Allen Hamilton Inc. appearing in this Annual Report are the trademarks or registered trademarks of Booz Allen Hamilton Inc. Trade names, trademarks, and service marks of other companies appearing in this Annual Report are the property of their respective owners.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53" w:lineRule="exact"/>
        <w:rPr>
          <w:sz w:val="20"/>
          <w:szCs w:val="20"/>
          <w:color w:val="auto"/>
        </w:rPr>
      </w:pPr>
    </w:p>
    <w:p>
      <w:pPr>
        <w:ind w:right="120" w:firstLine="350"/>
        <w:spacing w:after="0" w:line="270" w:lineRule="auto"/>
        <w:rPr>
          <w:sz w:val="20"/>
          <w:szCs w:val="20"/>
          <w:color w:val="auto"/>
        </w:rPr>
      </w:pPr>
      <w:r>
        <w:rPr>
          <w:rFonts w:ascii="Times New Roman" w:cs="Times New Roman" w:eastAsia="Times New Roman" w:hAnsi="Times New Roman"/>
          <w:sz w:val="14"/>
          <w:szCs w:val="14"/>
          <w:color w:val="auto"/>
        </w:rPr>
        <w:t>As a contractor to the U.S. government, as well as state and local governments, we are heavily regulated in most fields in which we operate. We deal with numerous U.S. government agencies and entities, and, when working with these and other entities, we must comply with and are affected by unique laws and regulations relating to the formation, administration, and performance of public government contracts. Some significant laws and regulations that affect us include the following:</w:t>
      </w:r>
    </w:p>
    <w:p>
      <w:pPr>
        <w:spacing w:after="0" w:line="8" w:lineRule="exact"/>
        <w:rPr>
          <w:sz w:val="20"/>
          <w:szCs w:val="20"/>
          <w:color w:val="auto"/>
        </w:rPr>
      </w:pPr>
    </w:p>
    <w:p>
      <w:pPr>
        <w:ind w:left="520" w:right="120" w:hanging="133"/>
        <w:spacing w:after="0" w:line="26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13" w:lineRule="exact"/>
        <w:rPr>
          <w:rFonts w:ascii="Times New Roman" w:cs="Times New Roman" w:eastAsia="Times New Roman" w:hAnsi="Times New Roman"/>
          <w:sz w:val="14"/>
          <w:szCs w:val="14"/>
          <w:color w:val="auto"/>
        </w:rPr>
      </w:pPr>
    </w:p>
    <w:p>
      <w:pPr>
        <w:ind w:left="520" w:right="280" w:hanging="133"/>
        <w:spacing w:after="0" w:line="28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False Claims Act, which imposes civil and criminal liability for violations, including substantial monetary penalties, for, among other things, presenting false or fraudulent claims for payments or approval;</w:t>
      </w:r>
    </w:p>
    <w:p>
      <w:pPr>
        <w:ind w:left="520" w:hanging="133"/>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False Statements Act, which imposes civil and criminal liability for making false statements to the U.S. government;</w:t>
      </w:r>
    </w:p>
    <w:p>
      <w:pPr>
        <w:spacing w:after="0" w:line="51" w:lineRule="exact"/>
        <w:rPr>
          <w:rFonts w:ascii="Times New Roman" w:cs="Times New Roman" w:eastAsia="Times New Roman" w:hAnsi="Times New Roman"/>
          <w:sz w:val="14"/>
          <w:szCs w:val="14"/>
          <w:color w:val="auto"/>
        </w:rPr>
      </w:pPr>
    </w:p>
    <w:p>
      <w:pPr>
        <w:ind w:left="520" w:right="440" w:hanging="133"/>
        <w:spacing w:after="0" w:line="28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Truthful Cost or Pricing Data Statute (formerly known as the Truth in Negotiations Act), which requires certification and disclosure of cost and pricing data in connection with the negotiation of certain contracts, modifications, or task orders;</w:t>
      </w:r>
    </w:p>
    <w:p>
      <w:pPr>
        <w:ind w:left="520" w:right="380" w:hanging="133"/>
        <w:spacing w:after="0" w:line="28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ind w:left="520" w:hanging="133"/>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and regulations restricting the ability of a contractor to provide gifts or gratuities to employees of the U.S. government;</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post-government employment laws and regulations, which restrict the ability of a contractor to recruit and hire current employees of the U.S. government and deploy former employees of the U.S. government;</w:t>
      </w:r>
    </w:p>
    <w:p>
      <w:pPr>
        <w:ind w:left="520" w:right="120" w:hanging="133"/>
        <w:spacing w:after="0" w:line="27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16" w:name="page17"/>
    <w:bookmarkEnd w:id="16"/>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520" w:hanging="13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regulating the handling, use, and dissemination of personally identifiable information in the course of performing a U.S. government contract;</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ind w:left="520" w:right="180" w:hanging="133"/>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8"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that impose requirements on us to ensure compliance with requirements and protect the government from risks related to our supply chain;</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mandatory contract provisions providing protections to employees or subcontractors seeking to report alleged fraud, waste, and abuse related to a government contract;</w:t>
      </w:r>
    </w:p>
    <w:p>
      <w:pPr>
        <w:spacing w:after="0" w:line="51" w:lineRule="exact"/>
        <w:rPr>
          <w:rFonts w:ascii="Times New Roman" w:cs="Times New Roman" w:eastAsia="Times New Roman" w:hAnsi="Times New Roman"/>
          <w:sz w:val="14"/>
          <w:szCs w:val="14"/>
          <w:color w:val="auto"/>
        </w:rPr>
      </w:pPr>
    </w:p>
    <w:p>
      <w:pPr>
        <w:ind w:left="520" w:right="200" w:hanging="133"/>
        <w:spacing w:after="0" w:line="28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ind w:left="520" w:hanging="133"/>
        <w:spacing w:after="0" w:line="28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Accounting Standards and Cost Principles, which impose accounting and allowability requirements that govern our right to reimbursement under certain cost-based U.S. government contracts and require consistency of accounting practices over time.</w:t>
      </w:r>
    </w:p>
    <w:p>
      <w:pPr>
        <w:spacing w:after="0" w:line="1"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Given the magnitude of our revenue derived from contracts with the Department of Defense, the Defense Contract Audit Agency (“DCAA”) is our cognizant government audit agency. The DCAA audits the adequacy of our internal control systems and policies including, among other areas, compensation. The Defense Contract Management Agency (“DCMA”), as our cognizant government contract management agency, may determine that a portion of our employee compensation is unallowable based on the findings and recommendations in the DCAA's audits. In addition, the DCMA directly reviews the adequacy of certain of our business systems, such as our purchasing system. See “Item 1A. Risk Factors—Legal and Regulatory Risks—Our work with government clients exposes us to additional risks inherent in the government contracting environment, which could reduce our revenue, disrupt our business, or otherwise materially adversely affect our results of operations.” We are also subject to audit by Inspectors General of other U.S. government agencies.</w:t>
      </w:r>
    </w:p>
    <w:p>
      <w:pPr>
        <w:spacing w:after="0" w:line="19" w:lineRule="exact"/>
        <w:rPr>
          <w:sz w:val="20"/>
          <w:szCs w:val="20"/>
          <w:color w:val="auto"/>
        </w:rPr>
      </w:pPr>
    </w:p>
    <w:p>
      <w:pPr>
        <w:ind w:right="200" w:firstLine="350"/>
        <w:spacing w:after="0" w:line="264" w:lineRule="auto"/>
        <w:rPr>
          <w:sz w:val="20"/>
          <w:szCs w:val="20"/>
          <w:color w:val="auto"/>
        </w:rPr>
      </w:pPr>
      <w:r>
        <w:rPr>
          <w:rFonts w:ascii="Times New Roman" w:cs="Times New Roman" w:eastAsia="Times New Roman" w:hAnsi="Times New Roman"/>
          <w:sz w:val="14"/>
          <w:szCs w:val="14"/>
          <w:color w:val="auto"/>
        </w:rPr>
        <w:t>The U.S. government may revise its procurement practices or adopt new contract rules and regulations at any time. To help ensure compliance with these laws and regulations, all of our employees are required to attend ethics training at least annually, and to participate in other compliance training relevant to their position. Internationally, we are subject to special U.S. government laws and regulations (such as the Foreign Corrupt Practices Act), local government regulations and procurement policies and practices, including regulations relating to import-export control, investments, exchange controls, and repatriation of earnings, as well as varying currency, political, and economic risks.</w:t>
      </w:r>
    </w:p>
    <w:p>
      <w:pPr>
        <w:spacing w:after="0" w:line="13" w:lineRule="exact"/>
        <w:rPr>
          <w:sz w:val="20"/>
          <w:szCs w:val="20"/>
          <w:color w:val="auto"/>
        </w:rPr>
      </w:pPr>
    </w:p>
    <w:p>
      <w:pPr>
        <w:ind w:right="160" w:firstLine="350"/>
        <w:spacing w:after="0" w:line="264" w:lineRule="auto"/>
        <w:rPr>
          <w:sz w:val="20"/>
          <w:szCs w:val="20"/>
          <w:color w:val="auto"/>
        </w:rPr>
      </w:pPr>
      <w:r>
        <w:rPr>
          <w:rFonts w:ascii="Times New Roman" w:cs="Times New Roman" w:eastAsia="Times New Roman" w:hAnsi="Times New Roman"/>
          <w:sz w:val="14"/>
          <w:szCs w:val="14"/>
          <w:color w:val="auto"/>
        </w:rPr>
        <w:t>U.S. government contracts are, by their terms, subject to termination by the U.S. government either for its convenience or default by the contractor. In addition, U.S. government contracts are conditioned upon the continuing availability of Congressional appropriations. Congress usually appropriates funds for a given program on a September 30 fiscal year basis, even though contract performance could take many years. As is common in the industry, our Company is subject to business risks, including changes in governmental appropriations, national defense policies, service modernization plans, and availability of funds. Any of these factors could materially adversely affect our Company’s business with the U.S. government in the future.</w:t>
      </w:r>
    </w:p>
    <w:p>
      <w:pPr>
        <w:spacing w:after="0" w:line="13" w:lineRule="exact"/>
        <w:rPr>
          <w:sz w:val="20"/>
          <w:szCs w:val="20"/>
          <w:color w:val="auto"/>
        </w:rPr>
      </w:pPr>
    </w:p>
    <w:p>
      <w:pPr>
        <w:ind w:right="60" w:firstLine="350"/>
        <w:spacing w:after="0" w:line="264" w:lineRule="auto"/>
        <w:rPr>
          <w:sz w:val="20"/>
          <w:szCs w:val="20"/>
          <w:color w:val="auto"/>
        </w:rPr>
      </w:pPr>
      <w:r>
        <w:rPr>
          <w:rFonts w:ascii="Times New Roman" w:cs="Times New Roman" w:eastAsia="Times New Roman" w:hAnsi="Times New Roman"/>
          <w:sz w:val="14"/>
          <w:szCs w:val="14"/>
          <w:color w:val="auto"/>
        </w:rPr>
        <w:t>The U.S. government has a broad range of actions that it can instigate to enforce its procurement law and policies. These include proposing a contractor, certain of its operations or individual employees for debarment or suspending or debarring a contractor, certain of its operations or individual employees from future government business. In addition to criminal, civil, and administrative actions by the U.S. government, under the False Claims Act, an individual alleging fraud related to payments under a U.S. government contract or program may file a qui tam lawsuit on behalf of the government against us; if successful in obtaining a judgment or settlement, the individual filing the suit may receive up to 30% of the amount recovered by the government.</w:t>
      </w:r>
    </w:p>
    <w:p>
      <w:pPr>
        <w:spacing w:after="0" w:line="13"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See “Item 1A. Risk Factors—Legal and Regulatory Risks—We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17" w:name="page18"/>
    <w:bookmarkEnd w:id="1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53"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We file annual, quarterly, and current reports and other information with the Securities and Exchange Commission (the “SEC”).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 on Form 10-K, Quarterly Reports on Form 10-Q, and Current Reports on Form 8-K, and any amendments to those forms) through the “Investors” portion of our website (www.boozallen.com).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5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1A</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Risk Factors.</w:t>
      </w:r>
    </w:p>
    <w:p>
      <w:pPr>
        <w:spacing w:after="0" w:line="51" w:lineRule="exact"/>
        <w:rPr>
          <w:sz w:val="20"/>
          <w:szCs w:val="20"/>
          <w:color w:val="auto"/>
        </w:rPr>
      </w:pPr>
    </w:p>
    <w:p>
      <w:pPr>
        <w:ind w:right="60"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5" w:lineRule="exact"/>
        <w:rPr>
          <w:sz w:val="20"/>
          <w:szCs w:val="20"/>
          <w:color w:val="auto"/>
        </w:rPr>
      </w:pPr>
    </w:p>
    <w:p>
      <w:pPr>
        <w:ind w:right="140" w:firstLine="350"/>
        <w:spacing w:after="0" w:line="287" w:lineRule="auto"/>
        <w:rPr>
          <w:sz w:val="20"/>
          <w:szCs w:val="20"/>
          <w:color w:val="auto"/>
        </w:rPr>
      </w:pPr>
      <w:r>
        <w:rPr>
          <w:rFonts w:ascii="Times New Roman" w:cs="Times New Roman" w:eastAsia="Times New Roman" w:hAnsi="Times New Roman"/>
          <w:sz w:val="14"/>
          <w:szCs w:val="14"/>
          <w:color w:val="auto"/>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A summary of our risks includes, but is not limited to, the following: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and Economic Risks</w:t>
      </w:r>
    </w:p>
    <w:p>
      <w:pPr>
        <w:spacing w:after="0" w:line="53" w:lineRule="exact"/>
        <w:rPr>
          <w:sz w:val="20"/>
          <w:szCs w:val="20"/>
          <w:color w:val="auto"/>
        </w:rPr>
      </w:pP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relating to our relationships with the U.S. government;</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government spending and mission priorities, including due to uncertainty relating to funding of the U.S. government and increasing the debt ceiling;</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disease outbreaks, pandemics, or widespread health epidemics, including disruptions to our workforce and the impact on government spending and demand for our solutions;</w:t>
      </w:r>
    </w:p>
    <w:p>
      <w:pPr>
        <w:spacing w:after="0" w:line="51" w:lineRule="exact"/>
        <w:rPr>
          <w:rFonts w:ascii="Times New Roman" w:cs="Times New Roman" w:eastAsia="Times New Roman" w:hAnsi="Times New Roman"/>
          <w:sz w:val="14"/>
          <w:szCs w:val="14"/>
          <w:color w:val="auto"/>
        </w:rPr>
      </w:pPr>
    </w:p>
    <w:p>
      <w:pPr>
        <w:ind w:left="520" w:right="240" w:hanging="133"/>
        <w:spacing w:after="0" w:line="284"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effectively in the competitive bidding and re-competing processes and delays or losses of contract awards caused by competitors’ protests of major contract awards received by us;</w:t>
      </w: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GSA schedules, or our position as prime contractor on GWACs;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purchasing patterns under GSA schedules, blanket purchase agreements, and IDIQ contracts;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mix of our contracts and our ability to accurately estimate or otherwise recover expenses, time, and resources for our contracts;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estimates used in recognizing revenue;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the full value of and replenish our backlog, generate revenue under certain of our contracts, and the timing of our receipt of revenue under contracts included in backlog;</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inflation that could impact the cost of doing business and/or reduce customer buying power;</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risks related to the deterioration of economic conditions or weakening in the credit or capital markets;</w:t>
      </w:r>
    </w:p>
    <w:p>
      <w:pPr>
        <w:spacing w:after="0" w:line="51" w:lineRule="exact"/>
        <w:rPr>
          <w:rFonts w:ascii="Times New Roman" w:cs="Times New Roman" w:eastAsia="Times New Roman" w:hAnsi="Times New Roman"/>
          <w:sz w:val="14"/>
          <w:szCs w:val="14"/>
          <w:i w:val="1"/>
          <w:iCs w:val="1"/>
          <w:color w:val="auto"/>
        </w:rPr>
      </w:pPr>
    </w:p>
    <w:p>
      <w:pPr>
        <w:ind w:left="520" w:right="240" w:hanging="133"/>
        <w:spacing w:after="0" w:line="284"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system or service failures and security breaches, including, but not limited to, those resulting from external or internal threats, including cyber attacks on our network and internal systems;</w:t>
      </w: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use of artificial intelligence, which include potential liability as well as regulatory, competition, reputational and other risks;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operation of financial management systems;</w:t>
      </w:r>
    </w:p>
    <w:p>
      <w:pPr>
        <w:spacing w:after="0" w:line="51" w:lineRule="exact"/>
        <w:rPr>
          <w:rFonts w:ascii="Times New Roman" w:cs="Times New Roman" w:eastAsia="Times New Roman" w:hAnsi="Times New Roman"/>
          <w:sz w:val="14"/>
          <w:szCs w:val="14"/>
          <w:color w:val="auto"/>
        </w:rPr>
      </w:pPr>
    </w:p>
    <w:p>
      <w:pPr>
        <w:ind w:left="520" w:right="160" w:hanging="133"/>
        <w:spacing w:after="0" w:line="284"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train, or retain employees with the requisite skills and experience and ensure that employees obtain and maintain necessary security clearances and effectively manage our cost structure;</w:t>
      </w: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members of senior management or failure to develop new leaders;</w:t>
      </w:r>
    </w:p>
    <w:p>
      <w:pPr>
        <w:spacing w:after="0" w:line="51" w:lineRule="exact"/>
        <w:rPr>
          <w:rFonts w:ascii="Times New Roman" w:cs="Times New Roman" w:eastAsia="Times New Roman" w:hAnsi="Times New Roman"/>
          <w:sz w:val="14"/>
          <w:szCs w:val="14"/>
          <w:color w:val="auto"/>
        </w:rPr>
      </w:pPr>
    </w:p>
    <w:p>
      <w:pPr>
        <w:ind w:left="520" w:right="640" w:hanging="133"/>
        <w:spacing w:after="0" w:line="284"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misconduct or other improper activities from our employees, subcontractors, or suppliers, including the improper access, use, or release of our or our clients’ sensitive or classified information;</w:t>
      </w: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increased competition from other companies in our industry;</w:t>
      </w:r>
    </w:p>
    <w:p>
      <w:pPr>
        <w:spacing w:after="0" w:line="51" w:lineRule="exact"/>
        <w:rPr>
          <w:rFonts w:ascii="Times New Roman" w:cs="Times New Roman" w:eastAsia="Times New Roman" w:hAnsi="Times New Roman"/>
          <w:sz w:val="14"/>
          <w:szCs w:val="14"/>
          <w:color w:val="auto"/>
        </w:rPr>
      </w:pPr>
    </w:p>
    <w:p>
      <w:pPr>
        <w:ind w:left="520" w:right="20" w:hanging="133"/>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strong relationships with other contractors, or the failure of contractors with which we have entered into a sub- or prime-contractor relationship to meet their obligations to us or our clients;</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18" w:name="page19"/>
    <w:bookmarkEnd w:id="1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520" w:hanging="133"/>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to our operating structure, capabilities, or strategy intended to address client needs, grow our business, or respond to market developments;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completed and future acquisitions, including our ability to realize the expected benefits from such acquisitions.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and Regulatory Risks</w:t>
      </w:r>
    </w:p>
    <w:p>
      <w:pPr>
        <w:spacing w:after="0" w:line="53" w:lineRule="exact"/>
        <w:rPr>
          <w:sz w:val="20"/>
          <w:szCs w:val="20"/>
          <w:color w:val="auto"/>
        </w:rPr>
      </w:pPr>
    </w:p>
    <w:p>
      <w:pPr>
        <w:ind w:left="520" w:hanging="13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numerous laws and regulations, including the FAR, False Claims Act, DFARS, and FAR Cost Accounting Standards and Cost Principles;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international operations;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by the U.S. government of new laws, rules, and regulations, such as those relating to organizational conflicts of interest issues or limits;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additional tax liabilities, including as a result of changes in tax laws or management judgments involving complex tax matters;</w:t>
      </w:r>
    </w:p>
    <w:p>
      <w:pPr>
        <w:spacing w:after="0" w:line="51" w:lineRule="exact"/>
        <w:rPr>
          <w:rFonts w:ascii="Times New Roman" w:cs="Times New Roman" w:eastAsia="Times New Roman" w:hAnsi="Times New Roman"/>
          <w:sz w:val="14"/>
          <w:szCs w:val="14"/>
          <w:color w:val="auto"/>
        </w:rPr>
      </w:pPr>
    </w:p>
    <w:p>
      <w:pPr>
        <w:ind w:left="520" w:right="760" w:hanging="133"/>
        <w:spacing w:after="0" w:line="284"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efforts to change how the U.S. government reimburses compensation related costs and other expenses or otherwise limit such reimbursements and an increased risk of compensation being deemed unreasonable and unallowable or payments being withheld as a result of U.S. government audit, review, or investigation;</w:t>
      </w:r>
    </w:p>
    <w:p>
      <w:pPr>
        <w:ind w:left="520" w:hanging="13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inherent uncertainties and potential adverse developments in legal or regulatory proceedings;</w:t>
      </w:r>
    </w:p>
    <w:p>
      <w:pPr>
        <w:spacing w:after="0" w:line="51" w:lineRule="exact"/>
        <w:rPr>
          <w:rFonts w:ascii="Times New Roman" w:cs="Times New Roman" w:eastAsia="Times New Roman" w:hAnsi="Times New Roman"/>
          <w:sz w:val="14"/>
          <w:szCs w:val="14"/>
          <w:color w:val="auto"/>
        </w:rPr>
      </w:pPr>
    </w:p>
    <w:p>
      <w:pPr>
        <w:ind w:left="520" w:right="200" w:hanging="133"/>
        <w:spacing w:after="0" w:line="284"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changes in accounting rules and regulations, or interpretations thereof, that may affect the way we recognize and report our financial results, including changes in accounting rules governing recognition of revenue; and</w:t>
      </w:r>
    </w:p>
    <w:p>
      <w:pPr>
        <w:ind w:left="520" w:hanging="13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ESG-related risks and climate change generally on our and our clients' businesses and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53" w:lineRule="exact"/>
        <w:rPr>
          <w:sz w:val="20"/>
          <w:szCs w:val="20"/>
          <w:color w:val="auto"/>
        </w:rPr>
      </w:pPr>
    </w:p>
    <w:p>
      <w:pPr>
        <w:ind w:left="520" w:hanging="133"/>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our substantial indebtedness and our ability to service and refinance such indebtedness;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restrictions and limitations in the agreements and instruments governing our indebtedness.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53" w:lineRule="exact"/>
        <w:rPr>
          <w:sz w:val="20"/>
          <w:szCs w:val="20"/>
          <w:color w:val="auto"/>
        </w:rPr>
      </w:pPr>
    </w:p>
    <w:p>
      <w:pPr>
        <w:ind w:left="520" w:hanging="133"/>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volatility of the market price of our Class A common stock;</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amount of our dividends, if any;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fulfilling our obligations incident to being a public company.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and Economic Risks</w:t>
      </w:r>
    </w:p>
    <w:p>
      <w:pPr>
        <w:spacing w:after="0" w:line="94" w:lineRule="exact"/>
        <w:rPr>
          <w:sz w:val="20"/>
          <w:szCs w:val="20"/>
          <w:color w:val="auto"/>
        </w:rPr>
      </w:pPr>
    </w:p>
    <w:p>
      <w:pPr>
        <w:ind w:right="16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depend on contracts with U.S. government agencies for substantially all of our revenue. If our relationships with such agencies are harmed, our future revenue and operating profits would decline.</w:t>
      </w:r>
    </w:p>
    <w:p>
      <w:pPr>
        <w:ind w:firstLine="350"/>
        <w:spacing w:after="0" w:line="255" w:lineRule="auto"/>
        <w:rPr>
          <w:sz w:val="20"/>
          <w:szCs w:val="20"/>
          <w:color w:val="auto"/>
        </w:rPr>
      </w:pPr>
      <w:r>
        <w:rPr>
          <w:rFonts w:ascii="Times New Roman" w:cs="Times New Roman" w:eastAsia="Times New Roman" w:hAnsi="Times New Roman"/>
          <w:sz w:val="14"/>
          <w:szCs w:val="14"/>
          <w:color w:val="auto"/>
        </w:rPr>
        <w:t>The U.S. government is our primary client, with revenue from contracts and task orders, either as a prime or a subcontractor, with U.S. government agencies accounting for 98% of our revenue for fiscal year 2024. Our belief is that the successful future growth of our business will continue to depend primarily on our ability to be awarded work under U.S. government contracts, as we expect this will be the primary source of substantially all of our revenue in the foreseeable future. For this reason, any issue that compromises our relationship with the U.S. government generally or any U.S. government agency that we serve would cause our revenue to decline. Among the key factors in maintaining our relationship with U.S. government agencies is our performance on contracts and task orders, the strength of our professional reputation, compliance with applicable laws and regulations, and the strength of our relationships with client personnel. In addition, the mishandling or the perception of mishandling of sensitive information, such as our failure to maintain the confidentiality of the existence of our business relationships with certain of our clients, including as a result of misconduct or other improper activities by our employees, subcontractors, or suppliers, or a failure to maintain adequate protection against security breaches, including those resulting from cyber attacks, could harm our relationship with U.S. government agencies. See “—Our employees or subcontractors may engage in misconduct or other improper activities, which could harm our ability to conduct business with the U.S. government.” Our relationship with the U.S. government could also be damaged as a result of an agency’s dissatisfaction with work performed by us, a subcontractor, or other third parties who provide services or products for a specific project for any reason, including due to perceived or actual deficiencies in the performance or quality of our work, and we may incur additional costs to address any such situation and the profitability of that work might be impaired. Further, negative publicity concerning government contractors in general, or us, regardless of accuracy, may harm our reputation among federal agencies and federal government contractors. Due to the sensitive nature of our work and our confidentiality obligations to our customers, we may be unable or limited in our ability to respond to such negative publicity, which could also harm our reputation and business. To the extent our reputation or relationships with U.S. government agencies is impaired, our revenue and operating profits could materially decline.</w:t>
      </w:r>
    </w:p>
    <w:p>
      <w:pPr>
        <w:spacing w:after="0" w:line="200" w:lineRule="exact"/>
        <w:rPr>
          <w:sz w:val="20"/>
          <w:szCs w:val="20"/>
          <w:color w:val="auto"/>
        </w:rPr>
      </w:pPr>
    </w:p>
    <w:p>
      <w:pPr>
        <w:spacing w:after="0" w:line="21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19" w:name="page20"/>
    <w:bookmarkEnd w:id="1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U.S. government spending levels and mission priorities could change in a manner that adversely affects our future revenue and limits our growth prospects.</w:t>
      </w:r>
    </w:p>
    <w:p>
      <w:pPr>
        <w:spacing w:after="0" w:line="53" w:lineRule="exact"/>
        <w:rPr>
          <w:sz w:val="20"/>
          <w:szCs w:val="20"/>
          <w:color w:val="auto"/>
        </w:rPr>
      </w:pPr>
    </w:p>
    <w:p>
      <w:pPr>
        <w:ind w:right="60" w:firstLine="350"/>
        <w:spacing w:after="0" w:line="270" w:lineRule="auto"/>
        <w:rPr>
          <w:sz w:val="20"/>
          <w:szCs w:val="20"/>
          <w:color w:val="auto"/>
        </w:rPr>
      </w:pPr>
      <w:r>
        <w:rPr>
          <w:rFonts w:ascii="Times New Roman" w:cs="Times New Roman" w:eastAsia="Times New Roman" w:hAnsi="Times New Roman"/>
          <w:sz w:val="14"/>
          <w:szCs w:val="14"/>
          <w:color w:val="auto"/>
        </w:rPr>
        <w:t>Our business depends upon continued U.S. government expenditures on defense, intelligence, and civil programs for which we provide support. These expenditures have not remained constant over time, have been reduced in certain periods, and have been affected by the U.S. government’s efforts to improve efficiency and reduce costs affecting U.S. government programs generally. Our business, prospects, financial condition, or operating results could be materially harmed by, among other causes, the following:</w:t>
      </w:r>
    </w:p>
    <w:p>
      <w:pPr>
        <w:spacing w:after="0" w:line="8" w:lineRule="exact"/>
        <w:rPr>
          <w:sz w:val="20"/>
          <w:szCs w:val="20"/>
          <w:color w:val="auto"/>
        </w:rPr>
      </w:pPr>
    </w:p>
    <w:p>
      <w:pPr>
        <w:ind w:left="520" w:hanging="13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budgetary constraints, including mandated automatic spending cuts, affecting U.S. government spending generally, or specific agencies in particular, and changes in available funding;</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shift in the permissible federal debt limit;</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shift in expenditures away from agencies or programs that we support;</w:t>
      </w:r>
    </w:p>
    <w:p>
      <w:pPr>
        <w:spacing w:after="0" w:line="51" w:lineRule="exact"/>
        <w:rPr>
          <w:rFonts w:ascii="Times New Roman" w:cs="Times New Roman" w:eastAsia="Times New Roman" w:hAnsi="Times New Roman"/>
          <w:sz w:val="14"/>
          <w:szCs w:val="14"/>
          <w:color w:val="auto"/>
        </w:rPr>
      </w:pPr>
    </w:p>
    <w:p>
      <w:pPr>
        <w:ind w:left="520" w:right="380" w:hanging="133"/>
        <w:spacing w:after="0" w:line="284"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U.S.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ind w:left="520" w:hanging="13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delays in U.S. government programs that we support or related requirements;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government shutdowns due to, among other reasons, a failure to fund the government and other potential delays in the appropriations process;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government agencies awarding contracts on a technically acceptable/lowest cost basis in order to reduce expenditures;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the payment of our invoices by government payment offices;</w:t>
      </w:r>
    </w:p>
    <w:p>
      <w:pPr>
        <w:spacing w:after="0" w:line="51" w:lineRule="exact"/>
        <w:rPr>
          <w:rFonts w:ascii="Times New Roman" w:cs="Times New Roman" w:eastAsia="Times New Roman" w:hAnsi="Times New Roman"/>
          <w:sz w:val="14"/>
          <w:szCs w:val="14"/>
          <w:color w:val="auto"/>
        </w:rPr>
      </w:pPr>
    </w:p>
    <w:p>
      <w:pPr>
        <w:ind w:left="520" w:right="500" w:hanging="133"/>
        <w:spacing w:after="0" w:line="284"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by the U.S. government to fund its operations as a result of a failure to increase the U.S. government’s debt ceiling, the exhaustion of “extraordinary measures” to borrow additional funds without breaching the government’s debt ceiling, a credit downgrade of U.S. government obligations or for any other reason; and</w:t>
      </w:r>
    </w:p>
    <w:p>
      <w:pPr>
        <w:ind w:left="520" w:right="60" w:hanging="133"/>
        <w:spacing w:after="0" w:line="276"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political climate and general economic conditions, including political changes from successive presidential administrations, a slowdown of the economy or unstable economic conditions and other conditions, such as emergency spending, that reduce funds available for other government priorities.</w:t>
      </w:r>
    </w:p>
    <w:p>
      <w:pPr>
        <w:spacing w:after="0" w:line="1" w:lineRule="exact"/>
        <w:rPr>
          <w:sz w:val="20"/>
          <w:szCs w:val="20"/>
          <w:color w:val="auto"/>
        </w:rPr>
      </w:pPr>
    </w:p>
    <w:p>
      <w:pPr>
        <w:ind w:right="180" w:firstLine="350"/>
        <w:spacing w:after="0" w:line="243" w:lineRule="auto"/>
        <w:rPr>
          <w:sz w:val="20"/>
          <w:szCs w:val="20"/>
          <w:color w:val="auto"/>
        </w:rPr>
      </w:pPr>
      <w:r>
        <w:rPr>
          <w:rFonts w:ascii="Times New Roman" w:cs="Times New Roman" w:eastAsia="Times New Roman" w:hAnsi="Times New Roman"/>
          <w:sz w:val="14"/>
          <w:szCs w:val="14"/>
          <w:color w:val="auto"/>
        </w:rPr>
        <w:t>In addition, any disruption in the functioning of U.S. government agencies, including as a result of U.S. government closures and shutdowns, terrorism, war, international conflicts (including the ongoing conflict between Russia and Ukraine and the ongoing conflict between Israel and Hamas), natural disasters, public health crises, destruction of U.S. government facilities, and other potential calamities could have a negative impact on our operations and cause us to lose revenue or incur additional costs due to, among other things, our inability to deploy our staff to client locations or facilities as a result of such disruptions.</w:t>
      </w:r>
    </w:p>
    <w:p>
      <w:pPr>
        <w:spacing w:after="0" w:line="27"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The U.S. government budget deficits, the national debt, and prevailing economic conditions, and actions taken to address them, could negatively affect U.S. government expenditures on defense, intelligence, and civil programs for which we provide support. The Department of Defense is one of our significant clients and cost cutting, including through consolidation and elimination of duplicative organizations and insourcing, has become a major initiative for the Department of Defense. A reduction in the amount of, or delays or cancellations of funding for, services that we are contracted to provide as a result of any of these related initiatives, legislation, or otherwise could have a material adverse effect on our business and results of operations. In addition, government agencies have reduced management support services spending in recent years. If federal awards for management support services continue to decline, our revenue and operating profits may materially decline and could have a material and adverse effect on our business and results of operations.</w:t>
      </w:r>
    </w:p>
    <w:p>
      <w:pPr>
        <w:spacing w:after="0" w:line="19" w:lineRule="exact"/>
        <w:rPr>
          <w:sz w:val="20"/>
          <w:szCs w:val="20"/>
          <w:color w:val="auto"/>
        </w:rPr>
      </w:pPr>
    </w:p>
    <w:p>
      <w:pPr>
        <w:ind w:right="120" w:firstLine="350"/>
        <w:spacing w:after="0" w:line="270" w:lineRule="auto"/>
        <w:rPr>
          <w:sz w:val="20"/>
          <w:szCs w:val="20"/>
          <w:color w:val="auto"/>
        </w:rPr>
      </w:pPr>
      <w:r>
        <w:rPr>
          <w:rFonts w:ascii="Times New Roman" w:cs="Times New Roman" w:eastAsia="Times New Roman" w:hAnsi="Times New Roman"/>
          <w:sz w:val="14"/>
          <w:szCs w:val="14"/>
          <w:color w:val="auto"/>
        </w:rPr>
        <w:t>Considerable uncertainty exists regarding how future budget and program decisions will unfold, including the spending priorities of the U.S. government. In January 2025, the U.S. Congress may have to contend with the legal limit on U.S. debt commonly known as the debt ceiling. If the debt ceiling is not raised, the U.S. government may not be able to fulfill its funding obligations and there could be significant disruption to all discretionary programs, which would have corresponding impacts on us and our industry.</w:t>
      </w:r>
    </w:p>
    <w:p>
      <w:pPr>
        <w:spacing w:after="0" w:line="8" w:lineRule="exact"/>
        <w:rPr>
          <w:sz w:val="20"/>
          <w:szCs w:val="20"/>
          <w:color w:val="auto"/>
        </w:rPr>
      </w:pPr>
    </w:p>
    <w:p>
      <w:pPr>
        <w:jc w:val="both"/>
        <w:ind w:right="120" w:firstLine="350"/>
        <w:spacing w:after="0" w:line="270" w:lineRule="auto"/>
        <w:rPr>
          <w:sz w:val="20"/>
          <w:szCs w:val="20"/>
          <w:color w:val="auto"/>
        </w:rPr>
      </w:pPr>
      <w:r>
        <w:rPr>
          <w:rFonts w:ascii="Times New Roman" w:cs="Times New Roman" w:eastAsia="Times New Roman" w:hAnsi="Times New Roman"/>
          <w:sz w:val="14"/>
          <w:szCs w:val="14"/>
          <w:color w:val="auto"/>
        </w:rPr>
        <w:t>If government funding relating to our contracts with the U.S. government or Department of Defense becomes unavailable, or is reduced or delayed, or planned orders are reduced, our contract or subcontract under such programs may be terminated or adjusted by the U.S. government or the prime contractor, if applicable. Our operating results could also be adversely affected by spending caps or changes in the budgetary priorities of the U.S. government or Department of Defense, as well as delays in program starts or the award of contracts or task orders under contracts.</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20" w:name="page21"/>
    <w:bookmarkEnd w:id="2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These or other factors could cause our defense, intelligence, or civil clients to decrease the number of new contracts awarded generally and fail to award us new contracts, reduce their purchases under our existing contracts, exercise their right to terminate our contracts, or not exercise options to renew our contracts, any of which could cause a material decline in our revenue.</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The effects of a disease outbreak, pandemic or widespread health epidemic could have a material adverse effect on our business and results of operations.</w:t>
      </w:r>
    </w:p>
    <w:p>
      <w:pPr>
        <w:spacing w:after="0" w:line="53" w:lineRule="exact"/>
        <w:rPr>
          <w:sz w:val="20"/>
          <w:szCs w:val="20"/>
          <w:color w:val="auto"/>
        </w:rPr>
      </w:pPr>
    </w:p>
    <w:p>
      <w:pPr>
        <w:ind w:right="140" w:firstLine="350"/>
        <w:spacing w:after="0" w:line="270" w:lineRule="auto"/>
        <w:rPr>
          <w:sz w:val="20"/>
          <w:szCs w:val="20"/>
          <w:color w:val="auto"/>
        </w:rPr>
      </w:pPr>
      <w:r>
        <w:rPr>
          <w:rFonts w:ascii="Times New Roman" w:cs="Times New Roman" w:eastAsia="Times New Roman" w:hAnsi="Times New Roman"/>
          <w:sz w:val="14"/>
          <w:szCs w:val="14"/>
          <w:color w:val="auto"/>
        </w:rPr>
        <w:t>Disease outbreaks, pandemics or similar widespread health epidemics and attempts to contain and reduce their spread may adversely affect U.S. and global economies, including impacts to supply chains, customer demand, international trade, and capital markets. These effects may adversely affect certain of our business operations and may materially and adversely affect our financial condition, results of operations, cash flows, and equity.</w:t>
      </w:r>
    </w:p>
    <w:p>
      <w:pPr>
        <w:spacing w:after="0" w:line="8" w:lineRule="exact"/>
        <w:rPr>
          <w:sz w:val="20"/>
          <w:szCs w:val="20"/>
          <w:color w:val="auto"/>
        </w:rPr>
      </w:pPr>
    </w:p>
    <w:p>
      <w:pPr>
        <w:ind w:right="40" w:firstLine="350"/>
        <w:spacing w:after="0" w:line="258" w:lineRule="auto"/>
        <w:rPr>
          <w:sz w:val="20"/>
          <w:szCs w:val="20"/>
          <w:color w:val="auto"/>
        </w:rPr>
      </w:pPr>
      <w:r>
        <w:rPr>
          <w:rFonts w:ascii="Times New Roman" w:cs="Times New Roman" w:eastAsia="Times New Roman" w:hAnsi="Times New Roman"/>
          <w:sz w:val="14"/>
          <w:szCs w:val="14"/>
          <w:color w:val="auto"/>
        </w:rPr>
        <w:t>We have taken precautionary measures intended to minimize the risk of disease outbreaks, pandemics or similar widespread health epidemics, to our employees, our clients, and the communities in which we operate, as well as remedial measures to address residual, lasting issues, including increased medical costs and a rise in mental health issues, which could negatively impact our business. In addition, some of our employees, clients, and subcontractors are located in foreign countries, which may be impacted differently from the United States depending on their circumstances. Although the Company has business continuity plans and other safeguards in place, there is no assurance that such plans and safeguards will be effective or that such measures will not adversely affect our operations or long-term plans. In addition, as local conditions and regulations respond to the risks of disease outbreaks, pandemics or similar widespread health epidemics regarding the return of employees to offices generally, our workforce may not be able to return to work in person immediately, if at all, or may instead choose to pursue competing employment opportunities, including as a result of transportation, childcare, and ongoing health issues, which could negatively affect our business.</w:t>
      </w:r>
    </w:p>
    <w:p>
      <w:pPr>
        <w:spacing w:after="0" w:line="19" w:lineRule="exact"/>
        <w:rPr>
          <w:sz w:val="20"/>
          <w:szCs w:val="20"/>
          <w:color w:val="auto"/>
        </w:rPr>
      </w:pPr>
    </w:p>
    <w:p>
      <w:pPr>
        <w:ind w:right="300" w:firstLine="350"/>
        <w:spacing w:after="0" w:line="270" w:lineRule="auto"/>
        <w:rPr>
          <w:sz w:val="20"/>
          <w:szCs w:val="20"/>
          <w:color w:val="auto"/>
        </w:rPr>
      </w:pPr>
      <w:r>
        <w:rPr>
          <w:rFonts w:ascii="Times New Roman" w:cs="Times New Roman" w:eastAsia="Times New Roman" w:hAnsi="Times New Roman"/>
          <w:sz w:val="14"/>
          <w:szCs w:val="14"/>
          <w:color w:val="auto"/>
        </w:rPr>
        <w:t>In addition, disease outbreaks, pandemics or widespread health epidemics may disrupt the operations of our clients, suppliers, vendors, service providers, and subcontractors, including as a result of travel restrictions, business shutdowns, key material shortages, or lack of access to financial markets, all of which could negatively impact our business and results of operations. Any inability to develop alternative sources of supply on a cost-effective and timely basis could materially impair our ability to provide products, systems, and services to our clients.</w:t>
      </w:r>
    </w:p>
    <w:p>
      <w:pPr>
        <w:spacing w:after="0" w:line="49" w:lineRule="exact"/>
        <w:rPr>
          <w:sz w:val="20"/>
          <w:szCs w:val="20"/>
          <w:color w:val="auto"/>
        </w:rPr>
      </w:pPr>
    </w:p>
    <w:p>
      <w:pPr>
        <w:ind w:right="20"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derive a majority of our revenue from contracts awarded through a competitive bidding process, and our revenue and profitability may be adversely affected if we are unable to compete or re-compete effectively in the process or if there are delays caused by our competitors protesting major contract awards received by us.</w:t>
      </w:r>
    </w:p>
    <w:p>
      <w:pPr>
        <w:spacing w:after="0" w:line="37" w:lineRule="exact"/>
        <w:rPr>
          <w:sz w:val="20"/>
          <w:szCs w:val="20"/>
          <w:color w:val="auto"/>
        </w:rPr>
      </w:pPr>
    </w:p>
    <w:p>
      <w:pPr>
        <w:ind w:right="300" w:firstLine="350"/>
        <w:spacing w:after="0" w:line="287" w:lineRule="auto"/>
        <w:rPr>
          <w:sz w:val="20"/>
          <w:szCs w:val="20"/>
          <w:color w:val="auto"/>
        </w:rPr>
      </w:pPr>
      <w:r>
        <w:rPr>
          <w:rFonts w:ascii="Times New Roman" w:cs="Times New Roman" w:eastAsia="Times New Roman" w:hAnsi="Times New Roman"/>
          <w:sz w:val="14"/>
          <w:szCs w:val="14"/>
          <w:color w:val="auto"/>
        </w:rPr>
        <w:t>We derive a majority of our revenue from U.S. government contracts awarded through competitive bidding and re-competing processes. We do not expect this to change for the foreseeable future. Our failure to compete effectively in this procurement environment would have a material adverse effect on our revenue and profitability.</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competitive bidding and re-competing processes involve risk and significant costs to businesses operating in this environment, including:</w:t>
      </w:r>
    </w:p>
    <w:p>
      <w:pPr>
        <w:spacing w:after="0" w:line="94" w:lineRule="exact"/>
        <w:rPr>
          <w:sz w:val="20"/>
          <w:szCs w:val="20"/>
          <w:color w:val="auto"/>
        </w:rPr>
      </w:pPr>
    </w:p>
    <w:p>
      <w:pPr>
        <w:ind w:left="520" w:right="100" w:hanging="133"/>
        <w:spacing w:after="0" w:line="28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necessity to expend resources, make financial commitments (such as procuring leased premises), and bid on engagements in advance of the completion of their design, which may result in unforeseen difficulties in execution, cost overruns and, in the case of an unsuccessful competition, the loss of committed costs;</w:t>
      </w:r>
    </w:p>
    <w:p>
      <w:pPr>
        <w:spacing w:after="0" w:line="39"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substantial cost and managerial time and effort spent to prepare bids and proposals for contracts that may not be awarded to us;</w:t>
      </w:r>
    </w:p>
    <w:p>
      <w:pPr>
        <w:spacing w:after="0" w:line="93"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accurately estimate the resources and costs that will be required to service any contract we are awarded;</w:t>
      </w:r>
    </w:p>
    <w:p>
      <w:pPr>
        <w:spacing w:after="0" w:line="93" w:lineRule="exact"/>
        <w:rPr>
          <w:rFonts w:ascii="Times New Roman" w:cs="Times New Roman" w:eastAsia="Times New Roman" w:hAnsi="Times New Roman"/>
          <w:sz w:val="14"/>
          <w:szCs w:val="14"/>
          <w:color w:val="auto"/>
        </w:rPr>
      </w:pPr>
    </w:p>
    <w:p>
      <w:pPr>
        <w:ind w:left="520" w:right="80" w:hanging="133"/>
        <w:spacing w:after="0" w:line="28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 and delay that may arise if our competitors protest or challenge contract awards made to us pursuant to competitive bidding, and the risk that any such protest or challenge could result in the resubmission of bids on modified specifications, or in termination, reduction, or modification of the awarded contract; and</w:t>
      </w:r>
    </w:p>
    <w:p>
      <w:pPr>
        <w:spacing w:after="0" w:line="39"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opportunity cost of not bidding and winning other contracts we might have otherwise pursued.</w:t>
      </w:r>
    </w:p>
    <w:p>
      <w:pPr>
        <w:spacing w:after="0" w:line="94"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In circumstances where contracts are held by other companies and are scheduled to expire, we still may not be provided the opportunity to bid on those contracts if the U.S. government determines to extend the existing contract. If we are unable to win particular contracts that are awarded through the competitive bidding and re-competing processes, we may not be able to operate in the market for services that are provided under those contracts for the duration of those contracts to the extent that there is no additional demand for such services. An inability to consistently win new contract awards over any extended period would have a material adverse effect on our business and results of operations.</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21" w:name="page22"/>
    <w:bookmarkEnd w:id="2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5" w:lineRule="exact"/>
        <w:rPr>
          <w:sz w:val="20"/>
          <w:szCs w:val="20"/>
          <w:color w:val="auto"/>
        </w:rPr>
      </w:pPr>
    </w:p>
    <w:p>
      <w:pPr>
        <w:ind w:right="60" w:firstLine="350"/>
        <w:spacing w:after="0" w:line="264" w:lineRule="auto"/>
        <w:rPr>
          <w:sz w:val="20"/>
          <w:szCs w:val="20"/>
          <w:color w:val="auto"/>
        </w:rPr>
      </w:pPr>
      <w:r>
        <w:rPr>
          <w:rFonts w:ascii="Times New Roman" w:cs="Times New Roman" w:eastAsia="Times New Roman" w:hAnsi="Times New Roman"/>
          <w:sz w:val="14"/>
          <w:szCs w:val="14"/>
          <w:color w:val="auto"/>
        </w:rPr>
        <w:t>We have seen our current competitive environment result in an increase in the number of bid protests from unsuccessful bidders on new program awards. It can take many months for the relevant U.S. government agency to resolve protests by one or more of our competitors of contract awards we receive. Bid protests may result in significant expense to us, contract modification, or loss of an awarded contract as a result of the award being overturned. Even where we do not lose the awarded contract, the resulting delay in the startup and funding of the work under these contracts may cause our actual results to differ materially and adversely from those anticipated.</w:t>
      </w:r>
    </w:p>
    <w:p>
      <w:pPr>
        <w:spacing w:after="0" w:line="54" w:lineRule="exact"/>
        <w:rPr>
          <w:sz w:val="20"/>
          <w:szCs w:val="20"/>
          <w:color w:val="auto"/>
        </w:rPr>
      </w:pPr>
    </w:p>
    <w:p>
      <w:pPr>
        <w:ind w:right="76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 significant majority of our revenue is derived from task orders under indefinite delivery/indefinite quantity, or IDIQ, contract vehicles where we perform in either a prime or subcontractor position.</w:t>
      </w:r>
    </w:p>
    <w:p>
      <w:pPr>
        <w:ind w:left="360"/>
        <w:spacing w:after="0"/>
        <w:rPr>
          <w:sz w:val="20"/>
          <w:szCs w:val="20"/>
          <w:color w:val="auto"/>
        </w:rPr>
      </w:pPr>
      <w:r>
        <w:rPr>
          <w:rFonts w:ascii="Times New Roman" w:cs="Times New Roman" w:eastAsia="Times New Roman" w:hAnsi="Times New Roman"/>
          <w:sz w:val="14"/>
          <w:szCs w:val="14"/>
          <w:color w:val="auto"/>
        </w:rPr>
        <w:t>We believe that one of the key elements of our success is our position as the holder of 2,650 active task orders under IDIQ contract vehicles as of March 31, 2024.</w:t>
      </w:r>
    </w:p>
    <w:p>
      <w:pPr>
        <w:spacing w:after="0" w:line="51" w:lineRule="exact"/>
        <w:rPr>
          <w:sz w:val="20"/>
          <w:szCs w:val="20"/>
          <w:color w:val="auto"/>
        </w:rPr>
      </w:pPr>
    </w:p>
    <w:p>
      <w:pPr>
        <w:ind w:right="60" w:firstLine="350"/>
        <w:spacing w:after="0" w:line="261" w:lineRule="auto"/>
        <w:rPr>
          <w:sz w:val="20"/>
          <w:szCs w:val="20"/>
          <w:color w:val="auto"/>
        </w:rPr>
      </w:pPr>
      <w:r>
        <w:rPr>
          <w:rFonts w:ascii="Times New Roman" w:cs="Times New Roman" w:eastAsia="Times New Roman" w:hAnsi="Times New Roman"/>
          <w:sz w:val="14"/>
          <w:szCs w:val="14"/>
          <w:color w:val="auto"/>
        </w:rPr>
        <w:t>IDIQ contracts provide for the issuance by the client of orders for services or products under the contract, and often contain multi-year terms and unfunded ceiling amounts, which allow but do not commit the U.S. government to purchase products and services from contractors. Our ability to generate revenue under each of these types of contracts depends upon our ability to be awarded task orders for specific services by the client. IDIQ contracts may be awarded to one contractor (single award) or several contractors (multiple award). Multiple contractors must compete under multiple award IDIQ contracts for task orders to provide particular services, and contractors earn revenue only to the extent that they successfully compete for these task orders. A failure to be awarded task orders under such contracts would have a material adverse effect on our results of operations and financial condition.</w:t>
      </w:r>
    </w:p>
    <w:p>
      <w:pPr>
        <w:spacing w:after="0" w:line="16" w:lineRule="exact"/>
        <w:rPr>
          <w:sz w:val="20"/>
          <w:szCs w:val="20"/>
          <w:color w:val="auto"/>
        </w:rPr>
      </w:pPr>
    </w:p>
    <w:p>
      <w:pPr>
        <w:ind w:right="240" w:firstLine="350"/>
        <w:spacing w:after="0" w:line="270" w:lineRule="auto"/>
        <w:rPr>
          <w:sz w:val="20"/>
          <w:szCs w:val="20"/>
          <w:color w:val="auto"/>
        </w:rPr>
      </w:pPr>
      <w:r>
        <w:rPr>
          <w:rFonts w:ascii="Times New Roman" w:cs="Times New Roman" w:eastAsia="Times New Roman" w:hAnsi="Times New Roman"/>
          <w:sz w:val="14"/>
          <w:szCs w:val="14"/>
          <w:color w:val="auto"/>
        </w:rPr>
        <w:t>In addition, our ability to maintain our existing business and win new business depends on our ability to maintain our prime and subcontractor positions on these contracts. The loss, without replacement, of certain of these contract vehicles could have a material adverse effect on our ability to win new business and our operating results. If the U.S. government elects to use a contract vehicle that we do not hold, we will not be able to compete for work under that contract vehicle as a prime contractor.</w:t>
      </w:r>
    </w:p>
    <w:p>
      <w:pPr>
        <w:spacing w:after="0" w:line="49" w:lineRule="exact"/>
        <w:rPr>
          <w:sz w:val="20"/>
          <w:szCs w:val="20"/>
          <w:color w:val="auto"/>
        </w:rPr>
      </w:pPr>
    </w:p>
    <w:p>
      <w:pPr>
        <w:ind w:right="10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earnings and profitability may vary based on the mix of our contracts and may be adversely affected by our failure to accurately estimate or otherwise recover the expenses, time, and resources for our contracts.</w:t>
      </w:r>
    </w:p>
    <w:p>
      <w:pPr>
        <w:ind w:right="280" w:firstLine="350"/>
        <w:spacing w:after="0" w:line="270" w:lineRule="auto"/>
        <w:rPr>
          <w:sz w:val="20"/>
          <w:szCs w:val="20"/>
          <w:color w:val="auto"/>
        </w:rPr>
      </w:pPr>
      <w:r>
        <w:rPr>
          <w:rFonts w:ascii="Times New Roman" w:cs="Times New Roman" w:eastAsia="Times New Roman" w:hAnsi="Times New Roman"/>
          <w:sz w:val="14"/>
          <w:szCs w:val="14"/>
          <w:color w:val="auto"/>
        </w:rPr>
        <w:t>We enter into three general types of U.S. government contracts for our services: cost-reimbursable, time-and-materials, and fixed-price. Each of these types of contracts, to varying degrees, involves the risk that we could underestimate our cost of fulfilling the contract, which may reduce the profit we earn or lead to a financial loss on the contract and adversely affect our operating results.</w:t>
      </w:r>
    </w:p>
    <w:p>
      <w:pPr>
        <w:spacing w:after="0" w:line="8"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Under cost-reimbursable contracts, we are reimbursed for allowable costs up to a ceiling and paid a fee, which may be fixed or performance-based. If our actual costs exceed the contract ceiling or are not allowable under the terms of the contract or applicable regulations, we may not be able to recover those costs. In particular, there is ongoing focus by the U.S. government on the extent to which government contractors, including us, are able to receive reimbursement for employee compensation, including the adoption of interim rules by federal agencies implementing a section of the Bipartisan Budget Act of 2013, as amended, that substantially decreased the level of allowable compensation cost for executive-level employees and further applied the newly reduced limitation to all employees. In addition, there is an increased risk of compensation being deemed unallowable or payments being withheld as a result of U.S. government audit, review, or investigation.</w:t>
      </w:r>
    </w:p>
    <w:p>
      <w:pPr>
        <w:spacing w:after="0" w:line="16" w:lineRule="exact"/>
        <w:rPr>
          <w:sz w:val="20"/>
          <w:szCs w:val="20"/>
          <w:color w:val="auto"/>
        </w:rPr>
      </w:pPr>
    </w:p>
    <w:p>
      <w:pPr>
        <w:ind w:right="100" w:firstLine="350"/>
        <w:spacing w:after="0" w:line="284" w:lineRule="auto"/>
        <w:rPr>
          <w:sz w:val="20"/>
          <w:szCs w:val="20"/>
          <w:color w:val="auto"/>
        </w:rPr>
      </w:pPr>
      <w:r>
        <w:rPr>
          <w:rFonts w:ascii="Times New Roman" w:cs="Times New Roman" w:eastAsia="Times New Roman" w:hAnsi="Times New Roman"/>
          <w:sz w:val="14"/>
          <w:szCs w:val="14"/>
          <w:color w:val="auto"/>
        </w:rPr>
        <w:t>Under time-and-materials contracts, we are reimbursed for labor at negotiated hourly billing rates and for certain allowable expenses. We assume financial risk on time-and-materials contracts because our costs of performance may exceed these negotiated hourly rates.</w:t>
      </w:r>
    </w:p>
    <w:p>
      <w:pPr>
        <w:spacing w:after="0" w:line="1" w:lineRule="exact"/>
        <w:rPr>
          <w:sz w:val="20"/>
          <w:szCs w:val="20"/>
          <w:color w:val="auto"/>
        </w:rPr>
      </w:pPr>
    </w:p>
    <w:p>
      <w:pPr>
        <w:ind w:right="140" w:firstLine="350"/>
        <w:spacing w:after="0" w:line="264" w:lineRule="auto"/>
        <w:rPr>
          <w:sz w:val="20"/>
          <w:szCs w:val="20"/>
          <w:color w:val="auto"/>
        </w:rPr>
      </w:pPr>
      <w:r>
        <w:rPr>
          <w:rFonts w:ascii="Times New Roman" w:cs="Times New Roman" w:eastAsia="Times New Roman" w:hAnsi="Times New Roman"/>
          <w:sz w:val="14"/>
          <w:szCs w:val="14"/>
          <w:color w:val="auto"/>
        </w:rPr>
        <w:t>Under fixed-price contracts, we perform specific tasks for a predetermined price. Compared to time-and-materials and cost-reimbursable contracts, fixed-price contracts generally offer higher margin opportunities because we receive the benefits of any cost savings, but involve greater financial risk because we bear the impact of any cost overruns. The U.S. government has generally indicated that it intends to increase its use of fixed price contract procurements. Because we assume the risk for cost overruns and contingent losses on fixed-price contracts, an increase in the percentage of fixed-price contracts in our contract mix would increase our risk of suffering losses.</w:t>
      </w:r>
    </w:p>
    <w:p>
      <w:pPr>
        <w:spacing w:after="0" w:line="13"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Additionally, our profits could be adversely affected if our costs under any such contract exceed the assumptions we used in bidding for the contract. For example, we may miscalculate the costs, resources, or time needed to complete projects or meet contractual milestones as a result of delays on a particular project, including delays in designs, engineering information, or materials provided by the customer or a third party, delays or difficulties in equipment and material delivery, schedule changes, and other factors, some of which are beyond our control. We record provisions in our consolidated financial statements for losses on our contracts when necessary, as required under accounting principles generally accepted in the United States, or GAAP, but our contract loss provisions may not be adequate to cover all actual losses that we may incur in the future.</w:t>
      </w:r>
    </w:p>
    <w:p>
      <w:pPr>
        <w:spacing w:after="0" w:line="56" w:lineRule="exact"/>
        <w:rPr>
          <w:sz w:val="20"/>
          <w:szCs w:val="20"/>
          <w:color w:val="auto"/>
        </w:rPr>
      </w:pPr>
    </w:p>
    <w:p>
      <w:pPr>
        <w:ind w:right="220"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professional reputation and relationships with U.S. government agencies are critical to our business, and any harm to our reputation or relationships could decrease the amount of business the U.S. government does with us, which could have a material adverse effect on our future revenue and growth prospects.</w:t>
      </w:r>
    </w:p>
    <w:p>
      <w:pPr>
        <w:spacing w:after="0" w:line="38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22" w:name="page23"/>
    <w:bookmarkEnd w:id="2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We depend on our contracts with U.S. government agencies for substantially all of our revenue and if our reputation or relationships with these agencies were harmed, our future revenue and growth prospects would be materially and adversely affected. Our reputation and relationship with the U.S. government is a key factor in maintaining and growing revenue under contracts with the U.S. government. In addition, a significant portion of our business relates to designing, developing, and implementing advanced defense and technology systems and products, including cybersecurity products and services. Negative press reports regarding poor contract performance, employee misconduct, information security breaches, engagements in or perceived connections to politically or socially sensitive activities, or other aspects of our business, or regarding government contractors generally, could harm our reputation. In addition, to the extent our performance under a contract does not meet a U.S. government agency’s expectations, the client might seek to terminate the contract prior to its scheduled expiration date, provide a negative assessment of our performance to government-maintained contractor past-performance data repositories, fail to award us additional business under existing contracts or otherwise, and direct future business to our competitors. If our reputation or relationships with these agencies are negatively affected, or if we are suspended or debarred from contracting with government agencies for any reason, such actions would decrease the amount of business that the U.S. government does with us, which would have a material adverse effect on our future revenue and growth prospects.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use estimates in recognizing revenue and if we make changes to estimates used in recognizing revenue, our profitability may be adversely affected.</w:t>
      </w:r>
    </w:p>
    <w:p>
      <w:pPr>
        <w:spacing w:after="0" w:line="53" w:lineRule="exact"/>
        <w:rPr>
          <w:sz w:val="20"/>
          <w:szCs w:val="20"/>
          <w:color w:val="auto"/>
        </w:rPr>
      </w:pPr>
    </w:p>
    <w:p>
      <w:pPr>
        <w:ind w:right="160" w:firstLine="350"/>
        <w:spacing w:after="0" w:line="261" w:lineRule="auto"/>
        <w:rPr>
          <w:sz w:val="20"/>
          <w:szCs w:val="20"/>
          <w:color w:val="auto"/>
        </w:rPr>
      </w:pPr>
      <w:r>
        <w:rPr>
          <w:rFonts w:ascii="Times New Roman" w:cs="Times New Roman" w:eastAsia="Times New Roman" w:hAnsi="Times New Roman"/>
          <w:sz w:val="14"/>
          <w:szCs w:val="14"/>
          <w:color w:val="auto"/>
        </w:rPr>
        <w:t>Revenue from our fixed-price contracts is primarily recognized using the percentage-of-completion method with progress toward completion of a particular contract based on actual costs incurred relative to total estimated costs to be incurred over the life of the contract. Revenue from our cost-reimbursable-plus-award-fee contracts are based on our estimation of award fees over the life of the contract. Estimating costs at completion and award fees on our long-term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w:t>
      </w:r>
    </w:p>
    <w:p>
      <w:pPr>
        <w:spacing w:after="0" w:line="16" w:lineRule="exact"/>
        <w:rPr>
          <w:sz w:val="20"/>
          <w:szCs w:val="20"/>
          <w:color w:val="auto"/>
        </w:rPr>
      </w:pPr>
    </w:p>
    <w:p>
      <w:pPr>
        <w:ind w:right="180" w:firstLine="350"/>
        <w:spacing w:after="0" w:line="270" w:lineRule="auto"/>
        <w:rPr>
          <w:sz w:val="20"/>
          <w:szCs w:val="20"/>
          <w:color w:val="auto"/>
        </w:rPr>
      </w:pPr>
      <w:r>
        <w:rPr>
          <w:rFonts w:ascii="Times New Roman" w:cs="Times New Roman" w:eastAsia="Times New Roman" w:hAnsi="Times New Roman"/>
          <w:sz w:val="14"/>
          <w:szCs w:val="14"/>
          <w:color w:val="auto"/>
        </w:rPr>
        <w:t>In the event updated estimates indicate that we will experience a loss on a contract, we recognize the estimated loss at the time it is determined. Additional information may subsequently indicate that the loss is more or less than initially recognized, which requires further adjustments in our consolidated financial statements. Changes in the underlying assumptions, circumstances, or estimates could result in adjustments that could have a material adverse effect on our future results of operations.</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may not realize the full value of our backlog, which may result in lower than expected revenue.</w:t>
      </w:r>
    </w:p>
    <w:p>
      <w:pPr>
        <w:spacing w:after="0" w:line="53" w:lineRule="exact"/>
        <w:rPr>
          <w:sz w:val="20"/>
          <w:szCs w:val="20"/>
          <w:color w:val="auto"/>
        </w:rPr>
      </w:pPr>
    </w:p>
    <w:p>
      <w:pPr>
        <w:ind w:right="80" w:firstLine="350"/>
        <w:spacing w:after="0" w:line="270" w:lineRule="auto"/>
        <w:rPr>
          <w:sz w:val="20"/>
          <w:szCs w:val="20"/>
          <w:color w:val="auto"/>
        </w:rPr>
      </w:pPr>
      <w:r>
        <w:rPr>
          <w:rFonts w:ascii="Times New Roman" w:cs="Times New Roman" w:eastAsia="Times New Roman" w:hAnsi="Times New Roman"/>
          <w:sz w:val="14"/>
          <w:szCs w:val="14"/>
          <w:color w:val="auto"/>
        </w:rPr>
        <w:t>Our backlog does not include contracts that have been awarded but are currently under protest and also does not include any task orders under IDIQ contracts, except to the extent that task orders have been awarded to us under those contracts. For additional disclosure regarding our backlog, please see “Item 7. Management's Discussion and Analysis of Financial Condition and Results of Operations—Factors and Trends Affecting Our Results of Operations—Sources of Revenue—Contract Backlog.”</w:t>
      </w:r>
    </w:p>
    <w:p>
      <w:pPr>
        <w:spacing w:after="0" w:line="8" w:lineRule="exact"/>
        <w:rPr>
          <w:sz w:val="20"/>
          <w:szCs w:val="20"/>
          <w:color w:val="auto"/>
        </w:rPr>
      </w:pPr>
    </w:p>
    <w:p>
      <w:pPr>
        <w:ind w:right="40" w:firstLine="350"/>
        <w:spacing w:after="0" w:line="255" w:lineRule="auto"/>
        <w:rPr>
          <w:sz w:val="20"/>
          <w:szCs w:val="20"/>
          <w:color w:val="auto"/>
        </w:rPr>
      </w:pPr>
      <w:r>
        <w:rPr>
          <w:rFonts w:ascii="Times New Roman" w:cs="Times New Roman" w:eastAsia="Times New Roman" w:hAnsi="Times New Roman"/>
          <w:sz w:val="14"/>
          <w:szCs w:val="14"/>
          <w:color w:val="auto"/>
        </w:rPr>
        <w:t>We historically have not realized all of the revenue included in our total backlog, and we may not realize all of the revenue included in our current or future total backlog. There is a higher degree of risk in this regard with respect to unfunded backlog and priced options.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The actual receipt of revenue from contracts included in backlog may never occur or may be delayed because: a program schedule could change or the program could be canceled; a contract’s funding or scope could be reduced, modified, delayed, de-obligated, or terminated early, including as a result of a lack of appropriated funds or cost cutting initiatives and other efforts to reduce U.S. government spending and/or the automatic federal defense spending cuts required by sequestration; in the case of funded backlog, the period of performance for the contract has expired or the U.S. government has exercised its unilateral right to cancel multi-year contracts and related orders or terminate existing contracts for convenience or default; in the case of unfunded backlog, funding may not be available; or, in the case of priced options, our clients may not exercise their options. In addition, client staff headcount growth is the primary means by which we are able to recognize revenue growth. Any inability to hire additional appropriately qualified personnel or failure to timely and effectively deploy such additional personnel against funded backlog could negatively affect our ability to grow our revenue. We may also not recognize revenue on funded backlog due to, among other reasons, the tardy submissions of invoices by our subcontractors and the expiration of the relevant appropriated funding in accordance with a predetermined expiration date such as the end of the U.S. government's fiscal year.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under, or cancellation of contracts, by the U.S. government at any time. Furthermore, even if our backlog results in revenue, the contracts may not be profitable.</w:t>
      </w:r>
    </w:p>
    <w:p>
      <w:pPr>
        <w:spacing w:after="0" w:line="200" w:lineRule="exact"/>
        <w:rPr>
          <w:sz w:val="20"/>
          <w:szCs w:val="20"/>
          <w:color w:val="auto"/>
        </w:rPr>
      </w:pPr>
    </w:p>
    <w:p>
      <w:pPr>
        <w:spacing w:after="0" w:line="21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23" w:name="page24"/>
    <w:bookmarkEnd w:id="2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Systems that we develop, integrate, maintain, or otherwise support could experience security breaches which may damage our reputation with our clients and hinder future contract win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rates.</w:t>
      </w:r>
    </w:p>
    <w:p>
      <w:pPr>
        <w:spacing w:after="0" w:line="37" w:lineRule="exact"/>
        <w:rPr>
          <w:sz w:val="20"/>
          <w:szCs w:val="20"/>
          <w:color w:val="auto"/>
        </w:rPr>
      </w:pPr>
    </w:p>
    <w:p>
      <w:pPr>
        <w:ind w:right="100" w:firstLine="350"/>
        <w:spacing w:after="0" w:line="258" w:lineRule="auto"/>
        <w:rPr>
          <w:sz w:val="20"/>
          <w:szCs w:val="20"/>
          <w:color w:val="auto"/>
        </w:rPr>
      </w:pPr>
      <w:r>
        <w:rPr>
          <w:rFonts w:ascii="Times New Roman" w:cs="Times New Roman" w:eastAsia="Times New Roman" w:hAnsi="Times New Roman"/>
          <w:sz w:val="14"/>
          <w:szCs w:val="14"/>
          <w:color w:val="auto"/>
        </w:rPr>
        <w:t>We develop, integrate, maintain, or otherwise support systems and provide services that include managing and protecting information involved in intelligence, national security, and other sensitive government functions. Our systems also store and process sensitive Company and commercial client information, including personally identifiable, health and financial information. The cybersecurity threats we and our clients face have grown more frequent and sophisticated, including but not limited to bad actors looking to augment traditional cyber tools and tradecraft with artificial intelligence capabilities that increase the speed, scale, and intricacy of threats. A security breach, including from insider threats, could result in the exfiltration of our or our clients’ data and has the potential to do serious harm to our business, damage our reputation, prevent us from executing further work on sensitive systems for U.S. government or commercial clients, and/or hinder future contract win rates. Damage to our reputation or limitations on our eligibility for additional work or any liability resulting from a security breach in one of the systems we develop, install, maintain, or otherwise support could have a material adverse effect on our results of operations.</w:t>
      </w:r>
    </w:p>
    <w:p>
      <w:pPr>
        <w:spacing w:after="0" w:line="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Certain services we provide and technologies we develop are designed to detect and monitor threats to our clients and may expose our staff to financial loss or physical or reputational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harm.</w:t>
      </w:r>
    </w:p>
    <w:p>
      <w:pPr>
        <w:spacing w:after="0" w:line="37" w:lineRule="exact"/>
        <w:rPr>
          <w:sz w:val="20"/>
          <w:szCs w:val="20"/>
          <w:color w:val="auto"/>
        </w:rPr>
      </w:pPr>
    </w:p>
    <w:p>
      <w:pPr>
        <w:ind w:right="20" w:firstLine="350"/>
        <w:spacing w:after="0" w:line="267" w:lineRule="auto"/>
        <w:rPr>
          <w:sz w:val="20"/>
          <w:szCs w:val="20"/>
          <w:color w:val="auto"/>
        </w:rPr>
      </w:pPr>
      <w:r>
        <w:rPr>
          <w:rFonts w:ascii="Times New Roman" w:cs="Times New Roman" w:eastAsia="Times New Roman" w:hAnsi="Times New Roman"/>
          <w:sz w:val="14"/>
          <w:szCs w:val="14"/>
          <w:color w:val="auto"/>
        </w:rPr>
        <w:t>We help our clients detect, monitor and mitigate threats to their people, information, and facilities. These threats may originate from nation states, terrorists or criminal actors, activist hackers or others who seek to harm our clients. Successful attacks on our clients may cause reputational harm to us and our clients, as well as liability to our clients or third parties. In addition, if we are associated with our clients in this regard, our staff, systems, information, and facilities may be targeted by a similar group of threat actors and may be at risk for financial loss, or physical or reputational harm.</w:t>
      </w:r>
    </w:p>
    <w:p>
      <w:pPr>
        <w:spacing w:after="0" w:line="225" w:lineRule="exact"/>
        <w:rPr>
          <w:sz w:val="20"/>
          <w:szCs w:val="20"/>
          <w:color w:val="auto"/>
        </w:rPr>
      </w:pPr>
    </w:p>
    <w:p>
      <w:pPr>
        <w:ind w:right="18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Internal system or service failures, or those of our vendors, including as a result of cyber or other security threats, could disrupt our business and impair our ability to effectively provide our services to our clients, which could damage our reputation and have a material adverse effect on our business and results of operations.</w:t>
      </w:r>
    </w:p>
    <w:p>
      <w:pPr>
        <w:ind w:right="20" w:firstLine="350"/>
        <w:spacing w:after="0" w:line="257" w:lineRule="auto"/>
        <w:rPr>
          <w:sz w:val="20"/>
          <w:szCs w:val="20"/>
          <w:color w:val="auto"/>
        </w:rPr>
      </w:pPr>
      <w:r>
        <w:rPr>
          <w:rFonts w:ascii="Times New Roman" w:cs="Times New Roman" w:eastAsia="Times New Roman" w:hAnsi="Times New Roman"/>
          <w:sz w:val="14"/>
          <w:szCs w:val="14"/>
          <w:color w:val="auto"/>
        </w:rPr>
        <w:t>We create, implement, integrate, and maintain information technology (“IT”) systems that (a) are often mission critical, (b) regularly involve sensitive information, (c) may be deployed within war zones or other hazardous environments, and/or (d) can include information whose confidentiality is protected by law or contract. Additionally, we maintain internal systems housing sensitive employee and confidential company data. As a result, our systems and IT work products are susceptible to systems or service failures resulting from technical complexity, failures of third-party service providers, natural disasters, power shortages, insider threats (including improper access to the Company’s, clients’ or third parties’ information or resources, employee error, or malfeasance), terrorist attacks, physical or electronic security breaches, cyber attacks, computer viruses, or similar events or disruptions. Our systems and IT work product are the target of constantly evolving cyber attack vectors, including malware, social engineering, denial-of-service attacks, malicious software programs, phishing, account takeovers, and other cyber attacks fueled by emerging technologies, such as artificial intelligence. We have noticed an increase in the frequency and sophistication of the cyber and security threats these systems face, with attacks that are more advanced and persistent, targeting us because, as a defense services contractor, we hold classified, controlled unclassified, and other sensitive information. As a result, we and our vendors face a heightened risk of a security breach or disruption resulting from an attack by computer hackers, persons with access to systems inside our organization, foreign governments, and cyber terrorists.</w:t>
      </w:r>
    </w:p>
    <w:p>
      <w:pPr>
        <w:spacing w:after="0" w:line="19" w:lineRule="exact"/>
        <w:rPr>
          <w:sz w:val="20"/>
          <w:szCs w:val="20"/>
          <w:color w:val="auto"/>
        </w:rPr>
      </w:pPr>
    </w:p>
    <w:p>
      <w:pPr>
        <w:ind w:firstLine="350"/>
        <w:spacing w:after="0" w:line="256" w:lineRule="auto"/>
        <w:rPr>
          <w:sz w:val="20"/>
          <w:szCs w:val="20"/>
          <w:color w:val="auto"/>
        </w:rPr>
      </w:pPr>
      <w:r>
        <w:rPr>
          <w:rFonts w:ascii="Times New Roman" w:cs="Times New Roman" w:eastAsia="Times New Roman" w:hAnsi="Times New Roman"/>
          <w:sz w:val="14"/>
          <w:szCs w:val="14"/>
          <w:color w:val="auto"/>
        </w:rPr>
        <w:t>We have put in place policies, controls, and technologies to help detect and protect against such attacks, but we cannot guarantee that future incidents will not occur. If an incident occurs, we may not be able to successfully mitigate the impact. We have been the target of these types of attacks in the past, and attempted attacks are likely to continue. Due to the ongoing geopolitical conflicts in Europe and the Middle East, and increased tensions in Asia, state-sponsored parties or their supporters may launch retaliatory cyber attacks, and may attempt to conduct other geopolitically motivated retaliatory actions. Those same parties may also attempt to fraudulently induce employees or authorized third parties, including contractors, to disclose sensitive information in order to gain access to our systems or data, or that of our clients, customers, or service providers. If successful, these types of attacks on our network or other systems or service failures could have a material adverse effect on our business and results of operations, due to, among other things, the loss of client or proprietary data, interruptions or delays in our clients' businesses, or damage to our reputation. In addition, the failure or disruption of our systems, communications, vendors, or utilities could cause us to interrupt or suspend our operations, which could have a material adverse effect on our business and results of operations. If our employees, contractors, suppliers or other authorized third parties do not adhere (whether inadvertently or intentionally) to appropriate information security protocols, our protocols are inadequate, or our or our clients' sensitive information is released and/or compromised, we may experience significant negative impacts to our reputation and expose us or our clients to liability. We are not immune from the possibility of a malicious insider compromising our information systems and infrastructure, including but not limited to insiders exfiltrating the personal data of employees and clients, stealing corporate trade secrets and key financial metrics, and illegally diverting funds. No series of measures can fully safeguard against every insider threat. Refer to “Item 1C. Cybersecurity” for additional information about our cybersecurity risk management program.</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24" w:name="page25"/>
    <w:bookmarkEnd w:id="2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320" w:firstLine="350"/>
        <w:spacing w:after="0" w:line="284" w:lineRule="auto"/>
        <w:rPr>
          <w:sz w:val="20"/>
          <w:szCs w:val="20"/>
          <w:color w:val="auto"/>
        </w:rPr>
      </w:pPr>
      <w:r>
        <w:rPr>
          <w:rFonts w:ascii="Times New Roman" w:cs="Times New Roman" w:eastAsia="Times New Roman" w:hAnsi="Times New Roman"/>
          <w:sz w:val="14"/>
          <w:szCs w:val="14"/>
          <w:color w:val="auto"/>
        </w:rPr>
        <w:t>If our or our vendors' systems, services, or other applications have significant defects, errors, or vulnerabilities, are successfully attacked by cyber and other security threats, suffer delivery delays, or otherwise fail to meet our clients’ expectations, we may:</w:t>
      </w:r>
    </w:p>
    <w:p>
      <w:pPr>
        <w:spacing w:after="0" w:line="1" w:lineRule="exact"/>
        <w:rPr>
          <w:sz w:val="20"/>
          <w:szCs w:val="20"/>
          <w:color w:val="auto"/>
        </w:rPr>
      </w:pPr>
    </w:p>
    <w:p>
      <w:pPr>
        <w:ind w:left="520" w:hanging="133"/>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lose revenue due to adverse client reaction;</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required to provide additional services to a client at no charge;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costs related to remediation, monitoring, and enhancing our cybersecurity;</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lose revenue due to the deployment of employees for remediation efforts instead of client assignments;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negative publicity, which could damage our reputation and credibility of our brand and adversely affect our ability to attract or retain clients or talent;</w:t>
      </w:r>
    </w:p>
    <w:p>
      <w:pPr>
        <w:spacing w:after="0" w:line="51" w:lineRule="exact"/>
        <w:rPr>
          <w:rFonts w:ascii="Times New Roman" w:cs="Times New Roman" w:eastAsia="Times New Roman" w:hAnsi="Times New Roman"/>
          <w:sz w:val="14"/>
          <w:szCs w:val="14"/>
          <w:color w:val="auto"/>
        </w:rPr>
      </w:pPr>
    </w:p>
    <w:p>
      <w:pPr>
        <w:ind w:left="520" w:right="420" w:hanging="133"/>
        <w:spacing w:after="0" w:line="284"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unable to successfully market services that are reliant on the creation and maintenance of secure information technology systems to U.S. government, international, and commercial clients;</w:t>
      </w:r>
    </w:p>
    <w:p>
      <w:pPr>
        <w:ind w:left="520" w:right="280" w:hanging="133"/>
        <w:spacing w:after="0" w:line="284"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suffer claims by clients, employees, or impacted third parties for substantial damages, particularly as a result of any successful network or systems breach and exfiltration of client and/or third-party information; or</w:t>
      </w:r>
    </w:p>
    <w:p>
      <w:pPr>
        <w:ind w:left="520" w:right="340" w:hanging="133"/>
        <w:spacing w:after="0" w:line="284"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significant costs, including fines from government regulators, related to complying with applicable federal or state laws, including laws pertaining to the security and protection of personal information.</w:t>
      </w:r>
    </w:p>
    <w:p>
      <w:pPr>
        <w:spacing w:after="0" w:line="1" w:lineRule="exact"/>
        <w:rPr>
          <w:sz w:val="20"/>
          <w:szCs w:val="20"/>
          <w:color w:val="auto"/>
        </w:rPr>
      </w:pPr>
    </w:p>
    <w:p>
      <w:pPr>
        <w:ind w:right="400" w:firstLine="350"/>
        <w:spacing w:after="0" w:line="284" w:lineRule="auto"/>
        <w:rPr>
          <w:sz w:val="20"/>
          <w:szCs w:val="20"/>
          <w:color w:val="auto"/>
        </w:rPr>
      </w:pPr>
      <w:r>
        <w:rPr>
          <w:rFonts w:ascii="Times New Roman" w:cs="Times New Roman" w:eastAsia="Times New Roman" w:hAnsi="Times New Roman"/>
          <w:sz w:val="14"/>
          <w:szCs w:val="14"/>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1" w:lineRule="exact"/>
        <w:rPr>
          <w:sz w:val="20"/>
          <w:szCs w:val="20"/>
          <w:color w:val="auto"/>
        </w:rPr>
      </w:pPr>
    </w:p>
    <w:p>
      <w:pPr>
        <w:ind w:right="80" w:firstLine="350"/>
        <w:spacing w:after="0" w:line="259" w:lineRule="auto"/>
        <w:rPr>
          <w:sz w:val="20"/>
          <w:szCs w:val="20"/>
          <w:color w:val="auto"/>
        </w:rPr>
      </w:pPr>
      <w:r>
        <w:rPr>
          <w:rFonts w:ascii="Times New Roman" w:cs="Times New Roman" w:eastAsia="Times New Roman" w:hAnsi="Times New Roman"/>
          <w:sz w:val="14"/>
          <w:szCs w:val="14"/>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 We may not be able to obtain and maintain insurance coverage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may harm our client relationships, and may adversely affect our ability to attract or retain talent. In certain new business areas, we may not be able to obtain sufficient insurance and may decide not to accept or solicit business in these areas.</w:t>
      </w:r>
    </w:p>
    <w:p>
      <w:pPr>
        <w:spacing w:after="0" w:line="59" w:lineRule="exact"/>
        <w:rPr>
          <w:sz w:val="20"/>
          <w:szCs w:val="20"/>
          <w:color w:val="auto"/>
        </w:rPr>
      </w:pPr>
    </w:p>
    <w:p>
      <w:pPr>
        <w:ind w:right="24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Implementation of and compliance with various data privacy and cybersecurity laws, regulations and standards could require significant investment into ongoing compliance activities, trigger potential liability, and limit our ability to use personal data.</w:t>
      </w:r>
    </w:p>
    <w:p>
      <w:pPr>
        <w:ind w:firstLine="350"/>
        <w:spacing w:after="0" w:line="261" w:lineRule="auto"/>
        <w:rPr>
          <w:sz w:val="20"/>
          <w:szCs w:val="20"/>
          <w:color w:val="auto"/>
        </w:rPr>
      </w:pPr>
      <w:r>
        <w:rPr>
          <w:rFonts w:ascii="Times New Roman" w:cs="Times New Roman" w:eastAsia="Times New Roman" w:hAnsi="Times New Roman"/>
          <w:sz w:val="14"/>
          <w:szCs w:val="14"/>
          <w:color w:val="auto"/>
        </w:rPr>
        <w:t>Any failure by us, our vendors or other business partners to comply with international, U.S. federal, state or local laws and regulations regarding data privacy or cybersecurity could result in regulatory actions or lawsuits against us, legal liability, injunctions, fines, damages or other costs. We may also incur substantial expenses in implementing and maintaining compliance with such laws and regulations, including those that require certain types of data to be retained on servers within these jurisdictions. In addition, enactment or expansion of laws related to the use of artificial intelligence in our operations could increase the cost of doing business, subject us to potential liability, regulatory risk or reputational harm. Our failure to comply with applicable laws and regulations may result in privacy claims or enforcement actions against us, including liabilities, fines and damage to our reputation, any of which may have a material adverse effect on our results of operations.</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25" w:name="page26"/>
    <w:bookmarkEnd w:id="2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firstLine="350"/>
        <w:spacing w:after="0" w:line="255" w:lineRule="auto"/>
        <w:rPr>
          <w:sz w:val="20"/>
          <w:szCs w:val="20"/>
          <w:color w:val="auto"/>
        </w:rPr>
      </w:pPr>
      <w:r>
        <w:rPr>
          <w:rFonts w:ascii="Times New Roman" w:cs="Times New Roman" w:eastAsia="Times New Roman" w:hAnsi="Times New Roman"/>
          <w:sz w:val="14"/>
          <w:szCs w:val="14"/>
          <w:color w:val="auto"/>
        </w:rPr>
        <w:t>For example, the European Union’s General Data Protection Regulation (the “GDPR”), and the United Kingdom’s GDPR impose compliance obligations on companies that process personal data of people in the European Union and United Kingdom, respectively. Compliance with these laws requires investment into ongoing data protection activities and documentation requirements, and creates the potential for fines and liabilities for noncompliance. In addition, California, Colorado, Connecticut, Iowa, Virginia, Utah, and other states have enacted comprehensive privacy laws that restrict the collection, use, and processing of personal information, provide rights to residents of those respective states, and create corresponding compliance obligations and litigation risks. For example, the California Consumer Privacy Act (the “CCPA”, as amended by the California Privacy Rights Act, the “CPRA”), the Virginia Consumer Data Protection Act (the “VCDPA”), and the Colorado Privacy Act (the “CPA”), provide for consumer rights for residents of those respective states and create corresponding compliance obligations and litigation risks. The impact from the VCDPA and the CPA to Booz Allen is currently low because most of our personal information is client- or employee-related and therefore not defined as consumer-related. However, the CCPA now covers personal information collected from California residents in the context of recruitment and employment, as well as business-to-business arrangements, and therefore imposes additional compliance obligations on Booz Allen with respect to such personal information. These comprehensive state privacy laws, or other emerging U.S. state or global privacy laws, may require additional investment in compliance programs and potential modifications to business processes, and could result in fines, individual claims, and liabilities for certain compliance failures, particularly in the event of a data breach. As other states follow this trend, laws of this nature could be deemed applicable to some aspects of our business. This will impose new compliance obligations and require additional investment into data protection activities. Any obligations that may be imposed on us under CCPA, CPRA, VCDPA, CPA or similar laws may increase our compliance costs and potential liability, particularly in the event of a data breach, and could have a material adverse effect on our business, including how we use personal information or our results of operations.</w:t>
      </w:r>
    </w:p>
    <w:p>
      <w:pPr>
        <w:spacing w:after="0" w:line="26" w:lineRule="exact"/>
        <w:rPr>
          <w:sz w:val="20"/>
          <w:szCs w:val="20"/>
          <w:color w:val="auto"/>
        </w:rPr>
      </w:pPr>
    </w:p>
    <w:p>
      <w:pPr>
        <w:ind w:right="80" w:firstLine="350"/>
        <w:spacing w:after="0" w:line="257" w:lineRule="auto"/>
        <w:rPr>
          <w:sz w:val="20"/>
          <w:szCs w:val="20"/>
          <w:color w:val="auto"/>
        </w:rPr>
      </w:pPr>
      <w:r>
        <w:rPr>
          <w:rFonts w:ascii="Times New Roman" w:cs="Times New Roman" w:eastAsia="Times New Roman" w:hAnsi="Times New Roman"/>
          <w:sz w:val="14"/>
          <w:szCs w:val="14"/>
          <w:color w:val="auto"/>
        </w:rPr>
        <w:t>The U.S. Congress is considering federal privacy, cybersecurity and AI legislation that would create requirements similar to or possibly exceeding these comprehensive U.S. state privacy laws on a 50-state basis. Any federal legislation may or may not preempt the comprehensive U.S. state privacy laws, creating the possibility of different compliance measures or enforcement risks nationally or on a per-state basis. Any obligations that may be imposed on us under any of the comprehensive U.S. state privacy laws or similar laws may be different from or in addition to those required by the EU GDPR, UK GDPR, and any other applicable international laws, which may cause additional expense for compliance across jurisdictions. The EU GDPR, UK GDPR, other international laws, and the laws of U.S. states also impose obligations to maintain and implement an information security program that includes administrative, technical, physical, or organizational safeguards, as well as obligations to give notice to affected individuals and to certain regulators in the event of a data breach. We may be required to spend significant resources to comply with these information security and data breach legal requirements. A significant data breach (including various forms of external attack, such as ransomware, as well as data incidents resulting from internal actions or omissions) could have negative consequences for our business and future prospects, including possible penalties, fines, damages, reduced customer demand, legal claims against and by clients, personnel, business partners or other persons claiming to be affected, harm to our systems and operations and harm to our reputation and brand.</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26" w:name="page27"/>
    <w:bookmarkEnd w:id="26"/>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firstLine="350"/>
        <w:spacing w:after="0" w:line="255" w:lineRule="auto"/>
        <w:rPr>
          <w:sz w:val="20"/>
          <w:szCs w:val="20"/>
          <w:color w:val="auto"/>
        </w:rPr>
      </w:pPr>
      <w:r>
        <w:rPr>
          <w:rFonts w:ascii="Times New Roman" w:cs="Times New Roman" w:eastAsia="Times New Roman" w:hAnsi="Times New Roman"/>
          <w:sz w:val="14"/>
          <w:szCs w:val="14"/>
          <w:color w:val="auto"/>
        </w:rPr>
        <w:t>In addition, as a contractor supporting defense and national security clients, we are subject to certain additional regulatory compliance requirements relating to data privacy and cybersecurity. Under DFARS and other federal regulations, our networks and IT systems are required to comply with the security and privacy controls in certain National Institute of Standards and Technology Special Publications (“NIST SP”). To the extent that we do not comply with the applicable security and control requirements, unauthorized access or disclosure of sensitive information could result in a contract termination, which could have a material adverse effect on our business and financial results and lead to reputational harm. We are also subject to the Department of Defense Cybersecurity Maturity Model Certification (“CMMC”), requirements, which will require all contractors to receive specific third-party certifications relating to specified cybersecurity standards in order to be eligible for contract awards. Under “CMMC 1.0”, released in January 2020, there were 5 maturity levels, comprised of 171 requirements and 14 required processes. In March 2021, the Department of Defense initiated an interim review of CMMC’s implementation, which led to a refinement of the overall program and implementation strategy. In November 2021, the Department of Defense announced “CMMC 2.0”, which included updated program structure and requirements. These refinements included a reduction in levels from 5 to 3, which includes the removal of CMMC-unique practices and reliance on the practices set forth in NIST SP 800-171(r2). The Department of Defense announced that CMMC 2.0 will become a contract requirement, likely to appear in contracts within one year of the rule going into effect, and is expected to appear in all defense contracts within two years of the rule going into effect. On December 26, 2023, the Department of Defense published a proposed rule for the CMMC 2.0 program requirements, and may face delays with uncertainties regarding final details and timing of the final requirements. To the extent we are unable to achieve certification in advance of applicable contract awards that specify the requirement, we will be unable to bid on such contract awards or on follow-on awards for existing work with the Department of Defense, depending on the level of standard as required for each solicitation, which could adversely impact our revenue and profitability. In addition, our subcontractors, and in some cases our vendors, may also be required to adhere to the CMMC program requirements and potentially to achieve certification. Should our supply chain fail to meet compliance requirements or achieve certification, this may adversely affect our ability to receive award or execute on relevant government programs. In addition, any obligations that may be imposed on us under the CMMC may be different from or in addition to those otherwise required by applicable laws and regulations, which may cause additional expense for compliance.</w:t>
      </w:r>
    </w:p>
    <w:p>
      <w:pPr>
        <w:spacing w:after="0" w:line="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utilize artificial intelligence, which could expose us to risks including potential liability as well as regulatory, competition, reputational and other risks.</w:t>
      </w:r>
    </w:p>
    <w:p>
      <w:pPr>
        <w:spacing w:after="0" w:line="53" w:lineRule="exact"/>
        <w:rPr>
          <w:sz w:val="20"/>
          <w:szCs w:val="20"/>
          <w:color w:val="auto"/>
        </w:rPr>
      </w:pPr>
    </w:p>
    <w:p>
      <w:pPr>
        <w:ind w:right="40" w:firstLine="350"/>
        <w:spacing w:after="0" w:line="256" w:lineRule="auto"/>
        <w:rPr>
          <w:sz w:val="20"/>
          <w:szCs w:val="20"/>
          <w:color w:val="auto"/>
        </w:rPr>
      </w:pPr>
      <w:r>
        <w:rPr>
          <w:rFonts w:ascii="Times New Roman" w:cs="Times New Roman" w:eastAsia="Times New Roman" w:hAnsi="Times New Roman"/>
          <w:sz w:val="14"/>
          <w:szCs w:val="14"/>
          <w:color w:val="auto"/>
        </w:rPr>
        <w:t>We utilize artificial intelligence, including generative artificial intelligence, machine learning, and similar tools and technologies that collect, aggregate, analyze, or generate data or other materials (collectively, “AI”) in connection with our business. The development, deployment and oversight of the use of AI by us, either directly or by engaging third-party AI developers, as well as the use of AI by competitors, is expected to require us to invest substantially in AI technology resources and related governance. There are significant risks involved in using AI and no assurance can be provided that our use of AI will enhance our products or services, produce the intended results, or keep pace with the use of AI by our competitors. For example, AI algorithms may produce incomplete, insufficient, biased or otherwise flawed results or rely upon biased or inaccurate data, and any of these deficiencies may not be easily detectable despite internal policies and diligence efforts in place to mitigate such deficiencies. The degraded or flawed performance could also result from adversarial attacks that include data poisoning, malware risks, and evasion techniques. If the AI that we use produces deficient, inaccurate, or controversial results, or if public opinion of AI is adversely affected due to actual or perceived risks regarding the usage of AI, we could incur operational inefficiencies, competitive harm, legal liability, brand or reputational harm, or other adverse impacts on our business and results of operations. If we, or the third-party AI developers on which we rely, do not have sufficient rights to use the data or other material relied upon by such AI technologies, we also may incur liability through the alleged violation of applicable laws and regulations, third-party intellectual property, data privacy, or other rights, or contractual obligations. Although we conduct diligence on third-party AI developers, we will not be able to control the manner in which third-party AI technologies are developed or maintained.</w:t>
      </w:r>
    </w:p>
    <w:p>
      <w:pPr>
        <w:spacing w:after="0" w:line="21" w:lineRule="exact"/>
        <w:rPr>
          <w:sz w:val="20"/>
          <w:szCs w:val="20"/>
          <w:color w:val="auto"/>
        </w:rPr>
      </w:pPr>
    </w:p>
    <w:p>
      <w:pPr>
        <w:ind w:right="40" w:firstLine="350"/>
        <w:spacing w:after="0" w:line="258" w:lineRule="auto"/>
        <w:rPr>
          <w:sz w:val="20"/>
          <w:szCs w:val="20"/>
          <w:color w:val="auto"/>
        </w:rPr>
      </w:pPr>
      <w:r>
        <w:rPr>
          <w:rFonts w:ascii="Times New Roman" w:cs="Times New Roman" w:eastAsia="Times New Roman" w:hAnsi="Times New Roman"/>
          <w:sz w:val="14"/>
          <w:szCs w:val="14"/>
          <w:color w:val="auto"/>
        </w:rPr>
        <w:t>Legal and regulatory frameworks related to the use of AI are evolving, including due to the perceived or actual risks of bias, unfair discrimination, transparency, and information security. The technologies underlying AI and its uses are subject to a variety of laws and regulations, including intellectual property, data privacy and security, consumer protection, competition, and equal opportunity laws, and may be subject to new laws and regulations or new interpretations of existing laws and regulations. AI is the subject of ongoing review by various U.S. and foreign governmental and regulatory agencies. For example, in October 2023, the Biden Administration signed an executive order on Safe, Secure, and Trustworthy Artificial Intelligence which charges various Federal agencies to establish standards for AI safety and security. In addition, in March 2024, the EU enacted a new regulation applicable to certain AI technologies and the data used to train, test and deploy them. The enactment or expansion of laws and regulations related to the use of AI in our operations could result in increased compliance costs related to our use of AI. Furthermore, it is not possible to predict all the legal, operational or technological risks that may arise relating to the use of AI, any of which may materially and adversely affect our business and results of operations.</w:t>
      </w:r>
    </w:p>
    <w:p>
      <w:pPr>
        <w:spacing w:after="0" w:line="200" w:lineRule="exact"/>
        <w:rPr>
          <w:sz w:val="20"/>
          <w:szCs w:val="20"/>
          <w:color w:val="auto"/>
        </w:rPr>
      </w:pPr>
    </w:p>
    <w:p>
      <w:pPr>
        <w:spacing w:after="0" w:line="38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27" w:name="page28"/>
    <w:bookmarkEnd w:id="2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The operation of financial management systems may have an adverse effect on our business and results of operations.</w:t>
      </w:r>
    </w:p>
    <w:p>
      <w:pPr>
        <w:spacing w:after="0" w:line="53" w:lineRule="exact"/>
        <w:rPr>
          <w:sz w:val="20"/>
          <w:szCs w:val="20"/>
          <w:color w:val="auto"/>
        </w:rPr>
      </w:pPr>
    </w:p>
    <w:p>
      <w:pPr>
        <w:ind w:right="20" w:firstLine="350"/>
        <w:spacing w:after="0" w:line="258" w:lineRule="auto"/>
        <w:rPr>
          <w:sz w:val="20"/>
          <w:szCs w:val="20"/>
          <w:color w:val="auto"/>
        </w:rPr>
      </w:pPr>
      <w:r>
        <w:rPr>
          <w:rFonts w:ascii="Times New Roman" w:cs="Times New Roman" w:eastAsia="Times New Roman" w:hAnsi="Times New Roman"/>
          <w:sz w:val="14"/>
          <w:szCs w:val="14"/>
          <w:color w:val="auto"/>
        </w:rPr>
        <w:t>From time to time, we modernize and upgrade our management systems. For example, in fiscal 2022, we launched new financial management systems designed to modernize and enhance our financial systems infrastructure and cost accounting practices through minimizing manual processes, increasing automation, and providing enhanced business analytics. Operation of these kinds of new systems requires significant investment of human and financial resources. With the operation of these new systems, we have incurred additional expenses and experienced certain one-time impacts to profitability related to the roll-out and operation of the financial systems. In addition, any significant difficulties in the operation could have a material adverse effect on our ability to fulfill and invoice customer orders, apply cash receipts, place purchase orders with suppliers, and make cash disbursements, and could negatively impact data processing and electronic communications among business locations, which may have a material adverse effect on our business, consolidated financial condition, or results of operations. We also face the challenge of supporting our legacy systems and implementing necessary upgrades to those systems to support routine government and financial audits while operating our new systems.</w:t>
      </w:r>
    </w:p>
    <w:p>
      <w:pPr>
        <w:spacing w:after="0" w:line="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may fail to attract, train, and retain skilled and qualified employees, which may impair our ability to generate revenue, effectively serve our clients, and execute our growth strategy.</w:t>
      </w:r>
    </w:p>
    <w:p>
      <w:pPr>
        <w:spacing w:after="0" w:line="53"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Our business depends in large part upon our ability to attract and retain sufficient numbers of highly qualified individuals who may have advanced degrees and/or appropriate security clearances. We compete for such qualified personnel with other U.S. government contractors, the U.S. government, and private industry, and such competition is intense. Personnel with the requisite skills, qualifications, or security clearance may be in short supply or generally unavailable. The government and industry have recognized that the current process for obtaining security clearances is time-consuming, sometimes taking years to complete, and can present a risk to customer mission. See “—We may fail to obtain and maintain necessary security clearances which may adversely affect our ability to perform on certain contracts.”</w:t>
      </w:r>
    </w:p>
    <w:p>
      <w:pPr>
        <w:spacing w:after="0" w:line="16" w:lineRule="exact"/>
        <w:rPr>
          <w:sz w:val="20"/>
          <w:szCs w:val="20"/>
          <w:color w:val="auto"/>
        </w:rPr>
      </w:pPr>
    </w:p>
    <w:p>
      <w:pPr>
        <w:jc w:val="both"/>
        <w:ind w:right="20" w:firstLine="350"/>
        <w:spacing w:after="0" w:line="264" w:lineRule="auto"/>
        <w:rPr>
          <w:sz w:val="20"/>
          <w:szCs w:val="20"/>
          <w:color w:val="auto"/>
        </w:rPr>
      </w:pPr>
      <w:r>
        <w:rPr>
          <w:rFonts w:ascii="Times New Roman" w:cs="Times New Roman" w:eastAsia="Times New Roman" w:hAnsi="Times New Roman"/>
          <w:sz w:val="14"/>
          <w:szCs w:val="14"/>
          <w:color w:val="auto"/>
        </w:rPr>
        <w:t>Our ability to attract and retain skilled and qualified employees may also be impacted by our engagements in, or perceived connections to, politically or socially sensitive activities. In addition, our ability to recruit, hire, and internally deploy former employees of the U.S. government is subject to complex laws and regulations, which may serve as an impediment to our ability to attract such former employees, and failure to comply with these laws and regulations may expose us and our employees to civil or criminal penalties. Additionally, our ability to attract, hire, and retain skilled and qualified employees may be impacted by disease outbreaks, pandemics, or widespread health epidemics.</w:t>
      </w:r>
    </w:p>
    <w:p>
      <w:pPr>
        <w:spacing w:after="0" w:line="13" w:lineRule="exact"/>
        <w:rPr>
          <w:sz w:val="20"/>
          <w:szCs w:val="20"/>
          <w:color w:val="auto"/>
        </w:rPr>
      </w:pPr>
    </w:p>
    <w:p>
      <w:pPr>
        <w:ind w:right="140" w:firstLine="350"/>
        <w:spacing w:after="0" w:line="261" w:lineRule="auto"/>
        <w:rPr>
          <w:sz w:val="20"/>
          <w:szCs w:val="20"/>
          <w:color w:val="auto"/>
        </w:rPr>
      </w:pPr>
      <w:r>
        <w:rPr>
          <w:rFonts w:ascii="Times New Roman" w:cs="Times New Roman" w:eastAsia="Times New Roman" w:hAnsi="Times New Roman"/>
          <w:sz w:val="14"/>
          <w:szCs w:val="14"/>
          <w:color w:val="auto"/>
        </w:rPr>
        <w:t>Adverse labor and economic market conditions and intense competition for skilled personnel may inhibit our ability to recruit new employees, including any necessary actions in response to any disease outbreaks, pandemics, or widespread health epidemics. If we are unable to recruit and retain a sufficient number of qualified employees, or cannot obtain their appropriate security clearances in a timely manner, or fail to deploy such employees, our ability to maintain and grow our business and to effectively serve our clients could be limited and our future revenue and results of operations could be materially and adversely affected. Furthermore, to the extent that we are unable to make necessary permanent hires to appropriately serve our clients, we could be required to engage larger numbers of contracted personnel, which could reduce our profit margins.</w:t>
      </w:r>
    </w:p>
    <w:p>
      <w:pPr>
        <w:spacing w:after="0" w:line="16" w:lineRule="exact"/>
        <w:rPr>
          <w:sz w:val="20"/>
          <w:szCs w:val="20"/>
          <w:color w:val="auto"/>
        </w:rPr>
      </w:pPr>
    </w:p>
    <w:p>
      <w:pPr>
        <w:jc w:val="both"/>
        <w:ind w:right="100" w:firstLine="350"/>
        <w:spacing w:after="0" w:line="270" w:lineRule="auto"/>
        <w:rPr>
          <w:sz w:val="20"/>
          <w:szCs w:val="20"/>
          <w:color w:val="auto"/>
        </w:rPr>
      </w:pPr>
      <w:r>
        <w:rPr>
          <w:rFonts w:ascii="Times New Roman" w:cs="Times New Roman" w:eastAsia="Times New Roman" w:hAnsi="Times New Roman"/>
          <w:sz w:val="14"/>
          <w:szCs w:val="14"/>
          <w:color w:val="auto"/>
        </w:rPr>
        <w:t>If we are able to attract sufficient numbers of qualified new hires, training and retention costs may place significant demands on our resources. In addition, to the extent we experience attrition in our employee ranks, we may realize only a limited or no return on such invested resources, and we would have to expend additional resources to hire and train replacement employees. The loss of key personnel could also impair our ability to perform required services under some of our contracts and to retain such contracts, as well as our ability to win new business.</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may fail to obtain and maintain necessary security clearances which may adversely affect our ability to perform on certain contracts.</w:t>
      </w:r>
    </w:p>
    <w:p>
      <w:pPr>
        <w:spacing w:after="0" w:line="53" w:lineRule="exact"/>
        <w:rPr>
          <w:sz w:val="20"/>
          <w:szCs w:val="20"/>
          <w:color w:val="auto"/>
        </w:rPr>
      </w:pPr>
    </w:p>
    <w:p>
      <w:pPr>
        <w:ind w:right="140" w:firstLine="350"/>
        <w:spacing w:after="0" w:line="261" w:lineRule="auto"/>
        <w:rPr>
          <w:sz w:val="20"/>
          <w:szCs w:val="20"/>
          <w:color w:val="auto"/>
        </w:rPr>
      </w:pPr>
      <w:r>
        <w:rPr>
          <w:rFonts w:ascii="Times New Roman" w:cs="Times New Roman" w:eastAsia="Times New Roman" w:hAnsi="Times New Roman"/>
          <w:sz w:val="14"/>
          <w:szCs w:val="14"/>
          <w:color w:val="auto"/>
        </w:rPr>
        <w:t>Many U.S. government programs require contractor employees and facilities to have security clearances. Depending on the level of required clearance, security clearances can be difficult and time-consuming to obtain. If we or our employees are unable to obtain or retain necessary security clearances in a timely manner, we may not be able to win new business, and our existing clients could terminate their contracts with us or decide not to renew them. To the extent we are not able to obtain and maintain facility security clearances or engage employees with the required security clearances for a particular contract, we may not be able to bid on or win new contracts, effectively rebid on expiring contracts, or retain existing contracts, which may adversely affect our operating results and inhibit the execution of our growth strategy.</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Our profitability could suffer if we are not able to timely and effectively utilize our employees or manage our cost structure.</w:t>
      </w:r>
    </w:p>
    <w:p>
      <w:pPr>
        <w:spacing w:after="0" w:line="53" w:lineRule="exact"/>
        <w:rPr>
          <w:sz w:val="20"/>
          <w:szCs w:val="20"/>
          <w:color w:val="auto"/>
        </w:rPr>
      </w:pPr>
    </w:p>
    <w:p>
      <w:pPr>
        <w:ind w:right="380" w:firstLine="350"/>
        <w:spacing w:after="0" w:line="284" w:lineRule="auto"/>
        <w:rPr>
          <w:sz w:val="20"/>
          <w:szCs w:val="20"/>
          <w:color w:val="auto"/>
        </w:rPr>
      </w:pPr>
      <w:r>
        <w:rPr>
          <w:rFonts w:ascii="Times New Roman" w:cs="Times New Roman" w:eastAsia="Times New Roman" w:hAnsi="Times New Roman"/>
          <w:sz w:val="14"/>
          <w:szCs w:val="14"/>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1" w:lineRule="exact"/>
        <w:rPr>
          <w:sz w:val="20"/>
          <w:szCs w:val="20"/>
          <w:color w:val="auto"/>
        </w:rPr>
      </w:pPr>
    </w:p>
    <w:p>
      <w:pPr>
        <w:ind w:left="5820" w:right="3340" w:hanging="5433"/>
        <w:spacing w:after="0" w:line="935" w:lineRule="auto"/>
        <w:tabs>
          <w:tab w:leader="none" w:pos="50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transition employees from completed projects to new assignments and to hire, assimilate, and deploy new employees;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-253365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28" w:name="page29"/>
    <w:bookmarkEnd w:id="2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520" w:right="80" w:hanging="133"/>
        <w:spacing w:after="0" w:line="284"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forecast demand for our services and to maintain and deploy headcount that is aligned with demand, including employees with the right mix of skills and experience to support our projects;</w:t>
      </w:r>
    </w:p>
    <w:p>
      <w:pPr>
        <w:ind w:left="520" w:hanging="133"/>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employees’ inability to obtain or retain necessary security clearances;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attrition;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devote time and resources to training, business development, and other non-chargeable activities.</w:t>
      </w:r>
    </w:p>
    <w:p>
      <w:pPr>
        <w:spacing w:after="0" w:line="51" w:lineRule="exact"/>
        <w:rPr>
          <w:sz w:val="20"/>
          <w:szCs w:val="20"/>
          <w:color w:val="auto"/>
        </w:rPr>
      </w:pPr>
    </w:p>
    <w:p>
      <w:pPr>
        <w:ind w:right="480" w:firstLine="350"/>
        <w:spacing w:after="0" w:line="284" w:lineRule="auto"/>
        <w:rPr>
          <w:sz w:val="20"/>
          <w:szCs w:val="20"/>
          <w:color w:val="auto"/>
        </w:rPr>
      </w:pPr>
      <w:r>
        <w:rPr>
          <w:rFonts w:ascii="Times New Roman" w:cs="Times New Roman" w:eastAsia="Times New Roman" w:hAnsi="Times New Roman"/>
          <w:sz w:val="14"/>
          <w:szCs w:val="14"/>
          <w:color w:val="auto"/>
        </w:rPr>
        <w:t>If our employees are under-utilized, our profit margin and profitability could suffer. Additionally, if our employees are over-utilized, it could have a material adverse effect on employee engagement and attrition, which would in turn have a material adverse impact on our business.</w:t>
      </w:r>
    </w:p>
    <w:p>
      <w:pPr>
        <w:spacing w:after="0" w:line="1"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Our profitability is also affected by the extent to which we are able to effectively manage our overall cost structure for operating expenses, such as wages and benefits, overhead and capital, and other investment-related expenditures. If we are unable to effectively manage our costs and expenses and achieve efficiencies, our competitiveness and profitability may be adversely affected.</w:t>
      </w:r>
    </w:p>
    <w:p>
      <w:pPr>
        <w:spacing w:after="0" w:line="37" w:lineRule="exact"/>
        <w:rPr>
          <w:sz w:val="20"/>
          <w:szCs w:val="20"/>
          <w:color w:val="auto"/>
        </w:rPr>
      </w:pPr>
    </w:p>
    <w:p>
      <w:pPr>
        <w:ind w:right="20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Global inflationary pressures have increased the prices of goods and services, which could raise the costs associated with providing our services, diminish our ability to compete for new contracts or task orders, and/or reduce customer buying power.</w:t>
      </w:r>
    </w:p>
    <w:p>
      <w:pPr>
        <w:ind w:right="60" w:firstLine="350"/>
        <w:spacing w:after="0" w:line="257" w:lineRule="auto"/>
        <w:rPr>
          <w:sz w:val="20"/>
          <w:szCs w:val="20"/>
          <w:color w:val="auto"/>
        </w:rPr>
      </w:pPr>
      <w:r>
        <w:rPr>
          <w:rFonts w:ascii="Times New Roman" w:cs="Times New Roman" w:eastAsia="Times New Roman" w:hAnsi="Times New Roman"/>
          <w:sz w:val="14"/>
          <w:szCs w:val="14"/>
          <w:color w:val="auto"/>
        </w:rPr>
        <w:t>For a variety of reasons, including geopolitical factors, the global economy in which we operate has faced, and may continue to face, heightened inflationary pressure, impacting the cost of doing business (in both supply and labor markets). These inflationary pressures have been and could continue to be exacerbated by geopolitical turmoil and economic policy actions, and the duration of such pressures is uncertain. We generate revenue through various fixed price and multi-year government contracts, our primary customer being the U.S. government, which has traditionally been viewed as less affected by inflationary pressures. However, our approach to include modest annual price escalations in our bids for multi-year work may be insufficient to counter inflationary cost pressures, which may result in significant cost overruns on each contract. This could result in reduced profits, or even losses, as inflation increases, particularly for fixed priced contracts, and our longer-term multi-year contracts as contractual prices become less favorable to us over time. In the competitive environment in which we operate as a government contractor, the lack of pricing leverage and power to renegotiate long-term, multi-year contracts, coupled with reduced customer buying power as a result of inflation, could reduce our profits, disrupt our business, or otherwise materially adversely affect our results of operations.</w:t>
      </w:r>
    </w:p>
    <w:p>
      <w:pPr>
        <w:spacing w:after="0" w:line="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Deterioration of economic conditions or weakening in credit or capital markets may have a material adverse effect on our business, results of operations and financial condition.</w:t>
      </w:r>
    </w:p>
    <w:p>
      <w:pPr>
        <w:spacing w:after="0" w:line="53" w:lineRule="exact"/>
        <w:rPr>
          <w:sz w:val="20"/>
          <w:szCs w:val="20"/>
          <w:color w:val="auto"/>
        </w:rPr>
      </w:pPr>
    </w:p>
    <w:p>
      <w:pPr>
        <w:ind w:right="240" w:firstLine="350"/>
        <w:spacing w:after="0" w:line="264" w:lineRule="auto"/>
        <w:rPr>
          <w:sz w:val="20"/>
          <w:szCs w:val="20"/>
          <w:color w:val="auto"/>
        </w:rPr>
      </w:pPr>
      <w:r>
        <w:rPr>
          <w:rFonts w:ascii="Times New Roman" w:cs="Times New Roman" w:eastAsia="Times New Roman" w:hAnsi="Times New Roman"/>
          <w:sz w:val="14"/>
          <w:szCs w:val="14"/>
          <w:color w:val="auto"/>
        </w:rPr>
        <w:t>Volatile, negative, or uncertain economic conditions, an increase in the likelihood of a recession, or concerns about these or other similar risks may negatively impact our clients’ ability and willingness to fund their projects. For example, declines in state and local tax revenues as well as other economic declines may result in lower state and local government spending. Our clients reducing, postponing or cancelling spending on projects in respect of which we provide services may reduce demand for our services quickly and with little warning, which could have a material adverse effect on our business, results of operations and financial condition.</w:t>
      </w:r>
    </w:p>
    <w:p>
      <w:pPr>
        <w:spacing w:after="0" w:line="13" w:lineRule="exact"/>
        <w:rPr>
          <w:sz w:val="20"/>
          <w:szCs w:val="20"/>
          <w:color w:val="auto"/>
        </w:rPr>
      </w:pPr>
    </w:p>
    <w:p>
      <w:pPr>
        <w:ind w:right="120" w:firstLine="350"/>
        <w:spacing w:after="0" w:line="259" w:lineRule="auto"/>
        <w:rPr>
          <w:sz w:val="20"/>
          <w:szCs w:val="20"/>
          <w:color w:val="auto"/>
        </w:rPr>
      </w:pPr>
      <w:r>
        <w:rPr>
          <w:rFonts w:ascii="Times New Roman" w:cs="Times New Roman" w:eastAsia="Times New Roman" w:hAnsi="Times New Roman"/>
          <w:sz w:val="14"/>
          <w:szCs w:val="14"/>
          <w:color w:val="auto"/>
        </w:rPr>
        <w:t>Moreover, instability in the credit or capital markets in the U.S., including as a result of failures of financial institutions and any related market-wide reduction in liquidity, or concerns or rumors about events of these kinds or similar risks, could affect the availability of credit, making it relatively difficult or expensive to obtain additional capital at competitive rates, on commercially reasonable terms or in sufficient amounts, or at all, thus making it more difficult or expensive for us to access funds or refinance our existing indebtedness, or obtain financing for acquisitions. Such instability could also cause counterparties, including vendors, suppliers and subcontractors, to be unable to perform their obligations, or to breach their obligations, to us under our contracts with them. In addition, instability in the credit or capital markets could negatively impact our clients’ ability to fund their project and, therefore, utilize our services, which could have a material adverse effect on our business, results of operations and financial condition.</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may lose one or more members of our senior management team or fail to develop new leaders, which could cause the disruption of the management of our business.</w:t>
      </w:r>
    </w:p>
    <w:p>
      <w:pPr>
        <w:spacing w:after="0" w:line="53"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The loss of any member of our senior management or our failure to continue to develop new members could impair our ability to identify and secure new contracts, to maintain good client relations, and to otherwise manage our business.</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29" w:name="page30"/>
    <w:bookmarkEnd w:id="2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Our employees or subcontractors may engage in misconduct or other improper activities, which could harm our ability to conduct business with the U.S. government.</w:t>
      </w:r>
    </w:p>
    <w:p>
      <w:pPr>
        <w:spacing w:after="0" w:line="53" w:lineRule="exact"/>
        <w:rPr>
          <w:sz w:val="20"/>
          <w:szCs w:val="20"/>
          <w:color w:val="auto"/>
        </w:rPr>
      </w:pPr>
    </w:p>
    <w:p>
      <w:pPr>
        <w:ind w:firstLine="350"/>
        <w:spacing w:after="0" w:line="258" w:lineRule="auto"/>
        <w:rPr>
          <w:sz w:val="20"/>
          <w:szCs w:val="20"/>
          <w:color w:val="auto"/>
        </w:rPr>
      </w:pPr>
      <w:r>
        <w:rPr>
          <w:rFonts w:ascii="Times New Roman" w:cs="Times New Roman" w:eastAsia="Times New Roman" w:hAnsi="Times New Roman"/>
          <w:sz w:val="14"/>
          <w:szCs w:val="14"/>
          <w:color w:val="auto"/>
        </w:rPr>
        <w:t>We are exposed to the risk that fraud or other misconduct by employees, subcontractors, suppliers or other third parties with which we do business could occur. Misconduct by employees, subcontractors or suppliers could include intentional or unintentional failures to comply with U.S. government procurement regulations, engaging in other unauthorized activities, misusing authorized access, or falsifying time records. Misconduct could also involve the improper use of our clients’ sensitive or classified information, or the inadvertent or intentional disclosure of our or our clients' sensitive information in violation of our contractual, statutory, or regulatory obligations. It is not always possible to deter employee, subcontractor, or supplier misconduct, and the precautions we take to prevent and detect this activity may not be effective in controlling unknown or unmanaged risks or losses, which could materially harm our business. As a result of such misconduct, our employees could lose their security clearances and we could face fines and civil or criminal penalties, loss of facility clearance accreditation, and suspension, proposed debarment or debarment from bidding for or performing under contracts with the U.S. government, as well as reputational harm, which would materially and adversely affect our results of operations and financial condition.</w:t>
      </w:r>
    </w:p>
    <w:p>
      <w:pPr>
        <w:spacing w:after="0" w:line="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face intense competition from many competitors, which could cause us to lose business, lower prices and suffer employee departures.</w:t>
      </w:r>
    </w:p>
    <w:p>
      <w:pPr>
        <w:spacing w:after="0" w:line="53" w:lineRule="exact"/>
        <w:rPr>
          <w:sz w:val="20"/>
          <w:szCs w:val="20"/>
          <w:color w:val="auto"/>
        </w:rPr>
      </w:pPr>
    </w:p>
    <w:p>
      <w:pPr>
        <w:ind w:right="80" w:firstLine="350"/>
        <w:spacing w:after="0" w:line="264" w:lineRule="auto"/>
        <w:rPr>
          <w:sz w:val="20"/>
          <w:szCs w:val="20"/>
          <w:color w:val="auto"/>
        </w:rPr>
      </w:pPr>
      <w:r>
        <w:rPr>
          <w:rFonts w:ascii="Times New Roman" w:cs="Times New Roman" w:eastAsia="Times New Roman" w:hAnsi="Times New Roman"/>
          <w:sz w:val="14"/>
          <w:szCs w:val="14"/>
          <w:color w:val="auto"/>
        </w:rPr>
        <w:t>Our business operates in a highly competitive industry, and we generally compete with a wide variety of U.S. government contractors, including large defense contractors, diversified service providers, and small businesses. We also face competition from entrants into our markets including companies divested by large prime contractors in response to increasing scrutiny of organizational conflicts of interest issues. There is also a significant industry trend towards consolidation, which may result in the emergence of companies that are better able to compete against us. Some of these companies possess greater financial resources and larger technical staffs, and others have smaller and more specialized staffs. These competitors could, among other things:</w:t>
      </w:r>
    </w:p>
    <w:p>
      <w:pPr>
        <w:spacing w:after="0" w:line="13" w:lineRule="exact"/>
        <w:rPr>
          <w:sz w:val="20"/>
          <w:szCs w:val="20"/>
          <w:color w:val="auto"/>
        </w:rPr>
      </w:pPr>
    </w:p>
    <w:p>
      <w:pPr>
        <w:ind w:left="520" w:hanging="133"/>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acquisitions of businesses, or establish teaming or other agreements among themselves or third parties, that allow them to offer more competitive and comprehensive solutions;</w:t>
      </w:r>
    </w:p>
    <w:p>
      <w:pPr>
        <w:spacing w:after="0" w:line="51" w:lineRule="exact"/>
        <w:rPr>
          <w:rFonts w:ascii="Times New Roman" w:cs="Times New Roman" w:eastAsia="Times New Roman" w:hAnsi="Times New Roman"/>
          <w:sz w:val="14"/>
          <w:szCs w:val="14"/>
          <w:color w:val="auto"/>
        </w:rPr>
      </w:pPr>
    </w:p>
    <w:p>
      <w:pPr>
        <w:ind w:left="520" w:right="560" w:hanging="133"/>
        <w:spacing w:after="0" w:line="284"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divert sales from us by winning very large-scale government contracts, a risk that is enhanced by the recent trend in government procurement practices to bundle services into larger contracts;</w:t>
      </w:r>
    </w:p>
    <w:p>
      <w:pPr>
        <w:ind w:left="520" w:hanging="133"/>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force us to charge lower prices in order to win or maintain contracts;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hire our employees; or</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our relationships with current clients, including our ability to continue to win competitively awarded engagements where we are the incumbent.</w:t>
      </w:r>
    </w:p>
    <w:p>
      <w:pPr>
        <w:spacing w:after="0" w:line="51"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If we lose business to our competitors or are forced to lower our prices or suffer employee departures, our revenue and our operating profits could decline. In addition, we may face competition from our subcontractors who, from time to time, seek to obtain prime contractor status on contracts for which they currently serve as a subcontractor to us. If our current subcontractors are awarded prime contractor status on such contracts in the future, it could divert sales from us and could force us to charge lower prices, which could have a material adverse effect on our revenue and profitability.</w:t>
      </w:r>
    </w:p>
    <w:p>
      <w:pPr>
        <w:spacing w:after="0" w:line="54" w:lineRule="exact"/>
        <w:rPr>
          <w:sz w:val="20"/>
          <w:szCs w:val="20"/>
          <w:color w:val="auto"/>
        </w:rPr>
      </w:pPr>
    </w:p>
    <w:p>
      <w:pPr>
        <w:ind w:right="36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failure to maintain strong relationships with other contractors, or the failure of contractors with which we have entered into a sub- or prime-contractor relationship to meet their obligations to us or our clients, could have a material adverse effect on our business and results of operations.</w:t>
      </w:r>
    </w:p>
    <w:p>
      <w:pPr>
        <w:ind w:right="140" w:firstLine="350"/>
        <w:spacing w:after="0" w:line="261" w:lineRule="auto"/>
        <w:rPr>
          <w:sz w:val="20"/>
          <w:szCs w:val="20"/>
          <w:color w:val="auto"/>
        </w:rPr>
      </w:pPr>
      <w:r>
        <w:rPr>
          <w:rFonts w:ascii="Times New Roman" w:cs="Times New Roman" w:eastAsia="Times New Roman" w:hAnsi="Times New Roman"/>
          <w:sz w:val="14"/>
          <w:szCs w:val="14"/>
          <w:color w:val="auto"/>
        </w:rPr>
        <w:t>Maintaining strong relationships with other U.S. government contractors, who may also be our competitors, is important to our business and our failure to do so could have a material adverse effect on our business, prospects, financial condition, and operating results. To the extent that we fail to maintain good relations with our subcontractors or other prime contractors due to either perceived or actual performance failures or other conduct, or increased regulatory scrutiny or regulations governing information sharing and related practices, they may refuse to hire us as a subcontractor in the future or to work with us as our subcontractor. In addition, other contractors may choose not to use us as a subcontractor or choose not to perform work for us as a subcontractor for any number of additional reasons, including because they choose to establish relationships with our competitors or because they choose to directly offer services that compete with our business.</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30" w:name="page31"/>
    <w:bookmarkEnd w:id="3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20" w:firstLine="350"/>
        <w:spacing w:after="0" w:line="258" w:lineRule="auto"/>
        <w:rPr>
          <w:sz w:val="20"/>
          <w:szCs w:val="20"/>
          <w:color w:val="auto"/>
        </w:rPr>
      </w:pPr>
      <w:r>
        <w:rPr>
          <w:rFonts w:ascii="Times New Roman" w:cs="Times New Roman" w:eastAsia="Times New Roman" w:hAnsi="Times New Roman"/>
          <w:sz w:val="14"/>
          <w:szCs w:val="14"/>
          <w:color w:val="auto"/>
        </w:rPr>
        <w:t>As a prime contractor, we often rely on other companies to perform some of the work under a contract, and we expect to continue to depend on relationships with other contractors for portions of our delivery of services and revenue in the foreseeable future. If our subcontractors fail to perform their contractual obligations, our operating results and future growth prospects could be impaired. There is a risk that we may have disputes with our subcontractors arising from, among other things, the quality and timeliness of work performed by the subcontractor, client concerns about the subcontractor, our failure to extend existing task orders or issue new task orders under a subcontract, or our hiring of a subcontractor’s personnel. In addition, if any of our subcontractors fail to deliver the agreed-upon supplies or perform the agreed-upon services on a timely basis, our ability to fulfill our obligations as a prime contractor may be jeopardized. Material losses could arise in future periods and subcontractor performance deficiencies could result in a client terminating a contract for default. A termination for default could expose us to liability and have an adverse effect on our ability to compete for future contracts and orders.</w:t>
      </w:r>
    </w:p>
    <w:p>
      <w:pPr>
        <w:spacing w:after="0" w:line="19"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As a subcontractor, we often lack control over fulfillment of a contract, and poor performance on the contract could tarnish our reputation, even when we perform as required, and could cause other contractors to choose not to hire us as a subcontractor in the future. If the U.S. government terminates or reduces other prime contractors’ programs or does not award them new contracts, subcontracting opportunities available to us could decrease, which would have a material adverse effect on our financial condition and results of operations. In addition, as a subcontractor, we may be unable to collect payments owed to us by the prime contractor, even if we have performed our obligations under the contract, as a result of, among other things, the prime contractor’s inability to fulfill the contract. Due to certain common provisions in subcontracts in certain countries, we could also experience delays in receiving payment if the prime contractor experiences payment delays, which could have an adverse effect on our financial condition and results of operations.</w:t>
      </w:r>
    </w:p>
    <w:p>
      <w:pPr>
        <w:spacing w:after="0" w:line="59" w:lineRule="exact"/>
        <w:rPr>
          <w:sz w:val="20"/>
          <w:szCs w:val="20"/>
          <w:color w:val="auto"/>
        </w:rPr>
      </w:pPr>
    </w:p>
    <w:p>
      <w:pPr>
        <w:ind w:right="4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 delay in the completion of the U.S. government’s budget process, including as a result of a failure to raise the debt ceiling, could result in a reduction in our backlog and have a material adverse effect on our revenue and operating results.</w:t>
      </w:r>
    </w:p>
    <w:p>
      <w:pPr>
        <w:ind w:firstLine="350"/>
        <w:spacing w:after="0" w:line="261" w:lineRule="auto"/>
        <w:rPr>
          <w:sz w:val="20"/>
          <w:szCs w:val="20"/>
          <w:color w:val="auto"/>
        </w:rPr>
      </w:pPr>
      <w:r>
        <w:rPr>
          <w:rFonts w:ascii="Times New Roman" w:cs="Times New Roman" w:eastAsia="Times New Roman" w:hAnsi="Times New Roman"/>
          <w:sz w:val="14"/>
          <w:szCs w:val="14"/>
          <w:color w:val="auto"/>
        </w:rPr>
        <w:t>To the extent the U.S. Congress is unable to approve the annual federal budget or raise the debt ceiling on a timely basis, and enacts a continuing resolution, funding for new projects may not be available and funding on contracts we are already performing may be delayed. If Congressional efforts to approve such funding fail, and Congress is unable to craft a long-term agreement on the U.S. government’s ability to incur indebtedness in excess of its current limits, the U.S. government may not be able to fulfill its current funding obligations and there could be significant disruption to all discretionary programs, which would have corresponding impacts on us and our industry. Any such delays would likely result in new business initiatives being delayed or canceled and a reduction in our backlog, and could have a material adverse effect on our revenue and operating results.</w:t>
      </w:r>
    </w:p>
    <w:p>
      <w:pPr>
        <w:spacing w:after="0" w:line="16"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In addition, a failure to complete the budget process and fund government operations pursuant to a continuing resolution may result in a U.S. government shutdown, which could result in us incurring substantial costs without reimbursement under our contracts. The delay or cancellation of key programs or the delay of contract payments may have a material adverse effect on our revenue and operating results. In addition, when supplemental appropriations are required to operate the U.S. government or fund specific programs and the passage of legislation needed to approve any supplemental appropriation bill is delayed, the overall funding environment for our business could be adversely affected.</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face certain significant risk exposures and potential liabilities that may not be adequately covered by indemnity or insurance.</w:t>
      </w:r>
    </w:p>
    <w:p>
      <w:pPr>
        <w:spacing w:after="0" w:line="53" w:lineRule="exact"/>
        <w:rPr>
          <w:sz w:val="20"/>
          <w:szCs w:val="20"/>
          <w:color w:val="auto"/>
        </w:rPr>
      </w:pPr>
    </w:p>
    <w:p>
      <w:pPr>
        <w:ind w:right="20" w:firstLine="350"/>
        <w:spacing w:after="0" w:line="259" w:lineRule="auto"/>
        <w:rPr>
          <w:sz w:val="20"/>
          <w:szCs w:val="20"/>
          <w:color w:val="auto"/>
        </w:rPr>
      </w:pPr>
      <w:r>
        <w:rPr>
          <w:rFonts w:ascii="Times New Roman" w:cs="Times New Roman" w:eastAsia="Times New Roman" w:hAnsi="Times New Roman"/>
          <w:sz w:val="14"/>
          <w:szCs w:val="14"/>
          <w:color w:val="auto"/>
        </w:rPr>
        <w:t>A significant portion of our business relates to designing, developing, and implementing advanced defense and technology systems and products, including cybersecurity products and services. New technologies may be untested or unproven, and insurance may not be available. We maintain insurance policies that mitigate against risk and potential liabilities related to our operations, including data breaches. This insurance is maintained in amounts that we believe are reasonable. However, our insurance coverage may not be adequate to cover those claims or liabilities, and we may be forced to bear significant costs from an accident or incident. The amount of the insurance coverage we maintain or indemnification to which we may be contractually or otherwise entitled may not be adequate to cover all claims or liabilities. Accordingly, we may be forced to bear substantial costs resulting from risks and uncertainties of our business which would negatively impact our results of operations, financial condition, or liquidity.</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31" w:name="page32"/>
    <w:bookmarkEnd w:id="3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Failure to adequately protect, maintain, or enforce our rights in our intellectual property may adversely limit our competitive position.</w:t>
      </w:r>
    </w:p>
    <w:p>
      <w:pPr>
        <w:spacing w:after="0" w:line="53"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We rely upon a combination of nondisclosure agreements, licenses, and other contractual arrangements, as well as employment, copyright, trademark, patent, and trade secret laws to protect our proprietary information. We also enter into proprietary information and intellectual property agreements with employees, which require them to disclose any inventions created prior to and during employment. Inventions created during employment require inventors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trade secrets, trademarks,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 We will also need to continue to respond to and anticipate changes resulting from disruptive technologies, including from AI. If we are not successful in protecting and preserving our intellectual property rights and licenses, including trade secrets, or in staying ahead of developing AI technologies and strategically incorporating them into our business, our business and financial performance could be materially and adversely affected.</w:t>
      </w:r>
    </w:p>
    <w:p>
      <w:pPr>
        <w:spacing w:after="0" w:line="62" w:lineRule="exact"/>
        <w:rPr>
          <w:sz w:val="20"/>
          <w:szCs w:val="20"/>
          <w:color w:val="auto"/>
        </w:rPr>
      </w:pPr>
    </w:p>
    <w:p>
      <w:pPr>
        <w:ind w:right="42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Assertions by third parties of infringement, misappropriation or other violations by us of their intellectual property rights could result in significant costs and substantially harm our business and operating results.</w:t>
      </w:r>
    </w:p>
    <w:p>
      <w:pPr>
        <w:ind w:right="120" w:firstLine="350"/>
        <w:spacing w:after="0" w:line="264" w:lineRule="auto"/>
        <w:rPr>
          <w:sz w:val="20"/>
          <w:szCs w:val="20"/>
          <w:color w:val="auto"/>
        </w:rPr>
      </w:pPr>
      <w:r>
        <w:rPr>
          <w:rFonts w:ascii="Times New Roman" w:cs="Times New Roman" w:eastAsia="Times New Roman" w:hAnsi="Times New Roman"/>
          <w:sz w:val="14"/>
          <w:szCs w:val="14"/>
          <w:color w:val="auto"/>
        </w:rPr>
        <w:t>In recent years, there has been significant litigation involving intellectual property rights in technology industries. We may face from time to time, allegations that we or a supplier or customer have violated the rights of third parties, including patent, copyright, trademark, trade secret,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and competitive position may be adversely affected.</w:t>
      </w:r>
    </w:p>
    <w:p>
      <w:pPr>
        <w:spacing w:after="0" w:line="13" w:lineRule="exact"/>
        <w:rPr>
          <w:sz w:val="20"/>
          <w:szCs w:val="20"/>
          <w:color w:val="auto"/>
        </w:rPr>
      </w:pPr>
    </w:p>
    <w:p>
      <w:pPr>
        <w:jc w:val="both"/>
        <w:ind w:right="60" w:firstLine="350"/>
        <w:spacing w:after="0" w:line="270" w:lineRule="auto"/>
        <w:rPr>
          <w:sz w:val="20"/>
          <w:szCs w:val="20"/>
          <w:color w:val="auto"/>
        </w:rPr>
      </w:pPr>
      <w:r>
        <w:rPr>
          <w:rFonts w:ascii="Times New Roman" w:cs="Times New Roman" w:eastAsia="Times New Roman" w:hAnsi="Times New Roman"/>
          <w:sz w:val="14"/>
          <w:szCs w:val="14"/>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certain products or services, or take other actions to resolve the claims. These actions, if required, may be costly or unavailable on terms acceptable to us.</w:t>
      </w:r>
    </w:p>
    <w:p>
      <w:pPr>
        <w:spacing w:after="0" w:line="49" w:lineRule="exact"/>
        <w:rPr>
          <w:sz w:val="20"/>
          <w:szCs w:val="20"/>
          <w:color w:val="auto"/>
        </w:rPr>
      </w:pPr>
    </w:p>
    <w:p>
      <w:pPr>
        <w:ind w:right="18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focus on new growth areas for our business entails risks, including those associated with new relationships, clients, talent needs, capabilities, service offerings, and maintaining our collaborative culture and core values.</w:t>
      </w:r>
    </w:p>
    <w:p>
      <w:pPr>
        <w:ind w:right="20" w:firstLine="350"/>
        <w:spacing w:after="0" w:line="256" w:lineRule="auto"/>
        <w:rPr>
          <w:sz w:val="20"/>
          <w:szCs w:val="20"/>
          <w:color w:val="auto"/>
        </w:rPr>
      </w:pPr>
      <w:r>
        <w:rPr>
          <w:rFonts w:ascii="Times New Roman" w:cs="Times New Roman" w:eastAsia="Times New Roman" w:hAnsi="Times New Roman"/>
          <w:sz w:val="14"/>
          <w:szCs w:val="14"/>
          <w:color w:val="auto"/>
        </w:rPr>
        <w:t>We are focused on growing our presence in our addressable markets by: expanding our relationships with existing clients, developing new clients by leveraging our core competencies, further developing our existing capabilities and service offerings, creating new capabilities and service offerings to address our clients' emerging needs, and undertaking business development efforts focused on identifying near-term developments and long-term trends that may pose significant challenges for our clients. These efforts entail inherent risks associated with innovation and competition from other participants in those areas, potential failure to help our clients respond to the challenges they face, our ability to comply with uncertain evolving legal standards applicable to certain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including the GDPR. See “—Implementation of and compliance with various data privacy and cybersecurity laws, regulations and standards could require significant investment into ongoing compliance activities, trigger potential liability, and limit our ability to use personal data.”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w:t>
      </w:r>
    </w:p>
    <w:p>
      <w:pPr>
        <w:spacing w:after="0" w:line="21" w:lineRule="exact"/>
        <w:rPr>
          <w:sz w:val="20"/>
          <w:szCs w:val="20"/>
          <w:color w:val="auto"/>
        </w:rPr>
      </w:pPr>
    </w:p>
    <w:p>
      <w:pPr>
        <w:ind w:right="40" w:firstLine="350"/>
        <w:spacing w:after="0" w:line="261" w:lineRule="auto"/>
        <w:rPr>
          <w:sz w:val="20"/>
          <w:szCs w:val="20"/>
          <w:color w:val="auto"/>
        </w:rPr>
      </w:pPr>
      <w:r>
        <w:rPr>
          <w:rFonts w:ascii="Times New Roman" w:cs="Times New Roman" w:eastAsia="Times New Roman" w:hAnsi="Times New Roman"/>
          <w:sz w:val="14"/>
          <w:szCs w:val="14"/>
          <w:color w:val="auto"/>
        </w:rPr>
        <w:t>The needs of our customers change and evolve regularly due to complex and rapidly changing technologies. Our success depends upon our ability to identify emerging technological trends; develop technologically advanced, innovative, and cost-effective products and services; and market these products and services to our customers. Our success also depends on our continued access to suppliers of important technologies and components. The possibility exists that our competitors might develop new capabilities or service offerings that might cause our existing capabilities and service offerings to become obsolete. If we fail in our new capabilities development efforts or our capabilities or services fail to achieve market acceptance more rapidly than our competitors, our ability to procure new contracts could be negatively impacted, which would negatively impact our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32" w:name="page33"/>
    <w:bookmarkEnd w:id="3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Our ability to grow our business by leveraging our operating model to efficiently and effectively deploy our people across our client base is also largely dependent on our ability to maintain our collaborative culture. To the extent that we are unable to maintain our culture for any reason, including our effort to focus on new growth areas or acquire new businesses with different corporate cultures, we may be unable to grow our business. Any such failure could have a material adverse effect on our business and results of operations.</w:t>
      </w:r>
    </w:p>
    <w:p>
      <w:pPr>
        <w:spacing w:after="0" w:line="8"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In addition, with the growth of our U.S. and international operations, we are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and results of operations.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Changes to our operating structure, capabilities, or strategy intended to address our clients’ needs, respond to developments in our markets, and grow our business may not be successful.</w:t>
      </w:r>
    </w:p>
    <w:p>
      <w:pPr>
        <w:spacing w:after="0" w:line="53" w:lineRule="exact"/>
        <w:rPr>
          <w:sz w:val="20"/>
          <w:szCs w:val="20"/>
          <w:color w:val="auto"/>
        </w:rPr>
      </w:pPr>
    </w:p>
    <w:p>
      <w:pPr>
        <w:ind w:right="180" w:firstLine="350"/>
        <w:spacing w:after="0" w:line="270" w:lineRule="auto"/>
        <w:rPr>
          <w:sz w:val="20"/>
          <w:szCs w:val="20"/>
          <w:color w:val="auto"/>
        </w:rPr>
      </w:pPr>
      <w:r>
        <w:rPr>
          <w:rFonts w:ascii="Times New Roman" w:cs="Times New Roman" w:eastAsia="Times New Roman" w:hAnsi="Times New Roman"/>
          <w:sz w:val="14"/>
          <w:szCs w:val="14"/>
          <w:color w:val="auto"/>
        </w:rPr>
        <w:t>We routinely review our operating structure, capabilities and strategy to determine whether we are effectively meeting the needs of clients, effectively responding to developments in our markets and successfully building platforms intended to provide the foundation to support the future growth of our business. The outcome of any such review is difficult to predict and the extent of changes to our business following such a review, if any, are dependent in part upon the nature and extent of the review.</w:t>
      </w:r>
    </w:p>
    <w:p>
      <w:pPr>
        <w:spacing w:after="0" w:line="8" w:lineRule="exact"/>
        <w:rPr>
          <w:sz w:val="20"/>
          <w:szCs w:val="20"/>
          <w:color w:val="auto"/>
        </w:rPr>
      </w:pPr>
    </w:p>
    <w:p>
      <w:pPr>
        <w:ind w:right="100" w:firstLine="350"/>
        <w:spacing w:after="0" w:line="270" w:lineRule="auto"/>
        <w:rPr>
          <w:sz w:val="20"/>
          <w:szCs w:val="20"/>
          <w:color w:val="auto"/>
        </w:rPr>
      </w:pPr>
      <w:r>
        <w:rPr>
          <w:rFonts w:ascii="Times New Roman" w:cs="Times New Roman" w:eastAsia="Times New Roman" w:hAnsi="Times New Roman"/>
          <w:sz w:val="14"/>
          <w:szCs w:val="14"/>
          <w:color w:val="auto"/>
        </w:rPr>
        <w:t>The implementation of changes to our operating structure, capabilities, strategy or any other aspect of our business following an internal review, may materially alter various aspects of our business or our business model as an entirety and there can be no assurance that any such changes will be successful or that they will not ultimately have a negative effect on our business and results of operations.</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Many of our contracts with the U.S. government are classified or subject to other security restrictions, which may limit insight into portions of our business.</w:t>
      </w:r>
    </w:p>
    <w:p>
      <w:pPr>
        <w:spacing w:after="0" w:line="53" w:lineRule="exact"/>
        <w:rPr>
          <w:sz w:val="20"/>
          <w:szCs w:val="20"/>
          <w:color w:val="auto"/>
        </w:rPr>
      </w:pPr>
    </w:p>
    <w:p>
      <w:pPr>
        <w:ind w:right="20" w:firstLine="350"/>
        <w:spacing w:after="0" w:line="258" w:lineRule="auto"/>
        <w:rPr>
          <w:sz w:val="20"/>
          <w:szCs w:val="20"/>
          <w:color w:val="auto"/>
        </w:rPr>
      </w:pPr>
      <w:r>
        <w:rPr>
          <w:rFonts w:ascii="Times New Roman" w:cs="Times New Roman" w:eastAsia="Times New Roman" w:hAnsi="Times New Roman"/>
          <w:sz w:val="14"/>
          <w:szCs w:val="14"/>
          <w:color w:val="auto"/>
        </w:rPr>
        <w:t>We derive a substantial portion of our revenue from contracts with the U.S. government that are classified or subject to security restrictions that preclude the dissemination of certain information. In general, access to classified information, technology, facilities, or programs requires appropriate personnel security clearances, is subject to additional contract oversight and potential liability, and may also require appropriate facility clearances and other specialized infrastructure. A significant number of our employees have security clearances which preclude them from providing information regarding certain clients and services provided to such clients to other employees (or members of our board of directors) without security clearances and investors. Because we are limited in our ability to provide information about these contracts and services, the various risks associated with these contracts or services or any dispute or claims relating to such contracts or services, important information concerning our business may not be available, which may limit insight into a substantial portion of our business and reduce the ability to fully evaluate the risks related to that portion of our business.</w:t>
      </w:r>
    </w:p>
    <w:p>
      <w:pPr>
        <w:spacing w:after="0" w:line="60" w:lineRule="exact"/>
        <w:rPr>
          <w:sz w:val="20"/>
          <w:szCs w:val="20"/>
          <w:color w:val="auto"/>
        </w:rPr>
      </w:pPr>
    </w:p>
    <w:p>
      <w:pPr>
        <w:ind w:right="50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ind w:right="140" w:firstLine="350"/>
        <w:spacing w:after="0" w:line="261" w:lineRule="auto"/>
        <w:rPr>
          <w:sz w:val="20"/>
          <w:szCs w:val="20"/>
          <w:color w:val="auto"/>
        </w:rPr>
      </w:pPr>
      <w:r>
        <w:rPr>
          <w:rFonts w:ascii="Times New Roman" w:cs="Times New Roman" w:eastAsia="Times New Roman" w:hAnsi="Times New Roman"/>
          <w:sz w:val="14"/>
          <w:szCs w:val="14"/>
          <w:color w:val="auto"/>
        </w:rPr>
        <w:t>We depend on the timely collection of our receivables to generate cash flow, provide working capital, and continue our business operations. If the U.S. or any other government or any prime contractor for whom we are a subcontractor fails to pay or delays the payment of invoices for any reason, our business and financial condition may be materially and adversely affected. The U.S. or any other government may delay or fail to pay invoices for a number of reasons, including lack of appropriated funds, lack of an approved budget, lack of revised or final settled billing rates as a result of open audit years or as a result of audit findings by government regulatory agencies. Some prime contractors for whom we are a subcontractor have significantly fewer financial resources than we do, which may increase the risk that we may not be paid in full or that payment may be delayed.</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may consummate acquisitions, investments, joint ventures and divestitures, which involve numerous risks and uncertainties.</w:t>
      </w:r>
    </w:p>
    <w:p>
      <w:pPr>
        <w:spacing w:after="0" w:line="53"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As part of our operating strategy, we continually monitor U.S. government spending and budgetary priorities to align our investments in new capabilities to drive organic growth, and selectively pursue acquisitions, investments, partnerships, and joint ventures that broaden our domain expertise and service offerings, and/or establish relationships with new customers. These transactions pose many risks, including:</w:t>
      </w:r>
    </w:p>
    <w:p>
      <w:pPr>
        <w:spacing w:after="0" w:line="8" w:lineRule="exact"/>
        <w:rPr>
          <w:sz w:val="20"/>
          <w:szCs w:val="20"/>
          <w:color w:val="auto"/>
        </w:rPr>
      </w:pPr>
    </w:p>
    <w:p>
      <w:pPr>
        <w:ind w:left="520" w:hanging="133"/>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identify suitable acquisition and investment candidates at prices we consider attractive;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continued uncertainties in economic conditions, acquisition and investment candidates may choose to delay entering into acquisition or investment transactions;</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33" w:name="page34"/>
    <w:bookmarkEnd w:id="3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jc w:val="both"/>
        <w:ind w:left="520" w:right="140" w:hanging="133"/>
        <w:spacing w:after="0" w:line="270"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compete successfully for identified acquisition and investment candidates, complete acquisitions and investments on intended terms and timeline (including, without limitation, by failing to obtain required regulatory or other approvals or the benefit of safe harbors in a timely manner, or required financing on acceptable terms), or accurately estimate the financial effect of acquisitions and investments on our business;</w:t>
      </w:r>
    </w:p>
    <w:p>
      <w:pPr>
        <w:spacing w:after="0" w:line="8" w:lineRule="exact"/>
        <w:rPr>
          <w:rFonts w:ascii="Times New Roman" w:cs="Times New Roman" w:eastAsia="Times New Roman" w:hAnsi="Times New Roman"/>
          <w:sz w:val="14"/>
          <w:szCs w:val="14"/>
          <w:color w:val="auto"/>
        </w:rPr>
      </w:pPr>
    </w:p>
    <w:p>
      <w:pPr>
        <w:ind w:left="520" w:right="440" w:hanging="133"/>
        <w:spacing w:after="0" w:line="284"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increased scrutiny by antitrust authorities and anticipated changes to mandatory filing requirements, we may announce acquisition or investment transactions that require significant time and resources to complete, are challenged by such authorities or are ultimately not completed due to a failure to obtain antitrust or other related regulatory approvals;</w:t>
      </w:r>
    </w:p>
    <w:p>
      <w:pPr>
        <w:ind w:left="520" w:hanging="133"/>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acquisitions and investments may require us to issue common stock or spend significant cash, resulting in dilution of ownership or additional debt leverage;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difficulty retaining an acquired company’s key employees or clients;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difficulty integrating personnel from the acquired company with our people, our culture of integrity, and our core values;</w:t>
      </w:r>
    </w:p>
    <w:p>
      <w:pPr>
        <w:spacing w:after="0" w:line="51" w:lineRule="exact"/>
        <w:rPr>
          <w:rFonts w:ascii="Times New Roman" w:cs="Times New Roman" w:eastAsia="Times New Roman" w:hAnsi="Times New Roman"/>
          <w:sz w:val="14"/>
          <w:szCs w:val="14"/>
          <w:color w:val="auto"/>
        </w:rPr>
      </w:pPr>
    </w:p>
    <w:p>
      <w:pPr>
        <w:ind w:left="520" w:right="240" w:hanging="133"/>
        <w:spacing w:after="0" w:line="284"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difficulty integrating acquired businesses and investments, resulting in diminished strategic value of a potential transaction and unforeseen difficulties, such as incompatible accounting, information management, or other control systems, and greater expenses than expected;</w:t>
      </w:r>
    </w:p>
    <w:p>
      <w:pPr>
        <w:ind w:left="520" w:hanging="133"/>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and investments may disrupt our business or distract our management from other responsibilities;</w:t>
      </w:r>
    </w:p>
    <w:p>
      <w:pPr>
        <w:spacing w:after="0" w:line="51" w:lineRule="exact"/>
        <w:rPr>
          <w:rFonts w:ascii="Times New Roman" w:cs="Times New Roman" w:eastAsia="Times New Roman" w:hAnsi="Times New Roman"/>
          <w:sz w:val="14"/>
          <w:szCs w:val="14"/>
          <w:color w:val="auto"/>
        </w:rPr>
      </w:pPr>
    </w:p>
    <w:p>
      <w:pPr>
        <w:ind w:left="520" w:right="220" w:hanging="133"/>
        <w:spacing w:after="0" w:line="284"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an acquisition or investment, we may incur additional debt and we may need to record write-downs from future impairments of intangible assets, each of which could reduce our future reported earnings; and</w:t>
      </w:r>
    </w:p>
    <w:p>
      <w:pPr>
        <w:ind w:left="520" w:hanging="133"/>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effectively influence the operations of our joint ventures or partnerships, or we may be exposed to certain liabilities if our partners do not fulfill their obligations.</w:t>
      </w:r>
    </w:p>
    <w:p>
      <w:pPr>
        <w:spacing w:after="0" w:line="51" w:lineRule="exact"/>
        <w:rPr>
          <w:sz w:val="20"/>
          <w:szCs w:val="20"/>
          <w:color w:val="auto"/>
        </w:rPr>
      </w:pPr>
    </w:p>
    <w:p>
      <w:pPr>
        <w:ind w:right="60" w:firstLine="350"/>
        <w:spacing w:after="0" w:line="264" w:lineRule="auto"/>
        <w:rPr>
          <w:sz w:val="20"/>
          <w:szCs w:val="20"/>
          <w:color w:val="auto"/>
        </w:rPr>
      </w:pPr>
      <w:r>
        <w:rPr>
          <w:rFonts w:ascii="Times New Roman" w:cs="Times New Roman" w:eastAsia="Times New Roman" w:hAnsi="Times New Roman"/>
          <w:sz w:val="14"/>
          <w:szCs w:val="14"/>
          <w:color w:val="auto"/>
        </w:rPr>
        <w:t>In connection with any acquisition or investment that we make, there may be liabilities that we fail to discover or that we inadequately assess, and we may fail to discover any failure of a target company to have fulfilled its contractual obligations to the U.S. government or other clients. Acquired entities and investments may not operate profitably or result in improved operating performance. Additionally, we may not realize anticipated synergies, business growth opportunities, cost savings, and other benefits, which could have a material adverse effect on our business and results of operations.</w:t>
      </w:r>
    </w:p>
    <w:p>
      <w:pPr>
        <w:spacing w:after="0" w:line="13"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In addition, we may divest businesses, including businesses that are no longer a part of our ongoing strategic plan. These divestitures similarly require significant investment of time and resources, may disrupt our business, distract management from other responsibilities and may result in losses on disposal or continued financial involvement in the divested business, including through indemnification, guarantees or other financial arrangements, which could adversely affect our financial results. In addition, we may be unable to complete strategic divestitures on satisfactory terms and conditions, including non-competition arrangements, within expected time frames or due to a failure of a prospective purchaser to obtain financing or a failure to obtain antitrust or other related regulatory approvals.</w:t>
      </w:r>
    </w:p>
    <w:p>
      <w:pPr>
        <w:spacing w:after="0" w:line="56" w:lineRule="exact"/>
        <w:rPr>
          <w:sz w:val="20"/>
          <w:szCs w:val="20"/>
          <w:color w:val="auto"/>
        </w:rPr>
      </w:pPr>
    </w:p>
    <w:p>
      <w:pPr>
        <w:ind w:right="30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Goodwill represents a significant asset on our balance sheet, and changes in future business conditions could cause these investments to become impaired, requiring substantial write-downs that would reduce our operating income.</w:t>
      </w: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As of March 31, 2024, the value of our goodwill was $2.3 billion. The amount of our recorded goodwill may substantially increase in the future as a result of any acquisitions that we make. We evaluate the recoverability of recorded goodwill amounts annually, or when evidence of potential impairment exists. Impairment analysis is based on several factors requiring judgment and the use of estimates, which are inherently uncertain and based on assumptions that may prove to be inaccurate. Additionally, material changes in our financial outlook, as well as events outside of our control, such as deteriorating market conditions for companies in our industry, may indicate a potential impairment. When there is an impairment, we are required to write down the recorded amount of goodwill, which is reflected as a charge against operating income. Such non-cash impairment charges could have a material adverse effect on our results of operations in the period in which they are recognized.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and Regulatory Risks</w:t>
      </w:r>
    </w:p>
    <w:p>
      <w:pPr>
        <w:spacing w:after="0" w:line="83" w:lineRule="exact"/>
        <w:rPr>
          <w:sz w:val="20"/>
          <w:szCs w:val="20"/>
          <w:color w:val="auto"/>
        </w:rPr>
      </w:pPr>
    </w:p>
    <w:p>
      <w:pPr>
        <w:ind w:right="140" w:firstLine="35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8"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As a U.S. government contractor, we must comply with laws and regulations relating to the formation, administration, and performance of U.S. government contracts, which affect how we do business with our clients. Such laws and regulations may potentially impose added costs on our business and our failure to comply with them may lead to civil or criminal penalties, termination of our U.S. government contracts, and/or suspension or debarment from contracting with federal agencies. Some significant laws and regulations that affect us include:</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34" w:name="page35"/>
    <w:bookmarkEnd w:id="3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520" w:right="120" w:hanging="133"/>
        <w:spacing w:after="0" w:line="264"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FAR, and agency regulations supplemental to the FAR, which regulate the formation, administration, and performance of U.S. government contracts. For example, the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13" w:lineRule="exact"/>
        <w:rPr>
          <w:rFonts w:ascii="Times New Roman" w:cs="Times New Roman" w:eastAsia="Times New Roman" w:hAnsi="Times New Roman"/>
          <w:sz w:val="14"/>
          <w:szCs w:val="14"/>
          <w:color w:val="auto"/>
        </w:rPr>
      </w:pPr>
    </w:p>
    <w:p>
      <w:pPr>
        <w:ind w:left="520" w:right="280" w:hanging="133"/>
        <w:spacing w:after="0" w:line="284"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False Claims Act, which imposes civil and criminal liability for violations, including substantial monetary penalties, for, among other things, presenting false or fraudulent claims for payments or approval;</w:t>
      </w:r>
    </w:p>
    <w:p>
      <w:pPr>
        <w:ind w:left="520" w:hanging="133"/>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False Statements Act, which imposes civil and criminal liability for making false statements to the U.S. government;</w:t>
      </w:r>
    </w:p>
    <w:p>
      <w:pPr>
        <w:spacing w:after="0" w:line="51" w:lineRule="exact"/>
        <w:rPr>
          <w:rFonts w:ascii="Times New Roman" w:cs="Times New Roman" w:eastAsia="Times New Roman" w:hAnsi="Times New Roman"/>
          <w:sz w:val="14"/>
          <w:szCs w:val="14"/>
          <w:color w:val="auto"/>
        </w:rPr>
      </w:pPr>
    </w:p>
    <w:p>
      <w:pPr>
        <w:ind w:left="520" w:right="440" w:hanging="133"/>
        <w:spacing w:after="0" w:line="284"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Truthful Cost or Pricing Data Statute (formerly known as the Truth in Negotiations Act), which requires certification and disclosure of cost and pricing data in connection with the negotiation of certain contracts, modifications, or task orders;</w:t>
      </w:r>
    </w:p>
    <w:p>
      <w:pPr>
        <w:ind w:left="520" w:right="380" w:hanging="133"/>
        <w:spacing w:after="0" w:line="284"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ind w:left="520" w:hanging="133"/>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and regulations restricting the ability of a contractor to provide gifts or gratuities to employees of the U.S. government;</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post-government employment laws and regulations, which restrict the ability of a contractor to recruit and hire current employees of the U.S. government and deploy former employees of the U.S. government;</w:t>
      </w:r>
    </w:p>
    <w:p>
      <w:pPr>
        <w:ind w:left="520" w:right="120" w:hanging="133"/>
        <w:spacing w:after="0" w:line="270"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contract requirements and executive orders, including those related to cybersecurity,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8"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regulating the handling, use, and dissemination of personally identifiable information in the course of performing a U.S. government contract;</w:t>
      </w:r>
    </w:p>
    <w:p>
      <w:pPr>
        <w:spacing w:after="0" w:line="51" w:lineRule="exact"/>
        <w:rPr>
          <w:rFonts w:ascii="Times New Roman" w:cs="Times New Roman" w:eastAsia="Times New Roman" w:hAnsi="Times New Roman"/>
          <w:sz w:val="14"/>
          <w:szCs w:val="14"/>
          <w:color w:val="auto"/>
        </w:rPr>
      </w:pPr>
    </w:p>
    <w:p>
      <w:pPr>
        <w:ind w:left="520" w:right="40" w:hanging="133"/>
        <w:spacing w:after="0" w:line="284"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ind w:left="520" w:right="180" w:hanging="133"/>
        <w:spacing w:after="0" w:line="270"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8"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that impose requirements on us to ensure compliance with requirements and protect the government from risks related to our supply chain;</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mandatory contract provisions providing protections to employees or subcontractors seeking to report alleged fraud, waste, and abuse related to a government contract;</w:t>
      </w:r>
    </w:p>
    <w:p>
      <w:pPr>
        <w:spacing w:after="0" w:line="51" w:lineRule="exact"/>
        <w:rPr>
          <w:rFonts w:ascii="Times New Roman" w:cs="Times New Roman" w:eastAsia="Times New Roman" w:hAnsi="Times New Roman"/>
          <w:sz w:val="14"/>
          <w:szCs w:val="14"/>
          <w:color w:val="auto"/>
        </w:rPr>
      </w:pPr>
    </w:p>
    <w:p>
      <w:pPr>
        <w:ind w:left="520" w:right="200" w:hanging="133"/>
        <w:spacing w:after="0" w:line="284"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ind w:left="520" w:right="700" w:hanging="133"/>
        <w:spacing w:after="0" w:line="284"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FAR Cost Accounting Standards and Cost Principles, which impose accounting and allowability requirements that govern our right to reimbursement under certain cost-based U.S. government contracts and require consistency of accounting practices over time.</w:t>
      </w:r>
    </w:p>
    <w:p>
      <w:pPr>
        <w:spacing w:after="0" w:line="1" w:lineRule="exact"/>
        <w:rPr>
          <w:sz w:val="20"/>
          <w:szCs w:val="20"/>
          <w:color w:val="auto"/>
        </w:rPr>
      </w:pPr>
    </w:p>
    <w:p>
      <w:pPr>
        <w:ind w:right="140" w:firstLine="350"/>
        <w:spacing w:after="0" w:line="270" w:lineRule="auto"/>
        <w:rPr>
          <w:sz w:val="20"/>
          <w:szCs w:val="20"/>
          <w:color w:val="auto"/>
        </w:rPr>
      </w:pPr>
      <w:r>
        <w:rPr>
          <w:rFonts w:ascii="Times New Roman" w:cs="Times New Roman" w:eastAsia="Times New Roman" w:hAnsi="Times New Roman"/>
          <w:sz w:val="14"/>
          <w:szCs w:val="14"/>
          <w:color w:val="auto"/>
        </w:rPr>
        <w:t>In addition, the U.S. government, U.S. states and other jurisdictions in which we do business adopt new laws, rules, and regulations from time to time that could have a material impact on our results of operations. Adverse developments in legal or regulatory proceedings on matters relating to, among other things, cost accounting practices and compliance, contract interpretations and statutes of limitations, could also result in materially adverse judgments, settlements, withheld payments, penalties, or other unfavorable outcomes.</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35" w:name="page36"/>
    <w:bookmarkEnd w:id="3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 such agencies generally. In addition, from time to time we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triggering of price reduction clauses, withholding or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spacing w:after="0" w:line="21"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 See “Item 1. Business — Regulation.”</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Adverse judgments or settlements in legal disputes could result in materially adverse monetary damages or injunctive relief and damage our reputation.</w:t>
      </w:r>
    </w:p>
    <w:p>
      <w:pPr>
        <w:spacing w:after="0" w:line="25" w:lineRule="exact"/>
        <w:rPr>
          <w:sz w:val="20"/>
          <w:szCs w:val="20"/>
          <w:color w:val="auto"/>
        </w:rPr>
      </w:pPr>
    </w:p>
    <w:p>
      <w:pPr>
        <w:ind w:right="20" w:firstLine="350"/>
        <w:spacing w:after="0" w:line="255" w:lineRule="auto"/>
        <w:rPr>
          <w:sz w:val="20"/>
          <w:szCs w:val="20"/>
          <w:color w:val="auto"/>
        </w:rPr>
      </w:pPr>
      <w:r>
        <w:rPr>
          <w:rFonts w:ascii="Times New Roman" w:cs="Times New Roman" w:eastAsia="Times New Roman" w:hAnsi="Times New Roman"/>
          <w:sz w:val="14"/>
          <w:szCs w:val="14"/>
          <w:color w:val="auto"/>
        </w:rPr>
        <w:t>We are subject to, and may become a party to, a variety of litigation or other claims and suits that arise from time to time in the ordinary course of our business. For example, 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In addition, from time to time, we are also involved in legal proceedings and investigations arising in the ordinary course of business, including those relating to employment matters (such as matters involving alleged violations of civil rights, wage and hour, and worker’s compensation laws), relationships with clients and contractors, intellectual property disputes, and other business matters. Any such claims, proceedings or investigations may be time-consuming, costly, divert management resources, or otherwise have a material adverse effect on our result of operations.</w:t>
      </w:r>
    </w:p>
    <w:p>
      <w:pPr>
        <w:spacing w:after="0" w:line="189" w:lineRule="exact"/>
        <w:rPr>
          <w:sz w:val="20"/>
          <w:szCs w:val="20"/>
          <w:color w:val="auto"/>
        </w:rPr>
      </w:pPr>
    </w:p>
    <w:p>
      <w:pPr>
        <w:ind w:right="140" w:firstLine="350"/>
        <w:spacing w:after="0" w:line="264" w:lineRule="auto"/>
        <w:rPr>
          <w:sz w:val="20"/>
          <w:szCs w:val="20"/>
          <w:color w:val="auto"/>
        </w:rPr>
      </w:pPr>
      <w:r>
        <w:rPr>
          <w:rFonts w:ascii="Times New Roman" w:cs="Times New Roman" w:eastAsia="Times New Roman" w:hAnsi="Times New Roman"/>
          <w:sz w:val="14"/>
          <w:szCs w:val="14"/>
          <w:color w:val="auto"/>
        </w:rPr>
        <w:t>The results of litigation and other legal proceedings, including the other claims described under “Item 3. Legal Proceedings,” are inherently uncertain and adverse judgments or settlements in some or all of these legal disputes may result in materially adverse monetary damages or injunctive relief against us. Any claims or litigation, even if fully indemnified or insured, could damage our reputation and make it more difficult to compete effectively or obtain adequate insurance coverage in the future. The litigation and other legal proceedings described under “Item 3. Legal Proceedings” are subject to future developments and management’s view of these matters may change in the future.</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cannot predict the consequences of future geopolitical events, but they may adversely affect the markets in which we operate and our results of operations.</w:t>
      </w:r>
    </w:p>
    <w:p>
      <w:pPr>
        <w:spacing w:after="0" w:line="53" w:lineRule="exact"/>
        <w:rPr>
          <w:sz w:val="20"/>
          <w:szCs w:val="20"/>
          <w:color w:val="auto"/>
        </w:rPr>
      </w:pPr>
    </w:p>
    <w:p>
      <w:pPr>
        <w:ind w:right="200" w:firstLine="350"/>
        <w:spacing w:after="0" w:line="264" w:lineRule="auto"/>
        <w:rPr>
          <w:sz w:val="20"/>
          <w:szCs w:val="20"/>
          <w:color w:val="auto"/>
        </w:rPr>
      </w:pPr>
      <w:r>
        <w:rPr>
          <w:rFonts w:ascii="Times New Roman" w:cs="Times New Roman" w:eastAsia="Times New Roman" w:hAnsi="Times New Roman"/>
          <w:sz w:val="14"/>
          <w:szCs w:val="14"/>
          <w:color w:val="auto"/>
        </w:rPr>
        <w:t>Ongoing instability and current conflicts in global markets, including in Eastern Europe, the Middle East and Asia, and the potential for other conflicts and future terrorist activities and other recent geopolitical events throughout the world, including the ongoing conflict between Russia and Ukraine, the ongoing conflict between Israel and Hamas, and increased tensions in Asia, have created and may continue to create economic and political uncertainties and impacts that could have a material adverse effect on our business, operations and profitability. These types of matters cause uncertainty in financial markets and may significantly increase the political, economic and social instability in the geographic areas in which we operate.</w:t>
      </w:r>
    </w:p>
    <w:p>
      <w:pPr>
        <w:spacing w:after="0" w:line="13" w:lineRule="exact"/>
        <w:rPr>
          <w:sz w:val="20"/>
          <w:szCs w:val="20"/>
          <w:color w:val="auto"/>
        </w:rPr>
      </w:pPr>
    </w:p>
    <w:p>
      <w:pPr>
        <w:ind w:right="100" w:firstLine="350"/>
        <w:spacing w:after="0" w:line="264" w:lineRule="auto"/>
        <w:rPr>
          <w:sz w:val="20"/>
          <w:szCs w:val="20"/>
          <w:color w:val="auto"/>
        </w:rPr>
      </w:pPr>
      <w:r>
        <w:rPr>
          <w:rFonts w:ascii="Times New Roman" w:cs="Times New Roman" w:eastAsia="Times New Roman" w:hAnsi="Times New Roman"/>
          <w:sz w:val="14"/>
          <w:szCs w:val="14"/>
          <w:color w:val="auto"/>
        </w:rPr>
        <w:t>In addition, in connection with the current status of international relations with Russia, particularly in light of the conflict between Russia and Ukraine, the U.S. government has imposed enhanced export controls on certain products and sanctions on certain industry sectors and parties in Russia. The governments of other jurisdictions in which we operate, such as the European Union and Canada, may also implement sanctions or other restrictive measures. These potential sanctions and export controls, as well as any responses from Russia, could adversely affect the Company and/or our supply chain, business partners, or customers.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operating internationally.</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business operations are subject to a variety of risks associated with conducting business internationally, including:</w:t>
      </w:r>
    </w:p>
    <w:p>
      <w:pPr>
        <w:spacing w:after="0" w:line="51" w:lineRule="exact"/>
        <w:rPr>
          <w:sz w:val="20"/>
          <w:szCs w:val="20"/>
          <w:color w:val="auto"/>
        </w:rPr>
      </w:pPr>
    </w:p>
    <w:p>
      <w:pPr>
        <w:ind w:left="5820" w:right="4740" w:hanging="5433"/>
        <w:spacing w:after="0" w:line="935" w:lineRule="auto"/>
        <w:tabs>
          <w:tab w:leader="none" w:pos="503"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or interpretations of laws or policies that may adversely affect the performance of our services;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-253365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36" w:name="page37"/>
    <w:bookmarkEnd w:id="36"/>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520" w:right="20" w:hanging="133"/>
        <w:spacing w:after="0" w:line="284"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instability in foreign countries and international security concerns, such as those relating to the geopolitical conflict, including the ongoing conflict between Russia and Ukraine, the ongoing conflict between Israel and Hamas, and increased tensions in Asia, and potential actions or retaliatory measures taken in respect thereof;</w:t>
      </w:r>
    </w:p>
    <w:p>
      <w:pPr>
        <w:ind w:left="520" w:hanging="133"/>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inconsistent or conflicting laws or regulations;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the U.S. or other governments to authorize us to export products, technology, and services to clients and other business partners;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foreign countries for critical parts in order to meet our technical delivery requirements;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business in places where laws, business practices, and customs are unfamiliar or unknown;</w:t>
      </w:r>
    </w:p>
    <w:p>
      <w:pPr>
        <w:spacing w:after="0" w:line="51" w:lineRule="exact"/>
        <w:rPr>
          <w:rFonts w:ascii="Times New Roman" w:cs="Times New Roman" w:eastAsia="Times New Roman" w:hAnsi="Times New Roman"/>
          <w:sz w:val="14"/>
          <w:szCs w:val="14"/>
          <w:color w:val="auto"/>
        </w:rPr>
      </w:pPr>
    </w:p>
    <w:p>
      <w:pPr>
        <w:ind w:left="520" w:right="80" w:hanging="133"/>
        <w:spacing w:after="0" w:line="270"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U.S. government and foreign laws and regulations applicable to international business, sanctions, employment, privacy, data protection, information security, or data transfer could have an adverse impact on our business with the U.S. government and could expose us to risks and costs of non-compliance with such laws and regulations, in addition to administrative, civil, or criminal penalties;</w:t>
      </w:r>
    </w:p>
    <w:p>
      <w:pPr>
        <w:spacing w:after="0" w:line="8" w:lineRule="exact"/>
        <w:rPr>
          <w:rFonts w:ascii="Times New Roman" w:cs="Times New Roman" w:eastAsia="Times New Roman" w:hAnsi="Times New Roman"/>
          <w:sz w:val="14"/>
          <w:szCs w:val="14"/>
          <w:color w:val="auto"/>
        </w:rPr>
      </w:pPr>
    </w:p>
    <w:p>
      <w:pPr>
        <w:ind w:left="520" w:right="260" w:hanging="133"/>
        <w:spacing w:after="0" w:line="270"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third parties that we work with, including suppliers, subcontractors, and vendors, to comply with U.S. government and foreign laws and regulations applicable to international business, sanctions, employment, privacy, data protection, information security, or data transfer could expose Booz Allen to risks and costs of non-compliance with such laws and regulations, in addition to administrative, civil, or criminal penalties;</w:t>
      </w:r>
    </w:p>
    <w:p>
      <w:pPr>
        <w:spacing w:after="0" w:line="8" w:lineRule="exact"/>
        <w:rPr>
          <w:rFonts w:ascii="Times New Roman" w:cs="Times New Roman" w:eastAsia="Times New Roman" w:hAnsi="Times New Roman"/>
          <w:sz w:val="14"/>
          <w:szCs w:val="14"/>
          <w:color w:val="auto"/>
        </w:rPr>
      </w:pPr>
    </w:p>
    <w:p>
      <w:pPr>
        <w:jc w:val="both"/>
        <w:ind w:left="520" w:right="20" w:hanging="133"/>
        <w:spacing w:after="0" w:line="270"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and foreign government import and export control requirements and regulations, including International Traffic in Arms Regulations and the anti-boycott provisions of the U.S. Export Administration Act, technology transfer restrictions and other administrative, legislative, or regulatory actions that could materially interfere with our ability to offer our products or services in certain countries;</w:t>
      </w:r>
    </w:p>
    <w:p>
      <w:pPr>
        <w:spacing w:after="0" w:line="8"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limitations on or increase of withholding and other taxes on payments by foreign subsidiaries or joint ventures;</w:t>
      </w:r>
    </w:p>
    <w:p>
      <w:pPr>
        <w:spacing w:after="0" w:line="51" w:lineRule="exact"/>
        <w:rPr>
          <w:rFonts w:ascii="Times New Roman" w:cs="Times New Roman" w:eastAsia="Times New Roman" w:hAnsi="Times New Roman"/>
          <w:sz w:val="14"/>
          <w:szCs w:val="14"/>
          <w:color w:val="auto"/>
        </w:rPr>
      </w:pPr>
    </w:p>
    <w:p>
      <w:pPr>
        <w:ind w:left="520" w:right="460" w:hanging="133"/>
        <w:spacing w:after="0" w:line="284"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state and federal regulations in state money transmission regulations, anti-money laundering regulations, economic and trade sanctions administered by the U.S. Treasury Department's Office of Foreign Asset Control;</w:t>
      </w:r>
    </w:p>
    <w:p>
      <w:pPr>
        <w:ind w:left="520" w:hanging="133"/>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resulting from the United Kingdom's withdrawal from the European Union in January 2020, particularly in countries where the Company has substantial activities;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tariffs or embargoes, export controls, and other trade restrictions.</w:t>
      </w:r>
    </w:p>
    <w:p>
      <w:pPr>
        <w:spacing w:after="0" w:line="51" w:lineRule="exact"/>
        <w:rPr>
          <w:sz w:val="20"/>
          <w:szCs w:val="20"/>
          <w:color w:val="auto"/>
        </w:rPr>
      </w:pPr>
    </w:p>
    <w:p>
      <w:pPr>
        <w:ind w:firstLine="350"/>
        <w:spacing w:after="0" w:line="255" w:lineRule="auto"/>
        <w:rPr>
          <w:sz w:val="20"/>
          <w:szCs w:val="20"/>
          <w:color w:val="auto"/>
        </w:rPr>
      </w:pPr>
      <w:r>
        <w:rPr>
          <w:rFonts w:ascii="Times New Roman" w:cs="Times New Roman" w:eastAsia="Times New Roman" w:hAnsi="Times New Roman"/>
          <w:sz w:val="14"/>
          <w:szCs w:val="14"/>
          <w:color w:val="auto"/>
        </w:rPr>
        <w:t>In addition, we are subject to the U.S. Foreign Corrupt Practices Act (the “FCPA”) and other laws that prohibit improper payments or offers of payments to foreign government officials, political parties and commercial entities for the purpose of obtaining or retaining business. We have operations and deal with governmental clients and regulators in countries known to create heightened corruption risk, including certain developing countries. Our activities in these countries create the risk of unauthorized payments or offers of payments by one of our employees or third parties that we work with that could implicate Booz Allen for violations of various laws including the FCPA and other anti-corruption laws, even though these parties are not always subject to our control. Likewise, we are impacted by the recent passage of the U.S. Foreign Extortion Prevention Act (the “FEPA”) that criminalizes a foreign government official’s solicitation of improper payments from U.S. companies or individuals in exchange for conferring an improper advantage. While this law targets improper demands by foreign officials and, therefore, does not directly impact our employees or third parties that we work with, it may increase enforcement of the FCPA other applicable anti-corruption laws and amplify exposure for U.S. companies. Our international operations also involve activities involving the transmittal of information, which may include personal data, which may expose us to data privacy laws in the jurisdictions in which we operate. If our data protection practices become subject to new or different restrictions, and to the extent such practices are not compliant with the laws of the countries in which we process data, we could face increased compliance expenses and face penalties for violating such laws or be excluded from those markets altogether, in which case our operations could be adversely affected. We are also subject to import-export control regulations restricting the use and dissemination of information classified for national security purposes and the export of certain products, services, and technical data, including requirements regarding any applicable licensing of our employees involved in such work. We are also subject to applicable sanctions laws, regulations, embargoes, or restrictive measures intended to prevent unauthorized transactions with prohibited persons, entities, and countries, including, those administered and enforced by the U.S. Department of Treasury’s Office of Foreign Assets Control (“OFAC”), the Office of Financial Sanctions Implementation (“OFSI”) in the UK, and the competent authorities responsible for the administration and enforcement of Sanctions in individual EU Member States.</w:t>
      </w:r>
    </w:p>
    <w:p>
      <w:pPr>
        <w:spacing w:after="0" w:line="23" w:lineRule="exact"/>
        <w:rPr>
          <w:sz w:val="20"/>
          <w:szCs w:val="20"/>
          <w:color w:val="auto"/>
        </w:rPr>
      </w:pPr>
    </w:p>
    <w:p>
      <w:pPr>
        <w:ind w:right="180" w:firstLine="350"/>
        <w:spacing w:after="0" w:line="270" w:lineRule="auto"/>
        <w:rPr>
          <w:sz w:val="20"/>
          <w:szCs w:val="20"/>
          <w:color w:val="auto"/>
        </w:rPr>
      </w:pPr>
      <w:r>
        <w:rPr>
          <w:rFonts w:ascii="Times New Roman" w:cs="Times New Roman" w:eastAsia="Times New Roman" w:hAnsi="Times New Roman"/>
          <w:sz w:val="14"/>
          <w:szCs w:val="14"/>
          <w:color w:val="auto"/>
        </w:rPr>
        <w:t>If we were to fail to comply with the FCPA, other applicable anti-corruption laws, import-export control regulations, sanctions, data privacy laws, or other rules and regulations, we could be subject to substantial civil and criminal penalties, including fines for our Company and incarceration for responsible employees and managers, suspension or debarment, and the possible loss of export or import privileges which could have a material adverse effect on our business and results of operations.</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4" w:right="359" w:bottom="1440" w:gutter="0" w:footer="0" w:header="0"/>
        </w:sectPr>
      </w:pPr>
    </w:p>
    <w:bookmarkStart w:id="37" w:name="page38"/>
    <w:bookmarkEnd w:id="3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ind w:right="14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Efforts by the U.S. government to revise its organizational conflict of interest rules could limit our ability to successfully compete for new contracts or task orders, which would adversely affect our results of operations.</w:t>
      </w:r>
    </w:p>
    <w:p>
      <w:pPr>
        <w:jc w:val="both"/>
        <w:ind w:right="240" w:firstLine="350"/>
        <w:spacing w:after="0" w:line="270" w:lineRule="auto"/>
        <w:rPr>
          <w:sz w:val="20"/>
          <w:szCs w:val="20"/>
          <w:color w:val="auto"/>
        </w:rPr>
      </w:pPr>
      <w:r>
        <w:rPr>
          <w:rFonts w:ascii="Times New Roman" w:cs="Times New Roman" w:eastAsia="Times New Roman" w:hAnsi="Times New Roman"/>
          <w:sz w:val="14"/>
          <w:szCs w:val="14"/>
          <w:color w:val="auto"/>
        </w:rPr>
        <w:t>Efforts by the U.S. government to reform its procurement practices have focused on, among other areas,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8" w:lineRule="exact"/>
        <w:rPr>
          <w:sz w:val="20"/>
          <w:szCs w:val="20"/>
          <w:color w:val="auto"/>
        </w:rPr>
      </w:pPr>
    </w:p>
    <w:p>
      <w:pPr>
        <w:ind w:left="520" w:hanging="133"/>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impaired objectivity during performance;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unfair access to non-public information; or</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set the “ground rules” for another procurement for which the contractor competes.</w:t>
      </w:r>
    </w:p>
    <w:p>
      <w:pPr>
        <w:spacing w:after="0" w:line="51" w:lineRule="exact"/>
        <w:rPr>
          <w:sz w:val="20"/>
          <w:szCs w:val="20"/>
          <w:color w:val="auto"/>
        </w:rPr>
      </w:pPr>
    </w:p>
    <w:p>
      <w:pPr>
        <w:ind w:firstLine="350"/>
        <w:spacing w:after="0" w:line="256" w:lineRule="auto"/>
        <w:rPr>
          <w:sz w:val="20"/>
          <w:szCs w:val="20"/>
          <w:color w:val="auto"/>
        </w:rPr>
      </w:pPr>
      <w:r>
        <w:rPr>
          <w:rFonts w:ascii="Times New Roman" w:cs="Times New Roman" w:eastAsia="Times New Roman" w:hAnsi="Times New Roman"/>
          <w:sz w:val="14"/>
          <w:szCs w:val="14"/>
          <w:color w:val="auto"/>
        </w:rPr>
        <w:t>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The passage of a new federal law in December 2022 requires the FAR council within eighteen months to provide and update definitions of each of the above types of conflicts of interest and provide illustrative examples of various relationships that contractors could have that would give rise to potential conflicts of interest. The passage of this legislation comes as this topic continues to garner increased scrutiny of such alleged conflicts among federal contractors. The resulting rule making process, as well as continuing reform initiatives in procurement practices may however result in future amendments to the FAR, increasing the restrictions in current organizational conflicts of interest regulations and rules. Similarly, organizational conflicts of interest remain an active area of bid protest litigation, increasing the likelihood that competitors may leverage such arguments in an attempt to overturn agency award decisions. To the extent that proposed and future organizational conflicts of interest laws, regulations, and rules or interpretations thereof limit our ability to successfully compete for new contracts or task orders with the U.S. government, either because of organizational conflicts of interest issues arising from our business, or because companies with which we are affiliated, or with which we otherwise conduct business, create organizational conflicts of interest issues for us, our results of operations could be materially and adversely affected.</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 or judgments by management related to complex tax matters could adversely impact our results of operations.</w:t>
      </w:r>
    </w:p>
    <w:p>
      <w:pPr>
        <w:spacing w:after="0" w:line="53" w:lineRule="exact"/>
        <w:rPr>
          <w:sz w:val="20"/>
          <w:szCs w:val="20"/>
          <w:color w:val="auto"/>
        </w:rPr>
      </w:pPr>
    </w:p>
    <w:p>
      <w:pPr>
        <w:ind w:right="40" w:firstLine="350"/>
        <w:spacing w:after="0" w:line="258" w:lineRule="auto"/>
        <w:rPr>
          <w:sz w:val="20"/>
          <w:szCs w:val="20"/>
          <w:color w:val="auto"/>
        </w:rPr>
      </w:pPr>
      <w:r>
        <w:rPr>
          <w:rFonts w:ascii="Times New Roman" w:cs="Times New Roman" w:eastAsia="Times New Roman" w:hAnsi="Times New Roman"/>
          <w:sz w:val="14"/>
          <w:szCs w:val="14"/>
          <w:color w:val="auto"/>
        </w:rPr>
        <w:t>We are subject to taxation in the U.S. and certain other foreign jurisdictions. Any future changes in applicable federal, state and local, or foreign tax laws and regulations or their interpretation or application, including those that could have a retroactive effect, could result in the Company incurring additional tax liabilities in the future. In particular, effective starting in fiscal year 2023, the Tax Cuts and Jobs Act requires the capitalization of research and development costs for tax purposes, which can then be amortized over five or fifteen years. We generally expect to amortize these costs over five years. While the most significant impact of this provision was to cash tax liability for fiscal year 2023, the tax year in which the provision took effect, the impact is expected to decline annually over the five-year amortization period to an immaterial amount in the sixth year. The actual impact will depend on a number of factors, including the amount of research and development costs incurred by the Company, whether Congress modifies or repeals the provision requiring such capitalization, and whether new guidance and interpretive rules are issued by the U.S. Treasury, among other factors. For additional information, see “Item 7. Management's Discussion and Analysis of Financial Condition and Results of Operations”.</w:t>
      </w:r>
    </w:p>
    <w:p>
      <w:pPr>
        <w:spacing w:after="0" w:line="19" w:lineRule="exact"/>
        <w:rPr>
          <w:sz w:val="20"/>
          <w:szCs w:val="20"/>
          <w:color w:val="auto"/>
        </w:rPr>
      </w:pPr>
    </w:p>
    <w:p>
      <w:pPr>
        <w:ind w:right="40" w:firstLine="350"/>
        <w:spacing w:after="0" w:line="257" w:lineRule="auto"/>
        <w:rPr>
          <w:sz w:val="20"/>
          <w:szCs w:val="20"/>
          <w:color w:val="auto"/>
        </w:rPr>
      </w:pPr>
      <w:r>
        <w:rPr>
          <w:rFonts w:ascii="Times New Roman" w:cs="Times New Roman" w:eastAsia="Times New Roman" w:hAnsi="Times New Roman"/>
          <w:sz w:val="14"/>
          <w:szCs w:val="14"/>
          <w:color w:val="auto"/>
        </w:rPr>
        <w:t>Additionally, we recognize liabilities for uncertainty in income taxes when it is more likely than not that a tax position will not be sustained on examination and settlement with various taxing authorities. We regularly assess the adequacy of our uncertain tax positions and other reserves, which requires a significant amount of judgment. Although we accrue for uncertain tax positions and other reserves, the results of regulatory audits and negotiations with taxing and customs authorities may be in excess of our accruals, resulting in the payment of additional taxes, duties, penalties and interest. As a result, any final determination of tax audits or related litigation may be materially different than our current provisional amounts, which could materially affect our tax obligations and effective tax rate. For example, during fiscal year 2024, we recorded additional uncertain tax positions of approximately $15.1 million related to research and development credits that we have claimed, or will soon claim. Any increase to the liability we established as of March 31, 2024 for these uncertain tax positions as a result of audits by taxing authorities, changes in tax laws and regulations or otherwise relating to this, or any other, tax matter could have a material effect on our results of operations. For a description of our related accounting policies, refer to Note 2, “Summary of Significant Accounting Policies,” and Note 13, “Income Taxes,” to the consolidated financial statements.</w:t>
      </w:r>
    </w:p>
    <w:p>
      <w:pPr>
        <w:spacing w:after="0" w:line="62" w:lineRule="exact"/>
        <w:rPr>
          <w:sz w:val="20"/>
          <w:szCs w:val="20"/>
          <w:color w:val="auto"/>
        </w:rPr>
      </w:pPr>
    </w:p>
    <w:p>
      <w:pPr>
        <w:ind w:right="6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U.S. government contracts may be terminated by the government at any time and may contain other provisions permitting the government to discontinue contract performance, and if lost contracts are not replaced, our operating results may differ materially and adversely from those anticipated.</w:t>
      </w:r>
    </w:p>
    <w:p>
      <w:pPr>
        <w:ind w:left="360"/>
        <w:spacing w:after="0"/>
        <w:rPr>
          <w:sz w:val="20"/>
          <w:szCs w:val="20"/>
          <w:color w:val="auto"/>
        </w:rPr>
      </w:pPr>
      <w:r>
        <w:rPr>
          <w:rFonts w:ascii="Times New Roman" w:cs="Times New Roman" w:eastAsia="Times New Roman" w:hAnsi="Times New Roman"/>
          <w:sz w:val="14"/>
          <w:szCs w:val="14"/>
          <w:color w:val="auto"/>
        </w:rPr>
        <w:t>U.S. government contracts contain provisions and are subject to laws and regulations that provide government clients with rights and remedies not typically found in commercial contracts.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rights and remedies allow government clients, among other things, to:</w:t>
      </w:r>
    </w:p>
    <w:p>
      <w:pPr>
        <w:spacing w:after="0" w:line="200" w:lineRule="exact"/>
        <w:rPr>
          <w:sz w:val="20"/>
          <w:szCs w:val="20"/>
          <w:color w:val="auto"/>
        </w:rPr>
      </w:pPr>
    </w:p>
    <w:p>
      <w:pPr>
        <w:spacing w:after="0" w:line="23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38" w:name="page39"/>
    <w:bookmarkEnd w:id="3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existing contracts, with short notice, for convenience as well as for default;</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orders under or otherwise modify contracts;</w:t>
      </w:r>
    </w:p>
    <w:p>
      <w:pPr>
        <w:spacing w:after="0" w:line="51" w:lineRule="exact"/>
        <w:rPr>
          <w:rFonts w:ascii="Times New Roman" w:cs="Times New Roman" w:eastAsia="Times New Roman" w:hAnsi="Times New Roman"/>
          <w:sz w:val="14"/>
          <w:szCs w:val="14"/>
          <w:color w:val="auto"/>
        </w:rPr>
      </w:pPr>
    </w:p>
    <w:p>
      <w:pPr>
        <w:ind w:left="520" w:right="20" w:hanging="133"/>
        <w:spacing w:after="0" w:line="284"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contracts subject to the Truthful Cost or Pricing Data Statute, reduce the contract price or cost where it was increased because a contractor or subcontractor furnished cost or pricing data during negotiations that was not complete, accurate or current;</w:t>
      </w:r>
    </w:p>
    <w:p>
      <w:pPr>
        <w:ind w:left="520" w:right="300" w:hanging="133"/>
        <w:spacing w:after="0" w:line="270"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some contracts, (i) demand a refund, make a forward price adjustment, or terminate a contract for default if a contractor provided inaccurate or incomplete data during the contract negotiation process and (ii) reduce the contract price under certain triggering circumstances, including the revision of price lists or other documents upon which the contract award was predicated;</w:t>
      </w:r>
    </w:p>
    <w:p>
      <w:pPr>
        <w:spacing w:after="0" w:line="8"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our facility security clearances and thereby prevent us from receiving classified contracts;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multi-year contracts and related orders if funds for contract performance for any subsequent year become unavailable;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 to exercise an option to renew a multi-year contract or issue task orders in connection with IDIQ contracts;</w:t>
      </w:r>
    </w:p>
    <w:p>
      <w:pPr>
        <w:spacing w:after="0" w:line="51" w:lineRule="exact"/>
        <w:rPr>
          <w:rFonts w:ascii="Times New Roman" w:cs="Times New Roman" w:eastAsia="Times New Roman" w:hAnsi="Times New Roman"/>
          <w:sz w:val="14"/>
          <w:szCs w:val="14"/>
          <w:color w:val="auto"/>
        </w:rPr>
      </w:pPr>
    </w:p>
    <w:p>
      <w:pPr>
        <w:ind w:left="520" w:right="160" w:hanging="133"/>
        <w:spacing w:after="0" w:line="284"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claim rights in solutions, systems, and technology produced by us, appropriate such work-product for their continued use without continuing to contract for our services and disclose such work-product to third parties, including other U.S. government agencies and our competitors, which could harm our competitive position;</w:t>
      </w:r>
    </w:p>
    <w:p>
      <w:pPr>
        <w:ind w:left="520" w:right="20" w:hanging="133"/>
        <w:spacing w:after="0" w:line="284"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ind w:left="520" w:hanging="133"/>
        <w:spacing w:after="0" w:line="284"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or debar us from doing business with the U.S. government;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 or prohibit the export of our services.</w:t>
      </w:r>
    </w:p>
    <w:p>
      <w:pPr>
        <w:spacing w:after="0" w:line="51"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Recent and potential future budget cuts and recent efforts to decrease federal awards for management support services may cause agencies with which we currently have contracts to terminate, reduce the number of task orders under or fail to renew such contracts. If a U.S. government client were to unexpectedly terminate, cancel, or decline to exercise an option to renew with respect to one or more of our significant contracts, or suspend or debar us from doing business with the U.S. government, our revenue and operating results would be materially harmed.</w:t>
      </w:r>
    </w:p>
    <w:p>
      <w:pPr>
        <w:spacing w:after="0" w:line="200" w:lineRule="exact"/>
        <w:rPr>
          <w:sz w:val="20"/>
          <w:szCs w:val="20"/>
          <w:color w:val="auto"/>
        </w:rPr>
      </w:pPr>
    </w:p>
    <w:p>
      <w:pPr>
        <w:spacing w:after="0" w:line="20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354" w:right="399" w:bottom="1440" w:gutter="0" w:footer="0" w:header="0"/>
        </w:sectPr>
      </w:pPr>
    </w:p>
    <w:bookmarkStart w:id="39" w:name="page40"/>
    <w:bookmarkEnd w:id="3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ind w:right="8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work with government clients exposes us to additional risks inherent in the government contracting environment, which could reduce our revenue, disrupt our business, or otherwise materially adversely affect our results of operations.</w:t>
      </w:r>
    </w:p>
    <w:p>
      <w:pPr>
        <w:ind w:right="20" w:firstLine="350"/>
        <w:spacing w:after="0" w:line="254" w:lineRule="auto"/>
        <w:rPr>
          <w:sz w:val="20"/>
          <w:szCs w:val="20"/>
          <w:color w:val="auto"/>
        </w:rPr>
      </w:pPr>
      <w:r>
        <w:rPr>
          <w:rFonts w:ascii="Times New Roman" w:cs="Times New Roman" w:eastAsia="Times New Roman" w:hAnsi="Times New Roman"/>
          <w:sz w:val="14"/>
          <w:szCs w:val="14"/>
          <w:color w:val="auto"/>
        </w:rPr>
        <w:t>U.S. government contractors (including their subcontractors and others with whom they do business) operate in a highly regulated environment and are routinely audited and reviewed by the U.S. government and its agencies, including the DCAA, DCMA, Department of Defense Inspector General, and others. These agencies review our performance on contracts, pricing practices, cost accounting practices, and compliance with applicable policies, laws, regulations, and standards, including applicable government cost accounting standards, as well as our contract costs, including allocated indirect costs. The DCAA audits and the DCMA reviews, among other areas, the adequacy of our internal control systems and policies, including our DFARS required business systems, which are comprised of our purchasing, property, estimating, earned value, accounting and material management and accounting systems. These internal control systems could focus on significant elements of costs, such as executive compensation. Determination of a significant internal control deficiency by a government agency could result in increased payment withholding that might adversely affect our cash flow. In particular, over time the DCMA has increased and may continue to increase the proportion of executive compensation that it deems unallowable and the size of the executive population whose compensation is disallowed, which will continue to materially and adversely affect our results of operations or financial condition including the requirement to carry an increased level of reserves. We recognize as revenue, net of reserves, executive compensation that we determine, based on management's estimates, to be allowable;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Any costs found to be unallowable under a contract will not be reimbursed, and any such costs already reimbursed must be refunded. Further, the amount of any such refund may exceed the provision for claimed indirect costs, which is based on management's estimates and assumptions that are inherently uncertain and may not cover actual losses. For example, DCAA audits may result in, and have historically resulted in, the Company's inability to retain certain claimed indirect costs, including executive and employee compensation, due to differing views of the allowability and reasonableness of such costs. As of March 31, 2024, years subsequent to the Company's fiscal year 2011 remained subject to audit and/or final resolution. As of March 31, 2024, the Company recognized a liability of $363.7 million for estimated adjustments to claimed indirect costs based on its historical DCAA audit results, including the final resolution of such audits with the DCMA. Determining the provision for claimed indirect costs is complex and subject to management's estimate of adjustments to claimed indirect costs based on the number of years that remain open to audit and expected final resolution by U.S. government agencies. As a result, significant changes in estimates could have a material effect on the Company's results of operations. Furthermore, the disallowance of any costs previously charged could directly and negatively affect our current results of operations for the relevant prior fiscal periods, and we could be required to repay any such disallowed amounts. Each of these results could materially and adversely affect our results of operations or financial condition.</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Moreover, if any of the administrative processes and business systems, some of which are currently certified as effective, are found not to comply with government imposed requirements, we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be subjected to increased government scrutiny and approval that could delay or otherwise adversely affect our ability to compete for or perform contracts or to be paid timely. Unfavorable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government audit, review, or investigation results could subject us to civil or criminal penalties or administrative sanctions, require us to retroactively and prospectively adjust previously agreed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billing or pricing rates for our work, and could harm our reputation and relationships with our clients and impair our ability to be awarded new contracts, which could affect our future sales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profitability by preventing us, by operation of law or in practice, from receiving new government contracts for some period of time. In addition, if our invoicing system were found to be inadequate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an audit by the DCAA, our ability to directly invoice U.S. government payment offices could be eliminated. As a result, we would be required to submit each invoice to the DCAA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approval prior to payment, which could materially increase our accounts receivable days sales outstanding and adversely affect our cash flow. In addition, proposed regulatory changes, if adopted,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would require the Department of Defense’s contracting officers to impose contractual withholding at no less than certain minimum levels based on assessments of a contractor’s business systems. If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government investigation uncovers improper or illegal activities, we may be subject to civil and criminal penalties and administrative sanctions, including termination of contracts, forfeitures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profits, withholding of payments, suspension of payments, fines, and suspension or debarment from doing business with the U.S. government. We could also suffer serious reputational harm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allegations of impropriety were made against us.</w:t>
      </w:r>
    </w:p>
    <w:p>
      <w:pPr>
        <w:spacing w:after="0" w:line="37" w:lineRule="exact"/>
        <w:rPr>
          <w:sz w:val="20"/>
          <w:szCs w:val="20"/>
          <w:color w:val="auto"/>
        </w:rPr>
      </w:pPr>
    </w:p>
    <w:p>
      <w:pPr>
        <w:ind w:right="60" w:firstLine="350"/>
        <w:spacing w:after="0" w:line="264" w:lineRule="auto"/>
        <w:rPr>
          <w:sz w:val="20"/>
          <w:szCs w:val="20"/>
          <w:color w:val="auto"/>
        </w:rPr>
      </w:pPr>
      <w:r>
        <w:rPr>
          <w:rFonts w:ascii="Times New Roman" w:cs="Times New Roman" w:eastAsia="Times New Roman" w:hAnsi="Times New Roman"/>
          <w:sz w:val="14"/>
          <w:szCs w:val="14"/>
          <w:color w:val="auto"/>
        </w:rPr>
        <w:t>In addition, operation of our financial management systems and certain changes to our cost accounting practices that we have adopted may negatively impact our profitability. In particular, the changes to our cost accounting practices required us to estimate changes in costs for certain contracts and make payments in connection with such estimates. The changes are subject to audit by the DCAA and negotiation with the DCMA, which could result in additional payments that may be material and not recoverable. To the extent we are unable to fully mitigate the costs associated with changes to our cost accounting practices as we implement the new systems, our business and financial results may be adversely affected.</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4" w:right="359" w:bottom="1440" w:gutter="0" w:footer="0" w:header="0"/>
        </w:sectPr>
      </w:pPr>
    </w:p>
    <w:bookmarkStart w:id="40" w:name="page41"/>
    <w:bookmarkEnd w:id="4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The U.S. government may revise its procurement, contract, or other practices in a manner adverse to us.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U.S. government may:</w:t>
      </w:r>
    </w:p>
    <w:p>
      <w:pPr>
        <w:spacing w:after="0" w:line="51" w:lineRule="exact"/>
        <w:rPr>
          <w:sz w:val="20"/>
          <w:szCs w:val="20"/>
          <w:color w:val="auto"/>
        </w:rPr>
      </w:pPr>
    </w:p>
    <w:p>
      <w:pPr>
        <w:ind w:left="520" w:right="20" w:hanging="133"/>
        <w:spacing w:after="0" w:line="284"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revise its procurement practices or adopt new contract laws, rules, and regulations, such as cost accounting standards, organizational conflicts of interest, and other rules governing inherently governmental functions at any time;</w:t>
      </w:r>
    </w:p>
    <w:p>
      <w:pPr>
        <w:ind w:left="520" w:hanging="133"/>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delay, or cancel procurement programs resulting from U.S. government efforts to improve procurement practices and efficiency;</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creation of new government-wide or agency-specific multiple award contracts;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face restrictions or pressure from government employees and their unions regarding the amount of services the U.S. government may obtain from private contractors;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contracts on a technically acceptable/lowest cost basis in order to reduce expenditures, and we may not be the lowest cost provider of services;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new socio-economic requirements, including setting aside procurement opportunities to small, disadvantaged businesses;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basis upon which it reimburses our compensation and other expenses or otherwise limits such reimbursements;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its option, terminate or decline to renew our contracts.</w:t>
      </w:r>
    </w:p>
    <w:p>
      <w:pPr>
        <w:spacing w:after="0" w:line="51"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In addition, any new contracting methods could be costly or administratively difficult for us to implement and could adversely affect our future revenue and profit margin. In addition, changes to the procurement system could cause delays in the procurement decision-making process. Any such changes to the U.S. government’s procurement practices or the adoption of new contracting rules or practices could impair our ability to obtain new or re-compete contracts and any such changes or increased associated costs could materially and adversely affect our results of operations.</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The U.S. government may prefer minority-owned, small and small disadvantaged businesses; therefore, we may have fewer opportunities to bid for.</w:t>
      </w:r>
    </w:p>
    <w:p>
      <w:pPr>
        <w:spacing w:after="0" w:line="53"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As a result of the Small Business Administration set-aside program, the U.S.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amount of procurements under the Small Business Administration set-aside program may impact our ability to bid on new procurements as a prime contractor or restrict our ability to re-compete on incumbent work that is placed in the set-aside program.</w:t>
      </w:r>
    </w:p>
    <w:p>
      <w:pPr>
        <w:spacing w:after="0" w:line="54" w:lineRule="exact"/>
        <w:rPr>
          <w:sz w:val="20"/>
          <w:szCs w:val="20"/>
          <w:color w:val="auto"/>
        </w:rPr>
      </w:pPr>
    </w:p>
    <w:p>
      <w:pPr>
        <w:ind w:right="4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Increasing scrutiny and changing expectations from governmental organizations, clients and our employees with respect to our ESG related practices may impose additional costs on us or expose us to new or additional risks.</w:t>
      </w:r>
    </w:p>
    <w:p>
      <w:pPr>
        <w:ind w:firstLine="350"/>
        <w:spacing w:after="0" w:line="255" w:lineRule="auto"/>
        <w:rPr>
          <w:sz w:val="20"/>
          <w:szCs w:val="20"/>
          <w:color w:val="auto"/>
        </w:rPr>
      </w:pPr>
      <w:r>
        <w:rPr>
          <w:rFonts w:ascii="Times New Roman" w:cs="Times New Roman" w:eastAsia="Times New Roman" w:hAnsi="Times New Roman"/>
          <w:sz w:val="14"/>
          <w:szCs w:val="14"/>
          <w:color w:val="auto"/>
        </w:rPr>
        <w:t>There is increased scrutiny from governmental organizations, clients, employees, investors, and other stakeholders on environmental, social and governance (“ESG”) issues such as diversity, equity and inclusion, workplace culture, community investment, environmental management, climate impact and information security. We have expended and may further expend resources to monitor, report on and adopt policies and practices that we believe will improve alignment with our evolving ESG strategy and goals, as well as ESG-related standards and expectations of legal regimes and stakeholders such as clients, investors, stockholders, raters, employees, and business partners. If our ESG practices, including our goals for diversity, equity and inclusion, environmental sustainability and information security, do not meet evolving rules and regulations or stakeholder expectations and standards (or if we are viewed negatively based on positions we do or do not take or work we do or do not perform or cannot publicly disclose for certain clients and industries), then our reputation, our ability to attract or retain leading experts, employees and other professionals and our ability to attract new business and clients could be negatively impacted, as could our attractiveness as an investment, service provider, employer, or business partner. Similarly, our failure or perceived failure in our efforts to execute our ESG strategy and achieve our current or future ESG-related goals, targets and objectives, or to satisfy various reporting standards within the timelines expected by stakeholders, or at all, could also result in similar negative impacts. Organizations that provide information to investors on corporate governance and related matters have developed ratings processes for evaluating companies on their approach to ESG matters, and unfavorable ratings of our ESG efforts may lead to negative investor sentiment, diversion of investment to other companies, and difficulty in hiring skilled employees. In addition, complying or failing to comply with existing or future federal, state, local, and foreign ESG legislation and regulations applicable to our business and operations, including related to greenhouse gas emissions, climate change, or other matters could cause us to incur additional compliance and operational costs or actions and suffer reputational harm, which could adversely affect our business.</w:t>
      </w:r>
    </w:p>
    <w:p>
      <w:pPr>
        <w:spacing w:after="0" w:line="200" w:lineRule="exact"/>
        <w:rPr>
          <w:sz w:val="20"/>
          <w:szCs w:val="20"/>
          <w:color w:val="auto"/>
        </w:rPr>
      </w:pPr>
    </w:p>
    <w:p>
      <w:pPr>
        <w:spacing w:after="0" w:line="21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41" w:name="page42"/>
    <w:bookmarkEnd w:id="4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certain physical and regulatory risks, and could incur additional costs, related to climate change and other natural disasters.</w:t>
      </w:r>
    </w:p>
    <w:p>
      <w:pPr>
        <w:spacing w:after="0" w:line="53" w:lineRule="exact"/>
        <w:rPr>
          <w:sz w:val="20"/>
          <w:szCs w:val="20"/>
          <w:color w:val="auto"/>
        </w:rPr>
      </w:pPr>
    </w:p>
    <w:p>
      <w:pPr>
        <w:ind w:right="140" w:firstLine="350"/>
        <w:spacing w:after="0" w:line="258" w:lineRule="auto"/>
        <w:rPr>
          <w:sz w:val="20"/>
          <w:szCs w:val="20"/>
          <w:color w:val="auto"/>
        </w:rPr>
      </w:pPr>
      <w:r>
        <w:rPr>
          <w:rFonts w:ascii="Times New Roman" w:cs="Times New Roman" w:eastAsia="Times New Roman" w:hAnsi="Times New Roman"/>
          <w:sz w:val="14"/>
          <w:szCs w:val="14"/>
          <w:color w:val="auto"/>
        </w:rPr>
        <w:t>Due to the global nature of our business, we are exposed to a variety of physical risks related to climate change, including rising temperatures and sea levels, extreme heat, and other extreme weather events. Our worldwide operations and the operations of our customers could be subject to natural disasters (including those from climate change) such as hurricanes, typhoons, tsunamis, floods, earthquakes, fires, water shortages and prolonged drought. Such events could disrupt our operations or those of our customers and suppliers, including the inability of employees to work, destruction of facilities, loss of life, and adverse effects on supply chains, power, infrastructure, and the integrity of information technology systems, all of which could materially increase our costs and expenses, delay or decrease revenue from our customers, and disrupt our ability to maintain business continuity. We could incur significant costs to improve the climate-related resiliency of our infrastructure and otherwise prepare for, respond to, and mitigate the effects of climate change. Additionally, if insurance or other risk transfer mechanisms are unavailable or insufficient to recover all costs or if we experience a significant disruption to our business due to a natural disaster, our results of operations could be adversely affected.</w:t>
      </w:r>
    </w:p>
    <w:p>
      <w:pPr>
        <w:spacing w:after="0" w:line="19"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We may also face operational costs and transition risks due to decisions we make to conduct or change our activities in response to considerations relating to climate change, such as our goal to eventually reach net-zero greenhouse gas emissions. In addition, complying or failing to comply with existing or future federal, state, local, and foreign legislation and regulations applicable to our business and operations related to greenhouse gas emissions and climate change could cause us to incur additional compliance and operational costs.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94" w:lineRule="exact"/>
        <w:rPr>
          <w:sz w:val="20"/>
          <w:szCs w:val="20"/>
          <w:color w:val="auto"/>
        </w:rPr>
      </w:pPr>
    </w:p>
    <w:p>
      <w:pPr>
        <w:ind w:right="12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have substantial indebtedness and may incur substantial additional indebtedness, which could adversely affect our financial health and our ability to obtain financing in the future as well as to react to changes in our business.</w:t>
      </w:r>
    </w:p>
    <w:p>
      <w:pPr>
        <w:ind w:right="200" w:firstLine="350"/>
        <w:spacing w:after="0" w:line="270" w:lineRule="auto"/>
        <w:rPr>
          <w:sz w:val="20"/>
          <w:szCs w:val="20"/>
          <w:color w:val="auto"/>
        </w:rPr>
      </w:pPr>
      <w:r>
        <w:rPr>
          <w:rFonts w:ascii="Times New Roman" w:cs="Times New Roman" w:eastAsia="Times New Roman" w:hAnsi="Times New Roman"/>
          <w:sz w:val="14"/>
          <w:szCs w:val="14"/>
          <w:color w:val="auto"/>
        </w:rPr>
        <w:t>As of March 31, 2024, we had total indebtedness of approximately $3.4 billion and $998.7 million of availability under our revolving credit facility (the “Revolving Credit Facility”). We are able to, and may, incur additional indebtedness in the future, subject to the limitations contained in the agreements governing our indebtedness. Our substantial indebtedness could have important consequences to holders of our common stock, including:</w:t>
      </w:r>
    </w:p>
    <w:p>
      <w:pPr>
        <w:spacing w:after="0" w:line="8" w:lineRule="exact"/>
        <w:rPr>
          <w:sz w:val="20"/>
          <w:szCs w:val="20"/>
          <w:color w:val="auto"/>
        </w:rPr>
      </w:pPr>
    </w:p>
    <w:p>
      <w:pPr>
        <w:ind w:left="520" w:hanging="133"/>
        <w:spacing w:after="0" w:line="264" w:lineRule="auto"/>
        <w:tabs>
          <w:tab w:leader="none" w:pos="51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it more difficult for us to satisfy our obligations with respect to our Senior Credit Facility, consisting of a $1.6 billion term loan facility (“Term Loan A”), a $1.0 billion Revolving Credit Facility, with a sublimit for letters of credit of $200.0 million, our $700.0 million in aggregate principal amount of 3.875% Senior Notes due 2028 (the “Senior Notes due 2028”), our $500.0 million in aggregate principal amount of 4.000% Senior Notes due 2029 (the “Senior Notes due 2029”), our $650.0 million in aggregate principal amount of 5.950% Senior Notes due 2033 (the “Senior Notes due 2033”, and together with the Senior Notes due 2028 and the Senior Notes due 2029, the “Senior Notes”) and our other debt;</w:t>
      </w:r>
    </w:p>
    <w:p>
      <w:pPr>
        <w:spacing w:after="0" w:line="13"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 to fund future working capital, capital expenditures, acquisitions or other general corporate requirements;</w:t>
      </w:r>
    </w:p>
    <w:p>
      <w:pPr>
        <w:spacing w:after="0" w:line="51" w:lineRule="exact"/>
        <w:rPr>
          <w:rFonts w:ascii="Times New Roman" w:cs="Times New Roman" w:eastAsia="Times New Roman" w:hAnsi="Times New Roman"/>
          <w:sz w:val="14"/>
          <w:szCs w:val="14"/>
          <w:color w:val="auto"/>
        </w:rPr>
      </w:pPr>
    </w:p>
    <w:p>
      <w:pPr>
        <w:ind w:left="520" w:right="100" w:hanging="133"/>
        <w:spacing w:after="0" w:line="284" w:lineRule="auto"/>
        <w:tabs>
          <w:tab w:leader="none" w:pos="51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ind w:left="520" w:hanging="133"/>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general adverse economic and industry conditions;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exposing us to the risk of increased interest rates as certain of our borrowings, including under the Senior Credit Facility, are at variable rates of interest;</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and reacting to changes in the industry in which we compete;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disadvantage compared to other, less leveraged competitors or competitors with comparable debt and more favorable terms and thereby affecting our ability to compete;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cost of borrowing.</w:t>
      </w:r>
    </w:p>
    <w:p>
      <w:pPr>
        <w:spacing w:after="0" w:line="51"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Although the Senior Credit Facility and the indentures governing the Senior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the Revolving Credit Facility provides for commitments of $1.0 billion, which as of March 31, 2024, had availability of $998.7 million. Additionally, the used portion as it pertains to open standby letters of credit and bank guarantees totaled $1.3 million. Furthermore, subject to specified conditions, without the consent of the then-existing lenders (but subject to the receipt of commitments), the indebtedness under the Senior Credit Facility may be increased by up to $500.0 million. If new debt is added to our current debt levels, the related risks that we and the guarantors now face would increase and we may not be able to meet all our debt obligations, including the repayment of the Senior Notes.</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42" w:name="page43"/>
    <w:bookmarkEnd w:id="4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ind w:right="32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generate sufficient cash to service our indebtedness and may be forced to take other actions to satisfy our obligations under our indebtedness, which may not be successful.</w:t>
      </w: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Our ability to make scheduled payments on or refinance our debt obligations will depend on our financial condition and operating performance, which are subject to prevailing economic and competitive conditions and to financial, business, legislative, regulatory and other factors beyond our control. We might not be able to maintain a level of cash flows from operating activities sufficient to permit us to pay the principal, premium, if any, and interest on our indebtedness. For information regarding the risks to our business that could impair our ability to satisfy our obligations under our indebtedness, see “— Risks Related to Our Indebtedness.”</w:t>
      </w:r>
    </w:p>
    <w:p>
      <w:pPr>
        <w:spacing w:after="0" w:line="13" w:lineRule="exact"/>
        <w:rPr>
          <w:sz w:val="20"/>
          <w:szCs w:val="20"/>
          <w:color w:val="auto"/>
        </w:rPr>
      </w:pPr>
    </w:p>
    <w:p>
      <w:pPr>
        <w:jc w:val="both"/>
        <w:ind w:right="60" w:firstLine="350"/>
        <w:spacing w:after="0" w:line="270" w:lineRule="auto"/>
        <w:rPr>
          <w:sz w:val="20"/>
          <w:szCs w:val="20"/>
          <w:color w:val="auto"/>
        </w:rPr>
      </w:pPr>
      <w:r>
        <w:rPr>
          <w:rFonts w:ascii="Times New Roman" w:cs="Times New Roman" w:eastAsia="Times New Roman" w:hAnsi="Times New Roman"/>
          <w:sz w:val="14"/>
          <w:szCs w:val="14"/>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on commercially reasonable terms or at all and, even if successful, those alternative actions may not allow us to meet our scheduled debt service obligations.</w:t>
      </w:r>
    </w:p>
    <w:p>
      <w:pPr>
        <w:spacing w:after="0" w:line="8" w:lineRule="exact"/>
        <w:rPr>
          <w:sz w:val="20"/>
          <w:szCs w:val="20"/>
          <w:color w:val="auto"/>
        </w:rPr>
      </w:pPr>
    </w:p>
    <w:p>
      <w:pPr>
        <w:ind w:right="300" w:firstLine="350"/>
        <w:spacing w:after="0" w:line="284" w:lineRule="auto"/>
        <w:rPr>
          <w:sz w:val="20"/>
          <w:szCs w:val="20"/>
          <w:color w:val="auto"/>
        </w:rPr>
      </w:pPr>
      <w:r>
        <w:rPr>
          <w:rFonts w:ascii="Times New Roman" w:cs="Times New Roman" w:eastAsia="Times New Roman" w:hAnsi="Times New Roman"/>
          <w:sz w:val="14"/>
          <w:szCs w:val="14"/>
          <w:color w:val="auto"/>
        </w:rPr>
        <w:t>The agreements governing our indebtedness restrict our ability to dispose of assets and use the proceeds from those dispositions and also restrict our ability to raise debt to be used to repay other indebtedness when it becomes due.</w:t>
      </w:r>
    </w:p>
    <w:p>
      <w:pPr>
        <w:spacing w:after="0" w:line="1" w:lineRule="exact"/>
        <w:rPr>
          <w:sz w:val="20"/>
          <w:szCs w:val="20"/>
          <w:color w:val="auto"/>
        </w:rPr>
      </w:pPr>
    </w:p>
    <w:p>
      <w:pPr>
        <w:jc w:val="both"/>
        <w:ind w:right="80" w:firstLine="350"/>
        <w:spacing w:after="0" w:line="270" w:lineRule="auto"/>
        <w:rPr>
          <w:sz w:val="20"/>
          <w:szCs w:val="20"/>
          <w:color w:val="auto"/>
        </w:rPr>
      </w:pPr>
      <w:r>
        <w:rPr>
          <w:rFonts w:ascii="Times New Roman" w:cs="Times New Roman" w:eastAsia="Times New Roman" w:hAnsi="Times New Roman"/>
          <w:sz w:val="14"/>
          <w:szCs w:val="14"/>
          <w:color w:val="auto"/>
        </w:rPr>
        <w:t>We may not be able to consummate those dispositions or to obtain proceeds in an amount sufficient to meet any debt service obligations then due. In addition, under the Senior Credit Facility, we are subject to mandatory prepayments of our Term Loans from a portion of our excess cash flows, which may be stepped down upon the achievement of specified first lien leverage ratios. To the extent that we are required to prepay any amounts under our Term Loans, we may have insufficient cash to make required principal and interest payments on other indebtedness.</w:t>
      </w:r>
    </w:p>
    <w:p>
      <w:pPr>
        <w:spacing w:after="0" w:line="8" w:lineRule="exact"/>
        <w:rPr>
          <w:sz w:val="20"/>
          <w:szCs w:val="20"/>
          <w:color w:val="auto"/>
        </w:rPr>
      </w:pPr>
    </w:p>
    <w:p>
      <w:pPr>
        <w:ind w:right="60" w:firstLine="350"/>
        <w:spacing w:after="0" w:line="284" w:lineRule="auto"/>
        <w:rPr>
          <w:sz w:val="20"/>
          <w:szCs w:val="20"/>
          <w:color w:val="auto"/>
        </w:rPr>
      </w:pPr>
      <w:r>
        <w:rPr>
          <w:rFonts w:ascii="Times New Roman" w:cs="Times New Roman" w:eastAsia="Times New Roman" w:hAnsi="Times New Roman"/>
          <w:sz w:val="14"/>
          <w:szCs w:val="14"/>
          <w:color w:val="auto"/>
        </w:rPr>
        <w:t>Our inability to generate sufficient cash flows to satisfy our debt obligations, or to refinance our indebtedness on commercially reasonable terms or at all, would materially and adversely affect our financial condition and results of operations and our ability to satisfy our obligations under our indebtedness.</w:t>
      </w:r>
    </w:p>
    <w:p>
      <w:pPr>
        <w:spacing w:after="0" w:line="1"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If we cannot make scheduled payments on our debt, we would be in default and the following events could occur: lenders under our Senior Credit Facility and holders of the Senior Notes could declare all outstanding principal and interest to be due and payable; and lenders under the Revolving Credit Facility could terminate their commitments to provide loans. All of these events could force us into bankruptcy or liquidation and result in investors' losing some or all of the value of their investment.</w:t>
      </w:r>
    </w:p>
    <w:p>
      <w:pPr>
        <w:spacing w:after="0" w:line="49" w:lineRule="exact"/>
        <w:rPr>
          <w:sz w:val="20"/>
          <w:szCs w:val="20"/>
          <w:color w:val="auto"/>
        </w:rPr>
      </w:pPr>
    </w:p>
    <w:p>
      <w:pPr>
        <w:ind w:right="20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terms of the agreements governing our indebtedness restrict our current and future operations, particularly our ability to respond to changes or to take certain actions, which could harm our long-term interests.</w:t>
      </w:r>
    </w:p>
    <w:p>
      <w:pPr>
        <w:ind w:right="80" w:firstLine="350"/>
        <w:spacing w:after="0" w:line="284" w:lineRule="auto"/>
        <w:rPr>
          <w:sz w:val="20"/>
          <w:szCs w:val="20"/>
          <w:color w:val="auto"/>
        </w:rPr>
      </w:pPr>
      <w:r>
        <w:rPr>
          <w:rFonts w:ascii="Times New Roman" w:cs="Times New Roman" w:eastAsia="Times New Roman" w:hAnsi="Times New Roman"/>
          <w:sz w:val="14"/>
          <w:szCs w:val="14"/>
          <w:color w:val="auto"/>
        </w:rPr>
        <w:t>The Senior Credit Facility and the indentures governing the Senior Notes contain covenants that, among other things, impose significant operating and financial restrictions on us and limit our ability to engage in actions that may be in our long-term best interest, including restrictions on our ability to:</w:t>
      </w:r>
    </w:p>
    <w:p>
      <w:pPr>
        <w:spacing w:after="0" w:line="1" w:lineRule="exact"/>
        <w:rPr>
          <w:sz w:val="20"/>
          <w:szCs w:val="20"/>
          <w:color w:val="auto"/>
        </w:rPr>
      </w:pPr>
    </w:p>
    <w:p>
      <w:pPr>
        <w:ind w:left="520" w:hanging="133"/>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 guarantee indebtedness, or issue disqualified stock or preferred stock;</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on or make other distributions in respect of, or repurchase or redeem, our capital stock;</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sale-leaseback transactions;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liens;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merge or sell all or substantially all of our and our subsidiaries’ assets;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hedging transactions;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certain lines of business.</w:t>
      </w:r>
    </w:p>
    <w:p>
      <w:pPr>
        <w:spacing w:after="0" w:line="51" w:lineRule="exact"/>
        <w:rPr>
          <w:sz w:val="20"/>
          <w:szCs w:val="20"/>
          <w:color w:val="auto"/>
        </w:rPr>
      </w:pPr>
    </w:p>
    <w:p>
      <w:pPr>
        <w:ind w:right="80" w:firstLine="382"/>
        <w:spacing w:after="0" w:line="284" w:lineRule="auto"/>
        <w:rPr>
          <w:sz w:val="20"/>
          <w:szCs w:val="20"/>
          <w:color w:val="auto"/>
        </w:rPr>
      </w:pPr>
      <w:r>
        <w:rPr>
          <w:rFonts w:ascii="Times New Roman" w:cs="Times New Roman" w:eastAsia="Times New Roman" w:hAnsi="Times New Roman"/>
          <w:sz w:val="14"/>
          <w:szCs w:val="14"/>
          <w:color w:val="auto"/>
        </w:rPr>
        <w:t>These covenants are subject to a number of important exceptions and qualifications. In addition, the restrictive covenants in the Senior Credit Facility require us to maintain a consolidated net total leverage ratio that will be tested at the end of each fiscal quarter. Our ability to satisfy such financial ratio test may be affected by events beyond our control.</w:t>
      </w:r>
    </w:p>
    <w:p>
      <w:pPr>
        <w:spacing w:after="0" w:line="1"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A breach of the covenants under the agreements governing our indebtedness could result in an event of default under those agreements. Such a default may allow certain creditors to accelerate the related debt and may result in the acceleration of any other debt to which a cross-acceleration or cross-default provision applies. In addition, an event of default under the Senior Credit Facility would also permit the lenders under the Revolving Credit Facility to terminate all other commitments to extend further credit under that facility. In the event the lenders accelerate the repayment of our borrowings, we may not have sufficient assets to repay that indebtedness.</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a result of these restrictions, we may be:</w:t>
      </w:r>
    </w:p>
    <w:p>
      <w:pPr>
        <w:spacing w:after="0" w:line="51" w:lineRule="exact"/>
        <w:rPr>
          <w:sz w:val="20"/>
          <w:szCs w:val="20"/>
          <w:color w:val="auto"/>
        </w:rPr>
      </w:pPr>
    </w:p>
    <w:p>
      <w:pPr>
        <w:ind w:left="520" w:hanging="133"/>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in how we conduct our business;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unable to raise additional debt or equity financing to operate during general economic or business downturns; or</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unable to compete effectively or to take advantage of new business opportunities.</w:t>
      </w:r>
    </w:p>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These restrictions might hinder our ability to grow in accordance with our strategy.</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43" w:name="page44"/>
    <w:bookmarkEnd w:id="4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Our variable rate indebtedness subjects us to interest rate risk, which could cause our debt service obligations to increase significantly.</w:t>
      </w:r>
    </w:p>
    <w:p>
      <w:pPr>
        <w:spacing w:after="0" w:line="53"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Borrowings under the Senior Credit Facility are at variable rates of interest and expose us to interest rate risk. During 2022 and 2023, interest rates increased significantly and interest rates may continue to increase or remain at higher than recent historical levels. With an increase in interest rates, our debt service obligations on the variable rate indebtedness would increase even though the amount borrowed remains the same, and our net income and cash flows, including cash available for servicing our indebtedness, would correspondingly decrease.</w:t>
      </w:r>
    </w:p>
    <w:p>
      <w:pPr>
        <w:spacing w:after="0" w:line="8" w:lineRule="exact"/>
        <w:rPr>
          <w:sz w:val="20"/>
          <w:szCs w:val="20"/>
          <w:color w:val="auto"/>
        </w:rPr>
      </w:pPr>
    </w:p>
    <w:p>
      <w:pPr>
        <w:ind w:right="60" w:firstLine="350"/>
        <w:spacing w:after="0" w:line="261" w:lineRule="auto"/>
        <w:rPr>
          <w:sz w:val="20"/>
          <w:szCs w:val="20"/>
          <w:color w:val="auto"/>
        </w:rPr>
      </w:pPr>
      <w:r>
        <w:rPr>
          <w:rFonts w:ascii="Times New Roman" w:cs="Times New Roman" w:eastAsia="Times New Roman" w:hAnsi="Times New Roman"/>
          <w:sz w:val="14"/>
          <w:szCs w:val="14"/>
          <w:color w:val="auto"/>
        </w:rPr>
        <w:t>Based on Term Loan A outstanding as of March 31, 2024 and assuming all revolving loans are fully drawn, and after considering interest rate swaps that fix the interest rate on $550.0 million of principal of our variable-rate debt each quarter point change in interest rates would result in a $2.6 million change in our projected annual interest expense on our indebtedness under the Senior Credit Facility. We have entered into interest rate swaps and may in the future enter into additional interest rate swaps that involve the exchange of floating for fixed rate interest payments in order to reduce future interest rate volatility of our variable rate indebtedness. However, due to risks for hedging gains and losses and cash settlement costs, we may not elect to maintain such interest rate swaps, and any swaps may not fully mitigate our interest rate risk.</w:t>
      </w:r>
    </w:p>
    <w:p>
      <w:pPr>
        <w:spacing w:after="0" w:line="56" w:lineRule="exact"/>
        <w:rPr>
          <w:sz w:val="20"/>
          <w:szCs w:val="20"/>
          <w:color w:val="auto"/>
        </w:rPr>
      </w:pPr>
    </w:p>
    <w:p>
      <w:pPr>
        <w:ind w:right="22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 downgrade, suspension or withdrawal of the rating assigned by a rating agency to us or our indebtedness could make it more difficult for us to obtain additional debt financing in the future.</w:t>
      </w:r>
    </w:p>
    <w:p>
      <w:pPr>
        <w:ind w:firstLine="350"/>
        <w:spacing w:after="0" w:line="264" w:lineRule="auto"/>
        <w:rPr>
          <w:sz w:val="20"/>
          <w:szCs w:val="20"/>
          <w:color w:val="auto"/>
        </w:rPr>
      </w:pPr>
      <w:r>
        <w:rPr>
          <w:rFonts w:ascii="Times New Roman" w:cs="Times New Roman" w:eastAsia="Times New Roman" w:hAnsi="Times New Roman"/>
          <w:sz w:val="14"/>
          <w:szCs w:val="14"/>
          <w:color w:val="auto"/>
        </w:rPr>
        <w:t>We and our indebtedness have been rated by nationally recognized rating agencies and may in the future be rated by additional rating agencies. We cannot assure you that any rating assigned to us or our indebtedness will remain for any given period of time or that a rating will not be lowered or withdrawn entirely by a rating agency if, in that rating agency’s judgment, circumstances relating to the basis of the rating, such as adverse changes in our business, so warrant. Any downgrade, suspension or withdrawal of a rating by a rating agency (or any anticipated downgrade, suspension or withdrawal) could make it more difficult or more expensive for us to obtain additional debt financing in the future.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94" w:lineRule="exact"/>
        <w:rPr>
          <w:sz w:val="20"/>
          <w:szCs w:val="20"/>
          <w:color w:val="auto"/>
        </w:rPr>
      </w:pPr>
    </w:p>
    <w:p>
      <w:pPr>
        <w:ind w:right="30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Booz Allen Holding is a holding company with no operations of its own, and it depends on its subsidiaries for cash to fund all of its operations and expenses, including to make future dividend payments, if any.</w:t>
      </w:r>
    </w:p>
    <w:p>
      <w:pPr>
        <w:ind w:firstLine="350"/>
        <w:spacing w:after="0" w:line="264" w:lineRule="auto"/>
        <w:rPr>
          <w:sz w:val="20"/>
          <w:szCs w:val="20"/>
          <w:color w:val="auto"/>
        </w:rPr>
      </w:pPr>
      <w:r>
        <w:rPr>
          <w:rFonts w:ascii="Times New Roman" w:cs="Times New Roman" w:eastAsia="Times New Roman" w:hAnsi="Times New Roman"/>
          <w:sz w:val="14"/>
          <w:szCs w:val="14"/>
          <w:color w:val="auto"/>
        </w:rPr>
        <w:t>The operations of Booz Allen Holding are conducted almost entirely through its subsidiaries and its ability to generate cash to meet its debt service obligations or to pay dividends is highly dependent on the earnings and receipt of funds from its subsidiaries via dividends or intercompany loans. Further, the Senior Credit Facility and indentures governing the Senior Notes significantly restrict the ability of our subsidiaries to pay dividends or otherwise transfer assets to us. In addition, Delaware law may impose requirements that may restrict our ability to pay dividends to holders of our common stock.</w:t>
      </w:r>
    </w:p>
    <w:p>
      <w:pPr>
        <w:spacing w:after="0" w:line="54" w:lineRule="exact"/>
        <w:rPr>
          <w:sz w:val="20"/>
          <w:szCs w:val="20"/>
          <w:color w:val="auto"/>
        </w:rPr>
      </w:pPr>
    </w:p>
    <w:p>
      <w:pPr>
        <w:ind w:right="30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financial results may vary significantly from period to period as a result of a number of factors, many of which are outside our control, which could cause the market price of our Class A Common Stock to fluctuate.</w:t>
      </w:r>
    </w:p>
    <w:p>
      <w:pPr>
        <w:ind w:right="220" w:firstLine="350"/>
        <w:spacing w:after="0" w:line="284" w:lineRule="auto"/>
        <w:rPr>
          <w:sz w:val="20"/>
          <w:szCs w:val="20"/>
          <w:color w:val="auto"/>
        </w:rPr>
      </w:pPr>
      <w:r>
        <w:rPr>
          <w:rFonts w:ascii="Times New Roman" w:cs="Times New Roman" w:eastAsia="Times New Roman" w:hAnsi="Times New Roman"/>
          <w:sz w:val="14"/>
          <w:szCs w:val="14"/>
          <w:color w:val="auto"/>
        </w:rPr>
        <w:t>Our financial results may vary significantly from period to period in the future as a result of many external factors that are outside of our control. Factors that may affect our financial results and could cause the market price of our outstanding securities, including our Class A Common Stock, to fluctuate include those listed in this “Risk Factors” section and others such as:</w:t>
      </w:r>
    </w:p>
    <w:p>
      <w:pPr>
        <w:spacing w:after="0" w:line="1" w:lineRule="exact"/>
        <w:rPr>
          <w:sz w:val="20"/>
          <w:szCs w:val="20"/>
          <w:color w:val="auto"/>
        </w:rPr>
      </w:pPr>
    </w:p>
    <w:p>
      <w:pPr>
        <w:ind w:left="520" w:hanging="133"/>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cause of reduction or delay in U.S. government funding;</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revenue earned on existing contracts;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completion, or termination of contracts during a particular period;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potential decline in our overall profit margins if our other direct costs and subcontract revenue grow at a faster rate than labor-related revenue;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decisions by us or our competitors, such as changes to business strategy, strategic investments, acquisitions, divestitures, spin offs, and joint ventures;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our contract mix to less profitable contracts;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policy or budgetary measures that adversely affect U.S. government contracts in general;</w:t>
      </w:r>
    </w:p>
    <w:p>
      <w:pPr>
        <w:spacing w:after="0" w:line="51" w:lineRule="exact"/>
        <w:rPr>
          <w:rFonts w:ascii="Times New Roman" w:cs="Times New Roman" w:eastAsia="Times New Roman" w:hAnsi="Times New Roman"/>
          <w:sz w:val="14"/>
          <w:szCs w:val="14"/>
          <w:color w:val="auto"/>
        </w:rPr>
      </w:pPr>
    </w:p>
    <w:p>
      <w:pPr>
        <w:ind w:left="520" w:right="480" w:hanging="133"/>
        <w:spacing w:after="0" w:line="284"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purchasing patterns under U.S. government GSA schedules, blanket purchase agreements, which are agreements that fulfill repetitive needs under GSA schedules, and IDIQ contracts;</w:t>
      </w:r>
    </w:p>
    <w:p>
      <w:pPr>
        <w:ind w:left="520" w:hanging="133"/>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demand for our services and solutions;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degree to which we are able to utilize our professionals;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seasonality associated with the U.S. government’s fiscal year;</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utilize existing or future tax benefits for any reason, including a change in law;</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alterations to contract requirements; and</w:t>
      </w:r>
    </w:p>
    <w:p>
      <w:pPr>
        <w:spacing w:after="0" w:line="200" w:lineRule="exact"/>
        <w:rPr>
          <w:sz w:val="20"/>
          <w:szCs w:val="20"/>
          <w:color w:val="auto"/>
        </w:rPr>
      </w:pPr>
    </w:p>
    <w:p>
      <w:pPr>
        <w:spacing w:after="0" w:line="24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44" w:name="page45"/>
    <w:bookmarkEnd w:id="4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adverse judgments or settlements in legal disputes.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cannot assure you that we will pay special or regular dividends on our stock in the future.</w:t>
      </w:r>
    </w:p>
    <w:p>
      <w:pPr>
        <w:spacing w:after="0" w:line="53" w:lineRule="exact"/>
        <w:rPr>
          <w:sz w:val="20"/>
          <w:szCs w:val="20"/>
          <w:color w:val="auto"/>
        </w:rPr>
      </w:pPr>
    </w:p>
    <w:p>
      <w:pPr>
        <w:ind w:right="100" w:firstLine="350"/>
        <w:spacing w:after="0" w:line="258" w:lineRule="auto"/>
        <w:rPr>
          <w:sz w:val="20"/>
          <w:szCs w:val="20"/>
          <w:color w:val="auto"/>
        </w:rPr>
      </w:pPr>
      <w:r>
        <w:rPr>
          <w:rFonts w:ascii="Times New Roman" w:cs="Times New Roman" w:eastAsia="Times New Roman" w:hAnsi="Times New Roman"/>
          <w:sz w:val="14"/>
          <w:szCs w:val="14"/>
          <w:color w:val="auto"/>
        </w:rPr>
        <w:t>The Board has authorized and declared a regular quarterly dividend for each quarter in the last several years. The Board has also authorized and declared special cash dividends from time to time. The declaration of any future dividends and the establishment of the per share amount, record dates, and payment dates for any such future dividends are subject to the discretion of the Board taking into account future earnings, cash flows, financial requirements and other factors. There can be no assurance that the Board will declare any dividends in the future. To the extent that expectations by market participants regarding the potential payment, or amount, of any special or regular dividend prove to be incorrect, the price of our common stock may be materially and negatively affected and investors that bought shares of our common stock based on those expectations may suffer a loss on their investment. Further, to the extent that we declare a regular or special dividend at a time when market participants hold no such expectations or the amount of any such dividend exceeds current expectations, the price of our common stock may increase and investors that sold shares of our common stock prior to the record date for any such dividend may forego potential gains on their investment.</w:t>
      </w:r>
    </w:p>
    <w:p>
      <w:pPr>
        <w:spacing w:after="0" w:line="60" w:lineRule="exact"/>
        <w:rPr>
          <w:sz w:val="20"/>
          <w:szCs w:val="20"/>
          <w:color w:val="auto"/>
        </w:rPr>
      </w:pPr>
    </w:p>
    <w:p>
      <w:pPr>
        <w:ind w:right="10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Fulfilling our obligations incident to being a public company, including with respect to the requirements of and related rules under the Sarbanes Oxley Act of 2002, is expensive and time consuming and any delays or difficulty in satisfying these obligations could have a material adverse effect on our future results of operations and our stock price.</w:t>
      </w:r>
    </w:p>
    <w:p>
      <w:pPr>
        <w:ind w:right="60" w:firstLine="350"/>
        <w:spacing w:after="0" w:line="261" w:lineRule="auto"/>
        <w:rPr>
          <w:sz w:val="20"/>
          <w:szCs w:val="20"/>
          <w:color w:val="auto"/>
        </w:rPr>
      </w:pPr>
      <w:r>
        <w:rPr>
          <w:rFonts w:ascii="Times New Roman" w:cs="Times New Roman" w:eastAsia="Times New Roman" w:hAnsi="Times New Roman"/>
          <w:sz w:val="14"/>
          <w:szCs w:val="14"/>
          <w:color w:val="auto"/>
        </w:rPr>
        <w:t>As a public company, the Sarbanes-Oxley Act of 2002 and the related rules and regulations of the SEC, as well as the New York Stock Exchange rules,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accounting, and legal staff and on our management systems, including our financial, accounting, and information systems. Other expenses associated with being a public company include increased auditing, accounting, and legal fees and expenses, investor relations expenses, increased directors’ fees and director and officer liability insurance costs, registrar and transfer agent fees, listing fees, as well as other expenses.</w:t>
      </w:r>
    </w:p>
    <w:p>
      <w:pPr>
        <w:spacing w:after="0" w:line="16" w:lineRule="exact"/>
        <w:rPr>
          <w:sz w:val="20"/>
          <w:szCs w:val="20"/>
          <w:color w:val="auto"/>
        </w:rPr>
      </w:pPr>
    </w:p>
    <w:p>
      <w:pPr>
        <w:ind w:firstLine="350"/>
        <w:spacing w:after="0" w:line="256" w:lineRule="auto"/>
        <w:rPr>
          <w:sz w:val="20"/>
          <w:szCs w:val="20"/>
          <w:color w:val="auto"/>
        </w:rPr>
      </w:pPr>
      <w:r>
        <w:rPr>
          <w:rFonts w:ascii="Times New Roman" w:cs="Times New Roman" w:eastAsia="Times New Roman" w:hAnsi="Times New Roman"/>
          <w:sz w:val="14"/>
          <w:szCs w:val="14"/>
          <w:color w:val="auto"/>
        </w:rPr>
        <w:t>In particular, the Sarbanes-Oxley Act of 2002 requires us to document and test the effectiveness of our internal control over financial reporting in accordance with an established internal control framework, and to report on our conclusions as to the effectiveness of our internal controls. It also requires an independent registered public accounting firm to test our internal control over financial reporting and report on the effectiveness of such controls. In addition, we are required under the Exchange Act to maintain disclosure controls and procedures and internal control over financial reporting. Because of inherent limitations in any internal control environment, there can be no assurance that all control issues and instances of fraud, errors or misstatements, if any, within our Company have been or will be detected on a timely basis. Such deficiencies could result in the correction or restatement of financial statements of one or more periods. Any failure to maintain effective controls or implement new or improved controls, or difficulties encountered in their implementation, could harm our operating results or cause us to fail to meet our reporting obligations. We also rely on third parties for certain calculations and other information that support our accounting and financial reporting, which includes reports from such organizations on their controls and systems that are used to generate this data and information. Any failure by such third parties to provide us with accurate or timely information or implement and maintain effective controls may cause us to fail to meet our reporting obligations as a publicly traded company. In addition, as we operate our financial management systems, we could experience deficiencies in their operation that could have an adverse effect on the effectiveness of our internal control over financial reporting.</w:t>
      </w:r>
    </w:p>
    <w:p>
      <w:pPr>
        <w:spacing w:after="0" w:line="23" w:lineRule="exact"/>
        <w:rPr>
          <w:sz w:val="20"/>
          <w:szCs w:val="20"/>
          <w:color w:val="auto"/>
        </w:rPr>
      </w:pPr>
    </w:p>
    <w:p>
      <w:pPr>
        <w:ind w:right="120" w:firstLine="350"/>
        <w:spacing w:after="0" w:line="264" w:lineRule="auto"/>
        <w:rPr>
          <w:sz w:val="20"/>
          <w:szCs w:val="20"/>
          <w:color w:val="auto"/>
        </w:rPr>
      </w:pPr>
      <w:r>
        <w:rPr>
          <w:rFonts w:ascii="Times New Roman" w:cs="Times New Roman" w:eastAsia="Times New Roman" w:hAnsi="Times New Roman"/>
          <w:sz w:val="14"/>
          <w:szCs w:val="14"/>
          <w:color w:val="auto"/>
        </w:rPr>
        <w:t>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consolidated financial statements, which could result in a decrease in the value of our common stock. Failure to comply with the Sarbanes-Oxley Act of 2002 could potentially subject us to sanctions or investigations by the SEC, the New York Stock Exchange, or other regulatory authorities.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Provisions in our organizational documents and in the Delaware General Corporation Law may prevent takeover attempts that could be beneficial to our stockholders.</w:t>
      </w:r>
    </w:p>
    <w:p>
      <w:pPr>
        <w:spacing w:after="0" w:line="53" w:lineRule="exact"/>
        <w:rPr>
          <w:sz w:val="20"/>
          <w:szCs w:val="20"/>
          <w:color w:val="auto"/>
        </w:rPr>
      </w:pPr>
    </w:p>
    <w:p>
      <w:pPr>
        <w:ind w:right="60" w:firstLine="350"/>
        <w:spacing w:after="0" w:line="284"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include a number of provisions that may have the effect of delaying, deterring, preventing, or rendering more difficult a change in control of Booz Allen Holding that our stockholders might consider in their best interests. These provisions include:</w:t>
      </w:r>
    </w:p>
    <w:p>
      <w:pPr>
        <w:spacing w:after="0" w:line="1" w:lineRule="exact"/>
        <w:rPr>
          <w:sz w:val="20"/>
          <w:szCs w:val="20"/>
          <w:color w:val="auto"/>
        </w:rPr>
      </w:pPr>
    </w:p>
    <w:p>
      <w:pPr>
        <w:ind w:left="520" w:hanging="133"/>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granting to the Board the sole power to set the number of directors and to fill any vacancy on the Board;</w:t>
      </w:r>
    </w:p>
    <w:p>
      <w:pPr>
        <w:spacing w:after="0" w:line="51" w:lineRule="exact"/>
        <w:rPr>
          <w:rFonts w:ascii="Times New Roman" w:cs="Times New Roman" w:eastAsia="Times New Roman" w:hAnsi="Times New Roman"/>
          <w:sz w:val="14"/>
          <w:szCs w:val="14"/>
          <w:color w:val="auto"/>
        </w:rPr>
      </w:pPr>
    </w:p>
    <w:p>
      <w:pPr>
        <w:ind w:left="520" w:right="40" w:hanging="133"/>
        <w:spacing w:after="0" w:line="284"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granting to the Board the ability to designate and issue one or more series of preferred stock without stockholder approval, the terms of which may be determined at the sole discretion of the Board;</w:t>
      </w:r>
    </w:p>
    <w:p>
      <w:pPr>
        <w:ind w:left="520" w:hanging="133"/>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establishment of advance notice requirements for stockholder proposals and nominations for election to the Board at stockholder meetings; and</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45" w:name="page46"/>
    <w:bookmarkEnd w:id="4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prohibiting our stockholders from acting by written consent.</w:t>
      </w:r>
    </w:p>
    <w:p>
      <w:pPr>
        <w:spacing w:after="0" w:line="51" w:lineRule="exact"/>
        <w:rPr>
          <w:sz w:val="20"/>
          <w:szCs w:val="20"/>
          <w:color w:val="auto"/>
        </w:rPr>
      </w:pPr>
    </w:p>
    <w:p>
      <w:pPr>
        <w:ind w:right="420" w:firstLine="350"/>
        <w:spacing w:after="0" w:line="264" w:lineRule="auto"/>
        <w:rPr>
          <w:sz w:val="20"/>
          <w:szCs w:val="20"/>
          <w:color w:val="auto"/>
        </w:rPr>
      </w:pPr>
      <w:r>
        <w:rPr>
          <w:rFonts w:ascii="Times New Roman" w:cs="Times New Roman" w:eastAsia="Times New Roman" w:hAnsi="Times New Roman"/>
          <w:sz w:val="14"/>
          <w:szCs w:val="14"/>
          <w:color w:val="auto"/>
        </w:rPr>
        <w:t>In addition, we are subject to the anti-takeover provisions of Section 203 of the Delaware General Corporation Law, which imposes additional requirements regarding mergers and other business combinations. 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w:t>
      </w:r>
    </w:p>
    <w:p>
      <w:pPr>
        <w:spacing w:after="0" w:line="13" w:lineRule="exact"/>
        <w:rPr>
          <w:sz w:val="20"/>
          <w:szCs w:val="20"/>
          <w:color w:val="auto"/>
        </w:rPr>
      </w:pPr>
    </w:p>
    <w:p>
      <w:pPr>
        <w:ind w:right="240" w:firstLine="350"/>
        <w:spacing w:after="0" w:line="287"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The market for our Class A Common Stock may be adversely affected by the performance of other companies in the government services market.</w:t>
      </w:r>
    </w:p>
    <w:p>
      <w:pPr>
        <w:spacing w:after="0" w:line="53"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In addition to factors that may affect our financial results and operations, the price of our Class A Common Stock may be impacted by the financial performance and outlook of other companies in the government services market. While certain factors may affect all participants in the markets in which we operate, such as U.S. government spending conditions and changes in rules and regulations applicable to government contractors, the market for our Class A Common Stock may be adversely affected by financial results or negative events only affecting other market participants or financial results of such participants. While such events or results may not impact or be indicative of our current or future performance, the price of our securities may nonetheless be adversely affected as a result thereof.</w:t>
      </w:r>
    </w:p>
    <w:p>
      <w:pPr>
        <w:spacing w:after="0" w:line="56" w:lineRule="exact"/>
        <w:rPr>
          <w:sz w:val="20"/>
          <w:szCs w:val="20"/>
          <w:color w:val="auto"/>
        </w:rPr>
      </w:pPr>
    </w:p>
    <w:p>
      <w:pPr>
        <w:ind w:right="2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designates the Court of Chancery of the State of Delaware as the sole and exclusive forum for certain litigation that may be initiated by our stockholders, which could limit our stockholders' ability to obtain a favorable judicial forum for disputes with us or our current or former directors, officers, or stockholders.</w:t>
      </w:r>
    </w:p>
    <w:p>
      <w:pPr>
        <w:ind w:firstLine="350"/>
        <w:spacing w:after="0" w:line="257" w:lineRule="auto"/>
        <w:rPr>
          <w:sz w:val="20"/>
          <w:szCs w:val="20"/>
          <w:color w:val="auto"/>
        </w:rPr>
      </w:pPr>
      <w:r>
        <w:rPr>
          <w:rFonts w:ascii="Times New Roman" w:cs="Times New Roman" w:eastAsia="Times New Roman" w:hAnsi="Times New Roman"/>
          <w:sz w:val="14"/>
          <w:szCs w:val="14"/>
          <w:color w:val="auto"/>
        </w:rPr>
        <w:t>Our seventh amended and restated certificate of incorporation requires that the Court of Chancery of the State of Delaware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arising pursuant to any provision of the Delaware General Corporation Law, the Company's seventh amended and restated certificate of incorporation or the Company's bylaws, or (iv) any action asserting a claim against the Company governed by the internal affairs doctrine. Because the applicability of the exclusive forum provision is limited to the extent permitted by applicable law, we do not intend that the exclusive forum provision would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We note that there is uncertainty as to whether a court would enforce the provision and that investors cannot waive compliance with federal securities laws and the rules and regulations thereunder.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1B</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Unresolved Staff Comments.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1C</w:t>
      </w:r>
      <w:r>
        <w:rPr>
          <w:rFonts w:ascii="Times New Roman" w:cs="Times New Roman" w:eastAsia="Times New Roman" w:hAnsi="Times New Roman"/>
          <w:sz w:val="14"/>
          <w:szCs w:val="14"/>
          <w:b w:val="1"/>
          <w:bCs w:val="1"/>
          <w:i w:val="1"/>
          <w:iCs w:val="1"/>
          <w:color w:val="auto"/>
        </w:rPr>
        <w:t>.</w:t>
      </w:r>
      <w:r>
        <w:rPr>
          <w:sz w:val="20"/>
          <w:szCs w:val="20"/>
          <w:color w:val="auto"/>
        </w:rPr>
        <w:tab/>
      </w:r>
      <w:r>
        <w:rPr>
          <w:rFonts w:ascii="Times New Roman" w:cs="Times New Roman" w:eastAsia="Times New Roman" w:hAnsi="Times New Roman"/>
          <w:sz w:val="13"/>
          <w:szCs w:val="13"/>
          <w:b w:val="1"/>
          <w:bCs w:val="1"/>
          <w:color w:val="auto"/>
        </w:rPr>
        <w:t>Cybersecurity.</w:t>
      </w:r>
    </w:p>
    <w:p>
      <w:pPr>
        <w:spacing w:after="0" w:line="53" w:lineRule="exact"/>
        <w:rPr>
          <w:sz w:val="20"/>
          <w:szCs w:val="20"/>
          <w:color w:val="auto"/>
        </w:rPr>
      </w:pPr>
    </w:p>
    <w:p>
      <w:pPr>
        <w:ind w:right="60" w:firstLine="350"/>
        <w:spacing w:after="0" w:line="287" w:lineRule="auto"/>
        <w:rPr>
          <w:sz w:val="20"/>
          <w:szCs w:val="20"/>
          <w:color w:val="auto"/>
        </w:rPr>
      </w:pPr>
      <w:r>
        <w:rPr>
          <w:rFonts w:ascii="Times New Roman" w:cs="Times New Roman" w:eastAsia="Times New Roman" w:hAnsi="Times New Roman"/>
          <w:sz w:val="14"/>
          <w:szCs w:val="14"/>
          <w:color w:val="auto"/>
        </w:rPr>
        <w:t>As one of the world’s largest cybersecurity solution providers, we routinely defend against advanced persistent threats both internally and for our clients. Our cybersecurity risk management program is an integral part of our overall enterprise risk management program, and is designed to assess, identify, manage and mitigate internal and external cybersecurity risks, threats and incidents.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53"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Our Board and its committees oversee the Company’s risk management processes, including but not limited to those relevant to cybersecurity risks, and are regularly briefed by management on risk management considerations. One of the primary tools that facilitates the Board’s oversight and mitigation of risk is the Company’s Enterprise Risk Management (“ERM”) Program, which is designed to look holistically at risks which may cause a material, adverse impact to the Company’s operations, reputation, or value. As part of the ERM Program, our Chief Operating Officer directs and chairs the ERM Steering Committee, which is comprised of members of senior management, including our Chief Financial Officer, General Counsel, Chief Information Officer, Chief Information Security Officer, Chief Administrative Officer, and Chief Ethics and Compliance Officer.</w:t>
      </w:r>
    </w:p>
    <w:p>
      <w:pPr>
        <w:spacing w:after="0" w:line="200" w:lineRule="exact"/>
        <w:rPr>
          <w:sz w:val="20"/>
          <w:szCs w:val="20"/>
          <w:color w:val="auto"/>
        </w:rPr>
      </w:pPr>
    </w:p>
    <w:p>
      <w:pPr>
        <w:spacing w:after="0" w:line="20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46" w:name="page47"/>
    <w:bookmarkEnd w:id="46"/>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100" w:firstLine="350"/>
        <w:spacing w:after="0" w:line="284" w:lineRule="auto"/>
        <w:rPr>
          <w:sz w:val="20"/>
          <w:szCs w:val="20"/>
          <w:color w:val="auto"/>
        </w:rPr>
      </w:pPr>
      <w:r>
        <w:rPr>
          <w:rFonts w:ascii="Times New Roman" w:cs="Times New Roman" w:eastAsia="Times New Roman" w:hAnsi="Times New Roman"/>
          <w:sz w:val="14"/>
          <w:szCs w:val="14"/>
          <w:color w:val="auto"/>
        </w:rPr>
        <w:t>Under the ERM Program, our Chief Operating Officer prepares for the Board a quarterly update of our enterprise risks, including but not limited to enterprise cybersecurity risks, and conducts with the Board an annual risk identification and mitigation analysis.</w:t>
      </w:r>
    </w:p>
    <w:p>
      <w:pPr>
        <w:spacing w:after="0" w:line="1" w:lineRule="exact"/>
        <w:rPr>
          <w:sz w:val="20"/>
          <w:szCs w:val="20"/>
          <w:color w:val="auto"/>
        </w:rPr>
      </w:pPr>
    </w:p>
    <w:p>
      <w:pPr>
        <w:ind w:right="160" w:firstLine="350"/>
        <w:spacing w:after="0" w:line="264" w:lineRule="auto"/>
        <w:rPr>
          <w:sz w:val="20"/>
          <w:szCs w:val="20"/>
          <w:color w:val="auto"/>
        </w:rPr>
      </w:pPr>
      <w:r>
        <w:rPr>
          <w:rFonts w:ascii="Times New Roman" w:cs="Times New Roman" w:eastAsia="Times New Roman" w:hAnsi="Times New Roman"/>
          <w:sz w:val="14"/>
          <w:szCs w:val="14"/>
          <w:color w:val="auto"/>
        </w:rPr>
        <w:t>In addition to updates provided through the ERM Program, the Board is regularly updated by members of management, including the Chief Accounting Officer, Chief Legal Officer, and members of the ERM Steering Committee concerning significant risks facing the Company and processes that have been implemented to mitigate these risks, including but not limited to cybersecurity risks. Additionally, throughout the year, each of our sector presidents who leads one of our major market units provides a comprehensive overview of their market, including risks and challenges. See “Item 1C. Cybersecurity—Governance—Management’s Responsibilities” below for additional information regarding our cybersecurity risk management program.</w:t>
      </w:r>
    </w:p>
    <w:p>
      <w:pPr>
        <w:spacing w:after="0" w:line="13" w:lineRule="exact"/>
        <w:rPr>
          <w:sz w:val="20"/>
          <w:szCs w:val="20"/>
          <w:color w:val="auto"/>
        </w:rPr>
      </w:pPr>
    </w:p>
    <w:p>
      <w:pPr>
        <w:ind w:right="40" w:firstLine="350"/>
        <w:spacing w:after="0" w:line="287" w:lineRule="auto"/>
        <w:rPr>
          <w:sz w:val="20"/>
          <w:szCs w:val="20"/>
          <w:color w:val="auto"/>
        </w:rPr>
      </w:pPr>
      <w:r>
        <w:rPr>
          <w:rFonts w:ascii="Times New Roman" w:cs="Times New Roman" w:eastAsia="Times New Roman" w:hAnsi="Times New Roman"/>
          <w:sz w:val="14"/>
          <w:szCs w:val="14"/>
          <w:color w:val="auto"/>
        </w:rPr>
        <w:t>We also conduct periodic internal and third-party assessments, threat simulations, and exercises to test the effectiveness of our cybersecurity defenses and controls, including associated policies and procedures. We undertake efforts to address and mitigate risks from vulnerabilities identified during such assessments, simulations, and exercises.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Responsibilities</w:t>
      </w:r>
    </w:p>
    <w:p>
      <w:pPr>
        <w:spacing w:after="0" w:line="53" w:lineRule="exact"/>
        <w:rPr>
          <w:sz w:val="20"/>
          <w:szCs w:val="20"/>
          <w:color w:val="auto"/>
        </w:rPr>
      </w:pPr>
    </w:p>
    <w:p>
      <w:pPr>
        <w:ind w:right="120" w:firstLine="350"/>
        <w:spacing w:after="0" w:line="261" w:lineRule="auto"/>
        <w:rPr>
          <w:sz w:val="20"/>
          <w:szCs w:val="20"/>
          <w:color w:val="auto"/>
        </w:rPr>
      </w:pPr>
      <w:r>
        <w:rPr>
          <w:rFonts w:ascii="Times New Roman" w:cs="Times New Roman" w:eastAsia="Times New Roman" w:hAnsi="Times New Roman"/>
          <w:sz w:val="14"/>
          <w:szCs w:val="14"/>
          <w:color w:val="auto"/>
        </w:rPr>
        <w:t>Our cybersecurity risk management program is led by our Chief Information Officer (“CIO”) and our Chief Information Security Officer (“CISO”), who are responsible for our information security strategy, policies, security architecture and engineering, security operations, and cybersecurity threat detection and response. Our CIO has over 25 years of information technology and program management experience, addressing complex information technology and cybersecurity challenges for large-scale enterprises in the U.S. Department of Defense, U.S. federal agencies, and commercial organizations. Our CISO, a Certified Information Systems Security Professional (“CISSP”), has over 20 years of information security and program management experience and has served as the CISO for several large-scale enterprises in the U.S. government services industry, commercial organizations, and not-for-profit organizations.</w:t>
      </w:r>
    </w:p>
    <w:p>
      <w:pPr>
        <w:spacing w:after="0" w:line="16"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As a government contractor, we are required to comply with extensive regulations and standards, including but not limited to cybersecurity regulations and standards and the requirements of the DFARS. Additionally, our cybersecurity risk management program is guided by the National Institute of Standards and Technology (“NIST”) Cybersecurity Framework. Our policies and implemented controls have been assessed by external organizations, including industry partners and the federal government. We work closely with our subcontractors and suppliers to identify and manage cybersecurity risks and, as appropriate, require them to comply with applicable laws and regulations. These contractual requirements include the requirement that our subcontractors implement certain security controls, and that our subcontractors self-report the status of their implementation of these controls to the U.S. government.</w:t>
      </w:r>
    </w:p>
    <w:p>
      <w:pPr>
        <w:spacing w:after="0" w:line="16" w:lineRule="exact"/>
        <w:rPr>
          <w:sz w:val="20"/>
          <w:szCs w:val="20"/>
          <w:color w:val="auto"/>
        </w:rPr>
      </w:pPr>
    </w:p>
    <w:p>
      <w:pPr>
        <w:ind w:right="200" w:firstLine="350"/>
        <w:spacing w:after="0" w:line="270" w:lineRule="auto"/>
        <w:rPr>
          <w:sz w:val="20"/>
          <w:szCs w:val="20"/>
          <w:color w:val="auto"/>
        </w:rPr>
      </w:pPr>
      <w:r>
        <w:rPr>
          <w:rFonts w:ascii="Times New Roman" w:cs="Times New Roman" w:eastAsia="Times New Roman" w:hAnsi="Times New Roman"/>
          <w:sz w:val="14"/>
          <w:szCs w:val="14"/>
          <w:color w:val="auto"/>
        </w:rPr>
        <w:t>To manage cybersecurity risk introduced from our supply chain, depending on the nature of a supplier's work and the sensitivity of the Booz Allen and client information provided to the supplier, we also require suppliers to complete our security questionnaires (based on data categorization) and provide evidence of security accreditations, and we evaluate supplier compliance with security requirements using internal and third-party resources.</w:t>
      </w:r>
    </w:p>
    <w:p>
      <w:pPr>
        <w:spacing w:after="0" w:line="8"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Our CIO and CISO also lead our Cyber Fusion Center (“CFC”), whose function is, pursuant to our Cyber Incident Response Plan, to stay apprised of existing and emerging cybersecurity threats and monitor our information systems to proactively identify, protect against, and mitigate cybersecurity threats. The CFC uses intelligence collected from various sources, fused with intelligence collected from analysis and response actions, to proactively search for and address adversary activity against our information systems. The CFC possesses in-depth knowledge of network, endpoint, perimeter security systems, identity-based vulnerabilities, data protection, threat intelligence, forensics, penetration testing, and malware reverse engineering, as well as the functioning of specific applications or underlying information systems infrastructure.</w:t>
      </w:r>
    </w:p>
    <w:p>
      <w:pPr>
        <w:spacing w:after="0" w:line="16"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The Cyber Incident Response Team (“CIRT”) is responsible for the incident response process and provides direction and guidance to users of Booz Allen information systems when responding to cybersecurity incidents. The CIRT also provides intrusion monitoring of networks and information systems, and performs triage and analysis of events to identify potential incidents, including potential incidents occurring on third-party systems. The CIRT categorizes anomalous cybersecurity events into discrete levels in which cybersecurity events are escalated to appropriate levels of management, as well as our Cyber Incident Materiality Committee, Audit Committee, and Board, based on the severity of the incident. While typical cybersecurity management and incident response is provided by internal resources, we have arrangements with certain third parties whom we can engage if additional support and resources are required.</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47" w:name="page48"/>
    <w:bookmarkEnd w:id="4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 Roles and Responsibilities</w:t>
      </w:r>
    </w:p>
    <w:p>
      <w:pPr>
        <w:spacing w:after="0" w:line="53"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The Audit Committee is responsible for oversight of the Company’s risk management and mitigation, including but not limited to the Company’s cybersecurity risks, and is regularly briefed by our CIO and CISO regarding the Company’s cybersecurity risk management program, cybersecurity incidents involving the Company, vendors, suppliers, subcontractors and other third parties, as well as associated mitigation actions taken, in order to assess and manage associated risks and potential harm and damages. The Audit Committee reports to the Board on cybersecurity risks to the Company on a periodic basis.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Threats</w:t>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Even with our extensive and systematic approach to cybersecurity, we may not be successful in preventing or mitigating a cybersecurity incident that could have a material adverse effect on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While we maintain cybersecurity insurance, the cost related to cybersecurity threats or disruptions may not be fully insured.</w:t>
      </w:r>
    </w:p>
    <w:p>
      <w:pPr>
        <w:spacing w:after="0" w:line="37" w:lineRule="exact"/>
        <w:rPr>
          <w:sz w:val="20"/>
          <w:szCs w:val="20"/>
          <w:color w:val="auto"/>
        </w:rPr>
      </w:pPr>
    </w:p>
    <w:p>
      <w:pPr>
        <w:ind w:right="20" w:firstLine="350"/>
        <w:spacing w:after="0" w:line="283" w:lineRule="auto"/>
        <w:rPr>
          <w:sz w:val="20"/>
          <w:szCs w:val="20"/>
          <w:color w:val="auto"/>
        </w:rPr>
      </w:pPr>
      <w:r>
        <w:rPr>
          <w:rFonts w:ascii="Times New Roman" w:cs="Times New Roman" w:eastAsia="Times New Roman" w:hAnsi="Times New Roman"/>
          <w:sz w:val="14"/>
          <w:szCs w:val="14"/>
          <w:color w:val="auto"/>
        </w:rPr>
        <w:t>During the period covered by this Annual Report, we have not experienced any cybersecurity incidents that have materially affected or are reasonably likely to materially affect our business strategy, results of operations, or our financial condition. Future cybersecurity incidents could, however, materially affect our business strategy, results of operations, reputation, or financial condition.</w:t>
      </w:r>
    </w:p>
    <w:p>
      <w:pPr>
        <w:ind w:left="360"/>
        <w:spacing w:after="0"/>
        <w:rPr>
          <w:sz w:val="20"/>
          <w:szCs w:val="20"/>
          <w:color w:val="auto"/>
        </w:rPr>
      </w:pPr>
      <w:r>
        <w:rPr>
          <w:rFonts w:ascii="Times New Roman" w:cs="Times New Roman" w:eastAsia="Times New Roman" w:hAnsi="Times New Roman"/>
          <w:sz w:val="14"/>
          <w:szCs w:val="14"/>
          <w:color w:val="auto"/>
        </w:rPr>
        <w:t>See Item 1A</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“Risk Factors,” for a discussion on cybersecurity risks and how they could materially affect the Company.</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Properties.</w:t>
      </w:r>
    </w:p>
    <w:p>
      <w:pPr>
        <w:spacing w:after="0" w:line="53" w:lineRule="exact"/>
        <w:rPr>
          <w:sz w:val="20"/>
          <w:szCs w:val="20"/>
          <w:color w:val="auto"/>
        </w:rPr>
      </w:pPr>
    </w:p>
    <w:p>
      <w:pPr>
        <w:ind w:right="80" w:firstLine="350"/>
        <w:spacing w:after="0" w:line="261" w:lineRule="auto"/>
        <w:rPr>
          <w:sz w:val="20"/>
          <w:szCs w:val="20"/>
          <w:color w:val="auto"/>
        </w:rPr>
      </w:pPr>
      <w:r>
        <w:rPr>
          <w:rFonts w:ascii="Times New Roman" w:cs="Times New Roman" w:eastAsia="Times New Roman" w:hAnsi="Times New Roman"/>
          <w:sz w:val="14"/>
          <w:szCs w:val="14"/>
          <w:color w:val="auto"/>
        </w:rPr>
        <w:t>We do not own any facilities or real estate. Our corporate headquarters is located at 8283 Greensboro Drive, McLean, Virginia 22102. We lease other operating offices and facilities throughout North America, and a limited number of overseas locations. Our principal offices outside of McLean, Virginia include: Annapolis Junction, Maryland; Washington, D.C.; Chantilly, Virginia; Laurel, Maryland; Arlington, Virginia; Panama City Beach, Florida; Charleston, South Carolina; Bethesda, Maryland; and Alexandria, Virginia. We have a number of Sensitive Compartmented Information Facilities, which are enclosed areas within buildings that are used to perform classified work for the U.S. Intelligence Community. Many of our employees are located in facilities provided by the U.S. government. The total square footage of our leased offices and facilities is approximately 2.24 million square feet. We believe our facilities meet our current needs.</w:t>
      </w:r>
    </w:p>
    <w:p>
      <w:pPr>
        <w:spacing w:after="0" w:line="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Legal Proceedings.</w:t>
      </w:r>
    </w:p>
    <w:p>
      <w:pPr>
        <w:spacing w:after="0" w:line="53" w:lineRule="exact"/>
        <w:rPr>
          <w:sz w:val="20"/>
          <w:szCs w:val="20"/>
          <w:color w:val="auto"/>
        </w:rPr>
      </w:pPr>
    </w:p>
    <w:p>
      <w:pPr>
        <w:ind w:firstLine="350"/>
        <w:spacing w:after="0" w:line="248" w:lineRule="auto"/>
        <w:rPr>
          <w:sz w:val="20"/>
          <w:szCs w:val="20"/>
          <w:color w:val="auto"/>
        </w:rPr>
      </w:pPr>
      <w:r>
        <w:rPr>
          <w:rFonts w:ascii="Times New Roman" w:cs="Times New Roman" w:eastAsia="Times New Roman" w:hAnsi="Times New Roman"/>
          <w:sz w:val="14"/>
          <w:szCs w:val="14"/>
          <w:color w:val="auto"/>
        </w:rPr>
        <w:t>The Company is involved in legal proceedings and investigations arising in the ordinary course of business, including those relating to employment matters, relationships with clients and contractors, intellectual property disputes, compliance with various laws and regulations, and other business matters. We have provided information about these legal proceedings and investigations in Note 20, “Commitments and Contingencies,” to the consolidated financial statements contained within this Annual Report on Form 10-K.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March 31, 2024, there were no material amounts accrued in the consolidated financial statements related to these proceedings. See Note 20, “Commitments and Contingencies,” to the consolidated financial statements contained within this Annual Report on Form 10-K for amounts accrued in the consolidated financial statements related to legal proceedings as of March 31, 2023.</w:t>
      </w:r>
    </w:p>
    <w:p>
      <w:pPr>
        <w:spacing w:after="0" w:line="17" w:lineRule="exact"/>
        <w:rPr>
          <w:sz w:val="20"/>
          <w:szCs w:val="20"/>
          <w:color w:val="auto"/>
        </w:rPr>
      </w:pPr>
    </w:p>
    <w:p>
      <w:pPr>
        <w:ind w:right="100" w:firstLine="318"/>
        <w:spacing w:after="0" w:line="256" w:lineRule="auto"/>
        <w:rPr>
          <w:sz w:val="20"/>
          <w:szCs w:val="20"/>
          <w:color w:val="auto"/>
        </w:rPr>
      </w:pPr>
      <w:r>
        <w:rPr>
          <w:rFonts w:ascii="Times New Roman" w:cs="Times New Roman" w:eastAsia="Times New Roman" w:hAnsi="Times New Roman"/>
          <w:sz w:val="14"/>
          <w:szCs w:val="14"/>
          <w:color w:val="auto"/>
        </w:rPr>
        <w:t>On June 19, 2017, a purported stockholder of the Company filed a putative class action lawsuit in the United States District Court for the Eastern District of Virginia styled Langley v. Booz Allen Hamilton Holding Corp., No. 17-cv-00696 (“Langley”) naming the Company, its Chief Executive Officer, and its former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asserted claims under Sections 10(b) and 20(a) of the Exchange Act and Rule 10b-5 promulgated thereunder, alleging misrepresentations or omissions by the Company purporting to relate to matters that were the subject of the investigation of the Company by the U.S. Department of Justice (“DOJ”), which has been closed or settled. See Note 20, “Commitments and Contingencies,” to the consolidated financial statements contained within this Annual Report on Form 10-K. Motions to dismiss were argued on January 12, 2018, and on February 8, 2018, the court dismissed the amended complaint in its entirety without prejudice. On September 22, 2023, plaintiffs filed a motion for leave to amend the dismissed amended complaint or, in the alternative, for relief from the court’s prior dismissal order, and on October 16, 2023, the court denied plaintiffs’ motion. On November 15, 2023, plaintiffs filed with the United States Court of Appeals for the Fourth Circuit a notice of appeal from the district court’s denial of plaintiffs’ motion. On April 22, 2024, plaintiffs filed a motion for the voluntary dismissal with prejudice of the appeal, and on April 23, 2024, the court granted plaintiffs’ motion.</w:t>
      </w:r>
    </w:p>
    <w:p>
      <w:pPr>
        <w:spacing w:after="0" w:line="200" w:lineRule="exact"/>
        <w:rPr>
          <w:sz w:val="20"/>
          <w:szCs w:val="20"/>
          <w:color w:val="auto"/>
        </w:rPr>
      </w:pPr>
    </w:p>
    <w:p>
      <w:pPr>
        <w:spacing w:after="0" w:line="22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48" w:name="page49"/>
    <w:bookmarkEnd w:id="4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92" w:lineRule="exact"/>
        <w:rPr>
          <w:sz w:val="20"/>
          <w:szCs w:val="20"/>
          <w:color w:val="auto"/>
        </w:rPr>
      </w:pPr>
    </w:p>
    <w:p>
      <w:pPr>
        <w:ind w:right="80" w:firstLine="318"/>
        <w:spacing w:after="0" w:line="239" w:lineRule="auto"/>
        <w:rPr>
          <w:sz w:val="20"/>
          <w:szCs w:val="20"/>
          <w:color w:val="auto"/>
        </w:rPr>
      </w:pPr>
      <w:r>
        <w:rPr>
          <w:rFonts w:ascii="Times New Roman" w:cs="Times New Roman" w:eastAsia="Times New Roman" w:hAnsi="Times New Roman"/>
          <w:sz w:val="14"/>
          <w:szCs w:val="14"/>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asserted claims for breach of fiduciary duties, unjust enrichment, waste of corporate assets, abuse of control, gross mismanagement, and violations of Sections 14(a), 10(b), and 20(a) of the Exchange Act, purportedly relating to matters that were the subject of the investigation of the Company by the DOJ, which has been closed or settled. See Note 20, “Commitments and Contingencies,” to the consolidated financial statements contained within this Annual Report on Form 10-K. The parties stipulated to a stay of proceedings pending the outcome of Langley, which the court so ordered on January 24, 2018. On December 12, 2019, the court ordered that the stay remain in effect and ordered the parties to submit periodic status reports. Starting on May 27, 2020, the parties submitted periodic status reports as ordered by the court stating that the plaintiff believed the stay should remain in effect and the defendants did not object to the stay remaining in effect. On May 20, 2024, the parties filed a joint stipulation for the voluntary dismissal without prejudice of the action, and the court so ordered the joint stipulation.</w:t>
      </w:r>
    </w:p>
    <w:p>
      <w:pPr>
        <w:spacing w:after="0" w:line="1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r>
      <w:r>
        <w:rPr>
          <w:rFonts w:ascii="Times New Roman" w:cs="Times New Roman" w:eastAsia="Times New Roman" w:hAnsi="Times New Roman"/>
          <w:sz w:val="14"/>
          <w:szCs w:val="14"/>
          <w:b w:val="1"/>
          <w:bCs w:val="1"/>
          <w:i w:val="1"/>
          <w:iCs w:val="1"/>
          <w:color w:val="auto"/>
        </w:rPr>
        <w:t>.</w:t>
      </w:r>
      <w:r>
        <w:rPr>
          <w:sz w:val="20"/>
          <w:szCs w:val="20"/>
          <w:color w:val="auto"/>
        </w:rPr>
        <w:tab/>
      </w:r>
      <w:r>
        <w:rPr>
          <w:rFonts w:ascii="Times New Roman" w:cs="Times New Roman" w:eastAsia="Times New Roman" w:hAnsi="Times New Roman"/>
          <w:sz w:val="13"/>
          <w:szCs w:val="13"/>
          <w:b w:val="1"/>
          <w:bCs w:val="1"/>
          <w:color w:val="auto"/>
        </w:rPr>
        <w:t>Mine Safety Disclosures</w:t>
      </w:r>
      <w:r>
        <w:rPr>
          <w:rFonts w:ascii="Times New Roman" w:cs="Times New Roman" w:eastAsia="Times New Roman" w:hAnsi="Times New Roman"/>
          <w:sz w:val="13"/>
          <w:szCs w:val="13"/>
          <w:b w:val="1"/>
          <w:bCs w:val="1"/>
          <w:i w:val="1"/>
          <w:iCs w:val="1"/>
          <w:color w:val="auto"/>
        </w:rPr>
        <w:t>.</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sets forth information about our executive officers as of the date hereof:</w:t>
      </w:r>
    </w:p>
    <w:p>
      <w:pPr>
        <w:spacing w:after="0" w:line="81"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71"/>
        </w:trPr>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Horacio D. Rozanski</w:t>
            </w: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100" w:type="dxa"/>
            <w:vAlign w:val="bottom"/>
            <w:tcBorders>
              <w:top w:val="single" w:sz="8" w:color="CCEEFF"/>
            </w:tcBorders>
            <w:shd w:val="clear" w:color="auto" w:fill="CCEEFF"/>
          </w:tcPr>
          <w:p>
            <w:pPr>
              <w:spacing w:after="0"/>
              <w:rPr>
                <w:sz w:val="14"/>
                <w:szCs w:val="14"/>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Matthew A. Calderone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10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0"/>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Kristine Martin Anderson</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c>
          <w:tcPr>
            <w:tcW w:w="100" w:type="dxa"/>
            <w:vAlign w:val="bottom"/>
            <w:shd w:val="clear" w:color="auto" w:fill="CCEEFF"/>
          </w:tcPr>
          <w:p>
            <w:pPr>
              <w:spacing w:after="0"/>
              <w:rPr>
                <w:sz w:val="15"/>
                <w:szCs w:val="15"/>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 and Chief Operating Officer</w:t>
            </w:r>
          </w:p>
        </w:tc>
      </w:tr>
      <w:tr>
        <w:trPr>
          <w:trHeight w:val="18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Richard Crowe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10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w:t>
            </w:r>
          </w:p>
        </w:tc>
      </w:tr>
      <w:tr>
        <w:trPr>
          <w:trHeight w:val="180"/>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Judith Dotson</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100" w:type="dxa"/>
            <w:vAlign w:val="bottom"/>
            <w:shd w:val="clear" w:color="auto" w:fill="CCEEFF"/>
          </w:tcPr>
          <w:p>
            <w:pPr>
              <w:spacing w:after="0"/>
              <w:rPr>
                <w:sz w:val="15"/>
                <w:szCs w:val="15"/>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w:t>
            </w:r>
          </w:p>
        </w:tc>
      </w:tr>
      <w:tr>
        <w:trPr>
          <w:trHeight w:val="18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Thomas Pfeifer</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0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w:t>
            </w:r>
          </w:p>
        </w:tc>
      </w:tr>
      <w:tr>
        <w:trPr>
          <w:trHeight w:val="180"/>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Nancy J. Laben</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100" w:type="dxa"/>
            <w:vAlign w:val="bottom"/>
            <w:shd w:val="clear" w:color="auto" w:fill="CCEEFF"/>
          </w:tcPr>
          <w:p>
            <w:pPr>
              <w:spacing w:after="0"/>
              <w:rPr>
                <w:sz w:val="15"/>
                <w:szCs w:val="15"/>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 and Chief Legal Officer</w:t>
            </w:r>
          </w:p>
        </w:tc>
      </w:tr>
      <w:tr>
        <w:trPr>
          <w:trHeight w:val="184"/>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Susan L. Penfield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10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and Chief Technology Officer</w:t>
            </w:r>
          </w:p>
        </w:tc>
      </w:tr>
    </w:tbl>
    <w:p>
      <w:pPr>
        <w:spacing w:after="0" w:line="96" w:lineRule="exact"/>
        <w:rPr>
          <w:sz w:val="20"/>
          <w:szCs w:val="20"/>
          <w:color w:val="auto"/>
        </w:rPr>
      </w:pPr>
    </w:p>
    <w:p>
      <w:pPr>
        <w:ind w:right="60" w:firstLine="35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Horacio D. Rozanski </w:t>
      </w:r>
      <w:r>
        <w:rPr>
          <w:rFonts w:ascii="Times New Roman" w:cs="Times New Roman" w:eastAsia="Times New Roman" w:hAnsi="Times New Roman"/>
          <w:sz w:val="14"/>
          <w:szCs w:val="14"/>
          <w:color w:val="auto"/>
        </w:rPr>
        <w:t>is our President and Chief Executive Officer. A respected authority and leader in the consulting industry, Mr. Rozanski has expertise in business strategy, technology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operations, talent and diversity, and the future of consulting. He joined Booz Allen in 1992 as a consultant to commercial clients, was elected Vice President in 1999, and served as our Chief Personnel Officer, Chief Strategy and Talent Officer, Chief Operating Officer, and President before becoming Chief Executive Officer in 2015. He also is a member of our Board. Mr. Rozanski currently serves as Chairman of the board of directors for Children’s National Hospital and is a member of the board of directors at Marriott International, Inc. (NASDAQ: MAR), CARE USA, and the Economic Club of Washington, D.C. He is also a member of the Business Roundtable, the United States Holocaust Memorial Museum’s Committee on Conscience, Defense Advisory Committee on Diversity and Inclusion, and Vice Chair of the Kennedy Center Corporate Fund Board.</w:t>
      </w:r>
    </w:p>
    <w:p>
      <w:pPr>
        <w:spacing w:after="0" w:line="15" w:lineRule="exact"/>
        <w:rPr>
          <w:sz w:val="20"/>
          <w:szCs w:val="20"/>
          <w:color w:val="auto"/>
        </w:rPr>
      </w:pPr>
    </w:p>
    <w:p>
      <w:pPr>
        <w:ind w:right="40"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Matthew A. Calderone </w:t>
      </w:r>
      <w:r>
        <w:rPr>
          <w:rFonts w:ascii="Times New Roman" w:cs="Times New Roman" w:eastAsia="Times New Roman" w:hAnsi="Times New Roman"/>
          <w:sz w:val="14"/>
          <w:szCs w:val="14"/>
          <w:color w:val="auto"/>
        </w:rPr>
        <w:t>is an Executive Vice President at Booz Allen and our Chief Financial Officer. Mr. Calderone joined Booz Allen in 1999, and has held a variety of leadership roles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finance and strategy over the last decade. Prior to becoming Chief Financial Officer in October 2022, Mr. Calderone served as our Chief Strategy Officer, during which he led M&amp;A activity, long-term financial strategy, and the development and rollout of VoLT, Booz Allen’s growth strategy. From 2016 to 2020, Mr. Calderone led the Company’s strategic finance and Forecasting, Planning and Analysis (FP&amp;A) functions. In addition, in 2014, Mr. Calderone built the Company’s corporate development team. Mr. Calderone holds a B.A. in economics from the University of Maryland and an M.B.A. from the Yale School of Management.</w:t>
      </w:r>
    </w:p>
    <w:p>
      <w:pPr>
        <w:spacing w:after="0" w:line="44" w:lineRule="exact"/>
        <w:rPr>
          <w:sz w:val="20"/>
          <w:szCs w:val="20"/>
          <w:color w:val="auto"/>
        </w:rPr>
      </w:pPr>
    </w:p>
    <w:p>
      <w:pPr>
        <w:ind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Kristine Martin Anderson </w:t>
      </w:r>
      <w:r>
        <w:rPr>
          <w:rFonts w:ascii="Times New Roman" w:cs="Times New Roman" w:eastAsia="Times New Roman" w:hAnsi="Times New Roman"/>
          <w:sz w:val="14"/>
          <w:szCs w:val="14"/>
          <w:color w:val="auto"/>
        </w:rPr>
        <w:t>is an Executive Vice President and Chief Operating Officer. Ms. Anderson joined Booz Allen in 2006, and has held a variety of leadership roles. Prior to becoming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Chief Operating Officer in May 2022, Ms. Anderson served as President for the Company's Civil sector from April 2018 to May 2022, and led the Company’s civil health business from 2015 to 2018. Under Ms. Anderson’s leadership, the Civil Sector and health business were the highest performing businesses in Booz Allen. Prior to joining Booz Allen, Ms. Anderson was Vice President for Operations and Strategy at CareScience, a health care software solutions company. Ms. Anderson holds a B.A. in neurobiology from the University of Pennsylvania and an M.B.A. from The Wharton School of Business.</w:t>
      </w:r>
    </w:p>
    <w:p>
      <w:pPr>
        <w:spacing w:after="0" w:line="13" w:lineRule="exact"/>
        <w:rPr>
          <w:sz w:val="20"/>
          <w:szCs w:val="20"/>
          <w:color w:val="auto"/>
        </w:rPr>
      </w:pPr>
    </w:p>
    <w:p>
      <w:pPr>
        <w:ind w:right="60"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Richard Crowe </w:t>
      </w:r>
      <w:r>
        <w:rPr>
          <w:rFonts w:ascii="Times New Roman" w:cs="Times New Roman" w:eastAsia="Times New Roman" w:hAnsi="Times New Roman"/>
          <w:sz w:val="14"/>
          <w:szCs w:val="14"/>
          <w:color w:val="auto"/>
        </w:rPr>
        <w:t>is an Executive Vice President and President for the Company's Civil sector. Mr. Crowe joined Booz Allen in 2004 and previously was the Company's Chief Growth Officer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from April 2021 to May 2022, where he built a best-in-class business development organization aligned to the Company's business strategy and growth. Prior to that role, Mr. Crowe led the Company's Health business from 2018 to 2021. Mr. Crowe has more than 30 years of strategy development and technology delivery experience. Prior to joining Booz Allen, Mr. Crowe was the chief technical officer at PlasmaSol Corp.</w:t>
      </w:r>
    </w:p>
    <w:p>
      <w:pPr>
        <w:spacing w:after="0" w:line="200" w:lineRule="exact"/>
        <w:rPr>
          <w:sz w:val="20"/>
          <w:szCs w:val="20"/>
          <w:color w:val="auto"/>
        </w:rPr>
      </w:pPr>
    </w:p>
    <w:p>
      <w:pPr>
        <w:spacing w:after="0" w:line="20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49" w:name="page50"/>
    <w:bookmarkEnd w:id="4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ind w:right="40"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Judith Dotson </w:t>
      </w:r>
      <w:r>
        <w:rPr>
          <w:rFonts w:ascii="Times New Roman" w:cs="Times New Roman" w:eastAsia="Times New Roman" w:hAnsi="Times New Roman"/>
          <w:sz w:val="14"/>
          <w:szCs w:val="14"/>
          <w:color w:val="auto"/>
        </w:rPr>
        <w:t>is an Executive Vice President at Booz Allen and President for the Company's Global Defense sector. Ms. Dotson joined Booz Allen in 1989 and became a Senior Vice President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2004. Prior to assuming her current role in August 2022, Ms. Dotson led the Company's Finance, Economic Development, and Energy business from 2014 to 2017, the Joint Combatant Command business from 2017 to 2020, and she served as President for the Company’s National Security sector from 2020 to July 2022. Previously, she led the Company's Enterprise Integration Capability Development Team, the Defense System Development Capability Team, and the Environment &amp; Energy Technology Team. Ms. Dotson previously served on the board of directors for the Nature Generation, a not-for-profit that inspires and empowers environmental stewardship in youth.</w:t>
      </w:r>
    </w:p>
    <w:p>
      <w:pPr>
        <w:spacing w:after="0" w:line="13" w:lineRule="exact"/>
        <w:rPr>
          <w:sz w:val="20"/>
          <w:szCs w:val="20"/>
          <w:color w:val="auto"/>
        </w:rPr>
      </w:pPr>
    </w:p>
    <w:p>
      <w:pPr>
        <w:ind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Thomas Pfeifer </w:t>
      </w:r>
      <w:r>
        <w:rPr>
          <w:rFonts w:ascii="Times New Roman" w:cs="Times New Roman" w:eastAsia="Times New Roman" w:hAnsi="Times New Roman"/>
          <w:sz w:val="14"/>
          <w:szCs w:val="14"/>
          <w:color w:val="auto"/>
        </w:rPr>
        <w:t>is an Executive Vice President at Booz Allen and President for the Company's National Security sector since August 2022. Mr. Pfeifer joined our Company in 1989 and has over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40 years of industry experience. Prior to his current role, Mr. Pfeifer led several business units focused on defense military intelligence, space, national agencies, the Air Force, and NASA, where he focused on evolving the businesses closer to the mission. Mr. Pfeifer holds a master’s degree in computer systems management and a bachelor’s degree in economics, both from the University of Maryland. He is a member of the Institute of Navigation (ION), the Institute of Electrical and Electronic Engineering (IEEE) Computer Society, the American Society for Quality (ASQ), and the Armed Forces Communications and Electronics Association (AFCEA).</w:t>
      </w:r>
    </w:p>
    <w:p>
      <w:pPr>
        <w:spacing w:after="0" w:line="13" w:lineRule="exact"/>
        <w:rPr>
          <w:sz w:val="20"/>
          <w:szCs w:val="20"/>
          <w:color w:val="auto"/>
        </w:rPr>
      </w:pPr>
    </w:p>
    <w:p>
      <w:pPr>
        <w:ind w:right="60"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Nancy J. Laben </w:t>
      </w:r>
      <w:r>
        <w:rPr>
          <w:rFonts w:ascii="Times New Roman" w:cs="Times New Roman" w:eastAsia="Times New Roman" w:hAnsi="Times New Roman"/>
          <w:sz w:val="14"/>
          <w:szCs w:val="14"/>
          <w:color w:val="auto"/>
        </w:rPr>
        <w:t>is an Executive Vice President at Booz Allen and our Chief Legal Officer. She also served as the Secretary of the Company until August 2019. Ms. Laben joined Booz Allen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September 2013. She oversees the Legal functions, Ethics &amp; Compliance, and Corporate Affairs. Before joining our Company, Ms. Laben served as General Counsel of AECOM Technology Corporation from 2010 to 2013, where she was responsible for all legal support. Prior to joining AECOM Technology Corporation, Ms. Laben served as Deputy General Counsel at Accenture plc beginning in 1989. Prior to joining Accenture, Ms. Laben served in the law department at IBM Corporation.</w:t>
      </w:r>
    </w:p>
    <w:p>
      <w:pPr>
        <w:spacing w:after="0" w:line="10" w:lineRule="exact"/>
        <w:rPr>
          <w:sz w:val="20"/>
          <w:szCs w:val="20"/>
          <w:color w:val="auto"/>
        </w:rPr>
      </w:pPr>
    </w:p>
    <w:p>
      <w:pPr>
        <w:ind w:right="40" w:firstLine="35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Susan L. Penfield </w:t>
      </w:r>
      <w:r>
        <w:rPr>
          <w:rFonts w:ascii="Times New Roman" w:cs="Times New Roman" w:eastAsia="Times New Roman" w:hAnsi="Times New Roman"/>
          <w:sz w:val="14"/>
          <w:szCs w:val="14"/>
          <w:color w:val="auto"/>
        </w:rPr>
        <w:t>is an Executive Vice President at Booz Allen and our Chief Technology Officer, and leads our Strategic Innovation Group. Prior to her role as Chief Technology Officer, she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served as our Chief Innovation Officer. Ms. Penfield joined Booz Allen in 1994. She has over 25 years of strategy, technology, marketing, and solutions delivery experience. Prior to joining the Strategic Innovation Group, Ms. Penfield led the Company's Health business, where she drove technology and transformation initiatives across the federal, commercial, and non-profit health space. She serves as Chair of the board of directors of the Children's Inn at the National Institutes of Health, and also on the boards of directors of Seed Spot Inc., the Northern Virginia Technology Council, and the American Cancer Society Cancer Action Network. Ms. Penfield is a member of the National Association for Female Executives (NAFE), and was recognized by NAFE as its 2015 Digital Trailblazer.</w:t>
      </w:r>
    </w:p>
    <w:p>
      <w:pPr>
        <w:spacing w:after="0" w:line="200" w:lineRule="exact"/>
        <w:rPr>
          <w:sz w:val="20"/>
          <w:szCs w:val="20"/>
          <w:color w:val="auto"/>
        </w:rPr>
      </w:pPr>
    </w:p>
    <w:p>
      <w:pPr>
        <w:spacing w:after="0" w:line="20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50" w:name="page51"/>
    <w:bookmarkEnd w:id="5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Class A Common Stock began trading on the New York Stock Exchange on November 17, 2010. On May 14, 2024, there were 434,838 beneficial holders of our Class A Common Stock.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Class A Common Stock is listed on the New York Stock Exchange under the ticker symbol “BAH”.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53"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The Company plans to continue paying recurring dividends in the future and assessing its excess cash resources to determine the best way to utilize its excess cash flow to meet its objectives. Any future dividends declared will be at the discretion of the Board and will depend, among other factors, upon our earnings, liquidity, financial condition, alternate capital allocation opportunities, or any other factors the Board deems relevant. On May 24, 2024, the Company announced that the Board had declared a quarterly cash dividend of $0.51 per share. Payment of the dividend will be made on June 28, 2024 to stockholders of record at the close of business on June 13, 2024.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the share repurchase activity for each of the three months in the quarter ended March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Total Number 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6"/>
              </w:rPr>
              <w:t>Approximate Dollar Value of</w:t>
            </w:r>
          </w:p>
        </w:tc>
        <w:tc>
          <w:tcPr>
            <w:tcW w:w="0" w:type="dxa"/>
            <w:vAlign w:val="bottom"/>
          </w:tcPr>
          <w:p>
            <w:pPr>
              <w:spacing w:after="0"/>
              <w:rPr>
                <w:sz w:val="1"/>
                <w:szCs w:val="1"/>
                <w:color w:val="auto"/>
              </w:rPr>
            </w:pPr>
          </w:p>
        </w:tc>
      </w:tr>
      <w:tr>
        <w:trPr>
          <w:trHeight w:val="127"/>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Total Number of Shares</w:t>
            </w:r>
          </w:p>
        </w:tc>
        <w:tc>
          <w:tcPr>
            <w:tcW w:w="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ind w:right="33"/>
              <w:spacing w:after="0" w:line="128" w:lineRule="exact"/>
              <w:rPr>
                <w:sz w:val="20"/>
                <w:szCs w:val="20"/>
                <w:color w:val="auto"/>
              </w:rPr>
            </w:pPr>
            <w:r>
              <w:rPr>
                <w:rFonts w:ascii="Times New Roman" w:cs="Times New Roman" w:eastAsia="Times New Roman" w:hAnsi="Times New Roman"/>
                <w:sz w:val="13"/>
                <w:szCs w:val="13"/>
                <w:b w:val="1"/>
                <w:bCs w:val="1"/>
                <w:color w:val="auto"/>
                <w:w w:val="96"/>
              </w:rPr>
              <w:t>Shares that May Yet Be</w:t>
            </w:r>
          </w:p>
        </w:tc>
        <w:tc>
          <w:tcPr>
            <w:tcW w:w="0" w:type="dxa"/>
            <w:vAlign w:val="bottom"/>
          </w:tcPr>
          <w:p>
            <w:pPr>
              <w:spacing w:after="0"/>
              <w:rPr>
                <w:sz w:val="1"/>
                <w:szCs w:val="1"/>
                <w:color w:val="auto"/>
              </w:rPr>
            </w:pPr>
          </w:p>
        </w:tc>
      </w:tr>
      <w:tr>
        <w:trPr>
          <w:trHeight w:val="127"/>
        </w:trPr>
        <w:tc>
          <w:tcPr>
            <w:tcW w:w="376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Average Price Paid per Share</w:t>
            </w:r>
          </w:p>
        </w:tc>
        <w:tc>
          <w:tcPr>
            <w:tcW w:w="18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Purchased as Part of Publicly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ind w:right="33"/>
              <w:spacing w:after="0" w:line="128" w:lineRule="exact"/>
              <w:rPr>
                <w:sz w:val="20"/>
                <w:szCs w:val="20"/>
                <w:color w:val="auto"/>
              </w:rPr>
            </w:pPr>
            <w:r>
              <w:rPr>
                <w:rFonts w:ascii="Times New Roman" w:cs="Times New Roman" w:eastAsia="Times New Roman" w:hAnsi="Times New Roman"/>
                <w:sz w:val="13"/>
                <w:szCs w:val="13"/>
                <w:b w:val="1"/>
                <w:bCs w:val="1"/>
                <w:color w:val="auto"/>
                <w:w w:val="98"/>
              </w:rPr>
              <w:t>Purchased Under the Plans or</w:t>
            </w:r>
          </w:p>
        </w:tc>
        <w:tc>
          <w:tcPr>
            <w:tcW w:w="0" w:type="dxa"/>
            <w:vAlign w:val="bottom"/>
          </w:tcPr>
          <w:p>
            <w:pPr>
              <w:spacing w:after="0"/>
              <w:rPr>
                <w:sz w:val="1"/>
                <w:szCs w:val="1"/>
                <w:color w:val="auto"/>
              </w:rPr>
            </w:pPr>
          </w:p>
        </w:tc>
      </w:tr>
      <w:tr>
        <w:trPr>
          <w:trHeight w:val="169"/>
        </w:trPr>
        <w:tc>
          <w:tcPr>
            <w:tcW w:w="3760" w:type="dxa"/>
            <w:vAlign w:val="bottom"/>
            <w:gridSpan w:val="2"/>
            <w:vMerge w:val="continue"/>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Purchased</w:t>
            </w:r>
          </w:p>
        </w:tc>
        <w:tc>
          <w:tcPr>
            <w:tcW w:w="8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Announced Plans or Programs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8"/>
              </w:rPr>
              <w:t>Programs (1)</w:t>
            </w:r>
          </w:p>
        </w:tc>
        <w:tc>
          <w:tcPr>
            <w:tcW w:w="0" w:type="dxa"/>
            <w:vAlign w:val="bottom"/>
          </w:tcPr>
          <w:p>
            <w:pPr>
              <w:spacing w:after="0"/>
              <w:rPr>
                <w:sz w:val="1"/>
                <w:szCs w:val="1"/>
                <w:color w:val="auto"/>
              </w:rPr>
            </w:pPr>
          </w:p>
        </w:tc>
      </w:tr>
      <w:tr>
        <w:trPr>
          <w:trHeight w:val="172"/>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2024</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197,225</w:t>
            </w:r>
          </w:p>
        </w:tc>
        <w:tc>
          <w:tcPr>
            <w:tcW w:w="8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$126.76</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197,225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558,173,062</w:t>
            </w:r>
          </w:p>
        </w:tc>
        <w:tc>
          <w:tcPr>
            <w:tcW w:w="0" w:type="dxa"/>
            <w:vAlign w:val="bottom"/>
          </w:tcPr>
          <w:p>
            <w:pPr>
              <w:spacing w:after="0"/>
              <w:rPr>
                <w:sz w:val="1"/>
                <w:szCs w:val="1"/>
                <w:color w:val="auto"/>
              </w:rPr>
            </w:pPr>
          </w:p>
        </w:tc>
      </w:tr>
      <w:tr>
        <w:trPr>
          <w:trHeight w:val="18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2024</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348,126</w:t>
            </w:r>
          </w:p>
        </w:tc>
        <w:tc>
          <w:tcPr>
            <w:tcW w:w="18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$143.63</w:t>
            </w:r>
          </w:p>
        </w:tc>
        <w:tc>
          <w:tcPr>
            <w:tcW w:w="1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348,126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508,173,151</w:t>
            </w:r>
          </w:p>
        </w:tc>
        <w:tc>
          <w:tcPr>
            <w:tcW w:w="0" w:type="dxa"/>
            <w:vAlign w:val="bottom"/>
          </w:tcPr>
          <w:p>
            <w:pPr>
              <w:spacing w:after="0"/>
              <w:rPr>
                <w:sz w:val="1"/>
                <w:szCs w:val="1"/>
                <w:color w:val="auto"/>
              </w:rPr>
            </w:pPr>
          </w:p>
        </w:tc>
      </w:tr>
      <w:tr>
        <w:trPr>
          <w:trHeight w:val="18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2024</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169,454</w:t>
            </w:r>
          </w:p>
        </w:tc>
        <w:tc>
          <w:tcPr>
            <w:tcW w:w="18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$147.45</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169,454</w:t>
            </w:r>
          </w:p>
        </w:tc>
        <w:tc>
          <w:tcPr>
            <w:tcW w:w="100" w:type="dxa"/>
            <w:vAlign w:val="bottom"/>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483,187,683</w:t>
            </w:r>
          </w:p>
        </w:tc>
        <w:tc>
          <w:tcPr>
            <w:tcW w:w="0" w:type="dxa"/>
            <w:vAlign w:val="bottom"/>
          </w:tcPr>
          <w:p>
            <w:pPr>
              <w:spacing w:after="0"/>
              <w:rPr>
                <w:sz w:val="1"/>
                <w:szCs w:val="1"/>
                <w:color w:val="auto"/>
              </w:rPr>
            </w:pPr>
          </w:p>
        </w:tc>
      </w:tr>
      <w:tr>
        <w:trPr>
          <w:trHeight w:val="171"/>
        </w:trPr>
        <w:tc>
          <w:tcPr>
            <w:tcW w:w="37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714,805</w:t>
            </w:r>
          </w:p>
        </w:tc>
        <w:tc>
          <w:tcPr>
            <w:tcW w:w="80" w:type="dxa"/>
            <w:vAlign w:val="bottom"/>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714,805</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520" w:right="100" w:hanging="515"/>
        <w:spacing w:after="0" w:line="264" w:lineRule="auto"/>
        <w:tabs>
          <w:tab w:leader="none" w:pos="515"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12, 2011, the Board approved a share repurchase program, which was most recently increased by $525.0 million to $3,085.0 million on May 22, 2024. As of March 31, 2024, the Company had approximately $483.2 million remaining under the repurchase program. A special committee of the Board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Proceeds from Registered Securities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51" w:name="page52"/>
    <w:bookmarkEnd w:id="5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w:t>
      </w:r>
    </w:p>
    <w:p>
      <w:pPr>
        <w:spacing w:after="0" w:line="53" w:lineRule="exact"/>
        <w:rPr>
          <w:sz w:val="20"/>
          <w:szCs w:val="20"/>
          <w:color w:val="auto"/>
        </w:rPr>
      </w:pPr>
    </w:p>
    <w:p>
      <w:pPr>
        <w:ind w:right="80" w:firstLine="350"/>
        <w:spacing w:after="0" w:line="261" w:lineRule="auto"/>
        <w:rPr>
          <w:sz w:val="20"/>
          <w:szCs w:val="20"/>
          <w:color w:val="auto"/>
        </w:rPr>
      </w:pPr>
      <w:r>
        <w:rPr>
          <w:rFonts w:ascii="Times New Roman" w:cs="Times New Roman" w:eastAsia="Times New Roman" w:hAnsi="Times New Roman"/>
          <w:sz w:val="14"/>
          <w:szCs w:val="14"/>
          <w:color w:val="auto"/>
        </w:rPr>
        <w:t>The graph set forth below compares the cumulative shareholder return on our Class A Common Stock between March 31, 2019 and March 31, 2024, to the cumulative return of (i) the Russell 1000 Index and (ii) S&amp;P Software &amp; Services Select Industry Index over the same period. The Russell 1000 and S&amp;P Software &amp; Services Select Industry Indices represent comparator groups for relative cumulative return performance to Booz Allen Hamilton. This graph assumes an initial investment of $100 on March 31, 2019 in our Class A Common Stock, the Russell 1000 Index, and the S&amp;P Software &amp; Services Select Industry Index and assumes the reinvestment of dividends, if any.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19685</wp:posOffset>
            </wp:positionV>
            <wp:extent cx="4594860" cy="28702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94860" cy="287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4340" w:type="dxa"/>
            <w:vAlign w:val="bottom"/>
            <w:gridSpan w:val="10"/>
          </w:tcPr>
          <w:p>
            <w:pPr>
              <w:ind w:left="620"/>
              <w:spacing w:after="0"/>
              <w:rPr>
                <w:sz w:val="20"/>
                <w:szCs w:val="20"/>
                <w:color w:val="auto"/>
              </w:rPr>
            </w:pPr>
            <w:r>
              <w:rPr>
                <w:rFonts w:ascii="Times New Roman" w:cs="Times New Roman" w:eastAsia="Times New Roman" w:hAnsi="Times New Roman"/>
                <w:sz w:val="14"/>
                <w:szCs w:val="14"/>
                <w:b w:val="1"/>
                <w:bCs w:val="1"/>
                <w:color w:val="auto"/>
              </w:rPr>
              <w:t>ASSUMES $100 INVESTED ON MARCH 31, 2019</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2"/>
        </w:trPr>
        <w:tc>
          <w:tcPr>
            <w:tcW w:w="3360" w:type="dxa"/>
            <w:vAlign w:val="bottom"/>
          </w:tcPr>
          <w:p>
            <w:pPr>
              <w:spacing w:after="0"/>
              <w:rPr>
                <w:sz w:val="18"/>
                <w:szCs w:val="18"/>
                <w:color w:val="auto"/>
              </w:rPr>
            </w:pPr>
          </w:p>
        </w:tc>
        <w:tc>
          <w:tcPr>
            <w:tcW w:w="340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ASSUMES DIVIDEND REINVESTED</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4"/>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Company/Market/Peer Group</w:t>
            </w:r>
          </w:p>
        </w:tc>
        <w:tc>
          <w:tcPr>
            <w:tcW w:w="10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3/31/2019</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3/31/2020</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3/31/2021</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3/31/2022</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3/31/2023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3/31/2024</w:t>
            </w:r>
          </w:p>
        </w:tc>
      </w:tr>
      <w:tr>
        <w:trPr>
          <w:trHeight w:val="171"/>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Booz Allen Hamilton Holding Corp.</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277.16</w:t>
            </w:r>
          </w:p>
        </w:tc>
      </w:tr>
      <w:tr>
        <w:trPr>
          <w:trHeight w:val="18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Russell 1000 Index</w:t>
            </w:r>
          </w:p>
        </w:tc>
        <w:tc>
          <w:tcPr>
            <w:tcW w:w="12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91.97</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147.70</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153.26</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199.03</w:t>
            </w:r>
          </w:p>
        </w:tc>
      </w:tr>
      <w:tr>
        <w:trPr>
          <w:trHeight w:val="18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Software &amp; Services Select Industry Index</w:t>
            </w:r>
          </w:p>
        </w:tc>
        <w:tc>
          <w:tcPr>
            <w:tcW w:w="12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168.69</w:t>
            </w:r>
          </w:p>
        </w:tc>
      </w:tr>
    </w:tbl>
    <w:p>
      <w:pPr>
        <w:spacing w:after="0" w:line="102"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This performance graph and other information furnished under this Part II Item 5 of this Annual Report shall not be deemed to be “soliciting material” or to be “filed” with the SEC or subject to Regulation 14A or 14C, or to the liabilities of Section 18 of the Exchange Act.</w:t>
      </w:r>
    </w:p>
    <w:p>
      <w:pPr>
        <w:spacing w:after="0" w:line="8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6</w:t>
      </w:r>
      <w:r>
        <w:rPr>
          <w:rFonts w:ascii="Times New Roman" w:cs="Times New Roman" w:eastAsia="Times New Roman" w:hAnsi="Times New Roman"/>
          <w:sz w:val="14"/>
          <w:szCs w:val="14"/>
          <w:b w:val="1"/>
          <w:bCs w:val="1"/>
          <w:i w:val="1"/>
          <w:iCs w:val="1"/>
          <w:color w:val="auto"/>
        </w:rPr>
        <w:t>.</w:t>
      </w:r>
      <w:r>
        <w:rPr>
          <w:sz w:val="20"/>
          <w:szCs w:val="20"/>
          <w:color w:val="auto"/>
        </w:rPr>
        <w:tab/>
      </w:r>
      <w:r>
        <w:rPr>
          <w:rFonts w:ascii="Times New Roman" w:cs="Times New Roman" w:eastAsia="Times New Roman" w:hAnsi="Times New Roman"/>
          <w:sz w:val="13"/>
          <w:szCs w:val="13"/>
          <w:b w:val="1"/>
          <w:bCs w:val="1"/>
          <w:color w:val="auto"/>
        </w:rPr>
        <w:t>Reserved.</w:t>
      </w:r>
    </w:p>
    <w:p>
      <w:pPr>
        <w:spacing w:after="0" w:line="200" w:lineRule="exact"/>
        <w:rPr>
          <w:sz w:val="20"/>
          <w:szCs w:val="20"/>
          <w:color w:val="auto"/>
        </w:rPr>
      </w:pPr>
    </w:p>
    <w:p>
      <w:pPr>
        <w:spacing w:after="0" w:line="25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52" w:name="page53"/>
    <w:bookmarkEnd w:id="5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7.</w:t>
        <w:tab/>
        <w:t>Management’s Discussion and Analysis of Financial Condition and Results of Operations.</w:t>
      </w:r>
    </w:p>
    <w:p>
      <w:pPr>
        <w:spacing w:after="0" w:line="51" w:lineRule="exact"/>
        <w:rPr>
          <w:sz w:val="20"/>
          <w:szCs w:val="20"/>
          <w:color w:val="auto"/>
        </w:rPr>
      </w:pPr>
    </w:p>
    <w:p>
      <w:pPr>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is intended to help the reader understand our business, financial condition, results of operations, and liquidity and capital resources. You should read this discussion in conjunction with our consolidated financial statements and the related notes contained elsewhere in this Annual Report, and Part II, Item 7 “Management's Discussion and Analysis of Financial Condition and Results of Operations” of our Form 10-K for the fiscal year ended March 31, 2023, which provides additional information on comparisons of fiscal 2023 and 2022.</w:t>
      </w:r>
    </w:p>
    <w:p>
      <w:pPr>
        <w:spacing w:after="0" w:line="6" w:lineRule="exact"/>
        <w:rPr>
          <w:sz w:val="20"/>
          <w:szCs w:val="20"/>
          <w:color w:val="auto"/>
        </w:rPr>
      </w:pPr>
    </w:p>
    <w:p>
      <w:pPr>
        <w:jc w:val="both"/>
        <w:ind w:right="200"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“Item 1A. Risk Factors” and “Introductory Note — Cautionary Note Regarding Forward-Looking Statements”. Our actual results may differ materially from those contained in or implied by any forward-looking statements.</w:t>
      </w:r>
    </w:p>
    <w:p>
      <w:pPr>
        <w:spacing w:after="0" w:line="10" w:lineRule="exact"/>
        <w:rPr>
          <w:sz w:val="20"/>
          <w:szCs w:val="20"/>
          <w:color w:val="auto"/>
        </w:rPr>
      </w:pPr>
    </w:p>
    <w:p>
      <w:pPr>
        <w:ind w:right="1960" w:firstLine="350"/>
        <w:spacing w:after="0" w:line="381" w:lineRule="auto"/>
        <w:rPr>
          <w:sz w:val="20"/>
          <w:szCs w:val="20"/>
          <w:color w:val="auto"/>
        </w:rPr>
      </w:pPr>
      <w:r>
        <w:rPr>
          <w:rFonts w:ascii="Times New Roman" w:cs="Times New Roman" w:eastAsia="Times New Roman" w:hAnsi="Times New Roman"/>
          <w:sz w:val="14"/>
          <w:szCs w:val="14"/>
          <w:i w:val="1"/>
          <w:iCs w:val="1"/>
          <w:color w:val="auto"/>
        </w:rPr>
        <w:t xml:space="preserve">Our fiscal year ends March 31 and, unless otherwise noted, references to years or fiscal are for fiscal years ended March 31. See “— Results of Operations.” </w:t>
      </w:r>
      <w:r>
        <w:rPr>
          <w:rFonts w:ascii="Times New Roman" w:cs="Times New Roman" w:eastAsia="Times New Roman" w:hAnsi="Times New Roman"/>
          <w:sz w:val="14"/>
          <w:szCs w:val="14"/>
          <w:b w:val="1"/>
          <w:bCs w:val="1"/>
          <w:color w:val="auto"/>
        </w:rPr>
        <w:t>Overview</w:t>
      </w:r>
    </w:p>
    <w:p>
      <w:pPr>
        <w:ind w:right="80" w:firstLine="350"/>
        <w:spacing w:after="0" w:line="264" w:lineRule="auto"/>
        <w:rPr>
          <w:sz w:val="20"/>
          <w:szCs w:val="20"/>
          <w:color w:val="auto"/>
        </w:rPr>
      </w:pPr>
      <w:r>
        <w:rPr>
          <w:rFonts w:ascii="Times New Roman" w:cs="Times New Roman" w:eastAsia="Times New Roman" w:hAnsi="Times New Roman"/>
          <w:sz w:val="14"/>
          <w:szCs w:val="14"/>
          <w:color w:val="auto"/>
        </w:rPr>
        <w:t>Trusted to transform missions with the power of tomorrow’s technologies, Booz Allen advances the nation’s most critical civil, defense, and national security priorities. Our ability to deliver value to our clients has always been, and continues to be, a product of the strong character, expertise and tremendous passion of our people. Our approximately 34,200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13" w:lineRule="exact"/>
        <w:rPr>
          <w:sz w:val="20"/>
          <w:szCs w:val="20"/>
          <w:color w:val="auto"/>
        </w:rPr>
      </w:pPr>
    </w:p>
    <w:p>
      <w:pPr>
        <w:ind w:right="20" w:firstLine="350"/>
        <w:spacing w:after="0" w:line="259" w:lineRule="auto"/>
        <w:rPr>
          <w:sz w:val="20"/>
          <w:szCs w:val="20"/>
          <w:color w:val="auto"/>
        </w:rPr>
      </w:pPr>
      <w:r>
        <w:rPr>
          <w:rFonts w:ascii="Times New Roman" w:cs="Times New Roman" w:eastAsia="Times New Roman" w:hAnsi="Times New Roman"/>
          <w:sz w:val="14"/>
          <w:szCs w:val="14"/>
          <w:color w:val="auto"/>
        </w:rPr>
        <w:t>Through our dedication to our clients' missions, and a commitment to evolving our business to address their needs, we have longstanding relationships with our clients, the longest of which is more than 80 years. We support critical missions for a diverse base of federal government clients, including nearly all of the U.S. government's cabinet-level departments, as well as for commercial clients, both domestically and internationally. We support our federal government clients by helping them tackle their most complex and pressing challenges such as protecting soldiers in combat and supporting their families, advancing cyber capabilities, securing our national infrastructure, enabling and enhancing digital services, transforming the healthcare system, and improving government efficiency to achieve better outcomes. Drawing on deep understanding and leading positions in cybersecurity, we serve commercial clients across industries including financial services, health and life sciences, energy, and technology.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and Other Highlights</w:t>
      </w:r>
    </w:p>
    <w:p>
      <w:pPr>
        <w:spacing w:after="0" w:line="53" w:lineRule="exact"/>
        <w:rPr>
          <w:sz w:val="20"/>
          <w:szCs w:val="20"/>
          <w:color w:val="auto"/>
        </w:rPr>
      </w:pPr>
    </w:p>
    <w:p>
      <w:pPr>
        <w:ind w:right="140" w:firstLine="350"/>
        <w:spacing w:after="0" w:line="284" w:lineRule="auto"/>
        <w:rPr>
          <w:sz w:val="20"/>
          <w:szCs w:val="20"/>
          <w:color w:val="auto"/>
        </w:rPr>
      </w:pPr>
      <w:r>
        <w:rPr>
          <w:rFonts w:ascii="Times New Roman" w:cs="Times New Roman" w:eastAsia="Times New Roman" w:hAnsi="Times New Roman"/>
          <w:sz w:val="14"/>
          <w:szCs w:val="14"/>
          <w:color w:val="auto"/>
        </w:rPr>
        <w:t>During fiscal 2024, the Company generated year over year revenue growth and increased client staff headcount. Revenue increased 15.2% from fiscal 2023 to fiscal 2024 primarily driven by strong demand for our services and solutions and an increase in headcount to meet that demand.</w:t>
      </w:r>
    </w:p>
    <w:p>
      <w:pPr>
        <w:spacing w:after="0" w:line="1" w:lineRule="exact"/>
        <w:rPr>
          <w:sz w:val="20"/>
          <w:szCs w:val="20"/>
          <w:color w:val="auto"/>
        </w:rPr>
      </w:pPr>
    </w:p>
    <w:p>
      <w:pPr>
        <w:ind w:right="80" w:firstLine="350"/>
        <w:spacing w:after="0" w:line="264" w:lineRule="auto"/>
        <w:rPr>
          <w:sz w:val="20"/>
          <w:szCs w:val="20"/>
          <w:color w:val="auto"/>
        </w:rPr>
      </w:pPr>
      <w:r>
        <w:rPr>
          <w:rFonts w:ascii="Times New Roman" w:cs="Times New Roman" w:eastAsia="Times New Roman" w:hAnsi="Times New Roman"/>
          <w:sz w:val="14"/>
          <w:szCs w:val="14"/>
          <w:color w:val="auto"/>
        </w:rPr>
        <w:t>Operating income increased 126.8% to $1,013.4 million in fiscal 2024 from $446.8 million in fiscal 2023, which reflects an increase in operating margin to 9.5% from 4.8% in the comparable year. Operating income was driven by the same drivers benefiting revenue growth, as well as strong contract-level performance coupled with ongoing cost management efforts. Margins in the prior year were impacted by a $350.0 million reserve associated with the Department of Justice’s investigation of the Company (see Note 20, “Commitments and Contingencies,” to the consolidated financial statements for further information), as compared to a $27.5 million reserve in the current year.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4" w:right="359" w:bottom="1440" w:gutter="0" w:footer="0" w:header="0"/>
        </w:sectPr>
      </w:pPr>
    </w:p>
    <w:bookmarkStart w:id="53" w:name="page54"/>
    <w:bookmarkEnd w:id="5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Measures</w:t>
      </w:r>
    </w:p>
    <w:p>
      <w:pPr>
        <w:spacing w:after="0" w:line="53" w:lineRule="exact"/>
        <w:rPr>
          <w:sz w:val="20"/>
          <w:szCs w:val="20"/>
          <w:color w:val="auto"/>
        </w:rPr>
      </w:pPr>
    </w:p>
    <w:p>
      <w:pPr>
        <w:ind w:firstLine="350"/>
        <w:spacing w:after="0" w:line="254" w:lineRule="auto"/>
        <w:rPr>
          <w:sz w:val="20"/>
          <w:szCs w:val="20"/>
          <w:color w:val="auto"/>
        </w:rPr>
      </w:pPr>
      <w:r>
        <w:rPr>
          <w:rFonts w:ascii="Times New Roman" w:cs="Times New Roman" w:eastAsia="Times New Roman" w:hAnsi="Times New Roman"/>
          <w:sz w:val="14"/>
          <w:szCs w:val="14"/>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Earnings Per Share, and net cash provided by operating activities to Free Cash Flow,</w:t>
      </w:r>
    </w:p>
    <w:p>
      <w:pPr>
        <w:spacing w:after="0" w:line="4" w:lineRule="exact"/>
        <w:rPr>
          <w:sz w:val="20"/>
          <w:szCs w:val="20"/>
          <w:color w:val="auto"/>
        </w:rPr>
      </w:pPr>
    </w:p>
    <w:p>
      <w:pPr>
        <w:ind w:right="20" w:firstLine="5"/>
        <w:spacing w:after="0" w:line="257" w:lineRule="auto"/>
        <w:tabs>
          <w:tab w:leader="none" w:pos="20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17" w:lineRule="exact"/>
        <w:rPr>
          <w:rFonts w:ascii="Times New Roman" w:cs="Times New Roman" w:eastAsia="Times New Roman" w:hAnsi="Times New Roman"/>
          <w:sz w:val="14"/>
          <w:szCs w:val="14"/>
          <w:color w:val="auto"/>
        </w:rPr>
      </w:pPr>
    </w:p>
    <w:p>
      <w:pPr>
        <w:ind w:left="520" w:right="80" w:hanging="133"/>
        <w:spacing w:after="0" w:line="270" w:lineRule="auto"/>
        <w:tabs>
          <w:tab w:leader="none" w:pos="516"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w:t>
      </w:r>
    </w:p>
    <w:p>
      <w:pPr>
        <w:spacing w:after="0" w:line="8" w:lineRule="exact"/>
        <w:rPr>
          <w:rFonts w:ascii="Times New Roman" w:cs="Times New Roman" w:eastAsia="Times New Roman" w:hAnsi="Times New Roman"/>
          <w:sz w:val="14"/>
          <w:szCs w:val="14"/>
          <w:color w:val="auto"/>
        </w:rPr>
      </w:pPr>
    </w:p>
    <w:p>
      <w:pPr>
        <w:ind w:left="520" w:right="20" w:hanging="133"/>
        <w:spacing w:after="0" w:line="264" w:lineRule="auto"/>
        <w:tabs>
          <w:tab w:leader="none" w:pos="516" w:val="left"/>
        </w:tabs>
        <w:numPr>
          <w:ilvl w:val="1"/>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“Adjusted Operating Income” represents operating income before the change in provision for claimed indirect costs, acquisition and divestiture costs, financing transaction costs, significant acquisition amortization, DC tax assessment adjustment, the reserve associated with the U.S. Department of Justice investigation disclosed in Note 20, “Commitments and Contingencies,” to the consolidated financial statements in the Company’s annual report on Form 10-K, and restructuring costs.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13" w:lineRule="exact"/>
        <w:rPr>
          <w:rFonts w:ascii="Times New Roman" w:cs="Times New Roman" w:eastAsia="Times New Roman" w:hAnsi="Times New Roman"/>
          <w:sz w:val="14"/>
          <w:szCs w:val="14"/>
          <w:b w:val="1"/>
          <w:bCs w:val="1"/>
          <w:color w:val="auto"/>
        </w:rPr>
      </w:pPr>
    </w:p>
    <w:p>
      <w:pPr>
        <w:ind w:left="520" w:right="80" w:hanging="133"/>
        <w:spacing w:after="0" w:line="258" w:lineRule="auto"/>
        <w:tabs>
          <w:tab w:leader="none" w:pos="516" w:val="left"/>
        </w:tabs>
        <w:numPr>
          <w:ilvl w:val="1"/>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“Adjusted EBITDA” represents net income attributable to common stockholders before income taxes, net interest and other expense and depreciation and amortization and before certain other items, including the change in provision for claimed indirect costs, acquisition and divestiture costs, acquisition and divestiture costs, financing transaction costs, DC tax assessment adjustment, the reserve associated with the U.S. Department of Justice investigation disclosed in Note 20, “Commitments and Contingencies,” to the consolidated statements, and restructuring costs.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54" w:name="page55"/>
    <w:bookmarkEnd w:id="5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520" w:hanging="133"/>
        <w:spacing w:after="0" w:line="257" w:lineRule="auto"/>
        <w:tabs>
          <w:tab w:leader="none" w:pos="516"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“Adjusted Net Income” represents net income attributable to common stockholders before: (i) the change in provision for claimed indirect costs, (ii) acquisition and divestiture costs, (iii) financing transaction costs, (iv) significant acquisition amortization, (v) DC tax assessment adjustment, (vi) the reserve associated with the U.S. Department of Justice investigation disclosed in Note 20, “Commitments and Contingencies,” to the consolidated financial statements in the Company’s annual report on Form 10-K, (vii) restructuring costs, (viii) valuation adjustments to cost method investments, (iv) gains associated with equity method investment activity, (x) gains associated with divestitures or deconsolidation, and (xi) amortization or write-off of debt issuance costs and debt discount,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net income excluding the impact of the re-measurement of the Company's deferred tax assets and liabilities as an important indicator of performance consistent with the manner in which management measures and forecasts the Company's performance and the way in which management is incentivized to perform.</w:t>
      </w:r>
    </w:p>
    <w:p>
      <w:pPr>
        <w:spacing w:after="0" w:line="21" w:lineRule="exact"/>
        <w:rPr>
          <w:rFonts w:ascii="Times New Roman" w:cs="Times New Roman" w:eastAsia="Times New Roman" w:hAnsi="Times New Roman"/>
          <w:sz w:val="14"/>
          <w:szCs w:val="14"/>
          <w:b w:val="1"/>
          <w:bCs w:val="1"/>
          <w:color w:val="auto"/>
        </w:rPr>
      </w:pPr>
    </w:p>
    <w:p>
      <w:pPr>
        <w:ind w:left="520" w:right="120" w:hanging="133"/>
        <w:spacing w:after="0" w:line="284"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consolidated financial statements.</w:t>
      </w:r>
    </w:p>
    <w:p>
      <w:pPr>
        <w:ind w:left="520" w:hanging="133"/>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 Cash Flow” represents the net cash generated from operating activities less the impact of purchases of property, equipment, and software.</w:t>
      </w:r>
    </w:p>
    <w:p>
      <w:pPr>
        <w:spacing w:after="0" w:line="51" w:lineRule="exact"/>
        <w:rPr>
          <w:sz w:val="20"/>
          <w:szCs w:val="20"/>
          <w:color w:val="auto"/>
        </w:rPr>
      </w:pPr>
    </w:p>
    <w:p>
      <w:pPr>
        <w:ind w:right="140" w:firstLine="350"/>
        <w:spacing w:after="0" w:line="270" w:lineRule="auto"/>
        <w:rPr>
          <w:sz w:val="20"/>
          <w:szCs w:val="20"/>
          <w:color w:val="auto"/>
        </w:rPr>
      </w:pPr>
      <w:r>
        <w:rPr>
          <w:rFonts w:ascii="Times New Roman" w:cs="Times New Roman" w:eastAsia="Times New Roman" w:hAnsi="Times New Roman"/>
          <w:sz w:val="14"/>
          <w:szCs w:val="14"/>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26"/>
        </w:trPr>
        <w:tc>
          <w:tcPr>
            <w:tcW w:w="5180" w:type="dxa"/>
            <w:vAlign w:val="bottom"/>
            <w:gridSpan w:val="4"/>
          </w:tcPr>
          <w:p>
            <w:pPr>
              <w:ind w:left="200"/>
              <w:spacing w:after="0"/>
              <w:rPr>
                <w:sz w:val="20"/>
                <w:szCs w:val="20"/>
                <w:color w:val="auto"/>
              </w:rPr>
            </w:pPr>
            <w:r>
              <w:rPr>
                <w:rFonts w:ascii="Times New Roman" w:cs="Times New Roman" w:eastAsia="Times New Roman" w:hAnsi="Times New Roman"/>
                <w:sz w:val="11"/>
                <w:szCs w:val="11"/>
                <w:b w:val="1"/>
                <w:bCs w:val="1"/>
                <w:color w:val="0000FF"/>
              </w:rPr>
              <w:t>Table of Contents</w:t>
            </w: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share and per share data)</w:t>
            </w:r>
          </w:p>
        </w:tc>
        <w:tc>
          <w:tcPr>
            <w:tcW w:w="10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Revenue, Excluding Billable Expenses</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Revenue</w:t>
            </w:r>
          </w:p>
        </w:tc>
        <w:tc>
          <w:tcPr>
            <w:tcW w:w="146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10,661,896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9,258,911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8,363,700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Less: Billable expenses</w:t>
            </w:r>
          </w:p>
        </w:tc>
        <w:tc>
          <w:tcPr>
            <w:tcW w:w="10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3,281,776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2,808,857</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2,474,163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60" w:type="dxa"/>
            <w:vAlign w:val="bottom"/>
            <w:tcBorders>
              <w:bottom w:val="single" w:sz="8" w:color="CCEEFF"/>
            </w:tcBorders>
            <w:gridSpan w:val="2"/>
            <w:shd w:val="clear" w:color="auto" w:fill="CCEEFF"/>
          </w:tcPr>
          <w:p>
            <w:pPr>
              <w:ind w:left="280"/>
              <w:spacing w:after="0" w:line="171" w:lineRule="exact"/>
              <w:rPr>
                <w:sz w:val="20"/>
                <w:szCs w:val="20"/>
                <w:color w:val="auto"/>
              </w:rPr>
            </w:pPr>
            <w:r>
              <w:rPr>
                <w:rFonts w:ascii="Times New Roman" w:cs="Times New Roman" w:eastAsia="Times New Roman" w:hAnsi="Times New Roman"/>
                <w:sz w:val="14"/>
                <w:szCs w:val="14"/>
                <w:color w:val="auto"/>
              </w:rPr>
              <w:t>Revenue, Excluding Billable Expenses</w:t>
            </w:r>
            <w:r>
              <w:rPr>
                <w:rFonts w:ascii="Times New Roman" w:cs="Times New Roman" w:eastAsia="Times New Roman" w:hAnsi="Times New Roman"/>
                <w:sz w:val="18"/>
                <w:szCs w:val="18"/>
                <w:color w:val="auto"/>
                <w:vertAlign w:val="superscript"/>
              </w:rPr>
              <w:t>*</w:t>
            </w:r>
          </w:p>
        </w:tc>
        <w:tc>
          <w:tcPr>
            <w:tcW w:w="10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7,380,120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6,450,054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5,889,537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Adjusted Operating Income</w:t>
            </w:r>
          </w:p>
        </w:tc>
        <w:tc>
          <w:tcPr>
            <w:tcW w:w="1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6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Income</w:t>
            </w:r>
          </w:p>
        </w:tc>
        <w:tc>
          <w:tcPr>
            <w:tcW w:w="146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1,013,403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446,848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685,181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provision for claimed indirect costs (a)</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(18,345)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and divestiture costs (b)</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7,580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44,269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97,485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Financing transaction costs (c)</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6,888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2,348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Significant acquisition amortization (d)</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53,897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51,553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38,295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DC tax assessment adjustment (e)</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(20,050)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Legal matter reserve (f)</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27,453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350,000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Restructuring costs (g)</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4,164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Adjusted Operating Income</w:t>
            </w: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1,064,758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899,558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827,473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40" w:type="dxa"/>
            <w:vAlign w:val="bottom"/>
            <w:tcBorders>
              <w:top w:val="single" w:sz="8" w:color="CCEEFF"/>
            </w:tcBorders>
            <w:gridSpan w:val="3"/>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164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6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EBITDA, Adjusted EBITDA, Adjusted EBITDA Margin on Revenue &amp; Adjusted EBITDA Margin on Revenue, Excluding Billable Expenses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146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605,706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271,791</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466,740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247,614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96,734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137,466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Interest and other, net (h)</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160,083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78,899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81,138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164,203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165,484</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145,747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EBITDA</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1,177,606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612,908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831,091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provision for claimed indirect costs (a)</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(18,345)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Acquisition and divestiture costs (b)</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7,580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44,269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97,485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Financing transaction costs (c)</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6,888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2,348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DC tax assessment adjustment (e)</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(20,050)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Legal matter reserve (f)</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27,453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350,000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Restructuring costs (g)</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4,164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Adjusted EBITDA</w:t>
            </w: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1,175,064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1,014,065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935,088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60" w:type="dxa"/>
            <w:vAlign w:val="bottom"/>
            <w:tcBorders>
              <w:top w:val="single" w:sz="8" w:color="CCEEFF"/>
              <w:bottom w:val="single" w:sz="8" w:color="CCEEFF"/>
            </w:tcBorders>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Net income margin attributable to common stockholders</w:t>
            </w:r>
          </w:p>
        </w:tc>
        <w:tc>
          <w:tcPr>
            <w:tcW w:w="1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5.7 %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2.9 %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5.6 %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Adjusted EBITDA Margin on Revenue</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Adjusted EBITDA Margin on Revenue, Excluding Billable Expenses</w:t>
            </w: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5"/>
        </w:trPr>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53</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3"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26"/>
        </w:trPr>
        <w:tc>
          <w:tcPr>
            <w:tcW w:w="60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0000FF"/>
              </w:rPr>
              <w:t>Table of Contents</w:t>
            </w: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1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5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5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share and per share data)</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5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Adjusted Net Income</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59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605,706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271,791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466,740</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provision for claimed indirect costs (a)</w:t>
            </w:r>
          </w:p>
        </w:tc>
        <w:tc>
          <w:tcPr>
            <w:tcW w:w="380" w:type="dxa"/>
            <w:vAlign w:val="bottom"/>
          </w:tcPr>
          <w:p>
            <w:pPr>
              <w:spacing w:after="0"/>
              <w:rPr>
                <w:sz w:val="15"/>
                <w:szCs w:val="15"/>
                <w:color w:val="auto"/>
              </w:rPr>
            </w:pPr>
          </w:p>
        </w:tc>
        <w:tc>
          <w:tcPr>
            <w:tcW w:w="1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(18,345)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and divestiture costs (b)</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7,580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44,269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97,485</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Financing transaction costs (c)</w:t>
            </w:r>
          </w:p>
        </w:tc>
        <w:tc>
          <w:tcPr>
            <w:tcW w:w="380" w:type="dxa"/>
            <w:vAlign w:val="bottom"/>
          </w:tcPr>
          <w:p>
            <w:pPr>
              <w:spacing w:after="0"/>
              <w:rPr>
                <w:sz w:val="15"/>
                <w:szCs w:val="15"/>
                <w:color w:val="auto"/>
              </w:rPr>
            </w:pP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6,888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2,348</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Significant acquisition amortization (d)</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53,897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51,553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38,295</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DC tax assessment adjustment (e)</w:t>
            </w:r>
          </w:p>
        </w:tc>
        <w:tc>
          <w:tcPr>
            <w:tcW w:w="380" w:type="dxa"/>
            <w:vAlign w:val="bottom"/>
          </w:tcPr>
          <w:p>
            <w:pPr>
              <w:spacing w:after="0"/>
              <w:rPr>
                <w:sz w:val="15"/>
                <w:szCs w:val="15"/>
                <w:color w:val="auto"/>
              </w:rPr>
            </w:pPr>
          </w:p>
        </w:tc>
        <w:tc>
          <w:tcPr>
            <w:tcW w:w="1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(20,050)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Legal matter reserve (f)</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27,453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350,000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Restructuring costs (g)</w:t>
            </w:r>
          </w:p>
        </w:tc>
        <w:tc>
          <w:tcPr>
            <w:tcW w:w="38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4,164</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Valuation adjustments to cost method investments (i)</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5,669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Gains associated with equity method investment activity (j)</w:t>
            </w:r>
          </w:p>
        </w:tc>
        <w:tc>
          <w:tcPr>
            <w:tcW w:w="38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(12,761)</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Gains associated with divestitures or deconsolidation (k)</w:t>
            </w:r>
          </w:p>
        </w:tc>
        <w:tc>
          <w:tcPr>
            <w:tcW w:w="3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(44,632)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Amortization or write-off of debt issuance costs and debt discount</w:t>
            </w:r>
          </w:p>
        </w:tc>
        <w:tc>
          <w:tcPr>
            <w:tcW w:w="380" w:type="dxa"/>
            <w:vAlign w:val="bottom"/>
          </w:tcPr>
          <w:p>
            <w:pPr>
              <w:spacing w:after="0"/>
              <w:rPr>
                <w:sz w:val="15"/>
                <w:szCs w:val="15"/>
                <w:color w:val="auto"/>
              </w:rPr>
            </w:pP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4,017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6,554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3,340</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for tax effect (l)</w:t>
            </w: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52,218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(81,389)</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(31,399)</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59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Adjusted Net Income</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718,965</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605,034</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568,212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 w:type="dxa"/>
            <w:vAlign w:val="bottom"/>
          </w:tcPr>
          <w:p>
            <w:pPr>
              <w:spacing w:after="0"/>
              <w:rPr>
                <w:sz w:val="12"/>
                <w:szCs w:val="12"/>
                <w:color w:val="auto"/>
              </w:rPr>
            </w:pPr>
          </w:p>
        </w:tc>
        <w:tc>
          <w:tcPr>
            <w:tcW w:w="59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Adjusted Diluted Earnings Per Share</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9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Weighted-average number of diluted shares outstanding</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130,815,903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132,716,436</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134,850,808</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Adjusted Net Income Per Diluted Share (m)</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 w:type="dxa"/>
            <w:vAlign w:val="bottom"/>
          </w:tcPr>
          <w:p>
            <w:pPr>
              <w:spacing w:after="0"/>
              <w:rPr>
                <w:sz w:val="12"/>
                <w:szCs w:val="12"/>
                <w:color w:val="auto"/>
              </w:rPr>
            </w:pPr>
          </w:p>
        </w:tc>
        <w:tc>
          <w:tcPr>
            <w:tcW w:w="59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Free Cash Flow</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258,838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602,822</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736,526</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Purchases of property, equipment and software</w:t>
            </w: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(66,699)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(76,130)</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(79,964)</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59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Free Cash Flow</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192,139</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526,692</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656,562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0" w:type="dxa"/>
            <w:vAlign w:val="bottom"/>
          </w:tcPr>
          <w:p>
            <w:pPr>
              <w:spacing w:after="0"/>
              <w:rPr>
                <w:sz w:val="14"/>
                <w:szCs w:val="14"/>
                <w:color w:val="auto"/>
              </w:rPr>
            </w:pPr>
          </w:p>
        </w:tc>
        <w:tc>
          <w:tcPr>
            <w:tcW w:w="5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cash flow conversion</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424242"/>
              </w:rPr>
              <w:t>43 %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424242"/>
              </w:rPr>
              <w:t>222 %</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424242"/>
              </w:rPr>
              <w:t>158 %</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59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Free cash flow conversion</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424242"/>
              </w:rPr>
              <w:t>27 %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424242"/>
              </w:rPr>
              <w:t>87 %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424242"/>
              </w:rPr>
              <w:t>116 %</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120" w:right="4140" w:firstLine="3"/>
        <w:spacing w:after="0" w:line="270" w:lineRule="auto"/>
        <w:tabs>
          <w:tab w:leader="none" w:pos="22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Excluding Billable Expenses includes $18.3 million of revenue resulting from the reduction to our provision for claimed indirect costs (see note (a) below), and $20.1 million of revenue resulting from the impact of the Company's unfavorable ruling from the District of Columbia Court of Appeals (see note (e) below).</w:t>
      </w:r>
    </w:p>
    <w:p>
      <w:pPr>
        <w:spacing w:after="0" w:line="8" w:lineRule="exact"/>
        <w:rPr>
          <w:sz w:val="20"/>
          <w:szCs w:val="20"/>
          <w:color w:val="auto"/>
        </w:rPr>
      </w:pPr>
    </w:p>
    <w:p>
      <w:pPr>
        <w:ind w:left="320" w:right="20" w:hanging="260"/>
        <w:spacing w:after="0" w:line="270" w:lineRule="auto"/>
        <w:tabs>
          <w:tab w:leader="none" w:pos="31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reduction to our provision for claimed indirect costs recorded during the second quarter of fiscal 2024, which resulted in a corresponding increase to revenue, as a result of the Defense Contract Audit Agency's findings related to its audit of our claimed indirect costs for fiscal 2022. See Note 20, “Commitments and Contingencies,” to the consolidated financial statements for further information.</w:t>
      </w:r>
    </w:p>
    <w:p>
      <w:pPr>
        <w:spacing w:after="0" w:line="8" w:lineRule="exact"/>
        <w:rPr>
          <w:rFonts w:ascii="Times New Roman" w:cs="Times New Roman" w:eastAsia="Times New Roman" w:hAnsi="Times New Roman"/>
          <w:sz w:val="14"/>
          <w:szCs w:val="14"/>
          <w:color w:val="auto"/>
        </w:rPr>
      </w:pPr>
    </w:p>
    <w:p>
      <w:pPr>
        <w:ind w:left="320" w:hanging="260"/>
        <w:spacing w:after="0" w:line="259" w:lineRule="auto"/>
        <w:tabs>
          <w:tab w:leader="none" w:pos="315"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the acquisition efforts of the Company related to transactions for which the Company has entered into a letter of intent to acquire a controlling financial interest in the target entity, as well as the divestiture costs incurred in divesting a portion of our business. Acquisition and divestiture costs primarily include costs associated with (i) buy-side and sell-side due diligence activities, (ii) compensation expenses associated with employee retention, and (iii) legal and advisory fees, primarily associated with the acquisitions of Liberty IT Solutions, LLC (“Liberty”) and Tracepoint Holdings, LLC (“Tracepoint”) in fiscal 2022, and the acquisition of EverWatch Corp. (“EverWatch”) and the divestitures of our management consulting business serving the Middle East and North Africa (“MENA”) and our Managed Threat Services business (“MTS”) in fiscal 2023. See Note 5, “Acquisition and Divestitures,” to the consolidated financial statements for further information.</w:t>
      </w:r>
    </w:p>
    <w:p>
      <w:pPr>
        <w:spacing w:after="0" w:line="18" w:lineRule="exact"/>
        <w:rPr>
          <w:rFonts w:ascii="Times New Roman" w:cs="Times New Roman" w:eastAsia="Times New Roman" w:hAnsi="Times New Roman"/>
          <w:sz w:val="14"/>
          <w:szCs w:val="14"/>
          <w:color w:val="auto"/>
        </w:rPr>
      </w:pPr>
    </w:p>
    <w:p>
      <w:pPr>
        <w:ind w:left="320" w:hanging="260"/>
        <w:spacing w:after="0"/>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expenses associated with debt financing activities incurred during the second quarters of fiscal 2024 and 2023.</w:t>
      </w:r>
    </w:p>
    <w:p>
      <w:pPr>
        <w:spacing w:after="0" w:line="51" w:lineRule="exact"/>
        <w:rPr>
          <w:rFonts w:ascii="Times New Roman" w:cs="Times New Roman" w:eastAsia="Times New Roman" w:hAnsi="Times New Roman"/>
          <w:sz w:val="14"/>
          <w:szCs w:val="14"/>
          <w:color w:val="auto"/>
        </w:rPr>
      </w:pPr>
    </w:p>
    <w:p>
      <w:pPr>
        <w:ind w:left="320" w:right="60" w:hanging="260"/>
        <w:spacing w:after="0" w:line="270" w:lineRule="auto"/>
        <w:tabs>
          <w:tab w:leader="none" w:pos="315"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associated with acquired intangibles from significant acquisitions. Significant acquisitions include acquisitions which the Company considers to be beyond the scope of our normal operations. Significant acquisition amortization includes amortization expense associated with the acquisition of Liberty in the second quarter of fiscal 2022 and EverWatch in the third quarter of fiscal 2023</w:t>
      </w:r>
      <w:r>
        <w:rPr>
          <w:rFonts w:ascii="Times New Roman" w:cs="Times New Roman" w:eastAsia="Times New Roman" w:hAnsi="Times New Roman"/>
          <w:sz w:val="14"/>
          <w:szCs w:val="14"/>
          <w:color w:val="929292"/>
        </w:rPr>
        <w:t>.</w:t>
      </w: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500" w:top="352" w:right="339" w:bottom="1440" w:gutter="0" w:footer="0" w:header="0"/>
        </w:sectPr>
      </w:pPr>
    </w:p>
    <w:bookmarkStart w:id="57" w:name="page58"/>
    <w:bookmarkEnd w:id="5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520" w:right="460" w:hanging="260"/>
        <w:spacing w:after="0" w:line="284" w:lineRule="auto"/>
        <w:tabs>
          <w:tab w:leader="none" w:pos="51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impact (specifically the revenue from recoverable expenses) of the Company's unfavorable ruling from the District of Columbia Court of Appeals related to contested tax assessments from the District of Columbia Office of Tax and Revenue (“DC OTR”). See Note 13, “Income Taxes,” to the consolidated financial statements for further information.</w:t>
      </w:r>
    </w:p>
    <w:p>
      <w:pPr>
        <w:ind w:left="520" w:right="100" w:hanging="260"/>
        <w:spacing w:after="0" w:line="284" w:lineRule="auto"/>
        <w:tabs>
          <w:tab w:leader="none" w:pos="513"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 associated with the U.S. Department of Justice's investigation of the Company. See Note 20, “Commitments and Contingencies,” to the consolidated financial statements for further information.</w:t>
      </w:r>
    </w:p>
    <w:p>
      <w:pPr>
        <w:ind w:left="520" w:right="580" w:hanging="260"/>
        <w:spacing w:after="0" w:line="284" w:lineRule="auto"/>
        <w:tabs>
          <w:tab w:leader="none" w:pos="515"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restructuring charges of $8.3 million incurred during the fourth quarter of fiscal 2022, net of approximately $4.2 million of revenue recognized on recoverable expenses, associated with severance costs of a restructuring plan to reduce certain executive administrative personnel costs.</w:t>
      </w:r>
    </w:p>
    <w:p>
      <w:pPr>
        <w:ind w:left="500" w:hanging="240"/>
        <w:spacing w:after="0"/>
        <w:tabs>
          <w:tab w:leader="none" w:pos="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combination of Interest expense and Other income, net from the consolidated statement of operations.</w:t>
      </w:r>
    </w:p>
    <w:p>
      <w:pPr>
        <w:spacing w:after="0" w:line="5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non-recurring valuation adjustments to the Company's cost method investments, primarily the write-off of one of its investments.</w:t>
      </w:r>
    </w:p>
    <w:p>
      <w:pPr>
        <w:spacing w:after="0" w:line="51" w:lineRule="exact"/>
        <w:rPr>
          <w:rFonts w:ascii="Times New Roman" w:cs="Times New Roman" w:eastAsia="Times New Roman" w:hAnsi="Times New Roman"/>
          <w:sz w:val="14"/>
          <w:szCs w:val="14"/>
          <w:color w:val="auto"/>
        </w:rPr>
      </w:pPr>
    </w:p>
    <w:p>
      <w:pPr>
        <w:ind w:left="520" w:right="180" w:hanging="260"/>
        <w:spacing w:after="0" w:line="284" w:lineRule="auto"/>
        <w:tabs>
          <w:tab w:leader="none" w:pos="515"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a gain in the second quarter of fiscal 2022 associated with the Company's previously held equity method investment in Tracepoint and (ii) a gain in the third quarter of fiscal 2022 associated with the divestiture of a controlling financial interest in SnapAttack.</w:t>
      </w:r>
    </w:p>
    <w:p>
      <w:pPr>
        <w:ind w:left="520" w:right="20" w:hanging="260"/>
        <w:spacing w:after="0" w:line="284" w:lineRule="auto"/>
        <w:tabs>
          <w:tab w:leader="none" w:pos="515"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gain recognized on the divestitures of the Company's MENA business in the second quarter of fiscal 2023, its MTS business in the third quarter of fiscal 2023, and the gain on the deconsolidation of an artificial intelligence software platform business in the third quarter of fiscal 2023.</w:t>
      </w:r>
    </w:p>
    <w:p>
      <w:pPr>
        <w:ind w:left="520" w:right="140" w:hanging="260"/>
        <w:spacing w:after="0" w:line="261" w:lineRule="auto"/>
        <w:tabs>
          <w:tab w:leader="none" w:pos="515"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Reflects the tax effect of adjustments at an assumed effective tax rate of 26%, which </w:t>
      </w:r>
      <w:r>
        <w:rPr>
          <w:rFonts w:ascii="Times New Roman" w:cs="Times New Roman" w:eastAsia="Times New Roman" w:hAnsi="Times New Roman"/>
          <w:sz w:val="14"/>
          <w:szCs w:val="14"/>
          <w:color w:val="929292"/>
        </w:rPr>
        <w:t>a</w:t>
      </w:r>
      <w:r>
        <w:rPr>
          <w:rFonts w:ascii="Times New Roman" w:cs="Times New Roman" w:eastAsia="Times New Roman" w:hAnsi="Times New Roman"/>
          <w:sz w:val="14"/>
          <w:szCs w:val="14"/>
          <w:color w:val="auto"/>
        </w:rPr>
        <w:t>pproximates the blended federal and state tax rates, and consistently excludes the impact of other tax credits and incentive benefits realized. The tax effect of certain discrete items is calculated specifically and may vary from the general 26% rate. The tax effect also includes the indirect effects of uncertainty around the application of Section 174 of the Tax Cuts and Jobs Act of 2017 ($(22.0) million for fiscal 2024, and $22.0 million for fiscal 2023), and the impact of the Company's unfavorable ruling from the District of Columbia Court of Appeals related to contested tax assessments from the DC OTR ($42.7 million for the three and twelve months ended March 31, 2024, respectively). See Note 13, “Income Taxes,” to the consolidated financial statements for further information.</w:t>
      </w:r>
    </w:p>
    <w:p>
      <w:pPr>
        <w:spacing w:after="0" w:line="15"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adjustments of approximately $5.0 million, $2.1 million, and $3.1 million of net earnings for fiscal 2024, 2023, and 2022, respectively, associated with the application of the two-class method for computing diluted earnings per share.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and Trends Affecting Our Results of Operations</w:t>
      </w:r>
    </w:p>
    <w:p>
      <w:pPr>
        <w:spacing w:after="0" w:line="53"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Our results of operations have been, and we expect them to continue to be, affected by the following factors, which may cause our future results of operations to differ from our historical results of operations discussed under “—Results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Environment and Key Trends in Our Markets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believe that the following trends and developments in the U.S. government services industry and our markets may influence our future results of operations:</w:t>
      </w:r>
    </w:p>
    <w:p>
      <w:pPr>
        <w:spacing w:after="0" w:line="51" w:lineRule="exact"/>
        <w:rPr>
          <w:sz w:val="20"/>
          <w:szCs w:val="20"/>
          <w:color w:val="auto"/>
        </w:rPr>
      </w:pPr>
    </w:p>
    <w:p>
      <w:pPr>
        <w:ind w:left="520" w:right="80" w:hanging="133"/>
        <w:spacing w:after="0" w:line="260" w:lineRule="auto"/>
        <w:tabs>
          <w:tab w:leader="none" w:pos="51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Taxpayer Relief Act of 2012, the Bipartisan Budget Act of 2013, the Bipartisan Budget Act of 2015, the Bipartisan Budget Act of 2018, and the Bipartisan Budget Act of 2019, the Coronavirus Aid, Relief, and Economic Security Act (the “CARES Act”), and the Consolidated Appropriations Act of 2021, and address the ability of Congress to determine how to allocate the available budget authority and pass appropriations bills to fund both U.S. government departments and agencies that are, and those that are not, subject to the caps;</w:t>
      </w:r>
    </w:p>
    <w:p>
      <w:pPr>
        <w:spacing w:after="0" w:line="188" w:lineRule="exact"/>
        <w:rPr>
          <w:rFonts w:ascii="Times New Roman" w:cs="Times New Roman" w:eastAsia="Times New Roman" w:hAnsi="Times New Roman"/>
          <w:sz w:val="14"/>
          <w:szCs w:val="14"/>
          <w:color w:val="auto"/>
        </w:rPr>
      </w:pPr>
    </w:p>
    <w:p>
      <w:pPr>
        <w:ind w:left="520" w:right="300" w:hanging="133"/>
        <w:spacing w:after="0" w:line="287" w:lineRule="auto"/>
        <w:tabs>
          <w:tab w:leader="none" w:pos="51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320" w:hanging="133"/>
        <w:spacing w:after="0" w:line="258" w:lineRule="auto"/>
        <w:tabs>
          <w:tab w:leader="none" w:pos="3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19" w:lineRule="exact"/>
        <w:rPr>
          <w:rFonts w:ascii="Times New Roman" w:cs="Times New Roman" w:eastAsia="Times New Roman" w:hAnsi="Times New Roman"/>
          <w:sz w:val="14"/>
          <w:szCs w:val="14"/>
          <w:color w:val="auto"/>
        </w:rPr>
      </w:pPr>
    </w:p>
    <w:p>
      <w:pPr>
        <w:ind w:left="320" w:hanging="133"/>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the completion of future U.S. government’s budget processes, which have in the past and could in the future delay procurement of the products, services, and solutions we provide;</w:t>
      </w:r>
    </w:p>
    <w:p>
      <w:pPr>
        <w:spacing w:after="0" w:line="51" w:lineRule="exact"/>
        <w:rPr>
          <w:rFonts w:ascii="Times New Roman" w:cs="Times New Roman" w:eastAsia="Times New Roman" w:hAnsi="Times New Roman"/>
          <w:sz w:val="14"/>
          <w:szCs w:val="14"/>
          <w:color w:val="auto"/>
        </w:rPr>
      </w:pPr>
    </w:p>
    <w:p>
      <w:pPr>
        <w:ind w:left="320" w:right="120" w:hanging="133"/>
        <w:spacing w:after="0" w:line="270" w:lineRule="auto"/>
        <w:tabs>
          <w:tab w:leader="none" w:pos="3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 including as a result of the presidential and administration transition;</w:t>
      </w:r>
    </w:p>
    <w:p>
      <w:pPr>
        <w:spacing w:after="0" w:line="8" w:lineRule="exact"/>
        <w:rPr>
          <w:rFonts w:ascii="Times New Roman" w:cs="Times New Roman" w:eastAsia="Times New Roman" w:hAnsi="Times New Roman"/>
          <w:sz w:val="14"/>
          <w:szCs w:val="14"/>
          <w:color w:val="auto"/>
        </w:rPr>
      </w:pPr>
    </w:p>
    <w:p>
      <w:pPr>
        <w:ind w:left="320" w:right="40" w:hanging="133"/>
        <w:spacing w:after="0" w:line="270" w:lineRule="auto"/>
        <w:tabs>
          <w:tab w:leader="none" w:pos="3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nature and effect of disease outbreaks, pandemics and widespread health epidemics, such as COVID-19, including the impact on federal budgets, current and pending procurements, supply chains, demand for services, deployment and productivity of our employees and the economic and societal impact of a pandemic, and the expected continued volatility in billable expenses;</w:t>
      </w:r>
    </w:p>
    <w:p>
      <w:pPr>
        <w:spacing w:after="0" w:line="8" w:lineRule="exact"/>
        <w:rPr>
          <w:rFonts w:ascii="Times New Roman" w:cs="Times New Roman" w:eastAsia="Times New Roman" w:hAnsi="Times New Roman"/>
          <w:sz w:val="14"/>
          <w:szCs w:val="14"/>
          <w:color w:val="auto"/>
        </w:rPr>
      </w:pPr>
    </w:p>
    <w:p>
      <w:pPr>
        <w:ind w:left="320" w:hanging="133"/>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inflationary pressure that could impact the cost of doing business and/or reduce customer buying power;</w:t>
      </w:r>
    </w:p>
    <w:p>
      <w:pPr>
        <w:spacing w:after="0" w:line="51" w:lineRule="exact"/>
        <w:rPr>
          <w:rFonts w:ascii="Times New Roman" w:cs="Times New Roman" w:eastAsia="Times New Roman" w:hAnsi="Times New Roman"/>
          <w:sz w:val="14"/>
          <w:szCs w:val="14"/>
          <w:color w:val="auto"/>
        </w:rPr>
      </w:pPr>
    </w:p>
    <w:p>
      <w:pPr>
        <w:ind w:left="320" w:right="340" w:hanging="133"/>
        <w:spacing w:after="0" w:line="284" w:lineRule="auto"/>
        <w:tabs>
          <w:tab w:leader="none" w:pos="3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a possible recession and volatility or instability of the global financial system, including bank failures and the resulting impact on counterparties and business conditions generally;</w:t>
      </w:r>
    </w:p>
    <w:p>
      <w:pPr>
        <w:ind w:left="320" w:right="180" w:hanging="133"/>
        <w:spacing w:after="0" w:line="270" w:lineRule="auto"/>
        <w:tabs>
          <w:tab w:leader="none" w:pos="3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and regulatory changes, or shifts in regulatory priorities as a result of U.S. administration transitions, including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8" w:lineRule="exact"/>
        <w:rPr>
          <w:rFonts w:ascii="Times New Roman" w:cs="Times New Roman" w:eastAsia="Times New Roman" w:hAnsi="Times New Roman"/>
          <w:sz w:val="14"/>
          <w:szCs w:val="14"/>
          <w:color w:val="auto"/>
        </w:rPr>
      </w:pPr>
    </w:p>
    <w:p>
      <w:pPr>
        <w:ind w:left="320" w:hanging="133"/>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efforts by the U.S. government to address organizational conflicts of interest and related issues and the impact of those efforts on us and our competitors;</w:t>
      </w:r>
    </w:p>
    <w:p>
      <w:pPr>
        <w:spacing w:after="0" w:line="51" w:lineRule="exact"/>
        <w:rPr>
          <w:rFonts w:ascii="Times New Roman" w:cs="Times New Roman" w:eastAsia="Times New Roman" w:hAnsi="Times New Roman"/>
          <w:sz w:val="14"/>
          <w:szCs w:val="14"/>
          <w:color w:val="auto"/>
        </w:rPr>
      </w:pPr>
    </w:p>
    <w:p>
      <w:pPr>
        <w:ind w:left="320" w:right="120" w:hanging="133"/>
        <w:spacing w:after="0" w:line="284" w:lineRule="auto"/>
        <w:tabs>
          <w:tab w:leader="none" w:pos="3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audit, review, investigation, and general scrutiny by U.S. government agencies of government contractors' performance under U.S. government contracts and compliance with the terms of those contracts and applicable laws;</w:t>
      </w:r>
    </w:p>
    <w:p>
      <w:pPr>
        <w:ind w:left="320" w:right="260" w:hanging="133"/>
        <w:spacing w:after="0" w:line="284" w:lineRule="auto"/>
        <w:tabs>
          <w:tab w:leader="none" w:pos="3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ind w:left="320" w:right="260" w:hanging="133"/>
        <w:spacing w:after="0" w:line="284" w:lineRule="auto"/>
        <w:tabs>
          <w:tab w:leader="none" w:pos="3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publicity and increased scrutiny of government contractors in general, including us, relating to U.S. government expenditures for contractor services and incidents involving the mishandling of sensitive or classified information;</w:t>
      </w:r>
    </w:p>
    <w:p>
      <w:pPr>
        <w:ind w:left="320" w:hanging="133"/>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government agencies awarding contracts on a technically acceptable/lowest cost basis, which could have a negative impact on our ability to win certain contracts;</w:t>
      </w:r>
    </w:p>
    <w:p>
      <w:pPr>
        <w:spacing w:after="0" w:line="51" w:lineRule="exact"/>
        <w:rPr>
          <w:rFonts w:ascii="Times New Roman" w:cs="Times New Roman" w:eastAsia="Times New Roman" w:hAnsi="Times New Roman"/>
          <w:sz w:val="14"/>
          <w:szCs w:val="14"/>
          <w:color w:val="auto"/>
        </w:rPr>
      </w:pPr>
    </w:p>
    <w:p>
      <w:pPr>
        <w:ind w:left="320" w:hanging="133"/>
        <w:spacing w:after="0" w:line="284" w:lineRule="auto"/>
        <w:tabs>
          <w:tab w:leader="none" w:pos="3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ind w:left="320" w:right="80" w:hanging="133"/>
        <w:spacing w:after="0" w:line="270" w:lineRule="auto"/>
        <w:tabs>
          <w:tab w:leader="none" w:pos="3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8" w:lineRule="exact"/>
        <w:rPr>
          <w:rFonts w:ascii="Times New Roman" w:cs="Times New Roman" w:eastAsia="Times New Roman" w:hAnsi="Times New Roman"/>
          <w:sz w:val="14"/>
          <w:szCs w:val="14"/>
          <w:color w:val="auto"/>
        </w:rPr>
      </w:pPr>
    </w:p>
    <w:p>
      <w:pPr>
        <w:ind w:left="320" w:right="140" w:hanging="133"/>
        <w:spacing w:after="0" w:line="287" w:lineRule="auto"/>
        <w:tabs>
          <w:tab w:leader="none" w:pos="3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3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500" w:top="354" w:right="339" w:bottom="1440" w:gutter="0" w:footer="0" w:header="0"/>
        </w:sectPr>
      </w:pPr>
    </w:p>
    <w:bookmarkStart w:id="59" w:name="page60"/>
    <w:bookmarkEnd w:id="5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520" w:right="60" w:hanging="133"/>
        <w:spacing w:after="0" w:line="284" w:lineRule="auto"/>
        <w:tabs>
          <w:tab w:leader="none" w:pos="51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increasingly complex requirements and enforcement and reporting landscapes of the Department of Defense and the U.S. intelligence community, including cybersecurity, managing federal health care cost growth, competition, and focus on reforming existing government regulation of various sectors of the economy, such as financial regulation and healthcare; and</w:t>
      </w:r>
    </w:p>
    <w:p>
      <w:pPr>
        <w:ind w:left="520" w:right="340" w:hanging="133"/>
        <w:spacing w:after="0" w:line="287" w:lineRule="auto"/>
        <w:tabs>
          <w:tab w:leader="none" w:pos="51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Revenue</w:t>
      </w:r>
    </w:p>
    <w:p>
      <w:pPr>
        <w:spacing w:after="0" w:line="53" w:lineRule="exact"/>
        <w:rPr>
          <w:sz w:val="20"/>
          <w:szCs w:val="20"/>
          <w:color w:val="auto"/>
        </w:rPr>
      </w:pPr>
    </w:p>
    <w:p>
      <w:pPr>
        <w:ind w:firstLine="350"/>
        <w:spacing w:after="0" w:line="256" w:lineRule="auto"/>
        <w:rPr>
          <w:sz w:val="20"/>
          <w:szCs w:val="20"/>
          <w:color w:val="auto"/>
        </w:rPr>
      </w:pPr>
      <w:r>
        <w:rPr>
          <w:rFonts w:ascii="Times New Roman" w:cs="Times New Roman" w:eastAsia="Times New Roman" w:hAnsi="Times New Roman"/>
          <w:sz w:val="14"/>
          <w:szCs w:val="14"/>
          <w:color w:val="auto"/>
        </w:rPr>
        <w:t>Substantially all of our revenue is derived from services provided under contracts and task orders with the U.S. government, primarily by our client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originally required nine automatic spending cuts (referred to as “sequestration”) of $109 billion annually from 2013 to 2021, half of which was intended to come from defense programs, though less than $1 billion has been cut for defense programs per year under the BCA. Mandatory sequestrations under the BCA were subsequently extended by the Bipartisan Budget Acts of 2013, 2015, 2018 and 2019, the Military Retired Pay Restoration Act, the CARES Act and the Infrastructure Investment and Jobs Act. The extension of the mandatory sequestration applies an 8.3% reduction in defense spending in each year from 2021 through 2031.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Types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generate revenue under the following three basic types of contracts:</w:t>
      </w:r>
    </w:p>
    <w:p>
      <w:pPr>
        <w:spacing w:after="0" w:line="49" w:lineRule="exact"/>
        <w:rPr>
          <w:sz w:val="20"/>
          <w:szCs w:val="20"/>
          <w:color w:val="auto"/>
        </w:rPr>
      </w:pPr>
    </w:p>
    <w:p>
      <w:pPr>
        <w:ind w:left="520" w:right="80" w:hanging="133"/>
        <w:spacing w:after="0" w:line="260" w:lineRule="auto"/>
        <w:tabs>
          <w:tab w:leader="none" w:pos="51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Cost-Reimbursable Contracts. </w:t>
      </w:r>
      <w:r>
        <w:rPr>
          <w:rFonts w:ascii="Times New Roman" w:cs="Times New Roman" w:eastAsia="Times New Roman" w:hAnsi="Times New Roman"/>
          <w:sz w:val="14"/>
          <w:szCs w:val="14"/>
          <w:color w:val="auto"/>
        </w:rPr>
        <w:t>Cost-reimbursable contracts provide for the payment of allowable costs incurred during performance of the contract, up to a ceiling based on the amount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14" w:lineRule="exact"/>
        <w:rPr>
          <w:rFonts w:ascii="Times New Roman" w:cs="Times New Roman" w:eastAsia="Times New Roman" w:hAnsi="Times New Roman"/>
          <w:sz w:val="14"/>
          <w:szCs w:val="14"/>
          <w:color w:val="auto"/>
        </w:rPr>
      </w:pPr>
    </w:p>
    <w:p>
      <w:pPr>
        <w:ind w:left="520" w:right="20" w:hanging="133"/>
        <w:spacing w:after="0" w:line="265" w:lineRule="auto"/>
        <w:tabs>
          <w:tab w:leader="none" w:pos="516" w:val="left"/>
        </w:tabs>
        <w:numPr>
          <w:ilvl w:val="0"/>
          <w:numId w:val="5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Time-and-Materials Contracts. </w:t>
      </w:r>
      <w:r>
        <w:rPr>
          <w:rFonts w:ascii="Times New Roman" w:cs="Times New Roman" w:eastAsia="Times New Roman" w:hAnsi="Times New Roman"/>
          <w:sz w:val="14"/>
          <w:szCs w:val="14"/>
          <w:color w:val="auto"/>
        </w:rPr>
        <w:t>Under contracts in this category, we are paid a fixed hourly rate for each direct labor hour expended, and we are reimbursed for billable material costs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10" w:lineRule="exact"/>
        <w:rPr>
          <w:rFonts w:ascii="Times New Roman" w:cs="Times New Roman" w:eastAsia="Times New Roman" w:hAnsi="Times New Roman"/>
          <w:sz w:val="14"/>
          <w:szCs w:val="14"/>
          <w:i w:val="1"/>
          <w:iCs w:val="1"/>
          <w:color w:val="auto"/>
        </w:rPr>
      </w:pPr>
    </w:p>
    <w:p>
      <w:pPr>
        <w:ind w:left="520" w:right="20" w:hanging="133"/>
        <w:spacing w:after="0" w:line="265" w:lineRule="auto"/>
        <w:tabs>
          <w:tab w:leader="none" w:pos="516" w:val="left"/>
        </w:tabs>
        <w:numPr>
          <w:ilvl w:val="0"/>
          <w:numId w:val="5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Fixed-Price Contracts. </w:t>
      </w:r>
      <w:r>
        <w:rPr>
          <w:rFonts w:ascii="Times New Roman" w:cs="Times New Roman" w:eastAsia="Times New Roman" w:hAnsi="Times New Roman"/>
          <w:sz w:val="14"/>
          <w:szCs w:val="14"/>
          <w:color w:val="auto"/>
        </w:rPr>
        <w:t>Under a fixed-price contract, we agree to perform the specified work for a predetermined price. To the extent our actual direct and allocated indirect costs decrease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200" w:lineRule="exact"/>
        <w:rPr>
          <w:sz w:val="20"/>
          <w:szCs w:val="20"/>
          <w:color w:val="auto"/>
        </w:rPr>
      </w:pPr>
    </w:p>
    <w:p>
      <w:pPr>
        <w:spacing w:after="0" w:line="20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4" w:right="359" w:bottom="1440" w:gutter="0" w:footer="0" w:header="0"/>
        </w:sectPr>
      </w:pPr>
    </w:p>
    <w:bookmarkStart w:id="60" w:name="page61"/>
    <w:bookmarkEnd w:id="6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 See “Item 1A. Risk Factors— Industry and Economic Risks.”</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table below presents the percentage of total revenue for each type of contract for the respective periods shown:</w:t>
      </w:r>
    </w:p>
    <w:p>
      <w:pPr>
        <w:spacing w:after="0" w:line="7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ind w:left="7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1720" w:type="dxa"/>
        <w:tblCellMar>
          <w:top w:w="0" w:type="dxa"/>
          <w:left w:w="0" w:type="dxa"/>
          <w:bottom w:w="0" w:type="dxa"/>
          <w:right w:w="0" w:type="dxa"/>
        </w:tblCellMar>
      </w:tblPr>
      <w:tr>
        <w:trPr>
          <w:trHeight w:val="182"/>
        </w:trPr>
        <w:tc>
          <w:tcPr>
            <w:tcW w:w="3460" w:type="dxa"/>
            <w:vAlign w:val="bottom"/>
            <w:tcBorders>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7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Cost-reimbursable</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54%</w:t>
            </w:r>
          </w:p>
        </w:tc>
      </w:tr>
      <w:tr>
        <w:trPr>
          <w:trHeight w:val="180"/>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Time-and-materials</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24%</w:t>
            </w:r>
          </w:p>
        </w:tc>
      </w:tr>
      <w:tr>
        <w:trPr>
          <w:trHeight w:val="18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Fixed-price</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22%</w:t>
            </w: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Diversity and Revenue Mix</w:t>
      </w:r>
    </w:p>
    <w:p>
      <w:pPr>
        <w:spacing w:after="0" w:line="53" w:lineRule="exact"/>
        <w:rPr>
          <w:sz w:val="20"/>
          <w:szCs w:val="20"/>
          <w:color w:val="auto"/>
        </w:rPr>
      </w:pPr>
    </w:p>
    <w:p>
      <w:pPr>
        <w:ind w:right="80" w:firstLine="350"/>
        <w:spacing w:after="0" w:line="259" w:lineRule="auto"/>
        <w:rPr>
          <w:sz w:val="20"/>
          <w:szCs w:val="20"/>
          <w:color w:val="auto"/>
        </w:rPr>
      </w:pPr>
      <w:r>
        <w:rPr>
          <w:rFonts w:ascii="Times New Roman" w:cs="Times New Roman" w:eastAsia="Times New Roman" w:hAnsi="Times New Roman"/>
          <w:sz w:val="14"/>
          <w:szCs w:val="14"/>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 No single task order under any IDIQ contract represented more than 4.5% of our revenue in fiscal 2024. No single definite contract accounted for more than 0.7% of our revenue in fiscal 2024.</w:t>
      </w:r>
    </w:p>
    <w:p>
      <w:pPr>
        <w:spacing w:after="0" w:line="19"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For fiscal 2024, 2023, and 2022, 95%, 95%, and 94%, respectively, of our revenue was generated by contracts and task orders for which we served as a prime contractor; 5%, 5%, and 6%, respectively, of our revenue was generated by contracts and task orders for which we served as a subcontractor; and 25%, 25%, and 24%, respectively, of our revenue was generated by services provided by our subcontractors. The mix of these types of revenue affects our operating margin. Substantially all of our operating margin is derived from direct client staff labor as the portion of our operating margin derived from fees we earn on services provided by our subcontractors is not significant. We view growth in direct client staff labor as the primary driver of earnings growth. Direct client staff labor growth is driven by client staff headcount growth, after attrition, and total backlog growth.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People</w:t>
      </w:r>
    </w:p>
    <w:p>
      <w:pPr>
        <w:spacing w:after="0" w:line="53" w:lineRule="exact"/>
        <w:rPr>
          <w:sz w:val="20"/>
          <w:szCs w:val="20"/>
          <w:color w:val="auto"/>
        </w:rPr>
      </w:pPr>
    </w:p>
    <w:p>
      <w:pPr>
        <w:ind w:right="120" w:firstLine="350"/>
        <w:spacing w:after="0" w:line="261" w:lineRule="auto"/>
        <w:rPr>
          <w:sz w:val="20"/>
          <w:szCs w:val="20"/>
          <w:color w:val="auto"/>
        </w:rPr>
      </w:pPr>
      <w:r>
        <w:rPr>
          <w:rFonts w:ascii="Times New Roman" w:cs="Times New Roman" w:eastAsia="Times New Roman" w:hAnsi="Times New Roman"/>
          <w:sz w:val="14"/>
          <w:szCs w:val="14"/>
          <w:color w:val="auto"/>
        </w:rPr>
        <w:t>Revenue from our contracts is derived from services delivered by client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March 31, 2024, 2023, and 2022, we employed approximately 34,200, 31,900, and 29,300 people, respectively, of which approximately 31,200, 29,100, and 26,300, respectively, were client staff.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Backlog</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define backlog to include the following three components:</w:t>
      </w:r>
    </w:p>
    <w:p>
      <w:pPr>
        <w:spacing w:after="0" w:line="49" w:lineRule="exact"/>
        <w:rPr>
          <w:sz w:val="20"/>
          <w:szCs w:val="20"/>
          <w:color w:val="auto"/>
        </w:rPr>
      </w:pPr>
    </w:p>
    <w:p>
      <w:pPr>
        <w:ind w:left="520" w:right="560" w:hanging="133"/>
        <w:spacing w:after="0" w:line="284" w:lineRule="auto"/>
        <w:tabs>
          <w:tab w:leader="none" w:pos="51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Funded Backlog. </w:t>
      </w:r>
      <w:r>
        <w:rPr>
          <w:rFonts w:ascii="Times New Roman" w:cs="Times New Roman" w:eastAsia="Times New Roman" w:hAnsi="Times New Roman"/>
          <w:sz w:val="14"/>
          <w:szCs w:val="14"/>
          <w:color w:val="auto"/>
        </w:rPr>
        <w:t>Funded backlog represents the revenue value of orders for services under existing contracts for which funding is appropriated or otherwise authorized less revenue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previously recognized on these contracts.</w:t>
      </w:r>
    </w:p>
    <w:p>
      <w:pPr>
        <w:ind w:left="520" w:right="80" w:hanging="133"/>
        <w:spacing w:after="0" w:line="290" w:lineRule="auto"/>
        <w:tabs>
          <w:tab w:leader="none" w:pos="51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Unfunded Backlog. </w:t>
      </w:r>
      <w:r>
        <w:rPr>
          <w:rFonts w:ascii="Times New Roman" w:cs="Times New Roman" w:eastAsia="Times New Roman" w:hAnsi="Times New Roman"/>
          <w:sz w:val="14"/>
          <w:szCs w:val="14"/>
          <w:color w:val="auto"/>
        </w:rPr>
        <w:t>Unfunded backlog represents the revenue value of orders (including optional orders) for services under existing contracts for which funding has not been appropriated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otherwise authorized.</w:t>
      </w:r>
    </w:p>
    <w:p>
      <w:pPr>
        <w:spacing w:after="0" w:line="39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61" w:name="page62"/>
    <w:bookmarkEnd w:id="6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ind w:left="520" w:right="80" w:hanging="133"/>
        <w:spacing w:after="0" w:line="286" w:lineRule="auto"/>
        <w:tabs>
          <w:tab w:leader="none" w:pos="51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Priced Options. </w:t>
      </w:r>
      <w:r>
        <w:rPr>
          <w:rFonts w:ascii="Times New Roman" w:cs="Times New Roman" w:eastAsia="Times New Roman" w:hAnsi="Times New Roman"/>
          <w:sz w:val="14"/>
          <w:szCs w:val="14"/>
          <w:color w:val="auto"/>
        </w:rPr>
        <w:t>Priced contract options represent 100% of the revenue value of all future contract option periods under existing contracts that may be exercised at our clients’ option and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funding has not been appropriated or otherwise authorized.</w:t>
      </w:r>
    </w:p>
    <w:p>
      <w:pPr>
        <w:ind w:right="320" w:firstLine="350"/>
        <w:spacing w:after="0" w:line="284" w:lineRule="auto"/>
        <w:rPr>
          <w:sz w:val="20"/>
          <w:szCs w:val="20"/>
          <w:color w:val="auto"/>
        </w:rPr>
      </w:pPr>
      <w:r>
        <w:rPr>
          <w:rFonts w:ascii="Times New Roman" w:cs="Times New Roman" w:eastAsia="Times New Roman" w:hAnsi="Times New Roman"/>
          <w:sz w:val="14"/>
          <w:szCs w:val="14"/>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the value of our contract backlog as of the respective periods shown:</w:t>
      </w:r>
    </w:p>
    <w:p>
      <w:pPr>
        <w:spacing w:after="0" w:line="7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1"/>
          <w:szCs w:val="11"/>
          <w:b w:val="1"/>
          <w:bCs w:val="1"/>
          <w:color w:val="auto"/>
        </w:rPr>
        <w:t>Fiscal Year Ended</w:t>
      </w:r>
    </w:p>
    <w:p>
      <w:pPr>
        <w:ind w:left="832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8" w:lineRule="exact"/>
        <w:rPr>
          <w:sz w:val="20"/>
          <w:szCs w:val="20"/>
          <w:color w:val="auto"/>
        </w:rPr>
      </w:pPr>
    </w:p>
    <w:tbl>
      <w:tblPr>
        <w:tblLayout w:type="fixed"/>
        <w:tblInd w:w="140" w:type="dxa"/>
        <w:tblCellMar>
          <w:top w:w="0" w:type="dxa"/>
          <w:left w:w="0" w:type="dxa"/>
          <w:bottom w:w="0" w:type="dxa"/>
          <w:right w:w="0" w:type="dxa"/>
        </w:tblCellMar>
      </w:tblPr>
      <w:tr>
        <w:trPr>
          <w:trHeight w:val="164"/>
        </w:trPr>
        <w:tc>
          <w:tcPr>
            <w:tcW w:w="60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5"/>
        </w:trPr>
        <w:tc>
          <w:tcPr>
            <w:tcW w:w="6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91"/>
        </w:trPr>
        <w:tc>
          <w:tcPr>
            <w:tcW w:w="6080" w:type="dxa"/>
            <w:vAlign w:val="bottom"/>
          </w:tcPr>
          <w:p>
            <w:pPr>
              <w:spacing w:after="0" w:line="191" w:lineRule="exact"/>
              <w:rPr>
                <w:sz w:val="20"/>
                <w:szCs w:val="20"/>
                <w:color w:val="auto"/>
              </w:rPr>
            </w:pPr>
            <w:r>
              <w:rPr>
                <w:rFonts w:ascii="Times New Roman" w:cs="Times New Roman" w:eastAsia="Times New Roman" w:hAnsi="Times New Roman"/>
                <w:sz w:val="14"/>
                <w:szCs w:val="14"/>
                <w:color w:val="auto"/>
              </w:rPr>
              <w:t xml:space="preserve">Backlog: </w:t>
            </w:r>
            <w:r>
              <w:rPr>
                <w:rFonts w:ascii="Times New Roman" w:cs="Times New Roman" w:eastAsia="Times New Roman" w:hAnsi="Times New Roman"/>
                <w:sz w:val="18"/>
                <w:szCs w:val="18"/>
                <w:color w:val="auto"/>
                <w:vertAlign w:val="superscript"/>
              </w:rPr>
              <w:t>(1)</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0"/>
        </w:trPr>
        <w:tc>
          <w:tcPr>
            <w:tcW w:w="6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Funded</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3,710</w:t>
            </w:r>
          </w:p>
        </w:tc>
      </w:tr>
      <w:tr>
        <w:trPr>
          <w:trHeight w:val="180"/>
        </w:trPr>
        <w:tc>
          <w:tcPr>
            <w:tcW w:w="6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Unfunded</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9,925</w:t>
            </w:r>
          </w:p>
        </w:tc>
      </w:tr>
      <w:tr>
        <w:trPr>
          <w:trHeight w:val="180"/>
        </w:trPr>
        <w:tc>
          <w:tcPr>
            <w:tcW w:w="6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Priced options</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15,612</w:t>
            </w:r>
          </w:p>
        </w:tc>
      </w:tr>
      <w:tr>
        <w:trPr>
          <w:trHeight w:val="171"/>
        </w:trPr>
        <w:tc>
          <w:tcPr>
            <w:tcW w:w="60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backlog</w:t>
            </w:r>
          </w:p>
        </w:tc>
        <w:tc>
          <w:tcPr>
            <w:tcW w:w="9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33,818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31,202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29,247</w:t>
            </w:r>
          </w:p>
        </w:tc>
      </w:tr>
      <w:tr>
        <w:trPr>
          <w:trHeight w:val="20"/>
        </w:trPr>
        <w:tc>
          <w:tcPr>
            <w:tcW w:w="6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700" w:hanging="122"/>
        <w:spacing w:after="0"/>
        <w:tabs>
          <w:tab w:leader="none" w:pos="713" w:val="left"/>
        </w:tabs>
        <w:numPr>
          <w:ilvl w:val="0"/>
          <w:numId w:val="5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Backlog presented as of March 31, 2023 includes $282 million of backlog for EverWatch Corp., which was acquired during fiscal 2023. Original backlog value at acquisition was $292 million.</w:t>
      </w:r>
    </w:p>
    <w:p>
      <w:pPr>
        <w:spacing w:after="0" w:line="186"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Our total backlog consists of remaining performance obligations, certain orders under contracts for which the period of performance has expired, and unexercised option period and other unexercised optional orders. As of March 31, 2024 and March 31, 2023, the Company had $8.7 billion and $7.9 billion of remaining performance obligations, respectively, and we expect to recognize approximately 70% of the remaining performance obligations as of March 31, 2024 as revenue over the next 12 months, and approximately 80% over the next 24 months. The remainder is expected to be recognized thereafter. However, given the uncertainties discussed below, as well as the risks described in “Item 1A. Risk Factors,”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21" w:lineRule="exact"/>
        <w:rPr>
          <w:sz w:val="20"/>
          <w:szCs w:val="20"/>
          <w:color w:val="auto"/>
        </w:rPr>
      </w:pPr>
    </w:p>
    <w:p>
      <w:pPr>
        <w:ind w:right="60" w:firstLine="350"/>
        <w:spacing w:after="0" w:line="259" w:lineRule="auto"/>
        <w:rPr>
          <w:sz w:val="20"/>
          <w:szCs w:val="20"/>
          <w:color w:val="auto"/>
        </w:rPr>
      </w:pPr>
      <w:r>
        <w:rPr>
          <w:rFonts w:ascii="Times New Roman" w:cs="Times New Roman" w:eastAsia="Times New Roman" w:hAnsi="Times New Roman"/>
          <w:sz w:val="14"/>
          <w:szCs w:val="14"/>
          <w:color w:val="auto"/>
        </w:rPr>
        <w:t>We view growth in total backlog and client staff headcount as the two key measures of our potential business growth. Growing and deploying client staff is the primary means by which we are able to achieve profitable revenue growth. To the extent that we are able to hire additional client staff and deploy them against funded backlog, we generally recognize increased revenue. Total backlog increased by 8.4% from March 31, 2023 to March 31, 2024 and increased by 6.7% from March 31, 2022 to March 31, 2023. Additions to funded backlog during fiscal 2024 and 2023 totaled $10.9 billion and $10.2 billion respectively,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19" w:lineRule="exact"/>
        <w:rPr>
          <w:sz w:val="20"/>
          <w:szCs w:val="20"/>
          <w:color w:val="auto"/>
        </w:rPr>
      </w:pPr>
    </w:p>
    <w:p>
      <w:pPr>
        <w:ind w:right="20" w:firstLine="350"/>
        <w:spacing w:after="0" w:line="257" w:lineRule="auto"/>
        <w:rPr>
          <w:sz w:val="20"/>
          <w:szCs w:val="20"/>
          <w:color w:val="auto"/>
        </w:rPr>
      </w:pPr>
      <w:r>
        <w:rPr>
          <w:rFonts w:ascii="Times New Roman" w:cs="Times New Roman" w:eastAsia="Times New Roman" w:hAnsi="Times New Roman"/>
          <w:sz w:val="14"/>
          <w:szCs w:val="14"/>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client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00" w:lineRule="exact"/>
        <w:rPr>
          <w:sz w:val="20"/>
          <w:szCs w:val="20"/>
          <w:color w:val="auto"/>
        </w:rPr>
      </w:pPr>
    </w:p>
    <w:p>
      <w:pPr>
        <w:spacing w:after="0" w:line="22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62" w:name="page63"/>
    <w:bookmarkEnd w:id="6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4.8% of total backlog as of March 31, 2024 or for any of the three preceding fiscal quarters.</w:t>
      </w:r>
    </w:p>
    <w:p>
      <w:pPr>
        <w:spacing w:after="0" w:line="13" w:lineRule="exact"/>
        <w:rPr>
          <w:sz w:val="20"/>
          <w:szCs w:val="20"/>
          <w:color w:val="auto"/>
        </w:rPr>
      </w:pPr>
    </w:p>
    <w:p>
      <w:pPr>
        <w:ind w:right="60" w:firstLine="350"/>
        <w:spacing w:after="0" w:line="287" w:lineRule="auto"/>
        <w:rPr>
          <w:sz w:val="20"/>
          <w:szCs w:val="20"/>
          <w:color w:val="auto"/>
        </w:rPr>
      </w:pPr>
      <w:r>
        <w:rPr>
          <w:rFonts w:ascii="Times New Roman" w:cs="Times New Roman" w:eastAsia="Times New Roman" w:hAnsi="Times New Roman"/>
          <w:sz w:val="14"/>
          <w:szCs w:val="14"/>
          <w:color w:val="auto"/>
        </w:rPr>
        <w:t>We expect to recognize revenue from a substantial portion of funded backlog as of March 31, 2024 within the next twelve months. However, given the uncertainties discussed above, as well as the risks described in “Item 1A. Risk Factors,” we can give no assurance that we will be able to convert our backlog into revenue in any particular period, if at all.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Costs and Expenses</w:t>
      </w:r>
    </w:p>
    <w:p>
      <w:pPr>
        <w:spacing w:after="0" w:line="53" w:lineRule="exact"/>
        <w:rPr>
          <w:sz w:val="20"/>
          <w:szCs w:val="20"/>
          <w:color w:val="auto"/>
        </w:rPr>
      </w:pPr>
    </w:p>
    <w:p>
      <w:pPr>
        <w:jc w:val="both"/>
        <w:ind w:right="140" w:firstLine="350"/>
        <w:spacing w:after="0" w:line="270" w:lineRule="auto"/>
        <w:rPr>
          <w:sz w:val="20"/>
          <w:szCs w:val="20"/>
          <w:color w:val="auto"/>
        </w:rPr>
      </w:pPr>
      <w:r>
        <w:rPr>
          <w:rFonts w:ascii="Times New Roman" w:cs="Times New Roman" w:eastAsia="Times New Roman" w:hAnsi="Times New Roman"/>
          <w:sz w:val="14"/>
          <w:szCs w:val="14"/>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most significant operating costs and expenses are described below.</w:t>
      </w:r>
    </w:p>
    <w:p>
      <w:pPr>
        <w:spacing w:after="0" w:line="49" w:lineRule="exact"/>
        <w:rPr>
          <w:sz w:val="20"/>
          <w:szCs w:val="20"/>
          <w:color w:val="auto"/>
        </w:rPr>
      </w:pPr>
    </w:p>
    <w:p>
      <w:pPr>
        <w:ind w:left="520" w:right="440" w:hanging="133"/>
        <w:spacing w:after="0" w:line="284" w:lineRule="auto"/>
        <w:tabs>
          <w:tab w:leader="none" w:pos="51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Cost of Revenue</w:t>
      </w:r>
      <w:r>
        <w:rPr>
          <w:rFonts w:ascii="Times New Roman" w:cs="Times New Roman" w:eastAsia="Times New Roman" w:hAnsi="Times New Roman"/>
          <w:sz w:val="14"/>
          <w:szCs w:val="14"/>
          <w:color w:val="auto"/>
        </w:rPr>
        <w:t>. Cost of revenue includes direct labor, related employee benefits, and overhead. Overhead consists of indirect costs, including indirect labor relating to infrastructure,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 and administration, and other expenses.</w:t>
      </w:r>
    </w:p>
    <w:p>
      <w:pPr>
        <w:ind w:left="520" w:hanging="133"/>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Billable Expenses. </w:t>
      </w:r>
      <w:r>
        <w:rPr>
          <w:rFonts w:ascii="Times New Roman" w:cs="Times New Roman" w:eastAsia="Times New Roman" w:hAnsi="Times New Roman"/>
          <w:sz w:val="14"/>
          <w:szCs w:val="14"/>
          <w:color w:val="auto"/>
        </w:rPr>
        <w:t>Billable expenses include direct subcontractor expenses, travel expenses, and other expenses incurred to perform on contracts.</w:t>
      </w:r>
    </w:p>
    <w:p>
      <w:pPr>
        <w:spacing w:after="0" w:line="51" w:lineRule="exact"/>
        <w:rPr>
          <w:rFonts w:ascii="Times New Roman" w:cs="Times New Roman" w:eastAsia="Times New Roman" w:hAnsi="Times New Roman"/>
          <w:sz w:val="14"/>
          <w:szCs w:val="14"/>
          <w:color w:val="auto"/>
        </w:rPr>
      </w:pPr>
    </w:p>
    <w:p>
      <w:pPr>
        <w:ind w:left="520" w:right="180" w:hanging="133"/>
        <w:spacing w:after="0" w:line="284" w:lineRule="auto"/>
        <w:tabs>
          <w:tab w:leader="none" w:pos="51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General and Administrative Expenses. </w:t>
      </w:r>
      <w:r>
        <w:rPr>
          <w:rFonts w:ascii="Times New Roman" w:cs="Times New Roman" w:eastAsia="Times New Roman" w:hAnsi="Times New Roman"/>
          <w:sz w:val="14"/>
          <w:szCs w:val="14"/>
          <w:color w:val="auto"/>
        </w:rPr>
        <w:t>General and administrative expenses include indirect labor of executive management and corporate administrative functions, marketing and bid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proposal costs, and other discretionary spending.</w:t>
      </w:r>
    </w:p>
    <w:p>
      <w:pPr>
        <w:ind w:left="520" w:right="380" w:hanging="133"/>
        <w:spacing w:after="0" w:line="290" w:lineRule="auto"/>
        <w:tabs>
          <w:tab w:leader="none" w:pos="51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Depreciation and Amortization. </w:t>
      </w:r>
      <w:r>
        <w:rPr>
          <w:rFonts w:ascii="Times New Roman" w:cs="Times New Roman" w:eastAsia="Times New Roman" w:hAnsi="Times New Roman"/>
          <w:sz w:val="14"/>
          <w:szCs w:val="14"/>
          <w:color w:val="auto"/>
        </w:rPr>
        <w:t>Depreciation and amortization includes the depreciation of computers, leasehold improvements, furniture and other equipment, and the amortization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internally developed software, as well as third-party software that we use internally, and of identifiable long-lived intangible assets over their estimated useful lives.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Seasonality</w:t>
      </w:r>
    </w:p>
    <w:p>
      <w:pPr>
        <w:spacing w:after="0" w:line="53"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16" w:lineRule="exact"/>
        <w:rPr>
          <w:sz w:val="20"/>
          <w:szCs w:val="20"/>
          <w:color w:val="auto"/>
        </w:rPr>
      </w:pPr>
    </w:p>
    <w:p>
      <w:pPr>
        <w:ind w:right="1820" w:firstLine="318"/>
        <w:spacing w:after="0" w:line="347" w:lineRule="auto"/>
        <w:rPr>
          <w:sz w:val="20"/>
          <w:szCs w:val="20"/>
          <w:color w:val="auto"/>
        </w:rPr>
      </w:pPr>
      <w:r>
        <w:rPr>
          <w:rFonts w:ascii="Times New Roman" w:cs="Times New Roman" w:eastAsia="Times New Roman" w:hAnsi="Times New Roman"/>
          <w:sz w:val="14"/>
          <w:szCs w:val="14"/>
          <w:color w:val="auto"/>
        </w:rPr>
        <w:t xml:space="preserve">Seasonality is just one of a number of factors, many of which are outside of our control, which may affect our results in any period. See “Item 1A. Risk Factors.” </w:t>
      </w:r>
      <w:r>
        <w:rPr>
          <w:rFonts w:ascii="Times New Roman" w:cs="Times New Roman" w:eastAsia="Times New Roman" w:hAnsi="Times New Roman"/>
          <w:sz w:val="14"/>
          <w:szCs w:val="14"/>
          <w:b w:val="1"/>
          <w:bCs w:val="1"/>
          <w:i w:val="1"/>
          <w:iCs w:val="1"/>
          <w:color w:val="auto"/>
        </w:rPr>
        <w:t>Government Audit Impact on Operating Income</w:t>
      </w:r>
    </w:p>
    <w:p>
      <w:pPr>
        <w:spacing w:after="0" w:line="1"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As noted in the section on regulation in Item 1, “Business,” of this Annual Report on Form 10-K, in the ordinary course of business, agencies of the U.S. government for which the Company is engaged as a prime contractor or a subcontractor, including the Defense Contract Audit Agency, audit the Company’s claimed indirect costs and conduct inquiries and investigations of our business practices with respect to government contracts. Such audits may result in, and have historically resulted in, the Company’s inability to retain certain claimed indirect costs, including executive and employee compensation, due to differing views of the allowability and reasonableness of such costs.</w:t>
      </w:r>
    </w:p>
    <w:p>
      <w:pPr>
        <w:spacing w:after="0" w:line="13" w:lineRule="exact"/>
        <w:rPr>
          <w:sz w:val="20"/>
          <w:szCs w:val="20"/>
          <w:color w:val="auto"/>
        </w:rPr>
      </w:pPr>
    </w:p>
    <w:p>
      <w:pPr>
        <w:ind w:right="80" w:firstLine="350"/>
        <w:spacing w:after="0" w:line="259" w:lineRule="auto"/>
        <w:rPr>
          <w:sz w:val="20"/>
          <w:szCs w:val="20"/>
          <w:color w:val="auto"/>
        </w:rPr>
      </w:pPr>
      <w:r>
        <w:rPr>
          <w:rFonts w:ascii="Times New Roman" w:cs="Times New Roman" w:eastAsia="Times New Roman" w:hAnsi="Times New Roman"/>
          <w:sz w:val="14"/>
          <w:szCs w:val="14"/>
          <w:color w:val="auto"/>
        </w:rPr>
        <w:t>Due to the previously disclosed investigation of the Company by the DOJ, years subsequent to the Company’s fiscal year 2011 remain subject to audit and/or final resolution. As discussed in Note 20, “Commitments and Contingencies,” to the consolidated financial statements within this Annual Report on Form 10-K, the Company recognized a reserve for estimated adjustments to historical claimed indirect costs in respect of the years subsequent to fiscal 2011, based primarily on historical audit results for periods prior to 2011. Following the settlement and closure of the civil and criminal investigation, respectively, of the Company by the DOJ, as discussed in Note 20, “Commitments and Contingencies,” to the consolidated financial statements contained within this Annual Report on Form 10-K, audits for years subsequent to fiscal 2011 have resumed. As audits of the periods subsequent to 2011 are completed, our estimates of adjustment to claimed indirect costs for these periods could change. Any such change could materially impact our reported revenue, operating income, net income and basic and diluted earnings per common share.</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63" w:name="page64"/>
    <w:bookmarkEnd w:id="6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 and Policies</w:t>
      </w:r>
    </w:p>
    <w:p>
      <w:pPr>
        <w:spacing w:after="0" w:line="53" w:lineRule="exact"/>
        <w:rPr>
          <w:sz w:val="20"/>
          <w:szCs w:val="20"/>
          <w:color w:val="auto"/>
        </w:rPr>
      </w:pPr>
    </w:p>
    <w:p>
      <w:pPr>
        <w:ind w:right="60" w:firstLine="350"/>
        <w:spacing w:after="0" w:line="261" w:lineRule="auto"/>
        <w:rPr>
          <w:sz w:val="20"/>
          <w:szCs w:val="20"/>
          <w:color w:val="auto"/>
        </w:rPr>
      </w:pPr>
      <w:r>
        <w:rPr>
          <w:rFonts w:ascii="Times New Roman" w:cs="Times New Roman" w:eastAsia="Times New Roman" w:hAnsi="Times New Roman"/>
          <w:sz w:val="14"/>
          <w:szCs w:val="14"/>
          <w:color w:val="auto"/>
        </w:rPr>
        <w:t>Our discussion and analysis of our financial condition and results of operations are based on our consolidated financial statements, which have been prepared in accordance with GAAP. The preparation of these consolidated financial statements in accordance with GAAP requires management to make estimates and assumptions that affect the reported amounts of assets and liabilities and the disclosure of contingencies at the date of the consolidated financial statements as well as the reported amounts of revenue and expenses during the reporting period. Management evaluates these estimates and assumptions on an ongoing basis. Our estimates and assumptions have been prepared on the basis of the most current reasonably available information. Actual results may differ from these estimates under different assumptions or conditions.</w:t>
      </w:r>
    </w:p>
    <w:p>
      <w:pPr>
        <w:spacing w:after="0" w:line="16"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Our significant accounting policies, including the critical policies and practices listed below, are more fully described and discussed in the notes to the consolidated financial statements. We consider the following accounting policies to be critical to an understanding of our financial condition and results of operations because these policies require the most difficult, subjective or complex judgments on the part of our management in their application, often as a result of the need to make estimates about the effect of matters that are inherently uncertain.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 and Cost Estimation</w:t>
      </w:r>
    </w:p>
    <w:p>
      <w:pPr>
        <w:spacing w:after="0" w:line="53" w:lineRule="exact"/>
        <w:rPr>
          <w:sz w:val="20"/>
          <w:szCs w:val="20"/>
          <w:color w:val="auto"/>
        </w:rPr>
      </w:pPr>
    </w:p>
    <w:p>
      <w:pPr>
        <w:jc w:val="both"/>
        <w:ind w:right="100" w:firstLine="350"/>
        <w:spacing w:after="0" w:line="270" w:lineRule="auto"/>
        <w:rPr>
          <w:sz w:val="20"/>
          <w:szCs w:val="20"/>
          <w:color w:val="auto"/>
        </w:rPr>
      </w:pPr>
      <w:r>
        <w:rPr>
          <w:rFonts w:ascii="Times New Roman" w:cs="Times New Roman" w:eastAsia="Times New Roman" w:hAnsi="Times New Roman"/>
          <w:sz w:val="14"/>
          <w:szCs w:val="14"/>
          <w:color w:val="auto"/>
        </w:rPr>
        <w:t>Our revenues from contracts with customers (clients) are derived from offerings that include consulting, analytics, digital solutions, engineering, and cyber services, substantially with the U.S. government and its agencies, and to a lesser extent, subcontractors. We also serve foreign governments, as well as domestic and international commercial clients. We perform under various types of contracts, which include cost-reimbursable-plus-fee contracts, time-and-materials contracts, and fixed-price contracts.</w:t>
      </w:r>
    </w:p>
    <w:p>
      <w:pPr>
        <w:spacing w:after="0" w:line="8"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We consider a contract with a customer to exist under Topic 606 when there is approval and commitment from us and the customer, the rights of the parties and payment terms are identified, the contract has commercial substance, and collectability of consideration is probable. We will also consider whether two or more contracts entered into with the same customer should be combined and accounted for as a single contract. Furthermore, in certain transactions with commercial clients and with the U.S. government, we may commence providing services prior to receiving a formal approval from the customer. In these situations, we will consider the factors noted above, the risks associated with commencing the work, and legal enforceability in determining whether a contract with the customer exists under Topic 606.</w:t>
      </w:r>
    </w:p>
    <w:p>
      <w:pPr>
        <w:spacing w:after="0" w:line="16"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Customer contracts are often modified to change the scope, price, specifications or other terms within the existing arrangement. Contract modifications are evaluated by management to determine whether the modification should be accounted for as part of the original performance obligation(s) or as a separate contract. If the modification adds distinct goods or services and increases the contract value proportionate to the stand-alone selling price of the additional goods or services, it will be accounted for as a separate contract. Generally, our contract modifications do not include goods or services which are distinct, and therefore are accounted for as part of the original performance obligation(s) with any impact on transaction price or estimated costs at completion being recorded through a cumulative catch-up adjustment to revenue.</w:t>
      </w:r>
    </w:p>
    <w:p>
      <w:pPr>
        <w:spacing w:after="0" w:line="16" w:lineRule="exact"/>
        <w:rPr>
          <w:sz w:val="20"/>
          <w:szCs w:val="20"/>
          <w:color w:val="auto"/>
        </w:rPr>
      </w:pPr>
    </w:p>
    <w:p>
      <w:pPr>
        <w:ind w:right="180" w:firstLine="350"/>
        <w:spacing w:after="0" w:line="261" w:lineRule="auto"/>
        <w:rPr>
          <w:sz w:val="20"/>
          <w:szCs w:val="20"/>
          <w:color w:val="auto"/>
        </w:rPr>
      </w:pPr>
      <w:r>
        <w:rPr>
          <w:rFonts w:ascii="Times New Roman" w:cs="Times New Roman" w:eastAsia="Times New Roman" w:hAnsi="Times New Roman"/>
          <w:sz w:val="14"/>
          <w:szCs w:val="14"/>
          <w:color w:val="auto"/>
        </w:rPr>
        <w:t>We evaluate each service deliverable contracted with the customer to determine whether it represents promises to transfer distinct goods or services. Under Topic 606, these are referred to as performance obligations. One or more service deliverables often represent a single performance obligation. This evaluation requires significant judgment and the impact of combining or separating performance obligations may change the time over which revenue from the contract is recognized. Our contracts generally provide a set of integrated or highly interrelated tasks or services and are therefore accounted for as a single performance obligation. However, in cases where we provide more than one distinct good or service within a customer contract, the contract is separated into individual performance obligations which are accounted for discretely.</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64" w:name="page65"/>
    <w:bookmarkEnd w:id="6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100" w:firstLine="350"/>
        <w:spacing w:after="0" w:line="256" w:lineRule="auto"/>
        <w:rPr>
          <w:sz w:val="20"/>
          <w:szCs w:val="20"/>
          <w:color w:val="auto"/>
        </w:rPr>
      </w:pPr>
      <w:r>
        <w:rPr>
          <w:rFonts w:ascii="Times New Roman" w:cs="Times New Roman" w:eastAsia="Times New Roman" w:hAnsi="Times New Roman"/>
          <w:sz w:val="14"/>
          <w:szCs w:val="14"/>
          <w:color w:val="auto"/>
        </w:rPr>
        <w:t>Contracts with the U.S. government are generally subject to the FAR and are priced based on estimated or actual costs of providing the goods or services. We derive a majority of our revenue from contracts awarded through a competitive bidding process. Pricing for non-U.S. government agencies and commercial customers is based on discrete negotiations with each customer. Certain of our contracts contain award fees, incentive fees or other provisions that may increase or decrease the transaction price. These variable amounts generally are awarded upon achievement of certain performance metrics, program milestones or cost targets and may be based upon customer discretion. Management estimates variable consideration as the most likely amount that we expect to achieve based on our assessment of the variable fee provisions within the contract, prior experience with similar contracts or clients, and management’s evaluation of the performance on such contracts. We may perform work under a contract that has not been fully funded if the work has been authorized by the management and the customer to proceed. We evaluate unfunded amounts as variable consideration in estimating the transaction price. We include the estimated variable consideration in our transaction price to the extent that it is probable that a significant reversal of revenue will not occur upon the ultimate settlement of the variable fee provision. In the limited number of situations where our contracts with customers contain more than one performance obligation, we allocate the transaction price of a contract between the performance obligations in the proportion to their respective stand-alone selling prices. We generally estimate the stand-alone selling price of performance obligations based on an expected cost-plus margin approach as allowed under Topic 606. Our U.S. government contracts generally contain FAR provisions that enable the customer to terminate a contract for default or for the convenience of the U.S. government.</w:t>
      </w:r>
    </w:p>
    <w:p>
      <w:pPr>
        <w:spacing w:after="0" w:line="21"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We recognize revenue for each performance obligation identified within our customer contracts when, or as, the performance obligation is satisfied by transferring the promised goods or services. Revenue may either be recognized over time or at a point in time. We generally recognize revenue over time as our contracts typically involve a continuous transfer of control to the customer. A continuous transfer of control under contracts with the U.S. government and its agencies is evidenced by clauses which require us to be paid for costs incurred plus a reasonable margin in the event that the customer unilaterally terminates the contract for convenience. For contracts where we recognize revenue over time, a contract cost-based input method is generally used to measure progress towards satisfaction of the underlying performance obligation(s). Contract costs include direct costs such as materials, labor and subcontract costs, as well as indirect costs identifiable with, or allocable to, a specific contract that are expensed as incurred. We do not incur material incremental costs to acquire or fulfill contracts. Under a contract cost-based input method, revenue is recognized based on the proportion of contract costs incurred to the total estimated costs expected to be incurred upon completion of the underlying performance obligation. We generally include both funded and unfunded portions of customer contracts in this estimation process.</w:t>
      </w:r>
    </w:p>
    <w:p>
      <w:pPr>
        <w:spacing w:after="0" w:line="21" w:lineRule="exact"/>
        <w:rPr>
          <w:sz w:val="20"/>
          <w:szCs w:val="20"/>
          <w:color w:val="auto"/>
        </w:rPr>
      </w:pPr>
    </w:p>
    <w:p>
      <w:pPr>
        <w:ind w:right="100" w:firstLine="350"/>
        <w:spacing w:after="0" w:line="261" w:lineRule="auto"/>
        <w:rPr>
          <w:sz w:val="20"/>
          <w:szCs w:val="20"/>
          <w:color w:val="auto"/>
        </w:rPr>
      </w:pPr>
      <w:r>
        <w:rPr>
          <w:rFonts w:ascii="Times New Roman" w:cs="Times New Roman" w:eastAsia="Times New Roman" w:hAnsi="Times New Roman"/>
          <w:sz w:val="14"/>
          <w:szCs w:val="14"/>
          <w:color w:val="auto"/>
        </w:rPr>
        <w:t>For interim financial reporting periods, contract revenue attributable to indirect costs is recognized based upon agreed-upon annual forward-pricing rates established with the U.S. government at the start of each fiscal year. Forward pricing rates are estimated and agreed upon between us and the U.S. government and represent indirect contract costs required to execute and administer contract obligations. The impact of any agreed-upon changes, or changes in the estimated annual forward-pricing rates, are recorded in the interim financial reporting period when such changes are identified. These changes relate to the interim financial reporting period differences between the actual indirect costs incurred and allocated to customer contracts compared to the estimated amounts allocated to contracts using the estimated annual forward-pricing rates established with the U.S. government.</w:t>
      </w:r>
    </w:p>
    <w:p>
      <w:pPr>
        <w:spacing w:after="0" w:line="16" w:lineRule="exact"/>
        <w:rPr>
          <w:sz w:val="20"/>
          <w:szCs w:val="20"/>
          <w:color w:val="auto"/>
        </w:rPr>
      </w:pPr>
    </w:p>
    <w:p>
      <w:pPr>
        <w:ind w:right="20" w:firstLine="350"/>
        <w:spacing w:after="0" w:line="259" w:lineRule="auto"/>
        <w:rPr>
          <w:sz w:val="20"/>
          <w:szCs w:val="20"/>
          <w:color w:val="auto"/>
        </w:rPr>
      </w:pPr>
      <w:r>
        <w:rPr>
          <w:rFonts w:ascii="Times New Roman" w:cs="Times New Roman" w:eastAsia="Times New Roman" w:hAnsi="Times New Roman"/>
          <w:sz w:val="14"/>
          <w:szCs w:val="14"/>
          <w:color w:val="auto"/>
        </w:rPr>
        <w:t>On certain contracts, principally time-and-materials and cost-reimbursable-plus-fee contracts, revenue is recognized using the right-to-invoice practical expedient as we are contractually able to invoice the customer based on the control transferred. However, we did not elect to use the practical expedient which would allow us to exclude contracts recognized using the right-to-invoice practical expedient from the remaining performance obligations disclosed below. Additionally, for stand-ready performance obligations to provide services under fixed-price contracts, revenue is recognized over time using a straight-line measure of progress as the control of the services is provided to the customer ratably over the term of the contract. If a contract does not meet the criteria for recognition of revenue over time, we recognize revenue at the point in time when control of the good or service is transferred to the customer. Determining a measure of progress towards the satisfaction of performance obligations requires management to make judgments that may affect the timing of revenue recognition.</w:t>
      </w:r>
    </w:p>
    <w:p>
      <w:pPr>
        <w:spacing w:after="0" w:line="19" w:lineRule="exact"/>
        <w:rPr>
          <w:sz w:val="20"/>
          <w:szCs w:val="20"/>
          <w:color w:val="auto"/>
        </w:rPr>
      </w:pPr>
    </w:p>
    <w:p>
      <w:pPr>
        <w:ind w:right="40" w:firstLine="350"/>
        <w:spacing w:after="0" w:line="258" w:lineRule="auto"/>
        <w:rPr>
          <w:sz w:val="20"/>
          <w:szCs w:val="20"/>
          <w:color w:val="auto"/>
        </w:rPr>
      </w:pPr>
      <w:r>
        <w:rPr>
          <w:rFonts w:ascii="Times New Roman" w:cs="Times New Roman" w:eastAsia="Times New Roman" w:hAnsi="Times New Roman"/>
          <w:sz w:val="14"/>
          <w:szCs w:val="14"/>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our contracts. Changes in estimates related to contracts accounted for under the EAC process are recognized in the period when such changes are made on a cumulative catch-up basis. If the estimate of contract profitability indicates an anticipated loss on a contract, we recognize the total loss at the time it is identified. For fiscal 2024, 2023, and 2022, the aggregate impact of adjustments in contract estimates was not material.</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65" w:name="page66"/>
    <w:bookmarkEnd w:id="6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500" w:firstLine="350"/>
        <w:spacing w:after="0" w:line="287" w:lineRule="auto"/>
        <w:rPr>
          <w:sz w:val="20"/>
          <w:szCs w:val="20"/>
          <w:color w:val="auto"/>
        </w:rPr>
      </w:pPr>
      <w:r>
        <w:rPr>
          <w:rFonts w:ascii="Times New Roman" w:cs="Times New Roman" w:eastAsia="Times New Roman" w:hAnsi="Times New Roman"/>
          <w:sz w:val="14"/>
          <w:szCs w:val="14"/>
          <w:color w:val="auto"/>
        </w:rPr>
        <w:t>Remaining performance obligations represent the transaction price of exercised contracts for which work has not yet been performed, regardless of whether funding has or has not been authorized and appropriated as of the date of exercise. Remaining performance obligations do not include negotiated but unexercised options or the unfunded value of expired contracts.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53" w:lineRule="exact"/>
        <w:rPr>
          <w:sz w:val="20"/>
          <w:szCs w:val="20"/>
          <w:color w:val="auto"/>
        </w:rPr>
      </w:pPr>
    </w:p>
    <w:p>
      <w:pPr>
        <w:ind w:right="120" w:firstLine="350"/>
        <w:spacing w:after="0" w:line="264" w:lineRule="auto"/>
        <w:rPr>
          <w:sz w:val="20"/>
          <w:szCs w:val="20"/>
          <w:color w:val="auto"/>
        </w:rPr>
      </w:pPr>
      <w:r>
        <w:rPr>
          <w:rFonts w:ascii="Times New Roman" w:cs="Times New Roman" w:eastAsia="Times New Roman" w:hAnsi="Times New Roman"/>
          <w:sz w:val="14"/>
          <w:szCs w:val="14"/>
          <w:color w:val="auto"/>
        </w:rPr>
        <w:t>The accounting for the Company's business combinations consists of allocating the purchase price to tangible and intangible assets acquired and liabilities assumed based on their fair values, with the excess recorded as goodwill. Certain fair value measurements include inputs that are unobservable, requiring management to make judgments and estimates that can be affected by contract performance and other factors that may cause final amounts to differ materially from original estimates. We have up to one year from the acquisition date to use additional information obtained to adjust the fair value of the acquired assets and liabilities which may result in changes to the recorded values with an offsetting adjustment to goodwill.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 Impairment</w:t>
      </w:r>
    </w:p>
    <w:p>
      <w:pPr>
        <w:spacing w:after="0" w:line="53"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We test goodwill and the Company’s trade name for impairment at least annually as of January 1 of each year and more frequently if interim indicators of impairment exist. We perform our impairment testing of goodwill at the reporting unit level. As our business is highly integrated and all of our components have similar economic characteristics, we conclude that we have one reporting unit at the consolidated entity level, which is the same as our single operating segment. We test goodwill for impairment using the quantitative test (primarily based on market capitalization). We test the trade name for impairment using the relief from royalty method that requires management to make a significant number of judgments and estimates in the valuation. We do not consider goodwill, trade name, or any other amortizable intangible assets at risk of impairment. A 10% change in our enterprise value would not result in a goodwill or trade name impairment.</w:t>
      </w:r>
    </w:p>
    <w:p>
      <w:pPr>
        <w:spacing w:after="0" w:line="16" w:lineRule="exact"/>
        <w:rPr>
          <w:sz w:val="20"/>
          <w:szCs w:val="20"/>
          <w:color w:val="auto"/>
        </w:rPr>
      </w:pPr>
    </w:p>
    <w:p>
      <w:pPr>
        <w:ind w:right="160" w:firstLine="350"/>
        <w:spacing w:after="0" w:line="264" w:lineRule="auto"/>
        <w:rPr>
          <w:sz w:val="20"/>
          <w:szCs w:val="20"/>
          <w:color w:val="auto"/>
        </w:rPr>
      </w:pPr>
      <w:r>
        <w:rPr>
          <w:rFonts w:ascii="Times New Roman" w:cs="Times New Roman" w:eastAsia="Times New Roman" w:hAnsi="Times New Roman"/>
          <w:sz w:val="14"/>
          <w:szCs w:val="14"/>
          <w:color w:val="auto"/>
        </w:rPr>
        <w:t>Amortizable intangible assets are tested for impairment when an event occurs or circumstances change indicating that the carrying amount of the asset may not be recoverable. A significant amount of management judgment is required to determine if an event representing an impairment indicator has occurred during the year for programs and contract assets, channel relationships, and other amortizable intangible assets, including but not limited to: a decline in forecasted cash flows; a sustained, material decline in the stock price and market capitalization; a significant adverse change in the business climate or economy; or unanticipated competition. An adverse change in any of these factors could have a significant impact on the recoverability of other intangible assets.</w:t>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During the fiscal years ended March 31, 2024, 2023, and 2022, the Company did not record any impairment of goodwill or intangible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for Income Taxes</w:t>
      </w:r>
    </w:p>
    <w:p>
      <w:pPr>
        <w:spacing w:after="0" w:line="5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Provisions for federal, state, and foreign income taxes are calculated from the income reported on our consolidated financial statements based on current tax law and also include the cumulative effect of any changes in tax rates from those previously used in determining deferred tax assets and liabilities. Such provisions differ from the amounts currently receivable or payable because certain items of income and expense are recognized in different time periods for purposes of preparing consolidated financial statements than for income tax purposes.</w:t>
      </w:r>
    </w:p>
    <w:p>
      <w:pPr>
        <w:spacing w:after="0" w:line="8" w:lineRule="exact"/>
        <w:rPr>
          <w:sz w:val="20"/>
          <w:szCs w:val="20"/>
          <w:color w:val="auto"/>
        </w:rPr>
      </w:pPr>
    </w:p>
    <w:p>
      <w:pPr>
        <w:ind w:right="80" w:firstLine="350"/>
        <w:spacing w:after="0" w:line="261" w:lineRule="auto"/>
        <w:rPr>
          <w:sz w:val="20"/>
          <w:szCs w:val="20"/>
          <w:color w:val="auto"/>
        </w:rPr>
      </w:pPr>
      <w:r>
        <w:rPr>
          <w:rFonts w:ascii="Times New Roman" w:cs="Times New Roman" w:eastAsia="Times New Roman" w:hAnsi="Times New Roman"/>
          <w:sz w:val="14"/>
          <w:szCs w:val="14"/>
          <w:color w:val="auto"/>
        </w:rPr>
        <w:t>Significant judgment is required in determining income tax provisions and evaluating tax positions. We establish reserves for uncertain tax positions when, despite the belief that our tax positions are supportable, there remains uncertainty in a tax position taken in our previously filed income tax returns. For tax positions where it is more likely than not that a tax benefit will be sustained, we record the largest amount of tax benefit with a greater than 50% likelihood of being realized upon settlement with a taxing authority that has full knowledge of all relevant information. To the extent we prevail in matters for which accruals have been established or are required to pay amounts in excess of reserves, our effective tax rate in a given consolidated financial statement period may be materially impacted.</w:t>
      </w:r>
    </w:p>
    <w:p>
      <w:pPr>
        <w:spacing w:after="0" w:line="16"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carrying value of our net deferred tax assets assumes that we will be able to generate sufficient future taxable income in certain tax jurisdictions to realize the value of these assets. If we are unable to generate sufficient future taxable income in these jurisdictions, a valuation allowance is recorded when it is more likely than not that the value of the deferred tax assets is not realizable.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53" w:lineRule="exact"/>
        <w:rPr>
          <w:sz w:val="20"/>
          <w:szCs w:val="20"/>
          <w:color w:val="auto"/>
        </w:rPr>
      </w:pPr>
    </w:p>
    <w:p>
      <w:pPr>
        <w:ind w:right="60" w:firstLine="350"/>
        <w:spacing w:after="0" w:line="287" w:lineRule="auto"/>
        <w:rPr>
          <w:sz w:val="20"/>
          <w:szCs w:val="20"/>
          <w:color w:val="auto"/>
        </w:rPr>
      </w:pPr>
      <w:r>
        <w:rPr>
          <w:rFonts w:ascii="Times New Roman" w:cs="Times New Roman" w:eastAsia="Times New Roman" w:hAnsi="Times New Roman"/>
          <w:sz w:val="14"/>
          <w:szCs w:val="14"/>
          <w:color w:val="auto"/>
        </w:rPr>
        <w:t>See Note 2, “Summary of Significant Accounting Policies,” to our accompanying audited consolidated financial statements for information related to our adoption of new accounting standards and for information on our anticipated adoption of recently issued accounting standards.</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66" w:name="page67"/>
    <w:bookmarkEnd w:id="66"/>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Reporting</w:t>
      </w:r>
    </w:p>
    <w:p>
      <w:pPr>
        <w:spacing w:after="0" w:line="53" w:lineRule="exact"/>
        <w:rPr>
          <w:sz w:val="20"/>
          <w:szCs w:val="20"/>
          <w:color w:val="auto"/>
        </w:rPr>
      </w:pPr>
    </w:p>
    <w:p>
      <w:pPr>
        <w:ind w:right="400" w:firstLine="350"/>
        <w:spacing w:after="0" w:line="264" w:lineRule="auto"/>
        <w:rPr>
          <w:sz w:val="20"/>
          <w:szCs w:val="20"/>
          <w:color w:val="auto"/>
        </w:rPr>
      </w:pPr>
      <w:r>
        <w:rPr>
          <w:rFonts w:ascii="Times New Roman" w:cs="Times New Roman" w:eastAsia="Times New Roman" w:hAnsi="Times New Roman"/>
          <w:sz w:val="14"/>
          <w:szCs w:val="14"/>
          <w:color w:val="auto"/>
        </w:rPr>
        <w:t>We report operating results and financial data in one operating and reportable segment. We manage our business as a single profit center in order to promote collaboration, provide comprehensive functional service offerings across our entire client base, and provide incentives to employees based on the success of the organization as a whole. Although certain information regarding served markets and functional capabilities is discussed for purposes of promoting an understanding of our complex business, we manage our business and allocate resources at the consolidated level of a single operating segment.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53" w:lineRule="exact"/>
        <w:rPr>
          <w:sz w:val="20"/>
          <w:szCs w:val="20"/>
          <w:color w:val="auto"/>
        </w:rPr>
      </w:pPr>
    </w:p>
    <w:p>
      <w:pPr>
        <w:ind w:right="100" w:firstLine="350"/>
        <w:spacing w:after="0" w:line="284"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the Company and its wholly-owned subsidiaries, and have been prepared in accordance with GAAP, and the rules and regulations of the U.S. Securities and Exchange Commission (the “SEC”). All intercompany balances and transactions have been eliminated in consolidation.</w:t>
      </w:r>
    </w:p>
    <w:p>
      <w:pPr>
        <w:spacing w:after="0" w:line="1"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8" w:lineRule="exact"/>
        <w:rPr>
          <w:sz w:val="20"/>
          <w:szCs w:val="20"/>
          <w:color w:val="auto"/>
        </w:rPr>
      </w:pPr>
    </w:p>
    <w:p>
      <w:pPr>
        <w:ind w:right="380" w:firstLine="350"/>
        <w:spacing w:after="0" w:line="284" w:lineRule="auto"/>
        <w:rPr>
          <w:sz w:val="20"/>
          <w:szCs w:val="20"/>
          <w:color w:val="auto"/>
        </w:rPr>
      </w:pPr>
      <w:r>
        <w:rPr>
          <w:rFonts w:ascii="Times New Roman" w:cs="Times New Roman" w:eastAsia="Times New Roman" w:hAnsi="Times New Roman"/>
          <w:sz w:val="14"/>
          <w:szCs w:val="14"/>
          <w:color w:val="auto"/>
        </w:rPr>
        <w:t>The Company’s fiscal year ends on March 31 and unless otherwise noted, references to fiscal year or fiscal are for fiscal years ended March 31. The accompanying consolidated financial statements present the financial position of the Company as of March 31, 2024 and 2023 and the Company’s results of operations for fiscal 2024, fiscal 2023, and fiscal 2022.</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Certain amounts reported in the Company's prior year consolidated financial statements have been reclassified to conform to the current year presentation.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items from our consolidated statements of operations for the respective periods shown:</w:t>
      </w:r>
    </w:p>
    <w:p>
      <w:pPr>
        <w:spacing w:after="0" w:line="6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80" w:type="dxa"/>
            <w:vAlign w:val="bottom"/>
            <w:gridSpan w:val="6"/>
            <w:vMerge w:val="restart"/>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2023</w:t>
            </w:r>
          </w:p>
        </w:tc>
        <w:tc>
          <w:tcPr>
            <w:tcW w:w="0" w:type="dxa"/>
            <w:vAlign w:val="bottom"/>
          </w:tcPr>
          <w:p>
            <w:pPr>
              <w:spacing w:after="0"/>
              <w:rPr>
                <w:sz w:val="1"/>
                <w:szCs w:val="1"/>
                <w:color w:val="auto"/>
              </w:rPr>
            </w:pPr>
          </w:p>
        </w:tc>
      </w:tr>
      <w:tr>
        <w:trPr>
          <w:trHeight w:val="127"/>
        </w:trPr>
        <w:tc>
          <w:tcPr>
            <w:tcW w:w="43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gridSpan w:val="6"/>
            <w:vMerge w:val="continue"/>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Versus</w:t>
            </w:r>
          </w:p>
        </w:tc>
        <w:tc>
          <w:tcPr>
            <w:tcW w:w="1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Versus</w:t>
            </w:r>
          </w:p>
        </w:tc>
        <w:tc>
          <w:tcPr>
            <w:tcW w:w="0" w:type="dxa"/>
            <w:vAlign w:val="bottom"/>
          </w:tcPr>
          <w:p>
            <w:pPr>
              <w:spacing w:after="0"/>
              <w:rPr>
                <w:sz w:val="1"/>
                <w:szCs w:val="1"/>
                <w:color w:val="auto"/>
              </w:rPr>
            </w:pPr>
          </w:p>
        </w:tc>
      </w:tr>
      <w:tr>
        <w:trPr>
          <w:trHeight w:val="181"/>
        </w:trPr>
        <w:tc>
          <w:tcPr>
            <w:tcW w:w="4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2022</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10,661,896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9,258,911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8,363,700</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0" w:type="dxa"/>
            <w:vAlign w:val="bottom"/>
          </w:tcPr>
          <w:p>
            <w:pPr>
              <w:spacing w:after="0"/>
              <w:rPr>
                <w:sz w:val="1"/>
                <w:szCs w:val="1"/>
                <w:color w:val="auto"/>
              </w:rPr>
            </w:pP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Cost of revenue</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4,921,071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4,304,810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3,899,622</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0" w:type="dxa"/>
            <w:vAlign w:val="bottom"/>
          </w:tcPr>
          <w:p>
            <w:pPr>
              <w:spacing w:after="0"/>
              <w:rPr>
                <w:sz w:val="1"/>
                <w:szCs w:val="1"/>
                <w:color w:val="auto"/>
              </w:rPr>
            </w:pPr>
          </w:p>
        </w:tc>
      </w:tr>
      <w:tr>
        <w:trPr>
          <w:trHeight w:val="180"/>
        </w:trPr>
        <w:tc>
          <w:tcPr>
            <w:tcW w:w="4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Billable expenses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3,281,776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2,808,857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2,474,163</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16.8 %</w:t>
            </w:r>
          </w:p>
        </w:tc>
        <w:tc>
          <w:tcPr>
            <w:tcW w:w="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1,281,443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1,532,912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1,158,987</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32.3 %</w:t>
            </w:r>
          </w:p>
        </w:tc>
        <w:tc>
          <w:tcPr>
            <w:tcW w:w="0" w:type="dxa"/>
            <w:vAlign w:val="bottom"/>
          </w:tcPr>
          <w:p>
            <w:pPr>
              <w:spacing w:after="0"/>
              <w:rPr>
                <w:sz w:val="1"/>
                <w:szCs w:val="1"/>
                <w:color w:val="auto"/>
              </w:rPr>
            </w:pPr>
          </w:p>
        </w:tc>
      </w:tr>
      <w:tr>
        <w:trPr>
          <w:trHeight w:val="180"/>
        </w:trPr>
        <w:tc>
          <w:tcPr>
            <w:tcW w:w="4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164,203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165,484</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145,747</w:t>
            </w:r>
          </w:p>
        </w:tc>
        <w:tc>
          <w:tcPr>
            <w:tcW w:w="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0" w:type="dxa"/>
            <w:vAlign w:val="bottom"/>
          </w:tcPr>
          <w:p>
            <w:pPr>
              <w:spacing w:after="0"/>
              <w:rPr>
                <w:sz w:val="1"/>
                <w:szCs w:val="1"/>
                <w:color w:val="auto"/>
              </w:rPr>
            </w:pPr>
          </w:p>
        </w:tc>
      </w:tr>
      <w:tr>
        <w:trPr>
          <w:trHeight w:val="171"/>
        </w:trPr>
        <w:tc>
          <w:tcPr>
            <w:tcW w:w="4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9,648,493</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8,812,063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7,678,519</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1,013,403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446,848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685,181</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126.8 %</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(119,850)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(92,352)</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44.3 %</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29.8 %</w:t>
            </w:r>
          </w:p>
        </w:tc>
        <w:tc>
          <w:tcPr>
            <w:tcW w:w="0" w:type="dxa"/>
            <w:vAlign w:val="bottom"/>
          </w:tcPr>
          <w:p>
            <w:pPr>
              <w:spacing w:after="0"/>
              <w:rPr>
                <w:sz w:val="1"/>
                <w:szCs w:val="1"/>
                <w:color w:val="auto"/>
              </w:rPr>
            </w:pPr>
          </w:p>
        </w:tc>
      </w:tr>
      <w:tr>
        <w:trPr>
          <w:trHeight w:val="18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12,818</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40,951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11,214</w:t>
            </w:r>
          </w:p>
        </w:tc>
        <w:tc>
          <w:tcPr>
            <w:tcW w:w="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853,320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367,949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604,043</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131.9 %</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18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247,614</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96,734</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137,466</w:t>
            </w:r>
          </w:p>
        </w:tc>
        <w:tc>
          <w:tcPr>
            <w:tcW w:w="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156.0 %</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7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271,215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466,577</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123.3 %</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3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5"/>
                <w:szCs w:val="15"/>
                <w:color w:val="auto"/>
              </w:rPr>
            </w:pP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NM</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271,791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2024 Compared to Fiscal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Revenue increased 15.2% to $10,661.9 million, primarily driven by strong demand for our services and solutions and an increase in headcount to meet that demand.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53"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Cost of revenue increased 14.3% to $4,921.1 million, and declined as a percentage of revenue to 46.2% from 46.5%. This increase was primarily due to an increase in salaries and salary-related benefits of $593.2 million, driven by increased headcount and annual base salary increases. Incentive and stock-based compensation also increased $10.9 million over the prior year. Other business expenses and professional fees increased $5.3 million over the prior year.</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67" w:name="page68"/>
    <w:bookmarkEnd w:id="6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Billable Expenses</w:t>
      </w:r>
    </w:p>
    <w:p>
      <w:pPr>
        <w:spacing w:after="0" w:line="53" w:lineRule="exact"/>
        <w:rPr>
          <w:sz w:val="20"/>
          <w:szCs w:val="20"/>
          <w:color w:val="auto"/>
        </w:rPr>
      </w:pPr>
    </w:p>
    <w:p>
      <w:pPr>
        <w:jc w:val="both"/>
        <w:ind w:right="340" w:firstLine="350"/>
        <w:spacing w:after="0" w:line="270" w:lineRule="auto"/>
        <w:rPr>
          <w:sz w:val="20"/>
          <w:szCs w:val="20"/>
          <w:color w:val="auto"/>
        </w:rPr>
      </w:pPr>
      <w:r>
        <w:rPr>
          <w:rFonts w:ascii="Times New Roman" w:cs="Times New Roman" w:eastAsia="Times New Roman" w:hAnsi="Times New Roman"/>
          <w:sz w:val="14"/>
          <w:szCs w:val="14"/>
          <w:color w:val="auto"/>
        </w:rPr>
        <w:t>Billable expenses increased 16.8% to $3,281.8 million, and increased as a percentage of revenue to 30.8% from 30.3%. This increase was primarily attributable to an increase in the use of subcontractors driven by client demand and timing of client needs as well as increases in expenses from contracts that require the Company to incur other direct expenses and travel on behalf of clients as compared to the prior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53"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General and administrative expenses decreased 16.4% to $1,281.4 million, and decreased as a percentage of revenue to 12.0% from 16.6%. For fiscal 2023, general and administrative expenses were impacted by a $350.0 million reserve associated with the U.S. Department of Justice’s investigation of the Company (see Note 20, “Commitments and Contingencies,” to the consolidated financial statements for further information), as compared to a $27.5 million reserve for fiscal 2024. Partially offsetting the above was an increase in salaries and salary related benefits of $39.0 million, driven by annual base salary increases, and increases in incentive and stock-based compensation of $24.5 million over the prior year.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Depreciation and Amortization</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 decreased 0.8% to $164.2 million, primarily driven by intangible amortization related to acquisitions.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53" w:lineRule="exact"/>
        <w:rPr>
          <w:sz w:val="20"/>
          <w:szCs w:val="20"/>
          <w:color w:val="auto"/>
        </w:rPr>
      </w:pPr>
    </w:p>
    <w:p>
      <w:pPr>
        <w:ind w:right="320" w:firstLine="350"/>
        <w:spacing w:after="0" w:line="283" w:lineRule="auto"/>
        <w:rPr>
          <w:sz w:val="20"/>
          <w:szCs w:val="20"/>
          <w:color w:val="auto"/>
        </w:rPr>
      </w:pPr>
      <w:r>
        <w:rPr>
          <w:rFonts w:ascii="Times New Roman" w:cs="Times New Roman" w:eastAsia="Times New Roman" w:hAnsi="Times New Roman"/>
          <w:sz w:val="14"/>
          <w:szCs w:val="14"/>
          <w:color w:val="auto"/>
        </w:rPr>
        <w:t>Interest expense increased 44.3% to $172.9 million, primarily due to an overall increase in interest rates, as well as an increase of approximately $25.6 million related to the $650.0 million Senior Notes due 2033, issued by the Company in August of fiscal 2024.</w:t>
      </w:r>
    </w:p>
    <w:p>
      <w:pPr>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Other income, net decreased to $12.8 million from $41.0 million in the prior year period primarily due to the following:</w:t>
      </w:r>
    </w:p>
    <w:p>
      <w:pPr>
        <w:spacing w:after="0" w:line="51" w:lineRule="exact"/>
        <w:rPr>
          <w:sz w:val="20"/>
          <w:szCs w:val="20"/>
          <w:color w:val="auto"/>
        </w:rPr>
      </w:pPr>
    </w:p>
    <w:p>
      <w:pPr>
        <w:ind w:left="520" w:right="20" w:hanging="133"/>
        <w:spacing w:after="0" w:line="284" w:lineRule="auto"/>
        <w:tabs>
          <w:tab w:leader="none" w:pos="5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Pre-tax gains in fiscal 2023 associated with divestiture related activity that were not present in fiscal 2024, specifically, $31.2 million associated with the divestiture of the Company's MENA business, $4.6 million associated with the divestiture of the Company's MTS business, and $8.9 million recognized from the de-consolidation of a business;</w:t>
      </w:r>
    </w:p>
    <w:p>
      <w:pPr>
        <w:ind w:left="520" w:right="200" w:hanging="133"/>
        <w:spacing w:after="0" w:line="284" w:lineRule="auto"/>
        <w:tabs>
          <w:tab w:leader="none" w:pos="5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$16.1 million in interest income primarily due to an overall increase in interest rates as well as a greater percentage of the average cash balances invested in interest bearing accounts; and</w:t>
      </w:r>
    </w:p>
    <w:p>
      <w:pPr>
        <w:ind w:left="520" w:hanging="133"/>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$5.7 million in non-recurring valuation adjustments to the Company’s cost method investments, primarily from the write-off of one of its investments.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53"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Income tax expense increased to $247.6 million from $96.7 million. The effective tax rate increased to 29.0% in fiscal 2024 from 26.3% in fiscal 2023. The increase in the effective tax rate was primarily a result of increases in state taxes related to an unfavorable ruling received from the District of Columbia Court of Appeals related to contested tax assessments from the District of Columbia Office of Tax and Revenue (“DC OTR”) and the reversal of prior period indirect effects of underlying prior period uncertain tax positions that were reversed in the current period, partially offset by a decrease in nondeductible expenses.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53" w:lineRule="exact"/>
        <w:rPr>
          <w:sz w:val="20"/>
          <w:szCs w:val="20"/>
          <w:color w:val="auto"/>
        </w:rPr>
      </w:pPr>
    </w:p>
    <w:p>
      <w:pPr>
        <w:ind w:right="200" w:firstLine="350"/>
        <w:spacing w:after="0" w:line="270" w:lineRule="auto"/>
        <w:rPr>
          <w:sz w:val="20"/>
          <w:szCs w:val="20"/>
          <w:color w:val="auto"/>
        </w:rPr>
      </w:pPr>
      <w:r>
        <w:rPr>
          <w:rFonts w:ascii="Times New Roman" w:cs="Times New Roman" w:eastAsia="Times New Roman" w:hAnsi="Times New Roman"/>
          <w:sz w:val="14"/>
          <w:szCs w:val="14"/>
          <w:color w:val="auto"/>
        </w:rPr>
        <w:t>As of March 31, 2024, our total liquidity was $1.6 billion, consisting of $554.3 million of cash and cash equivalents and $998.7 million available under the Revolving Credit Facility.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selected financial information for the respective periods shown:</w:t>
      </w:r>
    </w:p>
    <w:p>
      <w:pPr>
        <w:spacing w:after="0" w:line="34"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ind w:left="8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18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554,257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404,862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695,910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218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3,411,816</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2,812,145</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2,800,072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60" w:type="dxa"/>
            <w:vAlign w:val="bottom"/>
          </w:tcPr>
          <w:p>
            <w:pPr>
              <w:spacing w:after="0"/>
              <w:rPr>
                <w:sz w:val="6"/>
                <w:szCs w:val="6"/>
                <w:color w:val="auto"/>
              </w:rPr>
            </w:pPr>
          </w:p>
        </w:tc>
        <w:tc>
          <w:tcPr>
            <w:tcW w:w="432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18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258,838</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602,822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736,526</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18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(468,016)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(867,725)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8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(18,803)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(425,854)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(163,846)</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6"/>
                <w:szCs w:val="16"/>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increase (decrease) in cash and cash equivalents</w:t>
            </w:r>
          </w:p>
        </w:tc>
        <w:tc>
          <w:tcPr>
            <w:tcW w:w="18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149,395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(291,048)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(295,045)</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CCEEFF"/>
            </w:tcBorders>
            <w:vMerge w:val="restart"/>
          </w:tcPr>
          <w:p>
            <w:pPr>
              <w:jc w:val="right"/>
              <w:ind w:right="389"/>
              <w:spacing w:after="0"/>
              <w:rPr>
                <w:sz w:val="20"/>
                <w:szCs w:val="20"/>
                <w:color w:val="auto"/>
              </w:rPr>
            </w:pPr>
            <w:r>
              <w:rPr>
                <w:rFonts w:ascii="Times New Roman" w:cs="Times New Roman" w:eastAsia="Times New Roman" w:hAnsi="Times New Roman"/>
                <w:sz w:val="14"/>
                <w:szCs w:val="14"/>
                <w:color w:val="auto"/>
              </w:rPr>
              <w:t>65</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60" w:type="dxa"/>
            <w:vAlign w:val="bottom"/>
            <w:tcBorders>
              <w:bottom w:val="single" w:sz="8" w:color="9A9A9A"/>
            </w:tcBorders>
          </w:tcPr>
          <w:p>
            <w:pPr>
              <w:spacing w:after="0"/>
              <w:rPr>
                <w:sz w:val="7"/>
                <w:szCs w:val="7"/>
                <w:color w:val="auto"/>
              </w:rPr>
            </w:pPr>
          </w:p>
        </w:tc>
        <w:tc>
          <w:tcPr>
            <w:tcW w:w="432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68" w:name="page69"/>
    <w:bookmarkEnd w:id="6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300" w:firstLine="350"/>
        <w:spacing w:after="0" w:line="270" w:lineRule="auto"/>
        <w:rPr>
          <w:sz w:val="20"/>
          <w:szCs w:val="20"/>
          <w:color w:val="auto"/>
        </w:rPr>
      </w:pPr>
      <w:r>
        <w:rPr>
          <w:rFonts w:ascii="Times New Roman" w:cs="Times New Roman" w:eastAsia="Times New Roman" w:hAnsi="Times New Roman"/>
          <w:sz w:val="14"/>
          <w:szCs w:val="14"/>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w:t>
      </w:r>
    </w:p>
    <w:p>
      <w:pPr>
        <w:spacing w:after="0" w:line="8" w:lineRule="exact"/>
        <w:rPr>
          <w:sz w:val="20"/>
          <w:szCs w:val="20"/>
          <w:color w:val="auto"/>
        </w:rPr>
      </w:pPr>
    </w:p>
    <w:p>
      <w:pPr>
        <w:ind w:right="40" w:firstLine="350"/>
        <w:spacing w:after="0" w:line="258" w:lineRule="auto"/>
        <w:rPr>
          <w:sz w:val="20"/>
          <w:szCs w:val="20"/>
          <w:color w:val="auto"/>
        </w:rPr>
      </w:pPr>
      <w:r>
        <w:rPr>
          <w:rFonts w:ascii="Times New Roman" w:cs="Times New Roman" w:eastAsia="Times New Roman" w:hAnsi="Times New Roman"/>
          <w:sz w:val="14"/>
          <w:szCs w:val="14"/>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Senior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19" w:lineRule="exact"/>
        <w:rPr>
          <w:sz w:val="20"/>
          <w:szCs w:val="20"/>
          <w:color w:val="auto"/>
        </w:rPr>
      </w:pPr>
    </w:p>
    <w:p>
      <w:pPr>
        <w:ind w:left="520" w:hanging="133"/>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including salaries;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requirements to fund both organic and inorganic growth of our business;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which primarily relate to the purchase of computers, business systems, furniture and leasehold improvements to support our operations;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on-going maintenance around all financial management systems;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commitments and other discretionary investments;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service requirements for borrowings under our Senior Credit Facility and interest payments for the Senior Notes due 2028, Senior Notes due 2029 and Senior Notes due 2033;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taxes to be paid.</w:t>
      </w:r>
    </w:p>
    <w:p>
      <w:pPr>
        <w:spacing w:after="0" w:line="51" w:lineRule="exact"/>
        <w:rPr>
          <w:sz w:val="20"/>
          <w:szCs w:val="20"/>
          <w:color w:val="auto"/>
        </w:rPr>
      </w:pPr>
    </w:p>
    <w:p>
      <w:pPr>
        <w:ind w:right="100" w:firstLine="350"/>
        <w:spacing w:after="0" w:line="284" w:lineRule="auto"/>
        <w:rPr>
          <w:sz w:val="20"/>
          <w:szCs w:val="20"/>
          <w:color w:val="auto"/>
        </w:rPr>
      </w:pPr>
      <w:r>
        <w:rPr>
          <w:rFonts w:ascii="Times New Roman" w:cs="Times New Roman" w:eastAsia="Times New Roman" w:hAnsi="Times New Roman"/>
          <w:sz w:val="14"/>
          <w:szCs w:val="14"/>
          <w:color w:val="auto"/>
        </w:rPr>
        <w:t>Our ability to fund our operating needs depends, in part, on our ability to continue to generate positive cash flows from operations or, if necessary, raise cash in the capital markets. In addition, from time to time we evaluate conditions to opportunistically access the financing markets to secure additional debt capital resources and improve the terms of our indebtedness.</w:t>
      </w:r>
    </w:p>
    <w:p>
      <w:pPr>
        <w:spacing w:after="0" w:line="1" w:lineRule="exact"/>
        <w:rPr>
          <w:sz w:val="20"/>
          <w:szCs w:val="20"/>
          <w:color w:val="auto"/>
        </w:rPr>
      </w:pPr>
    </w:p>
    <w:p>
      <w:pPr>
        <w:jc w:val="both"/>
        <w:ind w:right="160" w:firstLine="350"/>
        <w:spacing w:after="0" w:line="270" w:lineRule="auto"/>
        <w:rPr>
          <w:sz w:val="20"/>
          <w:szCs w:val="20"/>
          <w:color w:val="auto"/>
        </w:rPr>
      </w:pPr>
      <w:r>
        <w:rPr>
          <w:rFonts w:ascii="Times New Roman" w:cs="Times New Roman" w:eastAsia="Times New Roman" w:hAnsi="Times New Roman"/>
          <w:sz w:val="14"/>
          <w:szCs w:val="14"/>
          <w:color w:val="auto"/>
        </w:rPr>
        <w:t>On October 14, 2022, the Company acquired EverWatch Corp. (“EverWatch”) for approximately $445.1 million, net of post-closing adjustments, and also incurred transaction costs as part of the acquisition. As a result of the transaction, EverWatch became a wholly owned subsidiary of Booz Allen Hamilton Inc. EverWatch is a leading provider of advanced solutions to the defense and intelligence communities. See Note 5, “Acquisition and Divestitures,” to our consolidated financial statements for additional information related to the acquisition of EverWatch.</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fiscal 2024, we borrowed $500.0 million on our Revolving Credit Facility for our working capital needs, which was subsequently repaid as of March 31, 2024.</w:t>
      </w:r>
    </w:p>
    <w:p>
      <w:pPr>
        <w:spacing w:after="0" w:line="51"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On July 21, 2023, the Company entered into a Settlement Agreement (the “Settlement Agreement”) with the United States of America, acting through the U.S. Department of Justice and on behalf of the Department of Defense and Defense Contract Management Agency (collectively the “United States”), and Relator Sarah A. Feinberg, to resolve the civil investigation related to certain elements of the Company’s cost accounting and indirect cost charging practices from April 1, 2011 through March 31, 2021. Under the terms of the Settlement Agreement, the Company agreed to pay to the United States $377.5 million, which the Company paid in the second quarter of fiscal 2024 with cash on hand and by drawing on its revolving credit facility. See Note 20, “Commitments and Contingencies,” to our consolidated financial statements for additional information related to the Settlement Agreement.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53" w:lineRule="exact"/>
        <w:rPr>
          <w:sz w:val="20"/>
          <w:szCs w:val="20"/>
          <w:color w:val="auto"/>
        </w:rPr>
      </w:pPr>
    </w:p>
    <w:p>
      <w:pPr>
        <w:ind w:right="60" w:firstLine="350"/>
        <w:spacing w:after="0" w:line="261" w:lineRule="auto"/>
        <w:rPr>
          <w:sz w:val="20"/>
          <w:szCs w:val="20"/>
          <w:color w:val="auto"/>
        </w:rPr>
      </w:pPr>
      <w:r>
        <w:rPr>
          <w:rFonts w:ascii="Times New Roman" w:cs="Times New Roman" w:eastAsia="Times New Roman" w:hAnsi="Times New Roman"/>
          <w:sz w:val="14"/>
          <w:szCs w:val="14"/>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69" w:name="page70"/>
    <w:bookmarkEnd w:id="6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Cash Flow</w:t>
      </w:r>
    </w:p>
    <w:p>
      <w:pPr>
        <w:spacing w:after="0" w:line="53"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including any potential impact of the U.S. government’s failure to raise the debt ceiling, may also affect our business as customers and suppliers may decide to downsize, defer, or cancel contracts, which could negatively affect the operating cash flows. Net cash provided by operations was $258.8 million in fiscal 2024 compared to $602.8 million in fiscal 2023, a 57.1% decrease. Fiscal 2024 operating cash was aided by strong collection performance and overall revenue growth but was impacted by the $377.5 million outflow related to the U.S. Department of Justice matter noted above.</w:t>
      </w:r>
    </w:p>
    <w:p>
      <w:pPr>
        <w:spacing w:after="0" w:line="16"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Beginning in fiscal 2023, the Tax Cuts and Jobs Act of 2017 eliminated the option to deduct research and development expenditures immediately in the year incurred and requires taxpayers to amortize such expenditures over five years for U.S. based research and development. This provision negatively impacted our fiscal 2023 cash from operations, but had an offsetting impact on the deferred tax asset. There was a similar impact to the Company in fiscal 2024, although the impact to cash and deferred taxes was smaller than in fiscal 2023. Prospectively, the future impact of this provision will depend on if and when this provision is deferred, modified, or repealed by Congress, including if retroactively, any guidance issued by the Treasury Department regarding the identification of appropriate costs for capitalization, and the amount of future research and development expenses paid or incurred (among other factors). While the largest impact was to fiscal 2023 cash from operations, the impact will continue over the five year amortization period, but will decrease over the period and is expected to be immaterial in year six.</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Cash Flow</w:t>
      </w:r>
    </w:p>
    <w:p>
      <w:pPr>
        <w:spacing w:after="0" w:line="53" w:lineRule="exact"/>
        <w:rPr>
          <w:sz w:val="20"/>
          <w:szCs w:val="20"/>
          <w:color w:val="auto"/>
        </w:rPr>
      </w:pPr>
    </w:p>
    <w:p>
      <w:pPr>
        <w:ind w:right="260" w:firstLine="350"/>
        <w:spacing w:after="0" w:line="270" w:lineRule="auto"/>
        <w:rPr>
          <w:sz w:val="20"/>
          <w:szCs w:val="20"/>
          <w:color w:val="auto"/>
        </w:rPr>
      </w:pPr>
      <w:r>
        <w:rPr>
          <w:rFonts w:ascii="Times New Roman" w:cs="Times New Roman" w:eastAsia="Times New Roman" w:hAnsi="Times New Roman"/>
          <w:sz w:val="14"/>
          <w:szCs w:val="14"/>
          <w:color w:val="auto"/>
        </w:rPr>
        <w:t>Net cash used in investing activities was $90.6 million in fiscal 2024 compared to $468.0 million in the prior year. The decrease in net cash used over the prior year was primarily due to the Company’s acquisition of Everwatch in fiscal 2023, partially offset by the divestitures of its MENA strategy consulting and MTS businesses in fiscal 2023, as well as increases in cost method investments made by the Company in the current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Cash Flow</w:t>
      </w:r>
    </w:p>
    <w:p>
      <w:pPr>
        <w:spacing w:after="0" w:line="53" w:lineRule="exact"/>
        <w:rPr>
          <w:sz w:val="20"/>
          <w:szCs w:val="20"/>
          <w:color w:val="auto"/>
        </w:rPr>
      </w:pPr>
    </w:p>
    <w:p>
      <w:pPr>
        <w:ind w:right="240" w:firstLine="350"/>
        <w:spacing w:after="0" w:line="284" w:lineRule="auto"/>
        <w:rPr>
          <w:sz w:val="20"/>
          <w:szCs w:val="20"/>
          <w:color w:val="auto"/>
        </w:rPr>
      </w:pPr>
      <w:r>
        <w:rPr>
          <w:rFonts w:ascii="Times New Roman" w:cs="Times New Roman" w:eastAsia="Times New Roman" w:hAnsi="Times New Roman"/>
          <w:sz w:val="14"/>
          <w:szCs w:val="14"/>
          <w:color w:val="auto"/>
        </w:rPr>
        <w:t>Net cash used in financing activities was $18.8 million in fiscal 2024 compared to $425.9 million in the prior year. The decrease in net cash used over the prior year was primarily due to the following:</w:t>
      </w:r>
    </w:p>
    <w:p>
      <w:pPr>
        <w:spacing w:after="0" w:line="1" w:lineRule="exact"/>
        <w:rPr>
          <w:sz w:val="20"/>
          <w:szCs w:val="20"/>
          <w:color w:val="auto"/>
        </w:rPr>
      </w:pPr>
    </w:p>
    <w:p>
      <w:pPr>
        <w:ind w:left="520" w:hanging="133"/>
        <w:spacing w:after="0"/>
        <w:tabs>
          <w:tab w:leader="none" w:pos="5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net proceeds associated with the Company’s debt refinancing transactions year over year:</w:t>
      </w:r>
    </w:p>
    <w:p>
      <w:pPr>
        <w:spacing w:after="0" w:line="51" w:lineRule="exact"/>
        <w:rPr>
          <w:rFonts w:ascii="Times New Roman" w:cs="Times New Roman" w:eastAsia="Times New Roman" w:hAnsi="Times New Roman"/>
          <w:sz w:val="14"/>
          <w:szCs w:val="14"/>
          <w:color w:val="auto"/>
        </w:rPr>
      </w:pPr>
    </w:p>
    <w:p>
      <w:pPr>
        <w:ind w:left="1020" w:hanging="124"/>
        <w:spacing w:after="0"/>
        <w:tabs>
          <w:tab w:leader="none" w:pos="102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2024 - $637.4 million was received from the issuance of the 5.95% Senior Notes due 2033</w:t>
      </w:r>
    </w:p>
    <w:p>
      <w:pPr>
        <w:spacing w:after="0" w:line="51" w:lineRule="exact"/>
        <w:rPr>
          <w:rFonts w:ascii="Times New Roman" w:cs="Times New Roman" w:eastAsia="Times New Roman" w:hAnsi="Times New Roman"/>
          <w:sz w:val="14"/>
          <w:szCs w:val="14"/>
          <w:color w:val="auto"/>
        </w:rPr>
      </w:pPr>
    </w:p>
    <w:p>
      <w:pPr>
        <w:ind w:left="1020" w:hanging="124"/>
        <w:spacing w:after="0"/>
        <w:tabs>
          <w:tab w:leader="none" w:pos="102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2023 - $414.8 million was received from the Company’s September 2022 debt refinancing, partially offset by a $379.3 million repayment</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share repurchases of $180.3 million,</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dividends paid of $17.7 million as compared to the prior year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and Share Repurchases</w:t>
      </w:r>
    </w:p>
    <w:p>
      <w:pPr>
        <w:spacing w:after="0" w:line="53" w:lineRule="exact"/>
        <w:rPr>
          <w:sz w:val="20"/>
          <w:szCs w:val="20"/>
          <w:color w:val="auto"/>
        </w:rPr>
      </w:pPr>
    </w:p>
    <w:p>
      <w:pPr>
        <w:ind w:right="200" w:firstLine="350"/>
        <w:spacing w:after="0" w:line="284" w:lineRule="auto"/>
        <w:rPr>
          <w:sz w:val="20"/>
          <w:szCs w:val="20"/>
          <w:color w:val="auto"/>
        </w:rPr>
      </w:pPr>
      <w:r>
        <w:rPr>
          <w:rFonts w:ascii="Times New Roman" w:cs="Times New Roman" w:eastAsia="Times New Roman" w:hAnsi="Times New Roman"/>
          <w:sz w:val="14"/>
          <w:szCs w:val="14"/>
          <w:color w:val="auto"/>
        </w:rPr>
        <w:t>The Company paid $1.92 in dividends per share to shareholders of record in fiscal 2024. On May 24, 2024, the Company announced a regular quarterly cash dividend in the amount of $0.51 per share. The quarterly dividend is payable on June 28, 2024 to stockholders of record on June 13, 2024.</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the cash distributions recognized in the consolidated statement of cash flows for the respective periods shown:</w:t>
      </w:r>
    </w:p>
    <w:p>
      <w:pPr>
        <w:spacing w:after="0" w:line="3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ind w:left="66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2440" w:type="dxa"/>
        <w:tblCellMar>
          <w:top w:w="0" w:type="dxa"/>
          <w:left w:w="0" w:type="dxa"/>
          <w:bottom w:w="0" w:type="dxa"/>
          <w:right w:w="0" w:type="dxa"/>
        </w:tblCellMar>
      </w:tblPr>
      <w:tr>
        <w:trPr>
          <w:trHeight w:val="182"/>
        </w:trPr>
        <w:tc>
          <w:tcPr>
            <w:tcW w:w="26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39"/>
        </w:trPr>
        <w:tc>
          <w:tcPr>
            <w:tcW w:w="2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91"/>
        </w:trPr>
        <w:tc>
          <w:tcPr>
            <w:tcW w:w="26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4"/>
                <w:szCs w:val="14"/>
                <w:color w:val="auto"/>
              </w:rPr>
              <w:t xml:space="preserve">Recurring dividends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253,413</w:t>
            </w:r>
          </w:p>
        </w:tc>
        <w:tc>
          <w:tcPr>
            <w:tcW w:w="100" w:type="dxa"/>
            <w:vAlign w:val="bottom"/>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235,726</w:t>
            </w:r>
          </w:p>
        </w:tc>
        <w:tc>
          <w:tcPr>
            <w:tcW w:w="120" w:type="dxa"/>
            <w:vAlign w:val="bottom"/>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209,057</w:t>
            </w:r>
          </w:p>
        </w:tc>
      </w:tr>
    </w:tbl>
    <w:p>
      <w:pPr>
        <w:spacing w:after="0" w:line="91" w:lineRule="exact"/>
        <w:rPr>
          <w:sz w:val="20"/>
          <w:szCs w:val="20"/>
          <w:color w:val="auto"/>
        </w:rPr>
      </w:pPr>
    </w:p>
    <w:p>
      <w:pPr>
        <w:ind w:left="5820" w:right="3080" w:hanging="5433"/>
        <w:spacing w:after="0"/>
        <w:tabs>
          <w:tab w:leader="none" w:pos="509" w:val="left"/>
        </w:tabs>
        <w:numPr>
          <w:ilvl w:val="0"/>
          <w:numId w:val="6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Amounts represent recurring dividends that were declared and paid for during each quarter of fiscal 2024, 2023, and 2022, respectively.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439420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70" w:name="page71"/>
    <w:bookmarkEnd w:id="7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On December 12, 2011, the Board approved a share repurchase program, which was most recently increased by $525.0 million to $3,085.0 million on May 22, 2024. The Company may repurchase shares pursuant to the program by means of open market repurchases, directly negotiated repurchases or through agents acting pursuant to negotiated repurchase agreements. During fiscal 2024 and 2023, the Company purchased 3.2 million and 2.1 million shares of the Company’s Class A Common Stock, respectively, for an aggregate of $372.8 million and $196.2 million, respectively. As of March 31, 2024, the Company had approximately $483.2 million remaining under the repurchase program.</w:t>
      </w:r>
    </w:p>
    <w:p>
      <w:pPr>
        <w:spacing w:after="0" w:line="13"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Any determination to pursue one or more of the above alternative uses for excess cash is subject to the discretion of our Board, and will depend upon various factors, including our results of operations, financial condition, liquidity requirements, restrictions that may be imposed by applicable law, our contracts, and our Credit Agreement, as amended, and other factors deemed relevant by our Board.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Indebtedness</w:t>
      </w:r>
    </w:p>
    <w:p>
      <w:pPr>
        <w:spacing w:after="0" w:line="53" w:lineRule="exact"/>
        <w:rPr>
          <w:sz w:val="20"/>
          <w:szCs w:val="20"/>
          <w:color w:val="auto"/>
        </w:rPr>
      </w:pPr>
    </w:p>
    <w:p>
      <w:pPr>
        <w:ind w:right="60" w:firstLine="350"/>
        <w:spacing w:after="0" w:line="270" w:lineRule="auto"/>
        <w:rPr>
          <w:sz w:val="20"/>
          <w:szCs w:val="20"/>
          <w:color w:val="auto"/>
        </w:rPr>
      </w:pPr>
      <w:r>
        <w:rPr>
          <w:rFonts w:ascii="Times New Roman" w:cs="Times New Roman" w:eastAsia="Times New Roman" w:hAnsi="Times New Roman"/>
          <w:sz w:val="14"/>
          <w:szCs w:val="14"/>
          <w:color w:val="auto"/>
        </w:rPr>
        <w:t>Our debt totaled $3.4 billion and 2.8 billion as of March 31, 2024 and 2023, respectively. The total outstanding debt balance is recorded in the accompanying consolidated balance sheets net of unamortized discount and debt issuance costs of $26.3 million and $17.2 million, respectively, as of March 31, 2024 and 2023. Our debt bears interest at specified rates (see Note 10, “Debt,” to our consolidated financial statements).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Agreement</w:t>
      </w:r>
    </w:p>
    <w:p>
      <w:pPr>
        <w:spacing w:after="0" w:line="53"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On July 27, 2023 (the “Tenth Amendment Effective Date”), Booz Allen Hamilton entered into a Tenth Amendment (the “Amendment”) to the Credit Agreement (as amended prior to the Tenth Amendment Effective Date, the “Existing Credit Agreement” and, as amended by the Amendment, the “Amended Credit Agreement”) with Bank of America, N.A., as administrative agent (in such capacity, the “Administrative Agent”), and the lenders and other financial institutions party thereto, in order to make permanent certain changes to the Existing Credit Agreement in connection with Booz Allen Hamilton obtaining investment grade ratings from both Moody's and S&amp;P and prepaying the Term Loan B loans in full and to make certain additional changes in connection therewith, including, among other things, (i) removing the requirements for the obligations under the Amended Credit Agreement to be secured, (ii) removing the requirement for any subsidiary or other affiliate of Booz Allen Hamilton (other than the Company) to provide any guarantee of the obligations under the Amended Credit Agreement, and (iii) removing or modifying certain covenants applicable to Booz Allen Hamilton. Pursuant to the Amendment, all guarantees in respect of the Existing Credit Agreement have been released. The Amendment did not impact any of the terms of the Credit Agreement related to amortization or payments.</w:t>
      </w:r>
    </w:p>
    <w:p>
      <w:pPr>
        <w:spacing w:after="0" w:line="21"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On the Tenth Amendment Effective Date in connection with the Amendment, the Company entered into a Guarantee Agreement (the “Guarantee Agreement”) in favor of the Administrative Agent, pursuant to which the Company guarantees on an unsecured basis the obligations of Booz Allen Hamilton under the Amended Credit Agreement subject to certain conditions. Pursuant to the Amended Credit Agreement Booz Allen Hamilton has the option, though not any obligation, to join one or more of its domestic subsidiaries as a guarantor under the Guarantee Agreement.</w:t>
      </w:r>
    </w:p>
    <w:p>
      <w:pPr>
        <w:spacing w:after="0" w:line="8" w:lineRule="exact"/>
        <w:rPr>
          <w:sz w:val="20"/>
          <w:szCs w:val="20"/>
          <w:color w:val="auto"/>
        </w:rPr>
      </w:pPr>
    </w:p>
    <w:p>
      <w:pPr>
        <w:jc w:val="both"/>
        <w:ind w:right="120" w:firstLine="318"/>
        <w:spacing w:after="0" w:line="264" w:lineRule="auto"/>
        <w:rPr>
          <w:sz w:val="20"/>
          <w:szCs w:val="20"/>
          <w:color w:val="auto"/>
        </w:rPr>
      </w:pPr>
      <w:r>
        <w:rPr>
          <w:rFonts w:ascii="Times New Roman" w:cs="Times New Roman" w:eastAsia="Times New Roman" w:hAnsi="Times New Roman"/>
          <w:sz w:val="14"/>
          <w:szCs w:val="14"/>
          <w:color w:val="auto"/>
        </w:rPr>
        <w:t>Term Loan A amortizes in consecutive quarterly installments in an amount equal to (i) on the last business day of each full fiscal quarter that begins after the Ninth Amendment Effective Date but on or before the two year anniversary of the Ninth Amendment Effective Date, 0.625% of the stated principal amount of Term Loan A and (ii) on the last business day of each full fiscal quarter that begins after the two year anniversary of the Ninth Amendment Effective Date but before the five year anniversary of the Ninth Amendment Effective Date, 1.25% of the stated principal amount of Term Loan A. The remaining balance of Term Loan A will be payable upon maturity.</w:t>
      </w:r>
    </w:p>
    <w:p>
      <w:pPr>
        <w:spacing w:after="0" w:line="13"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4"/>
          <w:szCs w:val="14"/>
          <w:color w:val="auto"/>
        </w:rPr>
        <w:t>The rate at which the Term Loan A and the Revolving Loans bear interest will be based either on Term Secured Overnight Financing Rate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the Term Loan A and the Revolving Loans ranges from 1.00% to 2.00% for Term SOFR loans and zero to 1.00% for base rate loans, in each case based on the lower of (i) the applicable rate per annum determined pursuant to a consolidated total net leverage ratio grid and (ii) the applicable rate per annum determined pursuant to a ratings grid. Unused New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grid.Booz Allen Hamilton also has agreed to pay customary letter of credit and agency fees.</w:t>
      </w:r>
    </w:p>
    <w:p>
      <w:pPr>
        <w:spacing w:after="0" w:line="19" w:lineRule="exact"/>
        <w:rPr>
          <w:sz w:val="20"/>
          <w:szCs w:val="20"/>
          <w:color w:val="auto"/>
        </w:rPr>
      </w:pPr>
    </w:p>
    <w:p>
      <w:pPr>
        <w:ind w:right="180" w:firstLine="318"/>
        <w:spacing w:after="0" w:line="264" w:lineRule="auto"/>
        <w:rPr>
          <w:sz w:val="20"/>
          <w:szCs w:val="20"/>
          <w:color w:val="auto"/>
        </w:rPr>
      </w:pPr>
      <w:r>
        <w:rPr>
          <w:rFonts w:ascii="Times New Roman" w:cs="Times New Roman" w:eastAsia="Times New Roman" w:hAnsi="Times New Roman"/>
          <w:sz w:val="14"/>
          <w:szCs w:val="14"/>
          <w:color w:val="auto"/>
        </w:rPr>
        <w:t>As of March 31, 2024 and 2023, Booz Allen Hamilton was contingently liable under open standby letters of credit and bank guarantees issued by its banks in favor of third parties that totaled $4.4 million and $6.1 million, respectively. These letters of credit and bank guarantees primarily support insurance and bid and performance obligations. As of both March 31, 2024 and 2023, approximately $1.3 million of these instruments reduced our available borrowings under the Revolving Credit Facility. The remainder is guaranteed under a separate $7.5 million facility of which $4.4 million and $2.7 million were available to the Company at March 31, 2024 and March 31, 2023, respectively.</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71" w:name="page72"/>
    <w:bookmarkEnd w:id="7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jc w:val="both"/>
        <w:ind w:right="40" w:firstLine="318"/>
        <w:spacing w:after="0" w:line="270" w:lineRule="auto"/>
        <w:rPr>
          <w:sz w:val="20"/>
          <w:szCs w:val="20"/>
          <w:color w:val="auto"/>
        </w:rPr>
      </w:pPr>
      <w:r>
        <w:rPr>
          <w:rFonts w:ascii="Times New Roman" w:cs="Times New Roman" w:eastAsia="Times New Roman" w:hAnsi="Times New Roman"/>
          <w:sz w:val="14"/>
          <w:szCs w:val="14"/>
          <w:color w:val="auto"/>
        </w:rPr>
        <w:t>The Company occasionally borrows under the Revolving Credit Facility for our working capital needs. During fiscal 2024, we borrowed $500.0 million on our Revolving Credit Facility for our working capital needs, which was subsequently repaid as of March 31, 2024. As of March 31, 2024 and 2023, respectively, there was no outstanding balance on the Revolving Credit Facility and we had $998.7 million of capacity available for borrowings under the Revolving Credit Facility.</w:t>
      </w:r>
    </w:p>
    <w:p>
      <w:pPr>
        <w:spacing w:after="0" w:line="8" w:lineRule="exact"/>
        <w:rPr>
          <w:sz w:val="20"/>
          <w:szCs w:val="20"/>
          <w:color w:val="auto"/>
        </w:rPr>
      </w:pPr>
    </w:p>
    <w:p>
      <w:pPr>
        <w:ind w:right="200" w:firstLine="318"/>
        <w:spacing w:after="0" w:line="264" w:lineRule="auto"/>
        <w:rPr>
          <w:sz w:val="20"/>
          <w:szCs w:val="20"/>
          <w:color w:val="auto"/>
        </w:rPr>
      </w:pPr>
      <w:r>
        <w:rPr>
          <w:rFonts w:ascii="Times New Roman" w:cs="Times New Roman" w:eastAsia="Times New Roman" w:hAnsi="Times New Roman"/>
          <w:sz w:val="14"/>
          <w:szCs w:val="14"/>
          <w:color w:val="auto"/>
        </w:rPr>
        <w:t>Borrowings under the Term Loan A, and if used, the Revolving Credit Facility, incur interest at a variable rate. As of March 31, 2024, Booz Allen Hamilton had interest rate swaps with an aggregate notional amount of $550.0 million. These instruments hedge the variability of cash outflows for interest payments on the Term Loan A and the Revolving Credit Facility. The Company's objectives in using cash flow hedges are to reduce volatility due to interest rate movements and to add stability to interest expense (see Note 11, “Derivatives,” to the consolidated financial statements).</w:t>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interest payments made on the Company’s term loans:</w:t>
      </w:r>
    </w:p>
    <w:p>
      <w:pPr>
        <w:spacing w:after="0" w:line="2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6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940" w:type="dxa"/>
            <w:vAlign w:val="bottom"/>
          </w:tcPr>
          <w:p>
            <w:pPr>
              <w:spacing w:after="0"/>
              <w:rPr>
                <w:sz w:val="13"/>
                <w:szCs w:val="13"/>
                <w:color w:val="auto"/>
              </w:rPr>
            </w:pPr>
          </w:p>
        </w:tc>
      </w:tr>
      <w:tr>
        <w:trPr>
          <w:trHeight w:val="188"/>
        </w:trPr>
        <w:tc>
          <w:tcPr>
            <w:tcW w:w="3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73"/>
        </w:trPr>
        <w:tc>
          <w:tcPr>
            <w:tcW w:w="37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A</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107,286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63,244</w:t>
            </w:r>
          </w:p>
        </w:tc>
      </w:tr>
      <w:tr>
        <w:trPr>
          <w:trHeight w:val="180"/>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Term Loan B</w:t>
            </w:r>
          </w:p>
        </w:tc>
        <w:tc>
          <w:tcPr>
            <w:tcW w:w="86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5,209</w:t>
            </w:r>
          </w:p>
        </w:tc>
      </w:tr>
      <w:tr>
        <w:trPr>
          <w:trHeight w:val="196"/>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107,286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68,453</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ind w:right="300" w:firstLine="318"/>
        <w:spacing w:after="0" w:line="260" w:lineRule="auto"/>
        <w:rPr>
          <w:sz w:val="20"/>
          <w:szCs w:val="20"/>
          <w:color w:val="auto"/>
        </w:rPr>
      </w:pPr>
      <w:r>
        <w:rPr>
          <w:rFonts w:ascii="Times New Roman" w:cs="Times New Roman" w:eastAsia="Times New Roman" w:hAnsi="Times New Roman"/>
          <w:sz w:val="14"/>
          <w:szCs w:val="14"/>
          <w:color w:val="auto"/>
        </w:rPr>
        <w:t>The Credit Agreement contains customary representations and warranties and customary affirmative and negative covenants. In connection with Booz Allen Hamilton obtaining investment grade ratings from both Moody's and S&amp;P, certain activities previously restricted by certain negative covenants are permitted subject to pro forma compliance with the financial covenants and no events of default having occurred or are continuing. The remaining negative covenants include limitations on activity related to the following, in each case subject to certain exceptions:</w:t>
      </w:r>
    </w:p>
    <w:p>
      <w:pPr>
        <w:ind w:right="20" w:firstLine="5"/>
        <w:spacing w:after="0" w:line="253" w:lineRule="auto"/>
        <w:tabs>
          <w:tab w:leader="none" w:pos="16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and liens; (ii) mergers, consolidations or amalgamations, liquidations, wind-ups or dissolutions, (iii) restricted payments; (iv) line of business; and (v) speculative hedging. The events of default include the following, in each case subject to certain exceptions: (a) failure to make required payments under the Senior Credit Facility; (b) material breaches of representations or warranties under the Senior Credit Facility; (c) failure to observe covenants or agreements under the Senior Credit Facility; (d) failure to pay or default under certain other material indebtedness;</w:t>
      </w:r>
    </w:p>
    <w:p>
      <w:pPr>
        <w:ind w:right="20" w:firstLine="5"/>
        <w:spacing w:after="0" w:line="257" w:lineRule="auto"/>
        <w:tabs>
          <w:tab w:leader="none" w:pos="19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we are required to meet certain financial covenants at each quarter end, namely Consolidated Net Total Leverage and Consolidated Net Interest Coverage Ratios. As of March 31, 2024 and 2023, Booz Allen Hamilton was in compliance with all financial covenants associated with its debt and debt-like instruments.</w:t>
      </w:r>
    </w:p>
    <w:p>
      <w:pPr>
        <w:spacing w:after="0" w:line="1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Senior Notes</w:t>
      </w:r>
    </w:p>
    <w:p>
      <w:pPr>
        <w:spacing w:after="0" w:line="5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On August 4, 2023, Booz Allen Hamilton issued $650.0 million aggregate principal amount of its 5.950% Senior Notes due August 4, 2033 (the “Senior Notes due 2033”) under an Indenture and First Supplemental Indenture, both dated as of August 4, 2023 (the “Indenture”), among Booz Allen Hamilton, Booz Allen Hamilton Holding Corporation, as parent guarantor, and U.S. Bank Trust Company, National Association, as trustee. The Senior Notes due 2033 are unsecured senior indebtedness of Booz Allen Hamilton and are fully and unconditionally guaranteed on an unsecured and unsubordinated basis by Booz Allen Hamilton Holding Corporation, and rank equally and ratably in right of payment with all of Booz Allen Hamilton’s and Booz Allen Hamilton Holding Corporation’s other unsecured and unsubordinated indebtedness outstanding from time to time, pursuant to the Indenture.</w:t>
      </w:r>
    </w:p>
    <w:p>
      <w:pPr>
        <w:spacing w:after="0" w:line="16" w:lineRule="exact"/>
        <w:rPr>
          <w:sz w:val="20"/>
          <w:szCs w:val="20"/>
          <w:color w:val="auto"/>
        </w:rPr>
      </w:pPr>
    </w:p>
    <w:p>
      <w:pPr>
        <w:ind w:right="180" w:firstLine="318"/>
        <w:spacing w:after="0" w:line="261" w:lineRule="auto"/>
        <w:rPr>
          <w:sz w:val="20"/>
          <w:szCs w:val="20"/>
          <w:color w:val="auto"/>
        </w:rPr>
      </w:pPr>
      <w:r>
        <w:rPr>
          <w:rFonts w:ascii="Times New Roman" w:cs="Times New Roman" w:eastAsia="Times New Roman" w:hAnsi="Times New Roman"/>
          <w:sz w:val="14"/>
          <w:szCs w:val="14"/>
          <w:color w:val="auto"/>
        </w:rPr>
        <w:t>On June 17, 2021, Booz Allen Hamilton issued $500.0 million aggregate principal amount of its 4.000% Senior Notes due July 1, 2029 (the “Senior Notes due 2029”) under an Indenture and First Supplement Indenture, both dated as of June 17, 2021, among Booz Allen Hamilton, certain subsidiaries of Booz Allen Hamilton, as guarantors (the “2029 Subsidiary Guarantors”), and Wilmington Trust, National Association, as trustee. The Senior Notes due 2029 are Booz Allen Hamilton’s senior unsecured obligations and rank equally in right of payment with all of Booz Allen Hamilton’s and the 2029 Subsidiary Guarantors’ existing and future senior indebtedness and rank senior in right of payment to any of Booz Allen Hamilton’s future subordinated indebtedness. The net proceeds from the sale of the Senior Notes due 2029 were used to fund the acquisition of Liberty and to pay related fees and expenses.</w:t>
      </w:r>
    </w:p>
    <w:p>
      <w:pPr>
        <w:spacing w:after="0" w:line="200" w:lineRule="exact"/>
        <w:rPr>
          <w:sz w:val="20"/>
          <w:szCs w:val="20"/>
          <w:color w:val="auto"/>
        </w:rPr>
      </w:pPr>
    </w:p>
    <w:p>
      <w:pPr>
        <w:spacing w:after="0" w:line="21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72" w:name="page73"/>
    <w:bookmarkEnd w:id="7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260" w:firstLine="318"/>
        <w:spacing w:after="0" w:line="261" w:lineRule="auto"/>
        <w:rPr>
          <w:sz w:val="20"/>
          <w:szCs w:val="20"/>
          <w:color w:val="auto"/>
        </w:rPr>
      </w:pPr>
      <w:r>
        <w:rPr>
          <w:rFonts w:ascii="Times New Roman" w:cs="Times New Roman" w:eastAsia="Times New Roman" w:hAnsi="Times New Roman"/>
          <w:sz w:val="14"/>
          <w:szCs w:val="14"/>
          <w:color w:val="auto"/>
        </w:rPr>
        <w:t>On August 24, 2020, Booz Allen Hamilton issued $700.0 million aggregate principal amount of its 3.875% Senior Notes due September 1, 2028 (the “Senior Notes due 2028”, and, together with the Senior Notes due 2029 and the Senior Notes due 2033, the “Senior Notes”) under an Indenture and First Supplemental Indenture, both dated as of August 24, 2020, among Booz Allen Hamilton, certain subsidiaries of Booz Allen Hamilton, as guarantors (the “2028 Subsidiary Guarantors”), and Wilmington Trust, National Association, as trustee. The Senior Notes due 2028 are Booz Allen Hamilton’s senior unsecured obligations and rank equally in right of payment with all of Booz Allen Hamilton’s and the 2028 Subsidiary Guarantors’ existing and future senior indebtedness and rank senior in right of payment to any of Booz Allen Hamilton’s future subordinated indebtedness.</w:t>
      </w:r>
    </w:p>
    <w:p>
      <w:pPr>
        <w:spacing w:after="0" w:line="16" w:lineRule="exact"/>
        <w:rPr>
          <w:sz w:val="20"/>
          <w:szCs w:val="20"/>
          <w:color w:val="auto"/>
        </w:rPr>
      </w:pPr>
    </w:p>
    <w:p>
      <w:pPr>
        <w:ind w:right="160" w:firstLine="318"/>
        <w:spacing w:after="0" w:line="287" w:lineRule="auto"/>
        <w:rPr>
          <w:sz w:val="20"/>
          <w:szCs w:val="20"/>
          <w:color w:val="auto"/>
        </w:rPr>
      </w:pPr>
      <w:r>
        <w:rPr>
          <w:rFonts w:ascii="Times New Roman" w:cs="Times New Roman" w:eastAsia="Times New Roman" w:hAnsi="Times New Roman"/>
          <w:sz w:val="14"/>
          <w:szCs w:val="14"/>
          <w:color w:val="auto"/>
        </w:rPr>
        <w:t>All the Senior Notes’ Indentures contain certain covenants, events of default, and other customary provisions. In connection with the Senior Notes obtaining investment grade ratings from Moody’s and S&amp;P, in January 2023, certain negative covenants in the indentures governing the Senior Notes 2028 and Senior Notes 2029 were suspended, and the related guarantees were released.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Summarized Financial Information</w:t>
      </w:r>
    </w:p>
    <w:p>
      <w:pPr>
        <w:spacing w:after="0" w:line="53"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The Senior Notes due 2033 were issued by Booz Allen Hamilton pursuant to the Indenture, among Booz Allen Hamilton, Booz Allen Holding and U.S. Bank Trust Company, National Association, as trustee, as supplemented by the Supplemental Indenture and are fully and unconditionally guaranteed on an unsecured and unsubordinated basis by Booz Allen Holding pursuant to the Indenture.</w:t>
      </w:r>
    </w:p>
    <w:p>
      <w:pPr>
        <w:spacing w:after="0" w:line="8"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4"/>
          <w:szCs w:val="14"/>
          <w:color w:val="auto"/>
        </w:rPr>
        <w:t>The tables below present the summarized financial information as combined for Booz Allen Hamilton and Booz Allen Holding as of March 31, 2024, after the elimination of intercompany transactions and balances between Booz Allen Hamilton and Booz Allen Holding and excluding the subsidiaries of both entities that are not issuers or guarantors of the Senior Notes due 2033, including earnings from and investments in these entities. The summarized financial information is provided in accordance with the reporting requirements of Rule 13-01 under Regulation S-X and is not intended to present our financial position or results of operations in accordance with GAAP.</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Summarized Statements of Financial Condition</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Intercompany receivables from non-guarantor subsidiaries</w:t>
            </w:r>
          </w:p>
        </w:tc>
        <w:tc>
          <w:tcPr>
            <w:tcW w:w="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current assets</w:t>
            </w:r>
          </w:p>
        </w:tc>
        <w:tc>
          <w:tcPr>
            <w:tcW w:w="38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2,618,239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 net of accumulated amortization</w:t>
            </w:r>
          </w:p>
        </w:tc>
        <w:tc>
          <w:tcPr>
            <w:tcW w:w="3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1,499,616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non-current assets</w:t>
            </w:r>
          </w:p>
        </w:tc>
        <w:tc>
          <w:tcPr>
            <w:tcW w:w="38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853,623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Intercompany payables to non-guarantor subsidiaries</w:t>
            </w:r>
          </w:p>
        </w:tc>
        <w:tc>
          <w:tcPr>
            <w:tcW w:w="3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current liabilities</w:t>
            </w:r>
          </w:p>
        </w:tc>
        <w:tc>
          <w:tcPr>
            <w:tcW w:w="38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1,641,369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3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3,349,941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non-current liabilities</w:t>
            </w:r>
          </w:p>
        </w:tc>
        <w:tc>
          <w:tcPr>
            <w:tcW w:w="38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457,290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4"/>
        </w:trPr>
        <w:tc>
          <w:tcPr>
            <w:tcW w:w="7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Summarized Statement of Operations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380" w:type="dxa"/>
            <w:vAlign w:val="bottom"/>
          </w:tcPr>
          <w:p>
            <w:pPr>
              <w:spacing w:after="0"/>
              <w:rPr>
                <w:sz w:val="14"/>
                <w:szCs w:val="14"/>
                <w:color w:val="auto"/>
              </w:rPr>
            </w:pPr>
          </w:p>
        </w:tc>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624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38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9,882,750</w:t>
            </w: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Revenue from non-guarantor subsidiaries</w:t>
            </w:r>
          </w:p>
        </w:tc>
        <w:tc>
          <w:tcPr>
            <w:tcW w:w="38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540,089</w:t>
            </w: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38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504,679</w:t>
            </w: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income from non-guarantor subsidiaries</w:t>
            </w:r>
          </w:p>
        </w:tc>
        <w:tc>
          <w:tcPr>
            <w:tcW w:w="38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512,925</w:t>
            </w: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606,711</w:t>
            </w: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6"/>
                <w:szCs w:val="16"/>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attributable to the Obligor Group</w:t>
            </w:r>
          </w:p>
        </w:tc>
        <w:tc>
          <w:tcPr>
            <w:tcW w:w="38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606,711</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Structure and Resources</w:t>
      </w:r>
    </w:p>
    <w:p>
      <w:pPr>
        <w:spacing w:after="0" w:line="53" w:lineRule="exact"/>
        <w:rPr>
          <w:sz w:val="20"/>
          <w:szCs w:val="20"/>
          <w:color w:val="auto"/>
        </w:rPr>
      </w:pPr>
    </w:p>
    <w:p>
      <w:pPr>
        <w:ind w:right="240" w:firstLine="350"/>
        <w:spacing w:after="0" w:line="270" w:lineRule="auto"/>
        <w:rPr>
          <w:sz w:val="20"/>
          <w:szCs w:val="20"/>
          <w:color w:val="auto"/>
        </w:rPr>
      </w:pPr>
      <w:r>
        <w:rPr>
          <w:rFonts w:ascii="Times New Roman" w:cs="Times New Roman" w:eastAsia="Times New Roman" w:hAnsi="Times New Roman"/>
          <w:sz w:val="14"/>
          <w:szCs w:val="14"/>
          <w:color w:val="auto"/>
        </w:rPr>
        <w:t>Our stockholders’ equity amounted to $1,046.6 million as of March 31, 2024, an increase of $54.6 million compared to stockholders’ equity of $992.0 million as of March 31, 2023. The increase was primarily due to $417.6 million in treasury stock resulting from the repurchase of shares of our Class A Common Stock and $253.1 million in aggregate quarterly dividend payments, partially offset by net income of $605.7 million and stock-based compensation expense of $95.0 million.</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73" w:name="page74"/>
    <w:bookmarkEnd w:id="7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Expenditures</w:t>
      </w:r>
    </w:p>
    <w:p>
      <w:pPr>
        <w:spacing w:after="0" w:line="53"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fiscal 2024 and 2023 were $82.8 million and $76.1 million, respectively, of which $16.1 million were unpaid at fiscal 2024 year end.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p>
      <w:pPr>
        <w:spacing w:after="0" w:line="53" w:lineRule="exact"/>
        <w:rPr>
          <w:sz w:val="20"/>
          <w:szCs w:val="20"/>
          <w:color w:val="auto"/>
        </w:rPr>
      </w:pPr>
    </w:p>
    <w:p>
      <w:pPr>
        <w:ind w:right="280" w:firstLine="350"/>
        <w:spacing w:after="0" w:line="287" w:lineRule="auto"/>
        <w:rPr>
          <w:sz w:val="20"/>
          <w:szCs w:val="20"/>
          <w:color w:val="auto"/>
        </w:rPr>
      </w:pPr>
      <w:r>
        <w:rPr>
          <w:rFonts w:ascii="Times New Roman" w:cs="Times New Roman" w:eastAsia="Times New Roman" w:hAnsi="Times New Roman"/>
          <w:sz w:val="14"/>
          <w:szCs w:val="14"/>
          <w:color w:val="auto"/>
        </w:rPr>
        <w:t>We are subject to a number of reviews, investigations, claims, lawsuits, and other uncertainties related to our business. For a discussion of these items, refer to Note 20, “Commitments and Contingencies,” to our consolidated financial statements.</w:t>
      </w:r>
    </w:p>
    <w:p>
      <w:pPr>
        <w:spacing w:after="0" w:line="8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7A.</w:t>
        <w:tab/>
        <w:t>Quantitative and Qualitative Disclosures About Market Risk</w:t>
      </w:r>
      <w:r>
        <w:rPr>
          <w:rFonts w:ascii="Times New Roman" w:cs="Times New Roman" w:eastAsia="Times New Roman" w:hAnsi="Times New Roman"/>
          <w:sz w:val="14"/>
          <w:szCs w:val="14"/>
          <w:b w:val="1"/>
          <w:bCs w:val="1"/>
          <w:i w:val="1"/>
          <w:iCs w:val="1"/>
          <w:color w:val="auto"/>
        </w:rPr>
        <w:t>.</w:t>
      </w:r>
    </w:p>
    <w:p>
      <w:pPr>
        <w:spacing w:after="0" w:line="53" w:lineRule="exact"/>
        <w:rPr>
          <w:sz w:val="20"/>
          <w:szCs w:val="20"/>
          <w:color w:val="auto"/>
        </w:rPr>
      </w:pPr>
    </w:p>
    <w:p>
      <w:pPr>
        <w:ind w:right="200" w:firstLine="350"/>
        <w:spacing w:after="0" w:line="270" w:lineRule="auto"/>
        <w:rPr>
          <w:sz w:val="20"/>
          <w:szCs w:val="20"/>
          <w:color w:val="auto"/>
        </w:rPr>
      </w:pPr>
      <w:r>
        <w:rPr>
          <w:rFonts w:ascii="Times New Roman" w:cs="Times New Roman" w:eastAsia="Times New Roman" w:hAnsi="Times New Roman"/>
          <w:sz w:val="14"/>
          <w:szCs w:val="14"/>
          <w:color w:val="auto"/>
        </w:rPr>
        <w:t>Market risk is the potential loss arising from adverse changes in market rates and market prices such as those related to interest rates. Due to the wide-ranging adverse impacts on global financial markets, we may be exposed to greater interest rate volatility and market risk in the near future. We actively monitor these exposures and manage such risks through our regular financing activities and through the use of derivative financial instruments.</w:t>
      </w:r>
    </w:p>
    <w:p>
      <w:pPr>
        <w:spacing w:after="0" w:line="8" w:lineRule="exact"/>
        <w:rPr>
          <w:sz w:val="20"/>
          <w:szCs w:val="20"/>
          <w:color w:val="auto"/>
        </w:rPr>
      </w:pPr>
    </w:p>
    <w:p>
      <w:pPr>
        <w:ind w:firstLine="350"/>
        <w:spacing w:after="0" w:line="284" w:lineRule="auto"/>
        <w:rPr>
          <w:sz w:val="20"/>
          <w:szCs w:val="20"/>
          <w:color w:val="auto"/>
        </w:rPr>
      </w:pPr>
      <w:r>
        <w:rPr>
          <w:rFonts w:ascii="Times New Roman" w:cs="Times New Roman" w:eastAsia="Times New Roman" w:hAnsi="Times New Roman"/>
          <w:sz w:val="14"/>
          <w:szCs w:val="14"/>
          <w:color w:val="auto"/>
        </w:rPr>
        <w:t>Our exposure to market risk for changes in interest rates relates primarily to our outstanding debt, cash equivalents, which consist primarily of funds invested in U.S. government money-market funds, our cash flow hedges and our Rabbi trust.</w:t>
      </w:r>
    </w:p>
    <w:p>
      <w:pPr>
        <w:spacing w:after="0" w:line="1"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Our exposure to market risk for changes in interest rates related to our outstanding debt will impact our Senior Credit Facility. The interest expense associated with our term loans and any loans under our Revolving Credit Facility will vary with market rates. A hypothetical interest rate increase of 25 basis points would have increased interest expense related to the term facilities under our Senior Credit Facility by approximately $2.6 million in fiscal 2024 and $2.7 million in fiscal 2023, and likewise decreased our income and cash flows.</w:t>
      </w:r>
    </w:p>
    <w:p>
      <w:pPr>
        <w:spacing w:after="0" w:line="8"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As of March 31, 2024 and 2023, we had $554.3 million and $404.9 million, respectively, in cash and cash equivalents. As of March 31, 2024 and 2023 the interest income as a percentage of average monthly balance sheet cash was approximately 6% and 2%, respectively. A hypothetical decrease in market interest rates of 25 basis points would have decreased interest income on our cash and cash equivalents of approximately $1.1 million in fiscal 2024 and $1.2 million in fiscal 2023, and likewise decreased our income and cash flows.</w:t>
      </w:r>
    </w:p>
    <w:p>
      <w:pPr>
        <w:spacing w:after="0" w:line="8" w:lineRule="exact"/>
        <w:rPr>
          <w:sz w:val="20"/>
          <w:szCs w:val="20"/>
          <w:color w:val="auto"/>
        </w:rPr>
      </w:pPr>
    </w:p>
    <w:p>
      <w:pPr>
        <w:ind w:right="120" w:firstLine="350"/>
        <w:spacing w:after="0" w:line="259" w:lineRule="auto"/>
        <w:rPr>
          <w:sz w:val="20"/>
          <w:szCs w:val="20"/>
          <w:color w:val="auto"/>
        </w:rPr>
      </w:pPr>
      <w:r>
        <w:rPr>
          <w:rFonts w:ascii="Times New Roman" w:cs="Times New Roman" w:eastAsia="Times New Roman" w:hAnsi="Times New Roman"/>
          <w:sz w:val="14"/>
          <w:szCs w:val="14"/>
          <w:color w:val="auto"/>
        </w:rPr>
        <w:t>Pursuant to our interest rate risk management strategies, we use interest rate cash flow hedges to add stability to our incurrence of interest rate expense and to manage our exposure to related interest rate movement. During the first quarter of fiscal 2024, we modified our existing interest rate swap agreements to transition from LIBOR indexed to Term SOFR-indexed periodic swap payments to align with interest payments in connection with our Term SOFR indexed debt. As of March 31, 2024, we had effective interest rate swaps with an aggregate notional amount of $550.0 million. These derivative instruments hedge the variability of cash outflows for interest payments on our variable rate debt and are recorded at fair value on our consolidated balance sheet. See Note 11, “Derivatives,” to our consolidated financial statements for further discussion. As of March 31, 2024, a 25 basis point increase in interest rates would increase the fair value of our interest rate swaps by approximately $1.4 million and a 25 basis point decrease in interest rates would decrease the fair value of our interest rate swaps by approximately $1.4 million.</w:t>
      </w:r>
    </w:p>
    <w:p>
      <w:pPr>
        <w:spacing w:after="0" w:line="19"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We maintain a Rabbi trust to provide for the payment of benefits under our non-qualified deferred compensation plan. As of March 31, 2024, fund assets totaled $29.0 million which include mutual fund investments that are subject to fluctuations in market prices and interest rates. Cash distributions made to plan participants are recognized as operating cash flows in the consolidated statement of cash flows and have the effect of lowering both fund assets and the corresponding fund liabilities on a one-for-one basis. Changes in fair value on fund liabilities offset the changes in fair value of fund assets, and changes in fair value on both fund assets and fund liabilities are recognized in earnings on our consolidated statements of operations. See Note 18, “Fair Value Measurements,” to our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3" w:right="339" w:bottom="1440" w:gutter="0" w:footer="0" w:header="0"/>
        </w:sectPr>
      </w:pPr>
    </w:p>
    <w:bookmarkStart w:id="74" w:name="page75"/>
    <w:bookmarkEnd w:id="7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8</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Financial Statements and Supplementary Data</w:t>
            </w:r>
            <w:r>
              <w:rPr>
                <w:rFonts w:ascii="Times New Roman" w:cs="Times New Roman" w:eastAsia="Times New Roman" w:hAnsi="Times New Roman"/>
                <w:sz w:val="14"/>
                <w:szCs w:val="14"/>
                <w:b w:val="1"/>
                <w:bCs w:val="1"/>
                <w:i w:val="1"/>
                <w:iCs w:val="1"/>
                <w:color w:val="auto"/>
              </w:rPr>
              <w:t>.</w:t>
            </w: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446"/>
        </w:trPr>
        <w:tc>
          <w:tcPr>
            <w:tcW w:w="9280" w:type="dxa"/>
            <w:vAlign w:val="bottom"/>
          </w:tcPr>
          <w:p>
            <w:pPr>
              <w:ind w:left="3260"/>
              <w:spacing w:after="0"/>
              <w:rPr>
                <w:sz w:val="20"/>
                <w:szCs w:val="20"/>
                <w:color w:val="auto"/>
              </w:rPr>
            </w:pPr>
            <w:r>
              <w:rPr>
                <w:rFonts w:ascii="Times New Roman" w:cs="Times New Roman" w:eastAsia="Times New Roman" w:hAnsi="Times New Roman"/>
                <w:sz w:val="14"/>
                <w:szCs w:val="14"/>
                <w:b w:val="1"/>
                <w:bCs w:val="1"/>
                <w:color w:val="auto"/>
              </w:rPr>
              <w:t>INDEX TO THE CONSOLIDATED FINANCIAL STATEMENTS</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4"/>
        </w:trPr>
        <w:tc>
          <w:tcPr>
            <w:tcW w:w="9280" w:type="dxa"/>
            <w:vAlign w:val="bottom"/>
          </w:tcPr>
          <w:p>
            <w:pPr>
              <w:spacing w:after="0"/>
              <w:rPr>
                <w:sz w:val="21"/>
                <w:szCs w:val="21"/>
                <w:color w:val="auto"/>
              </w:rPr>
            </w:pPr>
          </w:p>
        </w:tc>
        <w:tc>
          <w:tcPr>
            <w:tcW w:w="20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65"/>
        </w:trPr>
        <w:tc>
          <w:tcPr>
            <w:tcW w:w="92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ID#00042)</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3051F2"/>
                <w:w w:val="98"/>
              </w:rPr>
              <w:t>F-2</w:t>
            </w:r>
          </w:p>
        </w:tc>
        <w:tc>
          <w:tcPr>
            <w:tcW w:w="760" w:type="dxa"/>
            <w:vAlign w:val="bottom"/>
          </w:tcPr>
          <w:p>
            <w:pPr>
              <w:spacing w:after="0"/>
              <w:rPr>
                <w:sz w:val="14"/>
                <w:szCs w:val="14"/>
                <w:color w:val="auto"/>
              </w:rPr>
            </w:pPr>
          </w:p>
        </w:tc>
      </w:tr>
      <w:tr>
        <w:trPr>
          <w:trHeight w:val="180"/>
        </w:trPr>
        <w:tc>
          <w:tcPr>
            <w:tcW w:w="92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 xml:space="preserve">Consolidated Balance Sheets as of March 31, </w:t>
            </w:r>
            <w:r>
              <w:rPr>
                <w:rFonts w:ascii="Times New Roman" w:cs="Times New Roman" w:eastAsia="Times New Roman" w:hAnsi="Times New Roman"/>
                <w:sz w:val="14"/>
                <w:szCs w:val="14"/>
                <w:color w:val="0E32E1"/>
              </w:rPr>
              <w:t>2024</w:t>
            </w:r>
            <w:r>
              <w:rPr>
                <w:rFonts w:ascii="Times New Roman" w:cs="Times New Roman" w:eastAsia="Times New Roman" w:hAnsi="Times New Roman"/>
                <w:sz w:val="14"/>
                <w:szCs w:val="14"/>
                <w:color w:val="0000FF"/>
              </w:rPr>
              <w:t xml:space="preserve"> and </w:t>
            </w:r>
            <w:r>
              <w:rPr>
                <w:rFonts w:ascii="Times New Roman" w:cs="Times New Roman" w:eastAsia="Times New Roman" w:hAnsi="Times New Roman"/>
                <w:sz w:val="14"/>
                <w:szCs w:val="14"/>
                <w:color w:val="0E32E1"/>
              </w:rPr>
              <w:t>2023</w:t>
            </w:r>
          </w:p>
        </w:tc>
        <w:tc>
          <w:tcPr>
            <w:tcW w:w="20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3051F2"/>
                <w:w w:val="98"/>
              </w:rPr>
              <w:t>F-5</w:t>
            </w:r>
          </w:p>
        </w:tc>
      </w:tr>
      <w:tr>
        <w:trPr>
          <w:trHeight w:val="180"/>
        </w:trPr>
        <w:tc>
          <w:tcPr>
            <w:tcW w:w="92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 xml:space="preserve">Consolidated Statements of Operations for the Fiscal Years Ended March 31, </w:t>
            </w:r>
            <w:r>
              <w:rPr>
                <w:rFonts w:ascii="Times New Roman" w:cs="Times New Roman" w:eastAsia="Times New Roman" w:hAnsi="Times New Roman"/>
                <w:sz w:val="14"/>
                <w:szCs w:val="14"/>
                <w:color w:val="0E32E1"/>
              </w:rPr>
              <w:t>2024</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E32E1"/>
              </w:rPr>
              <w:t>2023</w:t>
            </w:r>
            <w:r>
              <w:rPr>
                <w:rFonts w:ascii="Times New Roman" w:cs="Times New Roman" w:eastAsia="Times New Roman" w:hAnsi="Times New Roman"/>
                <w:sz w:val="14"/>
                <w:szCs w:val="14"/>
                <w:color w:val="0000FF"/>
              </w:rPr>
              <w:t xml:space="preserve"> and </w:t>
            </w:r>
            <w:r>
              <w:rPr>
                <w:rFonts w:ascii="Times New Roman" w:cs="Times New Roman" w:eastAsia="Times New Roman" w:hAnsi="Times New Roman"/>
                <w:sz w:val="14"/>
                <w:szCs w:val="14"/>
                <w:color w:val="0E32E1"/>
              </w:rPr>
              <w:t>2022</w:t>
            </w:r>
          </w:p>
        </w:tc>
        <w:tc>
          <w:tcPr>
            <w:tcW w:w="20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3051F2"/>
                <w:w w:val="98"/>
              </w:rPr>
              <w:t>F-6</w:t>
            </w:r>
          </w:p>
        </w:tc>
      </w:tr>
      <w:tr>
        <w:trPr>
          <w:trHeight w:val="180"/>
        </w:trPr>
        <w:tc>
          <w:tcPr>
            <w:tcW w:w="92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 xml:space="preserve">Consolidated Statements of Comprehensive Income for the Fiscal Years Ended March 31, </w:t>
            </w:r>
            <w:r>
              <w:rPr>
                <w:rFonts w:ascii="Times New Roman" w:cs="Times New Roman" w:eastAsia="Times New Roman" w:hAnsi="Times New Roman"/>
                <w:sz w:val="14"/>
                <w:szCs w:val="14"/>
                <w:color w:val="0E32E1"/>
              </w:rPr>
              <w:t>2024, 2023 and 2022</w:t>
            </w:r>
          </w:p>
        </w:tc>
        <w:tc>
          <w:tcPr>
            <w:tcW w:w="20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3051F2"/>
                <w:w w:val="98"/>
              </w:rPr>
              <w:t>F-7</w:t>
            </w:r>
          </w:p>
        </w:tc>
      </w:tr>
      <w:tr>
        <w:trPr>
          <w:trHeight w:val="180"/>
        </w:trPr>
        <w:tc>
          <w:tcPr>
            <w:tcW w:w="92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 xml:space="preserve">Consolidated Statements of Cash Flows for the Fiscal Years Ended March 31, </w:t>
            </w:r>
            <w:r>
              <w:rPr>
                <w:rFonts w:ascii="Times New Roman" w:cs="Times New Roman" w:eastAsia="Times New Roman" w:hAnsi="Times New Roman"/>
                <w:sz w:val="14"/>
                <w:szCs w:val="14"/>
                <w:color w:val="0E32E1"/>
              </w:rPr>
              <w:t>2024</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E32E1"/>
              </w:rPr>
              <w:t>2023</w:t>
            </w:r>
            <w:r>
              <w:rPr>
                <w:rFonts w:ascii="Times New Roman" w:cs="Times New Roman" w:eastAsia="Times New Roman" w:hAnsi="Times New Roman"/>
                <w:sz w:val="14"/>
                <w:szCs w:val="14"/>
                <w:color w:val="0000FF"/>
              </w:rPr>
              <w:t xml:space="preserve"> and </w:t>
            </w:r>
            <w:r>
              <w:rPr>
                <w:rFonts w:ascii="Times New Roman" w:cs="Times New Roman" w:eastAsia="Times New Roman" w:hAnsi="Times New Roman"/>
                <w:sz w:val="14"/>
                <w:szCs w:val="14"/>
                <w:color w:val="0E32E1"/>
              </w:rPr>
              <w:t>2022</w:t>
            </w:r>
          </w:p>
        </w:tc>
        <w:tc>
          <w:tcPr>
            <w:tcW w:w="20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3051F2"/>
                <w:w w:val="98"/>
              </w:rPr>
              <w:t>F-8</w:t>
            </w:r>
          </w:p>
        </w:tc>
      </w:tr>
      <w:tr>
        <w:trPr>
          <w:trHeight w:val="180"/>
        </w:trPr>
        <w:tc>
          <w:tcPr>
            <w:tcW w:w="92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 xml:space="preserve">Consolidated Statements of Stockholders' Equity for the Fiscal Years Ended March 31, </w:t>
            </w:r>
            <w:r>
              <w:rPr>
                <w:rFonts w:ascii="Times New Roman" w:cs="Times New Roman" w:eastAsia="Times New Roman" w:hAnsi="Times New Roman"/>
                <w:sz w:val="14"/>
                <w:szCs w:val="14"/>
                <w:color w:val="0E32E1"/>
              </w:rPr>
              <w:t>2024</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E32E1"/>
              </w:rPr>
              <w:t>2023</w:t>
            </w:r>
            <w:r>
              <w:rPr>
                <w:rFonts w:ascii="Times New Roman" w:cs="Times New Roman" w:eastAsia="Times New Roman" w:hAnsi="Times New Roman"/>
                <w:sz w:val="14"/>
                <w:szCs w:val="14"/>
                <w:color w:val="0000FF"/>
              </w:rPr>
              <w:t xml:space="preserve"> and </w:t>
            </w:r>
            <w:r>
              <w:rPr>
                <w:rFonts w:ascii="Times New Roman" w:cs="Times New Roman" w:eastAsia="Times New Roman" w:hAnsi="Times New Roman"/>
                <w:sz w:val="14"/>
                <w:szCs w:val="14"/>
                <w:color w:val="0E32E1"/>
              </w:rPr>
              <w:t>2022</w:t>
            </w:r>
          </w:p>
        </w:tc>
        <w:tc>
          <w:tcPr>
            <w:tcW w:w="20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3051F2"/>
                <w:w w:val="98"/>
              </w:rPr>
              <w:t>F-9</w:t>
            </w:r>
          </w:p>
        </w:tc>
      </w:tr>
      <w:tr>
        <w:trPr>
          <w:trHeight w:val="186"/>
        </w:trPr>
        <w:tc>
          <w:tcPr>
            <w:tcW w:w="92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20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3051F2"/>
              </w:rPr>
              <w:t>F-10</w:t>
            </w:r>
          </w:p>
        </w:tc>
      </w:tr>
      <w:tr>
        <w:trPr>
          <w:trHeight w:val="870"/>
        </w:trPr>
        <w:tc>
          <w:tcPr>
            <w:tcW w:w="9280" w:type="dxa"/>
            <w:vAlign w:val="bottom"/>
          </w:tcPr>
          <w:p>
            <w:pPr>
              <w:ind w:left="5540"/>
              <w:spacing w:after="0"/>
              <w:rPr>
                <w:sz w:val="20"/>
                <w:szCs w:val="20"/>
                <w:color w:val="auto"/>
              </w:rPr>
            </w:pPr>
            <w:r>
              <w:rPr>
                <w:rFonts w:ascii="Times New Roman" w:cs="Times New Roman" w:eastAsia="Times New Roman" w:hAnsi="Times New Roman"/>
                <w:sz w:val="14"/>
                <w:szCs w:val="14"/>
                <w:color w:val="auto"/>
              </w:rPr>
              <w:t>F-1</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87"/>
        </w:trPr>
        <w:tc>
          <w:tcPr>
            <w:tcW w:w="92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75" w:name="page76"/>
    <w:bookmarkEnd w:id="7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Booz Allen Hamilton Holding Corporation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audited the accompanying consolidated balance sheets of Booz Allen Hamilton Holding Corporation (the Company) as of March 31, 2024 and 2023, the related consolidated statements of</w:t>
      </w:r>
    </w:p>
    <w:p>
      <w:pPr>
        <w:spacing w:after="0" w:line="10"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4"/>
          <w:szCs w:val="14"/>
          <w:color w:val="auto"/>
        </w:rPr>
        <w:t>operations, comprehensive income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4"/>
          <w:szCs w:val="14"/>
          <w:color w:val="auto"/>
        </w:rPr>
        <w:t xml:space="preserve"> stockholders' equity and cash flows for each of the three years in the period ended March 31, 2024, and the related notes</w:t>
      </w:r>
      <w:r>
        <w:rPr>
          <w:sz w:val="1"/>
          <w:szCs w:val="1"/>
          <w:color w:val="auto"/>
        </w:rPr>
        <w:drawing>
          <wp:inline distT="0" distB="0" distL="0" distR="0">
            <wp:extent cx="20320" cy="7429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320" cy="74295"/>
                    </a:xfrm>
                    <a:prstGeom prst="rect">
                      <a:avLst/>
                    </a:prstGeom>
                    <a:noFill/>
                    <a:ln>
                      <a:noFill/>
                    </a:ln>
                  </pic:spPr>
                </pic:pic>
              </a:graphicData>
            </a:graphic>
          </wp:inline>
        </w:drawing>
      </w:r>
      <w:r>
        <w:rPr>
          <w:rFonts w:ascii="Times New Roman" w:cs="Times New Roman" w:eastAsia="Times New Roman" w:hAnsi="Times New Roman"/>
          <w:sz w:val="14"/>
          <w:szCs w:val="14"/>
          <w:color w:val="auto"/>
        </w:rPr>
        <w:t>(collectively referred to as the “consolidated financial statements”). In our opinion, the consolidated financial statements present fairly, in all material respects, the financial position of the Company at March 31, 2024 and 2023, and the results of its operations and its cash flows for each of the three years in the period ended March 31, 2024, in conformity with U.S. generally accepted accounting principles.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w:t>
      </w:r>
    </w:p>
    <w:p>
      <w:pPr>
        <w:spacing w:after="0" w:line="30"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March 31, 2024, based on criteria established in Internal Control-Integrated Framework issued by the Committee of Sponsoring Organizations of the Treadway Commission (2013 framework) and our report dated May 24, 2024 expressed an unqualified opinion thereon.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76" w:name="page77"/>
    <w:bookmarkEnd w:id="76"/>
    <w:p>
      <w:pPr>
        <w:ind w:left="18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jc w:val="right"/>
        <w:ind w:right="464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 based on certain contracts using a cost input measure of progress</w:t>
      </w:r>
    </w:p>
    <w:p>
      <w:pPr>
        <w:sectPr>
          <w:pgSz w:w="11900" w:h="16838" w:orient="portrait"/>
          <w:cols w:equalWidth="0" w:num="1">
            <w:col w:w="10880"/>
          </w:cols>
          <w:pgMar w:left="320" w:top="353" w:right="699" w:bottom="1440" w:gutter="0" w:footer="0" w:header="0"/>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3"/>
          <w:szCs w:val="13"/>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As described in Notes 2 and 3 to the consolidated financial statements, the Company generally recognizes revenue over time as services are provided, as most of its contracts involve a continuous transfer of control to the customer. For certain of these contracts, revenue is recognized under a cost-based input method that requires an estimate of total costs of the performance obligation at completion (EAC). Estimates of costs at completion are highly subjective to develop and can change over the contract performance period for a variety of reasons and, if significant, these changes could have a material effect on the Company’s results of operations.</w:t>
      </w:r>
    </w:p>
    <w:p>
      <w:pPr>
        <w:spacing w:after="0" w:line="1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Auditing revenue recognition based on the cost-based input method involved subjective auditor judgment because the Company’s estimates include costs at completion. The estimates of costs at completion are based on management’s assessment of the stage of completion of the performance obligations and the time and materials necessary to fulfill its performance obligations under the contracts.</w:t>
      </w:r>
    </w:p>
    <w:p>
      <w:pPr>
        <w:spacing w:after="0" w:line="13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controls over revenue recognition under the cost-based input method. For example, we tested controls over the determination of significant assumptions regarding the estimation of costs to be incurred for the performance obligations and controls evaluating the appropriateness of changes in estimated future costs.</w:t>
      </w:r>
    </w:p>
    <w:p>
      <w:pPr>
        <w:spacing w:after="0" w:line="157"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4"/>
          <w:szCs w:val="14"/>
          <w:color w:val="auto"/>
        </w:rPr>
        <w:t>To test the accuracy of the Company’s estimated costs at completion, our audit procedures included, among others, comparing estimates of labor costs, subcontractor costs, and materials to prior estimates, comparing margin to historical results of similar performance obligations, and agreeing the key terms to contract documentation and management’s estimates. Our audit procedures also included, among others, validating the nature, timing and extent of the amounts</w:t>
      </w:r>
    </w:p>
    <w:p>
      <w:pPr>
        <w:spacing w:after="0" w:line="2" w:lineRule="exact"/>
        <w:rPr>
          <w:sz w:val="20"/>
          <w:szCs w:val="20"/>
          <w:color w:val="auto"/>
        </w:rPr>
      </w:pPr>
    </w:p>
    <w:p>
      <w:pPr>
        <w:ind w:right="120"/>
        <w:spacing w:after="0" w:line="210" w:lineRule="auto"/>
        <w:rPr>
          <w:sz w:val="20"/>
          <w:szCs w:val="20"/>
          <w:color w:val="auto"/>
        </w:rPr>
      </w:pPr>
      <w:r>
        <w:rPr>
          <w:rFonts w:ascii="Times New Roman" w:cs="Times New Roman" w:eastAsia="Times New Roman" w:hAnsi="Times New Roman"/>
          <w:sz w:val="14"/>
          <w:szCs w:val="14"/>
          <w:color w:val="auto"/>
        </w:rPr>
        <w:t>of revenue and costs recorded to date, including any changes in transaction price or estimated costs at completion from the prior period, where applicable. For example, to test a change in estimated costs at completion, we inspected underlying evidence for the reason for the change in estimate and the timing of such change. We also evaluated whether a lack of change in estimate was appropriate by obtaining an understanding of the stage of completion through discussion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program teams and comparing actual results to prior management estimates.</w:t>
      </w:r>
    </w:p>
    <w:p>
      <w:pPr>
        <w:spacing w:after="0" w:line="200" w:lineRule="exact"/>
        <w:rPr>
          <w:sz w:val="20"/>
          <w:szCs w:val="20"/>
          <w:color w:val="auto"/>
        </w:rPr>
      </w:pPr>
    </w:p>
    <w:p>
      <w:pPr>
        <w:sectPr>
          <w:pgSz w:w="11900" w:h="16838" w:orient="portrait"/>
          <w:cols w:equalWidth="0" w:num="2">
            <w:col w:w="1440" w:space="380"/>
            <w:col w:w="9060"/>
          </w:cols>
          <w:pgMar w:left="320" w:top="353" w:right="699" w:bottom="1440" w:gutter="0" w:footer="0" w:header="0"/>
          <w:type w:val="continuous"/>
        </w:sectPr>
      </w:pPr>
    </w:p>
    <w:p>
      <w:pPr>
        <w:spacing w:after="0" w:line="14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b w:val="1"/>
          <w:bCs w:val="1"/>
          <w:i w:val="1"/>
          <w:iCs w:val="1"/>
          <w:color w:val="auto"/>
        </w:rPr>
        <w:t>Government Contracting Matters - Provision for Claimed Indirect Costs</w:t>
      </w:r>
    </w:p>
    <w:p>
      <w:pPr>
        <w:spacing w:after="0" w:line="62" w:lineRule="exact"/>
        <w:rPr>
          <w:sz w:val="20"/>
          <w:szCs w:val="20"/>
          <w:color w:val="auto"/>
        </w:rPr>
      </w:pPr>
    </w:p>
    <w:p>
      <w:pPr>
        <w:ind w:left="1820" w:right="40" w:hanging="1824"/>
        <w:spacing w:after="0" w:line="233" w:lineRule="auto"/>
        <w:tabs>
          <w:tab w:leader="none" w:pos="1800" w:val="left"/>
        </w:tabs>
        <w:rPr>
          <w:sz w:val="20"/>
          <w:szCs w:val="20"/>
          <w:color w:val="auto"/>
        </w:rPr>
      </w:pPr>
      <w:r>
        <w:rPr>
          <w:rFonts w:ascii="Times New Roman" w:cs="Times New Roman" w:eastAsia="Times New Roman" w:hAnsi="Times New Roman"/>
          <w:sz w:val="14"/>
          <w:szCs w:val="14"/>
          <w:i w:val="1"/>
          <w:iCs w:val="1"/>
          <w:color w:val="auto"/>
        </w:rPr>
        <w:t>Description of the Matter</w:t>
      </w:r>
      <w:r>
        <w:rPr>
          <w:sz w:val="20"/>
          <w:szCs w:val="20"/>
          <w:color w:val="auto"/>
        </w:rPr>
        <w:tab/>
      </w:r>
      <w:r>
        <w:rPr>
          <w:rFonts w:ascii="Times New Roman" w:cs="Times New Roman" w:eastAsia="Times New Roman" w:hAnsi="Times New Roman"/>
          <w:sz w:val="14"/>
          <w:szCs w:val="14"/>
          <w:color w:val="auto"/>
        </w:rPr>
        <w:t>As discussed in Note 20 to the consolidated financial statements, in the ordinary course of business, agencies of the U.S. government, including the Defense Contract Audit Agency (DCAA), routinely audit the Company’s indirect costs and business practices for compliance with the Cost Accounting Standards and the Federal Acquisition Regulation. Such audits may result in, and have historically resulted in, the Company’s inability to retain certain claimed indirect costs, including executive and employee compensation, due to differing views of the allowability and reasonableness of such costs. As of March 31, 2024, years subsequent to the Company’s fiscal year 2011 remained subject to audit (with the exception of 2022), and final resolution. The Company recognized a liability of $363.7 million for estimated adjustments to claimed indirect costs based on its historical DCAA audit results, including the final resolution of such audits with the Defense Contract Management Agency (DCMA) (the provision for claimed indirect costs).</w:t>
      </w:r>
    </w:p>
    <w:p>
      <w:pPr>
        <w:spacing w:after="0" w:line="139" w:lineRule="exact"/>
        <w:rPr>
          <w:sz w:val="20"/>
          <w:szCs w:val="20"/>
          <w:color w:val="auto"/>
        </w:rPr>
      </w:pPr>
    </w:p>
    <w:p>
      <w:pPr>
        <w:ind w:left="1820" w:right="100"/>
        <w:spacing w:after="0" w:line="246" w:lineRule="auto"/>
        <w:rPr>
          <w:sz w:val="20"/>
          <w:szCs w:val="20"/>
          <w:color w:val="auto"/>
        </w:rPr>
      </w:pPr>
      <w:r>
        <w:rPr>
          <w:rFonts w:ascii="Times New Roman" w:cs="Times New Roman" w:eastAsia="Times New Roman" w:hAnsi="Times New Roman"/>
          <w:sz w:val="14"/>
          <w:szCs w:val="14"/>
          <w:color w:val="auto"/>
        </w:rPr>
        <w:t>Auditing the provision for claimed indirect costs was complex due to the inherently judgmental nature of management’s estimate of adjustments to claimed indirect costs based on the number of years that remain open to audit and expected final resolution by agencies of the U.S. government. Significant changes in management’s estimate could have a material effect on the Company’s results of operations.</w:t>
      </w:r>
    </w:p>
    <w:p>
      <w:pPr>
        <w:spacing w:after="0" w:line="200" w:lineRule="exact"/>
        <w:rPr>
          <w:sz w:val="20"/>
          <w:szCs w:val="20"/>
          <w:color w:val="auto"/>
        </w:rPr>
      </w:pPr>
    </w:p>
    <w:p>
      <w:pPr>
        <w:spacing w:after="0" w:line="30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80"/>
          </w:cols>
          <w:pgMar w:left="320" w:top="353" w:right="699" w:bottom="1440" w:gutter="0" w:footer="0" w:header="0"/>
          <w:type w:val="continuous"/>
        </w:sectPr>
      </w:pPr>
    </w:p>
    <w:bookmarkStart w:id="77" w:name="page78"/>
    <w:bookmarkEnd w:id="7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ectPr>
          <w:pgSz w:w="11900" w:h="16838" w:orient="portrait"/>
          <w:cols w:equalWidth="0" w:num="1">
            <w:col w:w="10840"/>
          </w:cols>
          <w:pgMar w:left="300" w:top="354" w:right="759" w:bottom="1440" w:gutter="0" w:footer="0" w:header="0"/>
        </w:sectPr>
      </w:pPr>
    </w:p>
    <w:p>
      <w:pPr>
        <w:spacing w:after="0" w:line="332" w:lineRule="exact"/>
        <w:rPr>
          <w:sz w:val="20"/>
          <w:szCs w:val="20"/>
          <w:color w:val="auto"/>
        </w:rPr>
      </w:pPr>
    </w:p>
    <w:p>
      <w:pPr>
        <w:ind w:left="20"/>
        <w:spacing w:after="0" w:line="280" w:lineRule="auto"/>
        <w:rPr>
          <w:sz w:val="20"/>
          <w:szCs w:val="20"/>
          <w:color w:val="auto"/>
        </w:rPr>
      </w:pPr>
      <w:r>
        <w:rPr>
          <w:rFonts w:ascii="Times New Roman" w:cs="Times New Roman" w:eastAsia="Times New Roman" w:hAnsi="Times New Roman"/>
          <w:sz w:val="13"/>
          <w:szCs w:val="13"/>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controls over the Company’s determination of its provision for claimed indirect costs. For example, we tested controls over the application of the available historical information from resolution of audits and communications from agencies of the U.S. government utilized in the determination of the estimate. We also tested management’s controls over the completeness and accuracy of the data used.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test the provision for claimed indirect costs, we performed audit procedures that included, among others, testing the clerical accuracy of the estimates and</w:t>
      </w:r>
    </w:p>
    <w:p>
      <w:pPr>
        <w:spacing w:after="0" w:line="4" w:lineRule="exact"/>
        <w:rPr>
          <w:sz w:val="20"/>
          <w:szCs w:val="20"/>
          <w:color w:val="auto"/>
        </w:rPr>
      </w:pPr>
    </w:p>
    <w:p>
      <w:pPr>
        <w:ind w:right="40"/>
        <w:spacing w:after="0" w:line="210" w:lineRule="auto"/>
        <w:rPr>
          <w:sz w:val="20"/>
          <w:szCs w:val="20"/>
          <w:color w:val="auto"/>
        </w:rPr>
      </w:pPr>
      <w:r>
        <w:rPr>
          <w:rFonts w:ascii="Times New Roman" w:cs="Times New Roman" w:eastAsia="Times New Roman" w:hAnsi="Times New Roman"/>
          <w:sz w:val="14"/>
          <w:szCs w:val="14"/>
          <w:color w:val="auto"/>
        </w:rPr>
        <w:t>the completeness and accuracy of the data utilized in determining the provision, and performing analytical procedures over incremental reserves recorded for the current year. We inspected communications with the DCAA or DCMA including current and prior audit reports and final resolutions. We also engaged our government contracting specialists to assist in identifying trends and recent experience in DCAA audits to evaluate the data the Company used to estimate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provision for claimed indirect costs.</w:t>
      </w:r>
    </w:p>
    <w:p>
      <w:pPr>
        <w:spacing w:after="0" w:line="200" w:lineRule="exact"/>
        <w:rPr>
          <w:sz w:val="20"/>
          <w:szCs w:val="20"/>
          <w:color w:val="auto"/>
        </w:rPr>
      </w:pPr>
    </w:p>
    <w:p>
      <w:pPr>
        <w:sectPr>
          <w:pgSz w:w="11900" w:h="16838" w:orient="portrait"/>
          <w:cols w:equalWidth="0" w:num="2">
            <w:col w:w="1320" w:space="520"/>
            <w:col w:w="9000"/>
          </w:cols>
          <w:pgMar w:left="300" w:top="354" w:right="759" w:bottom="1440" w:gutter="0" w:footer="0" w:header="0"/>
          <w:type w:val="continuous"/>
        </w:sectPr>
      </w:pPr>
    </w:p>
    <w:p>
      <w:pPr>
        <w:spacing w:after="0" w:line="23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Certain unrecognized tax benefits that, if recognized, would affect the effective income tax rate</w:t>
      </w:r>
    </w:p>
    <w:p>
      <w:pPr>
        <w:spacing w:after="0" w:line="72"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14"/>
          <w:szCs w:val="14"/>
          <w:i w:val="1"/>
          <w:iCs w:val="1"/>
          <w:color w:val="auto"/>
        </w:rPr>
        <w:t>Description of the Matter</w:t>
      </w:r>
      <w:r>
        <w:rPr>
          <w:sz w:val="20"/>
          <w:szCs w:val="20"/>
          <w:color w:val="auto"/>
        </w:rPr>
        <w:tab/>
      </w:r>
      <w:r>
        <w:rPr>
          <w:rFonts w:ascii="Times New Roman" w:cs="Times New Roman" w:eastAsia="Times New Roman" w:hAnsi="Times New Roman"/>
          <w:sz w:val="14"/>
          <w:szCs w:val="14"/>
          <w:color w:val="auto"/>
        </w:rPr>
        <w:t>As discussed in Notes 2 and 13 to the consolidated financial statements, the Company is subject to federal, state and foreign taxation in various jurisdictions.</w:t>
      </w:r>
    </w:p>
    <w:p>
      <w:pPr>
        <w:spacing w:after="0" w:line="16" w:lineRule="exact"/>
        <w:rPr>
          <w:sz w:val="20"/>
          <w:szCs w:val="20"/>
          <w:color w:val="auto"/>
        </w:rPr>
      </w:pPr>
    </w:p>
    <w:p>
      <w:pPr>
        <w:ind w:left="1840" w:right="140"/>
        <w:spacing w:after="0"/>
        <w:rPr>
          <w:sz w:val="20"/>
          <w:szCs w:val="20"/>
          <w:color w:val="auto"/>
        </w:rPr>
      </w:pPr>
      <w:r>
        <w:rPr>
          <w:rFonts w:ascii="Times New Roman" w:cs="Times New Roman" w:eastAsia="Times New Roman" w:hAnsi="Times New Roman"/>
          <w:sz w:val="14"/>
          <w:szCs w:val="14"/>
          <w:color w:val="auto"/>
        </w:rPr>
        <w:t>The Company reserves for uncertain tax positions related to unrecognized income tax benefits where it is not more likely than not that the Company’s tax position will be sustained. As of March 31, 2024, the Company has recorded $104.2 million of reserves for uncertain tax positions that, if recognized, would affect the effective income tax rate. These reserves involve considerable judgment and estimation and are evaluated by management based on available information.</w:t>
      </w:r>
    </w:p>
    <w:p>
      <w:pPr>
        <w:spacing w:after="0" w:line="168" w:lineRule="exact"/>
        <w:rPr>
          <w:sz w:val="20"/>
          <w:szCs w:val="20"/>
          <w:color w:val="auto"/>
        </w:rPr>
      </w:pPr>
    </w:p>
    <w:p>
      <w:pPr>
        <w:ind w:left="1840"/>
        <w:spacing w:after="0" w:line="239" w:lineRule="auto"/>
        <w:rPr>
          <w:sz w:val="20"/>
          <w:szCs w:val="20"/>
          <w:color w:val="auto"/>
        </w:rPr>
      </w:pPr>
      <w:r>
        <w:rPr>
          <w:rFonts w:ascii="Times New Roman" w:cs="Times New Roman" w:eastAsia="Times New Roman" w:hAnsi="Times New Roman"/>
          <w:sz w:val="14"/>
          <w:szCs w:val="14"/>
          <w:color w:val="auto"/>
        </w:rPr>
        <w:t>Auditing the unrecognized tax benefits was complex due to the significant judgment in applying the tax law and inherent uncertainty involved in predicting the ultimate resolution of the matter with the taxing authority.</w:t>
      </w:r>
    </w:p>
    <w:p>
      <w:pPr>
        <w:spacing w:after="0" w:line="84"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14"/>
          <w:szCs w:val="14"/>
          <w:i w:val="1"/>
          <w:iCs w:val="1"/>
          <w:color w:val="auto"/>
        </w:rPr>
        <w:t>How We Addressed the</w:t>
      </w:r>
      <w:r>
        <w:rPr>
          <w:sz w:val="20"/>
          <w:szCs w:val="20"/>
          <w:color w:val="auto"/>
        </w:rPr>
        <w:tab/>
      </w:r>
      <w:r>
        <w:rPr>
          <w:rFonts w:ascii="Times New Roman" w:cs="Times New Roman" w:eastAsia="Times New Roman" w:hAnsi="Times New Roman"/>
          <w:sz w:val="14"/>
          <w:szCs w:val="14"/>
          <w:color w:val="auto"/>
        </w:rPr>
        <w:t>We obtained an understanding, evaluated the design, and tested the operating effectiveness of controls over the Company’s accounting for uncertain tax</w:t>
      </w:r>
    </w:p>
    <w:p>
      <w:pPr>
        <w:ind w:left="20"/>
        <w:spacing w:after="0"/>
        <w:tabs>
          <w:tab w:leader="none" w:pos="1820" w:val="left"/>
        </w:tabs>
        <w:rPr>
          <w:sz w:val="20"/>
          <w:szCs w:val="20"/>
          <w:color w:val="auto"/>
        </w:rPr>
      </w:pPr>
      <w:r>
        <w:rPr>
          <w:rFonts w:ascii="Times New Roman" w:cs="Times New Roman" w:eastAsia="Times New Roman" w:hAnsi="Times New Roman"/>
          <w:sz w:val="14"/>
          <w:szCs w:val="14"/>
          <w:i w:val="1"/>
          <w:iCs w:val="1"/>
          <w:color w:val="auto"/>
        </w:rPr>
        <w:t>Matter in Our Audit</w:t>
      </w:r>
      <w:r>
        <w:rPr>
          <w:sz w:val="20"/>
          <w:szCs w:val="20"/>
          <w:color w:val="auto"/>
        </w:rPr>
        <w:tab/>
      </w:r>
      <w:r>
        <w:rPr>
          <w:rFonts w:ascii="Times New Roman" w:cs="Times New Roman" w:eastAsia="Times New Roman" w:hAnsi="Times New Roman"/>
          <w:sz w:val="14"/>
          <w:szCs w:val="14"/>
          <w:color w:val="auto"/>
        </w:rPr>
        <w:t>positions. For example, we tested controls over management’s review of the application of the tax law and the analysis performed to determine the</w:t>
      </w:r>
    </w:p>
    <w:p>
      <w:pPr>
        <w:spacing w:after="0" w:line="9" w:lineRule="exact"/>
        <w:rPr>
          <w:sz w:val="20"/>
          <w:szCs w:val="20"/>
          <w:color w:val="auto"/>
        </w:rPr>
      </w:pPr>
    </w:p>
    <w:p>
      <w:pPr>
        <w:ind w:left="1840" w:right="380"/>
        <w:spacing w:after="0" w:line="247" w:lineRule="auto"/>
        <w:rPr>
          <w:sz w:val="20"/>
          <w:szCs w:val="20"/>
          <w:color w:val="auto"/>
        </w:rPr>
      </w:pPr>
      <w:r>
        <w:rPr>
          <w:rFonts w:ascii="Times New Roman" w:cs="Times New Roman" w:eastAsia="Times New Roman" w:hAnsi="Times New Roman"/>
          <w:sz w:val="14"/>
          <w:szCs w:val="14"/>
          <w:color w:val="auto"/>
        </w:rPr>
        <w:t>unrecognized tax benefits. We also tested management’s controls over the completeness and accuracy of the data used in the calculation of the liabilities recorded.</w:t>
      </w:r>
    </w:p>
    <w:p>
      <w:pPr>
        <w:spacing w:after="0" w:line="162" w:lineRule="exact"/>
        <w:rPr>
          <w:sz w:val="20"/>
          <w:szCs w:val="20"/>
          <w:color w:val="auto"/>
        </w:rPr>
      </w:pPr>
    </w:p>
    <w:p>
      <w:pPr>
        <w:ind w:left="1840" w:right="160"/>
        <w:spacing w:after="0" w:line="244" w:lineRule="auto"/>
        <w:rPr>
          <w:sz w:val="20"/>
          <w:szCs w:val="20"/>
          <w:color w:val="auto"/>
        </w:rPr>
      </w:pPr>
      <w:r>
        <w:rPr>
          <w:rFonts w:ascii="Times New Roman" w:cs="Times New Roman" w:eastAsia="Times New Roman" w:hAnsi="Times New Roman"/>
          <w:sz w:val="14"/>
          <w:szCs w:val="14"/>
          <w:color w:val="auto"/>
        </w:rPr>
        <w:t>To test the unrecognized tax benefits, we performed audit procedures that included, among others, understanding the application of the tax law and rationale used by management and evaluating whether the uncertain tax position met the “more likely than not” recognition threshold. For example, we verified our understanding of the relevant facts by reading the Company's analysis of the application of the tax law. We involved our tax subject matter resources in the assessment of the technical merits of the Company’s tax positions, considering the applicable tax laws, and the methodology applied. We assessed the mathematical accuracy of management’s calculations, reviewed contracts and other source documents, and performed sensitivity analyses related to management’s estimate, as appropriate.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2006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Tysons,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24, 2024</w:t>
      </w:r>
    </w:p>
    <w:p>
      <w:pPr>
        <w:spacing w:after="0" w:line="200" w:lineRule="exact"/>
        <w:rPr>
          <w:sz w:val="20"/>
          <w:szCs w:val="20"/>
          <w:color w:val="auto"/>
        </w:rPr>
      </w:pPr>
    </w:p>
    <w:p>
      <w:pPr>
        <w:spacing w:after="0" w:line="24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40"/>
          </w:cols>
          <w:pgMar w:left="300" w:top="354" w:right="759" w:bottom="1440" w:gutter="0" w:footer="0" w:header="0"/>
          <w:type w:val="continuous"/>
        </w:sectPr>
      </w:pPr>
    </w:p>
    <w:bookmarkStart w:id="78" w:name="page79"/>
    <w:bookmarkEnd w:id="78"/>
    <w:p>
      <w:pPr>
        <w:ind w:left="18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6"/>
        </w:trPr>
        <w:tc>
          <w:tcPr>
            <w:tcW w:w="8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99"/>
        </w:trPr>
        <w:tc>
          <w:tcPr>
            <w:tcW w:w="8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20" w:type="dxa"/>
            <w:vAlign w:val="bottom"/>
            <w:gridSpan w:val="4"/>
          </w:tcPr>
          <w:p>
            <w:pPr>
              <w:jc w:val="right"/>
              <w:ind w:right="669"/>
              <w:spacing w:after="0" w:line="99" w:lineRule="exact"/>
              <w:rPr>
                <w:sz w:val="20"/>
                <w:szCs w:val="20"/>
                <w:color w:val="auto"/>
              </w:rPr>
            </w:pPr>
            <w:r>
              <w:rPr>
                <w:rFonts w:ascii="Times New Roman" w:cs="Times New Roman" w:eastAsia="Times New Roman" w:hAnsi="Times New Roman"/>
                <w:sz w:val="11"/>
                <w:szCs w:val="11"/>
                <w:b w:val="1"/>
                <w:bCs w:val="1"/>
                <w:color w:val="auto"/>
              </w:rPr>
              <w:t>(Amounts in thousands, except</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20" w:type="dxa"/>
            <w:vAlign w:val="bottom"/>
            <w:gridSpan w:val="4"/>
          </w:tcPr>
          <w:p>
            <w:pPr>
              <w:jc w:val="right"/>
              <w:ind w:right="809"/>
              <w:spacing w:after="0"/>
              <w:rPr>
                <w:sz w:val="20"/>
                <w:szCs w:val="20"/>
                <w:color w:val="auto"/>
              </w:rPr>
            </w:pPr>
            <w:r>
              <w:rPr>
                <w:rFonts w:ascii="Times New Roman" w:cs="Times New Roman" w:eastAsia="Times New Roman" w:hAnsi="Times New Roman"/>
                <w:sz w:val="11"/>
                <w:szCs w:val="11"/>
                <w:b w:val="1"/>
                <w:bCs w:val="1"/>
                <w:color w:val="auto"/>
              </w:rPr>
              <w:t>share and per share data)</w:t>
            </w:r>
          </w:p>
        </w:tc>
        <w:tc>
          <w:tcPr>
            <w:tcW w:w="0" w:type="dxa"/>
            <w:vAlign w:val="bottom"/>
          </w:tcPr>
          <w:p>
            <w:pPr>
              <w:spacing w:after="0"/>
              <w:rPr>
                <w:sz w:val="1"/>
                <w:szCs w:val="1"/>
                <w:color w:val="auto"/>
              </w:rPr>
            </w:pPr>
          </w:p>
        </w:tc>
      </w:tr>
      <w:tr>
        <w:trPr>
          <w:trHeight w:val="189"/>
        </w:trPr>
        <w:tc>
          <w:tcPr>
            <w:tcW w:w="8300" w:type="dxa"/>
            <w:vAlign w:val="bottom"/>
          </w:tcPr>
          <w:p>
            <w:pPr>
              <w:ind w:left="38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554,257</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404,862</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2,047,342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1,774,830</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137,310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108,366</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2,738,909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2,288,058</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 of accumulated depreciation</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195,186</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187,798</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601,043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685,615</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2,343,789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2,338,399</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573,780</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assets</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290,152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281,816</w:t>
            </w:r>
          </w:p>
        </w:tc>
        <w:tc>
          <w:tcPr>
            <w:tcW w:w="0" w:type="dxa"/>
            <w:vAlign w:val="bottom"/>
          </w:tcPr>
          <w:p>
            <w:pPr>
              <w:spacing w:after="0"/>
              <w:rPr>
                <w:sz w:val="1"/>
                <w:szCs w:val="1"/>
                <w:color w:val="auto"/>
              </w:rPr>
            </w:pPr>
          </w:p>
        </w:tc>
      </w:tr>
      <w:tr>
        <w:trPr>
          <w:trHeight w:val="171"/>
        </w:trPr>
        <w:tc>
          <w:tcPr>
            <w:tcW w:w="83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6,563,688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6,550,652</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00" w:type="dxa"/>
            <w:vAlign w:val="bottom"/>
            <w:shd w:val="clear" w:color="auto" w:fill="CCEEFF"/>
          </w:tcPr>
          <w:p>
            <w:pPr>
              <w:ind w:left="260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61,875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41,250</w:t>
            </w:r>
          </w:p>
        </w:tc>
        <w:tc>
          <w:tcPr>
            <w:tcW w:w="0" w:type="dxa"/>
            <w:vAlign w:val="bottom"/>
          </w:tcPr>
          <w:p>
            <w:pPr>
              <w:spacing w:after="0"/>
              <w:rPr>
                <w:sz w:val="1"/>
                <w:szCs w:val="1"/>
                <w:color w:val="auto"/>
              </w:rPr>
            </w:pPr>
          </w:p>
        </w:tc>
      </w:tr>
      <w:tr>
        <w:trPr>
          <w:trHeight w:val="180"/>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 and other accrued expenses</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1,050,670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1,316,640</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506,130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445,205</w:t>
            </w:r>
          </w:p>
        </w:tc>
        <w:tc>
          <w:tcPr>
            <w:tcW w:w="0" w:type="dxa"/>
            <w:vAlign w:val="bottom"/>
          </w:tcPr>
          <w:p>
            <w:pPr>
              <w:spacing w:after="0"/>
              <w:rPr>
                <w:sz w:val="1"/>
                <w:szCs w:val="1"/>
                <w:color w:val="auto"/>
              </w:rPr>
            </w:pPr>
          </w:p>
        </w:tc>
      </w:tr>
      <w:tr>
        <w:trPr>
          <w:trHeight w:val="180"/>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51,238</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42,721</w:t>
            </w:r>
          </w:p>
        </w:tc>
        <w:tc>
          <w:tcPr>
            <w:tcW w:w="0" w:type="dxa"/>
            <w:vAlign w:val="bottom"/>
          </w:tcPr>
          <w:p>
            <w:pPr>
              <w:spacing w:after="0"/>
              <w:rPr>
                <w:sz w:val="1"/>
                <w:szCs w:val="1"/>
                <w:color w:val="auto"/>
              </w:rPr>
            </w:pPr>
          </w:p>
        </w:tc>
      </w:tr>
      <w:tr>
        <w:trPr>
          <w:trHeight w:val="171"/>
        </w:trPr>
        <w:tc>
          <w:tcPr>
            <w:tcW w:w="8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1,692,190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1,897,054</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3,349,941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2,770,895</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198,144</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reserves</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120,237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552,623</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172,624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139,934</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5,517,126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5,558,650</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(Note 20)</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3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Common stock, Class A - $0.01 par value - 600,000,000 shares authorized; 167,402,268 shares and 165,872,332 shares issued at March 31,</w:t>
            </w: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2024 and March 31, 2023, respectively; 129,643,123 shares and 131,637,588 shares outstanding at March 31, 2024 and March 31, 2023,</w:t>
            </w:r>
          </w:p>
        </w:tc>
        <w:tc>
          <w:tcPr>
            <w:tcW w:w="2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0" w:type="dxa"/>
            <w:vAlign w:val="bottom"/>
          </w:tcPr>
          <w:p>
            <w:pPr>
              <w:spacing w:after="0"/>
              <w:rPr>
                <w:sz w:val="1"/>
                <w:szCs w:val="1"/>
                <w:color w:val="auto"/>
              </w:rPr>
            </w:pPr>
          </w:p>
        </w:tc>
      </w:tr>
      <w:tr>
        <w:trPr>
          <w:trHeight w:val="180"/>
        </w:trPr>
        <w:tc>
          <w:tcPr>
            <w:tcW w:w="8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respectively</w:t>
            </w:r>
          </w:p>
        </w:tc>
        <w:tc>
          <w:tcPr>
            <w:tcW w:w="2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Treasury stock, at cost - 37,759,145 and 34,234,744 shares at March 31, 2024 and March 31, 2023, respectively</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(2,277,546)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(1,859,905)</w:t>
            </w:r>
          </w:p>
        </w:tc>
        <w:tc>
          <w:tcPr>
            <w:tcW w:w="0" w:type="dxa"/>
            <w:vAlign w:val="bottom"/>
          </w:tcPr>
          <w:p>
            <w:pPr>
              <w:spacing w:after="0"/>
              <w:rPr>
                <w:sz w:val="1"/>
                <w:szCs w:val="1"/>
                <w:color w:val="auto"/>
              </w:rPr>
            </w:pPr>
          </w:p>
        </w:tc>
      </w:tr>
      <w:tr>
        <w:trPr>
          <w:trHeight w:val="180"/>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908,837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769,460</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2,404,065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2,051,455</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29,333</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1,046,562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992,002</w:t>
            </w:r>
          </w:p>
        </w:tc>
        <w:tc>
          <w:tcPr>
            <w:tcW w:w="0" w:type="dxa"/>
            <w:vAlign w:val="bottom"/>
          </w:tcPr>
          <w:p>
            <w:pPr>
              <w:spacing w:after="0"/>
              <w:rPr>
                <w:sz w:val="1"/>
                <w:szCs w:val="1"/>
                <w:color w:val="auto"/>
              </w:rPr>
            </w:pPr>
          </w:p>
        </w:tc>
      </w:tr>
      <w:tr>
        <w:trPr>
          <w:trHeight w:val="171"/>
        </w:trPr>
        <w:tc>
          <w:tcPr>
            <w:tcW w:w="83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6,563,688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6,550,652</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353"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26"/>
        </w:trPr>
        <w:tc>
          <w:tcPr>
            <w:tcW w:w="332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0000FF"/>
              </w:rPr>
              <w:t>Table of Contents</w:t>
            </w:r>
          </w:p>
        </w:tc>
        <w:tc>
          <w:tcPr>
            <w:tcW w:w="3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280" w:type="dxa"/>
            <w:vAlign w:val="bottom"/>
          </w:tcPr>
          <w:p>
            <w:pPr>
              <w:spacing w:after="0"/>
              <w:rPr>
                <w:sz w:val="24"/>
                <w:szCs w:val="24"/>
                <w:color w:val="auto"/>
              </w:rPr>
            </w:pPr>
          </w:p>
        </w:tc>
        <w:tc>
          <w:tcPr>
            <w:tcW w:w="49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5"/>
        </w:trPr>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960" w:type="dxa"/>
            <w:vAlign w:val="bottom"/>
            <w:gridSpan w:val="6"/>
          </w:tcPr>
          <w:p>
            <w:pPr>
              <w:jc w:val="center"/>
              <w:ind w:left="370"/>
              <w:spacing w:after="0"/>
              <w:rPr>
                <w:sz w:val="20"/>
                <w:szCs w:val="20"/>
                <w:color w:val="auto"/>
              </w:rPr>
            </w:pPr>
            <w:r>
              <w:rPr>
                <w:rFonts w:ascii="Times New Roman" w:cs="Times New Roman" w:eastAsia="Times New Roman" w:hAnsi="Times New Roman"/>
                <w:sz w:val="11"/>
                <w:szCs w:val="11"/>
                <w:b w:val="1"/>
                <w:bCs w:val="1"/>
                <w:color w:val="auto"/>
              </w:rPr>
              <w:t>(Amounts in thousands, except per share data)</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4000" w:type="dxa"/>
            <w:vAlign w:val="bottom"/>
            <w:gridSpan w:val="2"/>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10,661,896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9,258,911</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8,363,700</w:t>
            </w:r>
          </w:p>
        </w:tc>
        <w:tc>
          <w:tcPr>
            <w:tcW w:w="0" w:type="dxa"/>
            <w:vAlign w:val="bottom"/>
          </w:tcPr>
          <w:p>
            <w:pPr>
              <w:spacing w:after="0"/>
              <w:rPr>
                <w:sz w:val="1"/>
                <w:szCs w:val="1"/>
                <w:color w:val="auto"/>
              </w:rPr>
            </w:pPr>
          </w:p>
        </w:tc>
      </w:tr>
      <w:tr>
        <w:trPr>
          <w:trHeight w:val="180"/>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3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revenue</w:t>
            </w:r>
          </w:p>
        </w:tc>
        <w:tc>
          <w:tcPr>
            <w:tcW w:w="34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4,921,071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4,304,810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3,899,622</w:t>
            </w:r>
          </w:p>
        </w:tc>
        <w:tc>
          <w:tcPr>
            <w:tcW w:w="0" w:type="dxa"/>
            <w:vAlign w:val="bottom"/>
          </w:tcPr>
          <w:p>
            <w:pPr>
              <w:spacing w:after="0"/>
              <w:rPr>
                <w:sz w:val="1"/>
                <w:szCs w:val="1"/>
                <w:color w:val="auto"/>
              </w:rPr>
            </w:pPr>
          </w:p>
        </w:tc>
      </w:tr>
      <w:tr>
        <w:trPr>
          <w:trHeight w:val="180"/>
        </w:trPr>
        <w:tc>
          <w:tcPr>
            <w:tcW w:w="33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Billable expenses</w:t>
            </w:r>
          </w:p>
        </w:tc>
        <w:tc>
          <w:tcPr>
            <w:tcW w:w="3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3,281,776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2,808,857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2,474,163</w:t>
            </w:r>
          </w:p>
        </w:tc>
        <w:tc>
          <w:tcPr>
            <w:tcW w:w="0" w:type="dxa"/>
            <w:vAlign w:val="bottom"/>
          </w:tcPr>
          <w:p>
            <w:pPr>
              <w:spacing w:after="0"/>
              <w:rPr>
                <w:sz w:val="1"/>
                <w:szCs w:val="1"/>
                <w:color w:val="auto"/>
              </w:rPr>
            </w:pPr>
          </w:p>
        </w:tc>
      </w:tr>
      <w:tr>
        <w:trPr>
          <w:trHeight w:val="180"/>
        </w:trPr>
        <w:tc>
          <w:tcPr>
            <w:tcW w:w="3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4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1,281,443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1,532,912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1,158,987</w:t>
            </w:r>
          </w:p>
        </w:tc>
        <w:tc>
          <w:tcPr>
            <w:tcW w:w="0" w:type="dxa"/>
            <w:vAlign w:val="bottom"/>
          </w:tcPr>
          <w:p>
            <w:pPr>
              <w:spacing w:after="0"/>
              <w:rPr>
                <w:sz w:val="1"/>
                <w:szCs w:val="1"/>
                <w:color w:val="auto"/>
              </w:rPr>
            </w:pPr>
          </w:p>
        </w:tc>
      </w:tr>
      <w:tr>
        <w:trPr>
          <w:trHeight w:val="180"/>
        </w:trPr>
        <w:tc>
          <w:tcPr>
            <w:tcW w:w="332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164,203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165,484</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145,747</w:t>
            </w:r>
          </w:p>
        </w:tc>
        <w:tc>
          <w:tcPr>
            <w:tcW w:w="0" w:type="dxa"/>
            <w:vAlign w:val="bottom"/>
          </w:tcPr>
          <w:p>
            <w:pPr>
              <w:spacing w:after="0"/>
              <w:rPr>
                <w:sz w:val="1"/>
                <w:szCs w:val="1"/>
                <w:color w:val="auto"/>
              </w:rPr>
            </w:pPr>
          </w:p>
        </w:tc>
      </w:tr>
      <w:tr>
        <w:trPr>
          <w:trHeight w:val="171"/>
        </w:trPr>
        <w:tc>
          <w:tcPr>
            <w:tcW w:w="2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34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9,648,493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8,812,063</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7,678,519</w:t>
            </w:r>
          </w:p>
        </w:tc>
        <w:tc>
          <w:tcPr>
            <w:tcW w:w="0" w:type="dxa"/>
            <w:vAlign w:val="bottom"/>
          </w:tcPr>
          <w:p>
            <w:pPr>
              <w:spacing w:after="0"/>
              <w:rPr>
                <w:sz w:val="1"/>
                <w:szCs w:val="1"/>
                <w:color w:val="auto"/>
              </w:rPr>
            </w:pPr>
          </w:p>
        </w:tc>
      </w:tr>
      <w:tr>
        <w:trPr>
          <w:trHeight w:val="171"/>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1,013,403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446,848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685,181</w:t>
            </w:r>
          </w:p>
        </w:tc>
        <w:tc>
          <w:tcPr>
            <w:tcW w:w="0" w:type="dxa"/>
            <w:vAlign w:val="bottom"/>
          </w:tcPr>
          <w:p>
            <w:pPr>
              <w:spacing w:after="0"/>
              <w:rPr>
                <w:sz w:val="1"/>
                <w:szCs w:val="1"/>
                <w:color w:val="auto"/>
              </w:rPr>
            </w:pPr>
          </w:p>
        </w:tc>
      </w:tr>
      <w:tr>
        <w:trPr>
          <w:trHeight w:val="180"/>
        </w:trPr>
        <w:tc>
          <w:tcPr>
            <w:tcW w:w="3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34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(119,850)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(92,352)</w:t>
            </w:r>
          </w:p>
        </w:tc>
        <w:tc>
          <w:tcPr>
            <w:tcW w:w="0" w:type="dxa"/>
            <w:vAlign w:val="bottom"/>
          </w:tcPr>
          <w:p>
            <w:pPr>
              <w:spacing w:after="0"/>
              <w:rPr>
                <w:sz w:val="1"/>
                <w:szCs w:val="1"/>
                <w:color w:val="auto"/>
              </w:rPr>
            </w:pPr>
          </w:p>
        </w:tc>
      </w:tr>
      <w:tr>
        <w:trPr>
          <w:trHeight w:val="180"/>
        </w:trPr>
        <w:tc>
          <w:tcPr>
            <w:tcW w:w="332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34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40,951</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11,214</w:t>
            </w:r>
          </w:p>
        </w:tc>
        <w:tc>
          <w:tcPr>
            <w:tcW w:w="0" w:type="dxa"/>
            <w:vAlign w:val="bottom"/>
          </w:tcPr>
          <w:p>
            <w:pPr>
              <w:spacing w:after="0"/>
              <w:rPr>
                <w:sz w:val="1"/>
                <w:szCs w:val="1"/>
                <w:color w:val="auto"/>
              </w:rPr>
            </w:pPr>
          </w:p>
        </w:tc>
      </w:tr>
      <w:tr>
        <w:trPr>
          <w:trHeight w:val="171"/>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853,320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367,949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604,043</w:t>
            </w:r>
          </w:p>
        </w:tc>
        <w:tc>
          <w:tcPr>
            <w:tcW w:w="0" w:type="dxa"/>
            <w:vAlign w:val="bottom"/>
          </w:tcPr>
          <w:p>
            <w:pPr>
              <w:spacing w:after="0"/>
              <w:rPr>
                <w:sz w:val="1"/>
                <w:szCs w:val="1"/>
                <w:color w:val="auto"/>
              </w:rPr>
            </w:pPr>
          </w:p>
        </w:tc>
      </w:tr>
      <w:tr>
        <w:trPr>
          <w:trHeight w:val="180"/>
        </w:trPr>
        <w:tc>
          <w:tcPr>
            <w:tcW w:w="332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4"/>
                <w:szCs w:val="14"/>
                <w:color w:val="auto"/>
              </w:rPr>
              <w:t>Income tax expense</w:t>
            </w:r>
          </w:p>
        </w:tc>
        <w:tc>
          <w:tcPr>
            <w:tcW w:w="34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247,614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96,734</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137,466</w:t>
            </w:r>
          </w:p>
        </w:tc>
        <w:tc>
          <w:tcPr>
            <w:tcW w:w="0" w:type="dxa"/>
            <w:vAlign w:val="bottom"/>
          </w:tcPr>
          <w:p>
            <w:pPr>
              <w:spacing w:after="0"/>
              <w:rPr>
                <w:sz w:val="1"/>
                <w:szCs w:val="1"/>
                <w:color w:val="auto"/>
              </w:rPr>
            </w:pPr>
          </w:p>
        </w:tc>
      </w:tr>
      <w:tr>
        <w:trPr>
          <w:trHeight w:val="171"/>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271,215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466,577</w:t>
            </w:r>
          </w:p>
        </w:tc>
        <w:tc>
          <w:tcPr>
            <w:tcW w:w="0" w:type="dxa"/>
            <w:vAlign w:val="bottom"/>
          </w:tcPr>
          <w:p>
            <w:pPr>
              <w:spacing w:after="0"/>
              <w:rPr>
                <w:sz w:val="1"/>
                <w:szCs w:val="1"/>
                <w:color w:val="auto"/>
              </w:rPr>
            </w:pPr>
          </w:p>
        </w:tc>
      </w:tr>
      <w:tr>
        <w:trPr>
          <w:trHeight w:val="180"/>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3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346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271,791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466,740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Earnings per share of common stock (Note 4):</w:t>
            </w:r>
          </w:p>
        </w:tc>
        <w:tc>
          <w:tcPr>
            <w:tcW w:w="3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320" w:type="dxa"/>
            <w:vAlign w:val="bottom"/>
            <w:gridSpan w:val="3"/>
            <w:vMerge w:val="continue"/>
          </w:tcPr>
          <w:p>
            <w:pPr>
              <w:spacing w:after="0"/>
              <w:rPr>
                <w:sz w:val="10"/>
                <w:szCs w:val="10"/>
                <w:color w:val="auto"/>
              </w:rPr>
            </w:pPr>
          </w:p>
        </w:tc>
        <w:tc>
          <w:tcPr>
            <w:tcW w:w="3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3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34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0"/>
        </w:trPr>
        <w:tc>
          <w:tcPr>
            <w:tcW w:w="33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4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gridSpan w:val="3"/>
            <w:vMerge w:val="continue"/>
          </w:tcPr>
          <w:p>
            <w:pPr>
              <w:spacing w:after="0"/>
              <w:rPr>
                <w:sz w:val="12"/>
                <w:szCs w:val="12"/>
                <w:color w:val="auto"/>
              </w:rPr>
            </w:pPr>
          </w:p>
        </w:tc>
        <w:tc>
          <w:tcPr>
            <w:tcW w:w="34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2.03</w:t>
            </w:r>
          </w:p>
        </w:tc>
        <w:tc>
          <w:tcPr>
            <w:tcW w:w="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89"/>
              <w:spacing w:after="0" w:line="14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2"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26"/>
        </w:trPr>
        <w:tc>
          <w:tcPr>
            <w:tcW w:w="384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0000FF"/>
              </w:rPr>
              <w:t>Table of Contents</w:t>
            </w:r>
          </w:p>
        </w:tc>
        <w:tc>
          <w:tcPr>
            <w:tcW w:w="2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409"/>
        </w:trPr>
        <w:tc>
          <w:tcPr>
            <w:tcW w:w="20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800" w:type="dxa"/>
            <w:vAlign w:val="bottom"/>
          </w:tcPr>
          <w:p>
            <w:pPr>
              <w:spacing w:after="0"/>
              <w:rPr>
                <w:sz w:val="24"/>
                <w:szCs w:val="24"/>
                <w:color w:val="auto"/>
              </w:rPr>
            </w:pPr>
          </w:p>
        </w:tc>
        <w:tc>
          <w:tcPr>
            <w:tcW w:w="37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6"/>
        </w:trPr>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160" w:type="dxa"/>
            <w:vAlign w:val="bottom"/>
            <w:gridSpan w:val="5"/>
          </w:tcPr>
          <w:p>
            <w:pPr>
              <w:ind w:left="246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8"/>
        </w:trPr>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86"/>
        </w:trPr>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1"/>
        </w:trPr>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5"/>
        </w:trPr>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(Amounts in thousands)</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6"/>
        </w:trPr>
        <w:tc>
          <w:tcPr>
            <w:tcW w:w="3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740" w:type="dxa"/>
            <w:vAlign w:val="bottom"/>
            <w:gridSpan w:val="2"/>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605,706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271,215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466,577</w:t>
            </w:r>
          </w:p>
        </w:tc>
      </w:tr>
      <w:tr>
        <w:trPr>
          <w:trHeight w:val="18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75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unrealized (loss) gain on derivatives designated as cash flow hedges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27,983</w:t>
            </w:r>
          </w:p>
        </w:tc>
      </w:tr>
      <w:tr>
        <w:trPr>
          <w:trHeight w:val="180"/>
        </w:trPr>
        <w:tc>
          <w:tcPr>
            <w:tcW w:w="38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Change in postretirement plan costs</w:t>
            </w:r>
          </w:p>
        </w:tc>
        <w:tc>
          <w:tcPr>
            <w:tcW w:w="28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(17,474)</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10,373</w:t>
            </w:r>
          </w:p>
        </w:tc>
      </w:tr>
      <w:tr>
        <w:trPr>
          <w:trHeight w:val="171"/>
        </w:trPr>
        <w:tc>
          <w:tcPr>
            <w:tcW w:w="20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other comprehensive (loss) income, net of tax</w:t>
            </w:r>
          </w:p>
        </w:tc>
        <w:tc>
          <w:tcPr>
            <w:tcW w:w="28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38,356</w:t>
            </w:r>
          </w:p>
        </w:tc>
      </w:tr>
      <w:tr>
        <w:trPr>
          <w:trHeight w:val="171"/>
        </w:trPr>
        <w:tc>
          <w:tcPr>
            <w:tcW w:w="200" w:type="dxa"/>
            <w:vAlign w:val="bottom"/>
          </w:tcPr>
          <w:p>
            <w:pPr>
              <w:spacing w:after="0"/>
              <w:rPr>
                <w:sz w:val="14"/>
                <w:szCs w:val="14"/>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Comprehensive income</w:t>
            </w:r>
          </w:p>
        </w:tc>
        <w:tc>
          <w:tcPr>
            <w:tcW w:w="2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585,905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291,963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504,933</w:t>
            </w:r>
          </w:p>
        </w:tc>
      </w:tr>
      <w:tr>
        <w:trPr>
          <w:trHeight w:val="180"/>
        </w:trPr>
        <w:tc>
          <w:tcPr>
            <w:tcW w:w="200" w:type="dxa"/>
            <w:vAlign w:val="bottom"/>
            <w:shd w:val="clear" w:color="auto" w:fill="CCEEFF"/>
          </w:tcPr>
          <w:p>
            <w:pPr>
              <w:spacing w:after="0"/>
              <w:rPr>
                <w:sz w:val="15"/>
                <w:szCs w:val="15"/>
                <w:color w:val="auto"/>
              </w:rPr>
            </w:pPr>
          </w:p>
        </w:tc>
        <w:tc>
          <w:tcPr>
            <w:tcW w:w="3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w:t>
            </w:r>
          </w:p>
        </w:tc>
        <w:tc>
          <w:tcPr>
            <w:tcW w:w="28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71"/>
        </w:trPr>
        <w:tc>
          <w:tcPr>
            <w:tcW w:w="200" w:type="dxa"/>
            <w:vAlign w:val="bottom"/>
          </w:tcPr>
          <w:p>
            <w:pPr>
              <w:spacing w:after="0"/>
              <w:rPr>
                <w:sz w:val="14"/>
                <w:szCs w:val="14"/>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Comprehensive income attributable to common stockholders</w:t>
            </w:r>
          </w:p>
        </w:tc>
        <w:tc>
          <w:tcPr>
            <w:tcW w:w="28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585,905</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292,539</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505,096</w:t>
            </w:r>
          </w:p>
        </w:tc>
      </w:tr>
      <w:tr>
        <w:trPr>
          <w:trHeight w:val="20"/>
        </w:trPr>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352" w:right="439" w:bottom="1440" w:gutter="0" w:footer="0" w:header="0"/>
        </w:sectPr>
      </w:pPr>
    </w:p>
    <w:bookmarkStart w:id="81" w:name="page82"/>
    <w:bookmarkEnd w:id="8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5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86"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3"/>
          <w:szCs w:val="13"/>
          <w:b w:val="1"/>
          <w:bCs w:val="1"/>
          <w:color w:val="auto"/>
        </w:rPr>
        <w:t>Fiscal Year Ended</w:t>
      </w:r>
    </w:p>
    <w:p>
      <w:pPr>
        <w:ind w:left="87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45"/>
        </w:trPr>
        <w:tc>
          <w:tcPr>
            <w:tcW w:w="7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(Amounts in thousands)</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68"/>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605,706</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271,215</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466,577</w:t>
            </w:r>
          </w:p>
        </w:tc>
      </w:tr>
      <w:tr>
        <w:trPr>
          <w:trHeight w:val="17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7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164,203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145,747</w:t>
            </w:r>
          </w:p>
        </w:tc>
      </w:tr>
      <w:tr>
        <w:trPr>
          <w:trHeight w:val="172"/>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Noncash lease expense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55,881</w:t>
            </w:r>
          </w:p>
        </w:tc>
      </w:tr>
      <w:tr>
        <w:trPr>
          <w:trHeight w:val="168"/>
        </w:trPr>
        <w:tc>
          <w:tcPr>
            <w:tcW w:w="7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94,982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80,272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69,784</w:t>
            </w:r>
          </w:p>
        </w:tc>
      </w:tr>
      <w:tr>
        <w:trPr>
          <w:trHeight w:val="172"/>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Deferred income taxes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(101,006)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(353,902)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(130,197)</w:t>
            </w:r>
          </w:p>
        </w:tc>
      </w:tr>
      <w:tr>
        <w:trPr>
          <w:trHeight w:val="168"/>
        </w:trPr>
        <w:tc>
          <w:tcPr>
            <w:tcW w:w="7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4,619</w:t>
            </w:r>
          </w:p>
        </w:tc>
      </w:tr>
      <w:tr>
        <w:trPr>
          <w:trHeight w:val="172"/>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2,515</w:t>
            </w:r>
          </w:p>
        </w:tc>
      </w:tr>
      <w:tr>
        <w:trPr>
          <w:trHeight w:val="168"/>
        </w:trPr>
        <w:tc>
          <w:tcPr>
            <w:tcW w:w="7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Net loss (gains) on dispositions, impairments and other</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(3,388)</w:t>
            </w:r>
          </w:p>
        </w:tc>
      </w:tr>
      <w:tr>
        <w:trPr>
          <w:trHeight w:val="172"/>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loss (gains) associated with equity method investment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(12,759)</w:t>
            </w:r>
          </w:p>
        </w:tc>
      </w:tr>
      <w:tr>
        <w:trPr>
          <w:trHeight w:val="168"/>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receivable, net</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(269,639)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(130,187)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(154,652)</w:t>
            </w:r>
          </w:p>
        </w:tc>
      </w:tr>
      <w:tr>
        <w:trPr>
          <w:trHeight w:val="168"/>
        </w:trPr>
        <w:tc>
          <w:tcPr>
            <w:tcW w:w="7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Income taxes receivable / payable</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132,029</w:t>
            </w:r>
          </w:p>
        </w:tc>
      </w:tr>
      <w:tr>
        <w:trPr>
          <w:trHeight w:val="172"/>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Prepaid expenses and other current and long-term assets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181,907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(19,489)</w:t>
            </w:r>
          </w:p>
        </w:tc>
      </w:tr>
      <w:tr>
        <w:trPr>
          <w:trHeight w:val="168"/>
        </w:trPr>
        <w:tc>
          <w:tcPr>
            <w:tcW w:w="7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47,741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12,620</w:t>
            </w:r>
          </w:p>
        </w:tc>
      </w:tr>
      <w:tr>
        <w:trPr>
          <w:trHeight w:val="172"/>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payable and other accrued expenses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(282,072)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409,516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194,827</w:t>
            </w:r>
          </w:p>
        </w:tc>
      </w:tr>
      <w:tr>
        <w:trPr>
          <w:trHeight w:val="168"/>
        </w:trPr>
        <w:tc>
          <w:tcPr>
            <w:tcW w:w="7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Other current and long-term liabilities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(47,711)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(53,436)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(27,588)</w:t>
            </w:r>
          </w:p>
        </w:tc>
      </w:tr>
      <w:tr>
        <w:trPr>
          <w:trHeight w:val="163"/>
        </w:trPr>
        <w:tc>
          <w:tcPr>
            <w:tcW w:w="70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258,838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602,822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736,526</w:t>
            </w:r>
          </w:p>
        </w:tc>
      </w:tr>
      <w:tr>
        <w:trPr>
          <w:trHeight w:val="169"/>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Purchases of property, equipment, and software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(66,699)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(76,130)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(79,964)</w:t>
            </w:r>
          </w:p>
        </w:tc>
      </w:tr>
      <w:tr>
        <w:trPr>
          <w:trHeight w:val="168"/>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Payments for business acquisitions, net of cash acquired</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(440,295)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(780,334)</w:t>
            </w:r>
          </w:p>
        </w:tc>
      </w:tr>
      <w:tr>
        <w:trPr>
          <w:trHeight w:val="17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Payments for cost method investments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(23,535)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w:t>
            </w:r>
          </w:p>
        </w:tc>
      </w:tr>
      <w:tr>
        <w:trPr>
          <w:trHeight w:val="168"/>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sale of businesses</w:t>
            </w:r>
          </w:p>
        </w:tc>
        <w:tc>
          <w:tcPr>
            <w:tcW w:w="3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53,409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investing activities</w:t>
            </w: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r>
      <w:tr>
        <w:trPr>
          <w:trHeight w:val="158"/>
        </w:trPr>
        <w:tc>
          <w:tcPr>
            <w:tcW w:w="7020" w:type="dxa"/>
            <w:vAlign w:val="bottom"/>
          </w:tcPr>
          <w:p>
            <w:pPr>
              <w:ind w:left="520"/>
              <w:spacing w:after="0" w:line="146"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(90,640)</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(468,016)</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(867,725)</w:t>
            </w:r>
          </w:p>
        </w:tc>
      </w:tr>
      <w:tr>
        <w:trPr>
          <w:trHeight w:val="17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28,665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24,663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23,371</w:t>
            </w:r>
          </w:p>
        </w:tc>
      </w:tr>
      <w:tr>
        <w:trPr>
          <w:trHeight w:val="17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 option exercises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5,929</w:t>
            </w:r>
          </w:p>
        </w:tc>
      </w:tr>
      <w:tr>
        <w:trPr>
          <w:trHeight w:val="168"/>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(404,141)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(223,858)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(418,859)</w:t>
            </w:r>
          </w:p>
        </w:tc>
      </w:tr>
      <w:tr>
        <w:trPr>
          <w:trHeight w:val="17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dividends paid</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(253,413)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(235,726)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(209,057)</w:t>
            </w:r>
          </w:p>
        </w:tc>
      </w:tr>
      <w:tr>
        <w:trPr>
          <w:trHeight w:val="168"/>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revolving credit facility</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w:t>
            </w:r>
          </w:p>
        </w:tc>
      </w:tr>
      <w:tr>
        <w:trPr>
          <w:trHeight w:val="17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Repayments on revolving credit facility, term loans, and Senior Notes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(541,250)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(417,068)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(112,257)</w:t>
            </w:r>
          </w:p>
        </w:tc>
      </w:tr>
      <w:tr>
        <w:trPr>
          <w:trHeight w:val="168"/>
        </w:trPr>
        <w:tc>
          <w:tcPr>
            <w:tcW w:w="7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Net proceeds from debt issuance</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635,591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414,751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487,027</w:t>
            </w:r>
          </w:p>
        </w:tc>
      </w:tr>
      <w:tr>
        <w:trPr>
          <w:trHeight w:val="163"/>
        </w:trPr>
        <w:tc>
          <w:tcPr>
            <w:tcW w:w="70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(18,803)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(425,854)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(163,846)</w:t>
            </w:r>
          </w:p>
        </w:tc>
      </w:tr>
      <w:tr>
        <w:trPr>
          <w:trHeight w:val="168"/>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149,395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(291,048)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(295,045)</w:t>
            </w:r>
          </w:p>
        </w:tc>
      </w:tr>
      <w:tr>
        <w:trPr>
          <w:trHeight w:val="17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equivalents––beginning of year</w:t>
            </w: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404,862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695,910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990,955</w:t>
            </w:r>
          </w:p>
        </w:tc>
      </w:tr>
      <w:tr>
        <w:trPr>
          <w:trHeight w:val="158"/>
        </w:trPr>
        <w:tc>
          <w:tcPr>
            <w:tcW w:w="70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Cash and cash equivalents––end of year</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554,257</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404,862</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695,910</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33"/>
        </w:trPr>
        <w:tc>
          <w:tcPr>
            <w:tcW w:w="702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68"/>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paid during the period for:</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155,848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115,578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64,699</w:t>
            </w:r>
          </w:p>
        </w:tc>
      </w:tr>
      <w:tr>
        <w:trPr>
          <w:trHeight w:val="168"/>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taxes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335,911</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256,394</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127,069</w:t>
            </w:r>
          </w:p>
        </w:tc>
      </w:tr>
      <w:tr>
        <w:trPr>
          <w:trHeight w:val="17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Supplemental disclosures of non-cash investing and financing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 repurchases transacted but not settled and paid</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29,445</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16,432</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15,839</w:t>
            </w:r>
          </w:p>
        </w:tc>
      </w:tr>
      <w:tr>
        <w:trPr>
          <w:trHeight w:val="17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Unpaid property, equipment and software purchases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16,117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2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40"/>
          </w:cols>
          <w:pgMar w:left="300" w:top="354" w:right="659" w:bottom="1440" w:gutter="0" w:footer="0" w:header="0"/>
        </w:sectPr>
      </w:pPr>
    </w:p>
    <w:bookmarkStart w:id="82" w:name="page83"/>
    <w:bookmarkEnd w:id="8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1060" w:type="dxa"/>
            <w:vAlign w:val="bottom"/>
            <w:gridSpan w:val="3"/>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gridSpan w:val="5"/>
          </w:tcPr>
          <w:p>
            <w:pPr>
              <w:ind w:left="6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380" w:type="dxa"/>
            <w:vAlign w:val="bottom"/>
          </w:tcPr>
          <w:p>
            <w:pPr>
              <w:spacing w:after="0"/>
              <w:rPr>
                <w:sz w:val="6"/>
                <w:szCs w:val="6"/>
                <w:color w:val="auto"/>
              </w:rPr>
            </w:pPr>
          </w:p>
        </w:tc>
        <w:tc>
          <w:tcPr>
            <w:tcW w:w="14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60" w:type="dxa"/>
            <w:vAlign w:val="bottom"/>
            <w:vMerge w:val="restart"/>
          </w:tcPr>
          <w:p>
            <w:pPr>
              <w:spacing w:after="0"/>
              <w:rPr>
                <w:sz w:val="6"/>
                <w:szCs w:val="6"/>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380" w:type="dxa"/>
            <w:vAlign w:val="bottom"/>
          </w:tcPr>
          <w:p>
            <w:pPr>
              <w:spacing w:after="0"/>
              <w:rPr>
                <w:sz w:val="9"/>
                <w:szCs w:val="9"/>
                <w:color w:val="auto"/>
              </w:rPr>
            </w:pPr>
          </w:p>
        </w:tc>
        <w:tc>
          <w:tcPr>
            <w:tcW w:w="148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40"/>
              <w:spacing w:after="0" w:line="107"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160"/>
              <w:spacing w:after="0" w:line="107" w:lineRule="exact"/>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9"/>
                <w:szCs w:val="9"/>
                <w:color w:val="auto"/>
              </w:rPr>
            </w:pPr>
          </w:p>
        </w:tc>
        <w:tc>
          <w:tcPr>
            <w:tcW w:w="72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2"/>
                <w:szCs w:val="12"/>
                <w:b w:val="1"/>
                <w:bCs w:val="1"/>
                <w:color w:val="auto"/>
              </w:rPr>
              <w:t>Non-</w:t>
            </w:r>
          </w:p>
        </w:tc>
        <w:tc>
          <w:tcPr>
            <w:tcW w:w="80" w:type="dxa"/>
            <w:vAlign w:val="bottom"/>
          </w:tcPr>
          <w:p>
            <w:pPr>
              <w:spacing w:after="0"/>
              <w:rPr>
                <w:sz w:val="9"/>
                <w:szCs w:val="9"/>
                <w:color w:val="auto"/>
              </w:rPr>
            </w:pPr>
          </w:p>
        </w:tc>
        <w:tc>
          <w:tcPr>
            <w:tcW w:w="86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7"/>
        </w:trPr>
        <w:tc>
          <w:tcPr>
            <w:tcW w:w="3380" w:type="dxa"/>
            <w:vAlign w:val="bottom"/>
          </w:tcPr>
          <w:p>
            <w:pPr>
              <w:spacing w:after="0"/>
              <w:rPr>
                <w:sz w:val="11"/>
                <w:szCs w:val="11"/>
                <w:color w:val="auto"/>
              </w:rPr>
            </w:pP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1"/>
                <w:szCs w:val="11"/>
                <w:color w:val="auto"/>
              </w:rPr>
            </w:pPr>
          </w:p>
        </w:tc>
        <w:tc>
          <w:tcPr>
            <w:tcW w:w="7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104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40" w:type="dxa"/>
            <w:vAlign w:val="bottom"/>
            <w:gridSpan w:val="3"/>
          </w:tcPr>
          <w:p>
            <w:pPr>
              <w:jc w:val="center"/>
              <w:ind w:right="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80" w:type="dxa"/>
            <w:vAlign w:val="bottom"/>
          </w:tcPr>
          <w:p>
            <w:pPr>
              <w:spacing w:after="0"/>
              <w:rPr>
                <w:sz w:val="11"/>
                <w:szCs w:val="11"/>
                <w:color w:val="auto"/>
              </w:rPr>
            </w:pPr>
          </w:p>
        </w:tc>
        <w:tc>
          <w:tcPr>
            <w:tcW w:w="860" w:type="dxa"/>
            <w:vAlign w:val="bottom"/>
          </w:tcPr>
          <w:p>
            <w:pPr>
              <w:jc w:val="center"/>
              <w:ind w:right="1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(Amounts in thousands, except share data)</w:t>
            </w:r>
          </w:p>
        </w:tc>
        <w:tc>
          <w:tcPr>
            <w:tcW w:w="9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80" w:type="dxa"/>
            <w:vAlign w:val="bottom"/>
          </w:tcPr>
          <w:p>
            <w:pPr>
              <w:spacing w:after="0"/>
              <w:rPr>
                <w:sz w:val="14"/>
                <w:szCs w:val="14"/>
                <w:color w:val="auto"/>
              </w:rPr>
            </w:pPr>
          </w:p>
        </w:tc>
        <w:tc>
          <w:tcPr>
            <w:tcW w:w="86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162,950,606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1,629</w:t>
            </w: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(26,704,577)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(1,216,163)</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557,957</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1,757,524</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(29,771)</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1,071,176</w:t>
            </w:r>
          </w:p>
        </w:tc>
        <w:tc>
          <w:tcPr>
            <w:tcW w:w="0" w:type="dxa"/>
            <w:vAlign w:val="bottom"/>
          </w:tcPr>
          <w:p>
            <w:pPr>
              <w:spacing w:after="0"/>
              <w:rPr>
                <w:sz w:val="1"/>
                <w:szCs w:val="1"/>
                <w:color w:val="auto"/>
              </w:rPr>
            </w:pPr>
          </w:p>
        </w:tc>
      </w:tr>
      <w:tr>
        <w:trPr>
          <w:trHeight w:val="158"/>
        </w:trPr>
        <w:tc>
          <w:tcPr>
            <w:tcW w:w="3380" w:type="dxa"/>
            <w:vAlign w:val="bottom"/>
          </w:tcPr>
          <w:p>
            <w:pPr>
              <w:ind w:left="120"/>
              <w:spacing w:after="0" w:line="146" w:lineRule="exact"/>
              <w:rPr>
                <w:sz w:val="20"/>
                <w:szCs w:val="20"/>
                <w:color w:val="auto"/>
              </w:rPr>
            </w:pPr>
            <w:r>
              <w:rPr>
                <w:rFonts w:ascii="Times New Roman" w:cs="Times New Roman" w:eastAsia="Times New Roman" w:hAnsi="Times New Roman"/>
                <w:sz w:val="13"/>
                <w:szCs w:val="13"/>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1,224,207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22,155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22,170</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options 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197,732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5,929</w:t>
            </w:r>
          </w:p>
        </w:tc>
        <w:tc>
          <w:tcPr>
            <w:tcW w:w="0" w:type="dxa"/>
            <w:vAlign w:val="bottom"/>
          </w:tcPr>
          <w:p>
            <w:pPr>
              <w:spacing w:after="0"/>
              <w:rPr>
                <w:sz w:val="1"/>
                <w:szCs w:val="1"/>
                <w:color w:val="auto"/>
              </w:rPr>
            </w:pPr>
          </w:p>
        </w:tc>
      </w:tr>
      <w:tr>
        <w:trPr>
          <w:trHeight w:val="168"/>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(5,083,620)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(419,291)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(419,291)</w:t>
            </w:r>
          </w:p>
        </w:tc>
        <w:tc>
          <w:tcPr>
            <w:tcW w:w="0" w:type="dxa"/>
            <w:vAlign w:val="bottom"/>
          </w:tcPr>
          <w:p>
            <w:pPr>
              <w:spacing w:after="0"/>
              <w:rPr>
                <w:sz w:val="1"/>
                <w:szCs w:val="1"/>
                <w:color w:val="auto"/>
              </w:rPr>
            </w:pPr>
          </w:p>
        </w:tc>
      </w:tr>
      <w:tr>
        <w:trPr>
          <w:trHeight w:val="129"/>
        </w:trPr>
        <w:tc>
          <w:tcPr>
            <w:tcW w:w="338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Recognition of liability related to future restricted stock units</w:t>
            </w:r>
          </w:p>
        </w:tc>
        <w:tc>
          <w:tcPr>
            <w:tcW w:w="920" w:type="dxa"/>
            <w:vAlign w:val="bottom"/>
            <w:gridSpan w:val="2"/>
            <w:vMerge w:val="restart"/>
            <w:shd w:val="clear" w:color="auto" w:fill="CCEEFF"/>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1,213</w:t>
            </w: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vesting</w:t>
            </w:r>
          </w:p>
        </w:tc>
        <w:tc>
          <w:tcPr>
            <w:tcW w:w="9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466,740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466,577</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92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38,356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38,356</w:t>
            </w:r>
          </w:p>
        </w:tc>
        <w:tc>
          <w:tcPr>
            <w:tcW w:w="0" w:type="dxa"/>
            <w:vAlign w:val="bottom"/>
          </w:tcPr>
          <w:p>
            <w:pPr>
              <w:spacing w:after="0"/>
              <w:rPr>
                <w:sz w:val="1"/>
                <w:szCs w:val="1"/>
                <w:color w:val="auto"/>
              </w:rPr>
            </w:pPr>
          </w:p>
        </w:tc>
      </w:tr>
      <w:tr>
        <w:trPr>
          <w:trHeight w:val="168"/>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Dividends paid of $1.54 per share of common stock</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(209,193)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(209,193)</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2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69,784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69,784</w:t>
            </w:r>
          </w:p>
        </w:tc>
        <w:tc>
          <w:tcPr>
            <w:tcW w:w="0" w:type="dxa"/>
            <w:vAlign w:val="bottom"/>
          </w:tcPr>
          <w:p>
            <w:pPr>
              <w:spacing w:after="0"/>
              <w:rPr>
                <w:sz w:val="1"/>
                <w:szCs w:val="1"/>
                <w:color w:val="auto"/>
              </w:rPr>
            </w:pPr>
          </w:p>
        </w:tc>
      </w:tr>
      <w:tr>
        <w:trPr>
          <w:trHeight w:val="168"/>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Contribution to non-controlling interest</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164,372,545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1,646</w:t>
            </w: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(31,788,197)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(1,635,454)</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656,222</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2,015,071</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8,585</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1,046,721</w:t>
            </w:r>
          </w:p>
        </w:tc>
        <w:tc>
          <w:tcPr>
            <w:tcW w:w="0" w:type="dxa"/>
            <w:vAlign w:val="bottom"/>
          </w:tcPr>
          <w:p>
            <w:pPr>
              <w:spacing w:after="0"/>
              <w:rPr>
                <w:sz w:val="1"/>
                <w:szCs w:val="1"/>
                <w:color w:val="auto"/>
              </w:rPr>
            </w:pPr>
          </w:p>
        </w:tc>
      </w:tr>
      <w:tr>
        <w:trPr>
          <w:trHeight w:val="158"/>
        </w:trPr>
        <w:tc>
          <w:tcPr>
            <w:tcW w:w="3380" w:type="dxa"/>
            <w:vAlign w:val="bottom"/>
          </w:tcPr>
          <w:p>
            <w:pPr>
              <w:ind w:left="120"/>
              <w:spacing w:after="0" w:line="146" w:lineRule="exact"/>
              <w:rPr>
                <w:sz w:val="20"/>
                <w:szCs w:val="20"/>
                <w:color w:val="auto"/>
              </w:rPr>
            </w:pPr>
            <w:r>
              <w:rPr>
                <w:rFonts w:ascii="Times New Roman" w:cs="Times New Roman" w:eastAsia="Times New Roman" w:hAnsi="Times New Roman"/>
                <w:sz w:val="13"/>
                <w:szCs w:val="13"/>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1,170,726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24,653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24,663</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options 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329,061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11,384</w:t>
            </w:r>
          </w:p>
        </w:tc>
        <w:tc>
          <w:tcPr>
            <w:tcW w:w="0" w:type="dxa"/>
            <w:vAlign w:val="bottom"/>
          </w:tcPr>
          <w:p>
            <w:pPr>
              <w:spacing w:after="0"/>
              <w:rPr>
                <w:sz w:val="1"/>
                <w:szCs w:val="1"/>
                <w:color w:val="auto"/>
              </w:rPr>
            </w:pPr>
          </w:p>
        </w:tc>
      </w:tr>
      <w:tr>
        <w:trPr>
          <w:trHeight w:val="168"/>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(2,446,547)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(224,451)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(224,451)</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271,791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271,215</w:t>
            </w:r>
          </w:p>
        </w:tc>
        <w:tc>
          <w:tcPr>
            <w:tcW w:w="0" w:type="dxa"/>
            <w:vAlign w:val="bottom"/>
          </w:tcPr>
          <w:p>
            <w:pPr>
              <w:spacing w:after="0"/>
              <w:rPr>
                <w:sz w:val="1"/>
                <w:szCs w:val="1"/>
                <w:color w:val="auto"/>
              </w:rPr>
            </w:pPr>
          </w:p>
        </w:tc>
      </w:tr>
      <w:tr>
        <w:trPr>
          <w:trHeight w:val="168"/>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20,748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line="150"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20,748</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Dividends paid of $1.76 per share of common stock</w:t>
            </w:r>
          </w:p>
        </w:tc>
        <w:tc>
          <w:tcPr>
            <w:tcW w:w="92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(235,407)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(235,407)</w:t>
            </w:r>
          </w:p>
        </w:tc>
        <w:tc>
          <w:tcPr>
            <w:tcW w:w="0" w:type="dxa"/>
            <w:vAlign w:val="bottom"/>
          </w:tcPr>
          <w:p>
            <w:pPr>
              <w:spacing w:after="0"/>
              <w:rPr>
                <w:sz w:val="1"/>
                <w:szCs w:val="1"/>
                <w:color w:val="auto"/>
              </w:rPr>
            </w:pPr>
          </w:p>
        </w:tc>
      </w:tr>
      <w:tr>
        <w:trPr>
          <w:trHeight w:val="168"/>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80,272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80,272</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Contribution to non-controlling interest</w:t>
            </w:r>
          </w:p>
        </w:tc>
        <w:tc>
          <w:tcPr>
            <w:tcW w:w="92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De-Consolidation of non-controlling interest</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(3,143)</w:t>
            </w:r>
          </w:p>
        </w:tc>
        <w:tc>
          <w:tcPr>
            <w:tcW w:w="0" w:type="dxa"/>
            <w:vAlign w:val="bottom"/>
          </w:tcPr>
          <w:p>
            <w:pPr>
              <w:spacing w:after="0"/>
              <w:rPr>
                <w:sz w:val="1"/>
                <w:szCs w:val="1"/>
                <w:color w:val="auto"/>
              </w:rPr>
            </w:pPr>
          </w:p>
        </w:tc>
      </w:tr>
      <w:tr>
        <w:trPr>
          <w:trHeight w:val="16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165,872,332</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w:t>
            </w: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(34,234,744)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(1,859,905)</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769,460</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2,051,455</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29,333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992,002</w:t>
            </w:r>
          </w:p>
        </w:tc>
        <w:tc>
          <w:tcPr>
            <w:tcW w:w="0" w:type="dxa"/>
            <w:vAlign w:val="bottom"/>
          </w:tcPr>
          <w:p>
            <w:pPr>
              <w:spacing w:after="0"/>
              <w:rPr>
                <w:sz w:val="1"/>
                <w:szCs w:val="1"/>
                <w:color w:val="auto"/>
              </w:rPr>
            </w:pPr>
          </w:p>
        </w:tc>
      </w:tr>
      <w:tr>
        <w:trPr>
          <w:trHeight w:val="158"/>
        </w:trPr>
        <w:tc>
          <w:tcPr>
            <w:tcW w:w="3380" w:type="dxa"/>
            <w:vAlign w:val="bottom"/>
          </w:tcPr>
          <w:p>
            <w:pPr>
              <w:ind w:left="120"/>
              <w:spacing w:after="0" w:line="146" w:lineRule="exact"/>
              <w:rPr>
                <w:sz w:val="20"/>
                <w:szCs w:val="20"/>
                <w:color w:val="auto"/>
              </w:rPr>
            </w:pPr>
            <w:r>
              <w:rPr>
                <w:rFonts w:ascii="Times New Roman" w:cs="Times New Roman" w:eastAsia="Times New Roman" w:hAnsi="Times New Roman"/>
                <w:sz w:val="13"/>
                <w:szCs w:val="13"/>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1,194,324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28,653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28,665</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options 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335,612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15,742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15,745</w:t>
            </w:r>
          </w:p>
        </w:tc>
        <w:tc>
          <w:tcPr>
            <w:tcW w:w="0" w:type="dxa"/>
            <w:vAlign w:val="bottom"/>
          </w:tcPr>
          <w:p>
            <w:pPr>
              <w:spacing w:after="0"/>
              <w:rPr>
                <w:sz w:val="1"/>
                <w:szCs w:val="1"/>
                <w:color w:val="auto"/>
              </w:rPr>
            </w:pPr>
          </w:p>
        </w:tc>
      </w:tr>
      <w:tr>
        <w:trPr>
          <w:trHeight w:val="168"/>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(3,524,401)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(417,641)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(417,641)</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605,706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605,706</w:t>
            </w:r>
          </w:p>
        </w:tc>
        <w:tc>
          <w:tcPr>
            <w:tcW w:w="0" w:type="dxa"/>
            <w:vAlign w:val="bottom"/>
          </w:tcPr>
          <w:p>
            <w:pPr>
              <w:spacing w:after="0"/>
              <w:rPr>
                <w:sz w:val="1"/>
                <w:szCs w:val="1"/>
                <w:color w:val="auto"/>
              </w:rPr>
            </w:pPr>
          </w:p>
        </w:tc>
      </w:tr>
      <w:tr>
        <w:trPr>
          <w:trHeight w:val="168"/>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(19,801)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(19,801)</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Dividends paid of $1.92 per share of common stock</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(253,096)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(253,096)</w:t>
            </w:r>
          </w:p>
        </w:tc>
        <w:tc>
          <w:tcPr>
            <w:tcW w:w="0" w:type="dxa"/>
            <w:vAlign w:val="bottom"/>
          </w:tcPr>
          <w:p>
            <w:pPr>
              <w:spacing w:after="0"/>
              <w:rPr>
                <w:sz w:val="1"/>
                <w:szCs w:val="1"/>
                <w:color w:val="auto"/>
              </w:rPr>
            </w:pPr>
          </w:p>
        </w:tc>
      </w:tr>
      <w:tr>
        <w:trPr>
          <w:trHeight w:val="168"/>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94,982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94,982</w:t>
            </w:r>
          </w:p>
        </w:tc>
        <w:tc>
          <w:tcPr>
            <w:tcW w:w="0" w:type="dxa"/>
            <w:vAlign w:val="bottom"/>
          </w:tcPr>
          <w:p>
            <w:pPr>
              <w:spacing w:after="0"/>
              <w:rPr>
                <w:sz w:val="1"/>
                <w:szCs w:val="1"/>
                <w:color w:val="auto"/>
              </w:rPr>
            </w:pPr>
          </w:p>
        </w:tc>
      </w:tr>
      <w:tr>
        <w:trPr>
          <w:trHeight w:val="185"/>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167,402,268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(37,759,145)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(2,277,546)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908,837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2,404,065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1,046,562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83" w:name="page84"/>
    <w:bookmarkEnd w:id="8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Business Overview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w:t>
      </w:r>
    </w:p>
    <w:p>
      <w:pPr>
        <w:spacing w:after="0" w:line="53" w:lineRule="exact"/>
        <w:rPr>
          <w:sz w:val="20"/>
          <w:szCs w:val="20"/>
          <w:color w:val="auto"/>
        </w:rPr>
      </w:pPr>
    </w:p>
    <w:p>
      <w:pPr>
        <w:ind w:right="100" w:firstLine="318"/>
        <w:spacing w:after="0" w:line="264" w:lineRule="auto"/>
        <w:rPr>
          <w:sz w:val="20"/>
          <w:szCs w:val="20"/>
          <w:color w:val="auto"/>
        </w:rPr>
      </w:pPr>
      <w:r>
        <w:rPr>
          <w:rFonts w:ascii="Times New Roman" w:cs="Times New Roman" w:eastAsia="Times New Roman" w:hAnsi="Times New Roman"/>
          <w:sz w:val="14"/>
          <w:szCs w:val="14"/>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services to U.S. and international governments, major corporations, and not-for-profit organizations. The Company reports operating results and financial data in one reportable segment. The Company is headquartered in McLean, Virginia, with approximately 34,200 employees as of March 31,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53" w:lineRule="exact"/>
        <w:rPr>
          <w:sz w:val="20"/>
          <w:szCs w:val="20"/>
          <w:color w:val="auto"/>
        </w:rPr>
      </w:pPr>
    </w:p>
    <w:p>
      <w:pPr>
        <w:ind w:right="160" w:firstLine="318"/>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the Company and its subsidiaries that are majority-owned or otherwise controlled by the Company and have been prepared in accordance with accounting principles generally accepted in the United States (“U.S. GAAP”), and the rules and regulations of the U.S. Securities and Exchange Commission (the “SEC”). All intercompany balances and transactions have been eliminated in consolidation.</w:t>
      </w:r>
    </w:p>
    <w:p>
      <w:pPr>
        <w:spacing w:after="0" w:line="8"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and notes of the Company include its subsidiaries and other entities over which the Company has a controlling financial interest or where the Company is a primary beneficiary. The Company uses the equity method to account for investments in entities that it does not control if it is otherwise able to exert significant influence over the entities' operating and financial policies. Equity investments in entities over which the Company does not have the ability to exercise significant influence and whose securities do not have a readily determinable fair value are carried at cost (measurement alternative).</w:t>
      </w:r>
    </w:p>
    <w:p>
      <w:pPr>
        <w:spacing w:after="0" w:line="13" w:lineRule="exact"/>
        <w:rPr>
          <w:sz w:val="20"/>
          <w:szCs w:val="20"/>
          <w:color w:val="auto"/>
        </w:rPr>
      </w:pPr>
    </w:p>
    <w:p>
      <w:pPr>
        <w:ind w:right="440" w:firstLine="318"/>
        <w:spacing w:after="0" w:line="284" w:lineRule="auto"/>
        <w:rPr>
          <w:sz w:val="20"/>
          <w:szCs w:val="20"/>
          <w:color w:val="auto"/>
        </w:rPr>
      </w:pPr>
      <w:r>
        <w:rPr>
          <w:rFonts w:ascii="Times New Roman" w:cs="Times New Roman" w:eastAsia="Times New Roman" w:hAnsi="Times New Roman"/>
          <w:sz w:val="14"/>
          <w:szCs w:val="14"/>
          <w:color w:val="auto"/>
        </w:rPr>
        <w:t>The Company’s fiscal year ends on March 31 and unless otherwise noted, references to fiscal year or fiscal are for fiscal years ended March 31. The accompanying consolidated financial statements present the financial position of the Company as of March 31, 2024 and 2023 and the Company’s results of operations for fiscal 2024, 2023, and 2022.</w:t>
      </w:r>
    </w:p>
    <w:p>
      <w:pPr>
        <w:spacing w:after="0" w:line="1" w:lineRule="exact"/>
        <w:rPr>
          <w:sz w:val="20"/>
          <w:szCs w:val="20"/>
          <w:color w:val="auto"/>
        </w:rPr>
      </w:pPr>
    </w:p>
    <w:p>
      <w:pPr>
        <w:ind w:right="2220" w:firstLine="318"/>
        <w:spacing w:after="0" w:line="347" w:lineRule="auto"/>
        <w:rPr>
          <w:sz w:val="20"/>
          <w:szCs w:val="20"/>
          <w:color w:val="auto"/>
        </w:rPr>
      </w:pPr>
      <w:r>
        <w:rPr>
          <w:rFonts w:ascii="Times New Roman" w:cs="Times New Roman" w:eastAsia="Times New Roman" w:hAnsi="Times New Roman"/>
          <w:sz w:val="14"/>
          <w:szCs w:val="14"/>
          <w:color w:val="auto"/>
        </w:rPr>
        <w:t xml:space="preserve">Certain amounts reported in the Company's prior year consolidated financial statements have been reclassified to conform to the current year presentation. </w:t>
      </w:r>
      <w:r>
        <w:rPr>
          <w:rFonts w:ascii="Times New Roman" w:cs="Times New Roman" w:eastAsia="Times New Roman" w:hAnsi="Times New Roman"/>
          <w:sz w:val="14"/>
          <w:szCs w:val="14"/>
          <w:b w:val="1"/>
          <w:bCs w:val="1"/>
          <w:i w:val="1"/>
          <w:iCs w:val="1"/>
          <w:color w:val="auto"/>
        </w:rPr>
        <w:t>Accounting Estimates</w:t>
      </w:r>
    </w:p>
    <w:p>
      <w:pPr>
        <w:spacing w:after="0" w:line="1"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Areas of the consolidated financial statements where estimates may have the most significant effect include the provision for claimed indirect costs, valuation and expected lives of tangible and intangible assets, impairment of long-lived assets, accrued liabilities, revenue recognition, including the accrual of indirect costs, bonus and other incentive compensation, stock-based compensation, reserves for uncertain tax positions and valuation allowances on deferred tax assets, provisions for income taxes, postretirement obligations, collectability of receivables, and loss accruals for litigation. Actual results experienced by the Company may differ materially from management's estimates.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53"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The Company's revenues from contracts with customers (clients) are derived from offerings that include management and technology consulting services, analytics, digital solutions, engineering, mission operations and cyber services, substantially all with the U.S. government and its agencies, and to a lesser extent, subcontractors. The Company also serves foreign governments, as well as domestic and international commercial clients. The Company performs and generates revenue under three basic types of contracts, as described below:</w:t>
      </w:r>
    </w:p>
    <w:p>
      <w:pPr>
        <w:spacing w:after="0" w:line="8" w:lineRule="exact"/>
        <w:rPr>
          <w:sz w:val="20"/>
          <w:szCs w:val="20"/>
          <w:color w:val="auto"/>
        </w:rPr>
      </w:pPr>
    </w:p>
    <w:p>
      <w:pPr>
        <w:ind w:left="1020" w:right="340" w:hanging="506"/>
        <w:spacing w:after="0" w:line="284" w:lineRule="auto"/>
        <w:tabs>
          <w:tab w:leader="none" w:pos="1016"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Cost-Reimbursable Contracts: Cost-reimbursable contracts provide for the payment of allowable costs incurred during performance of the contract, up to a ceiling based on the amount that has been funded, plus a fixed fee or award fee.</w:t>
      </w:r>
    </w:p>
    <w:p>
      <w:pPr>
        <w:ind w:left="1020" w:hanging="506"/>
        <w:spacing w:after="0" w:line="270" w:lineRule="auto"/>
        <w:tabs>
          <w:tab w:leader="none" w:pos="1016"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2" w:right="319" w:bottom="1440" w:gutter="0" w:footer="0" w:header="0"/>
        </w:sectPr>
      </w:pPr>
    </w:p>
    <w:bookmarkStart w:id="84" w:name="page85"/>
    <w:bookmarkEnd w:id="8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55" w:lineRule="exact"/>
        <w:rPr>
          <w:sz w:val="20"/>
          <w:szCs w:val="20"/>
          <w:color w:val="auto"/>
        </w:rPr>
      </w:pPr>
    </w:p>
    <w:p>
      <w:pPr>
        <w:ind w:left="1020" w:right="240" w:hanging="506"/>
        <w:spacing w:after="0" w:line="284" w:lineRule="auto"/>
        <w:tabs>
          <w:tab w:leader="none" w:pos="101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1"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4"/>
          <w:szCs w:val="14"/>
          <w:color w:val="auto"/>
        </w:rPr>
        <w:t>The Company considers a contract with a customer to exist under Accounting Standards Codification (“ASC”) No. 606, Revenue from Contracts with Customers (“Topic 606”), when there is approval and commitment from both the Company and the customer, the rights of the parties and payment terms are identified, the contract has commercial substance, and collectability of consideration is probable. The Company also will consider whether two or more contracts entered into with the same customer should be combined and accounted for as a single contract. Furthermore, in certain transactions with commercial clients and with the U.S. government, the Company may commence providing services prior to receiving a formal approval from the customer. In these situations, the Company will consider the factors noted above, the risks associated with commencing the work and legal enforceability in determining whether a contract with the customer exists under Topic 606.</w:t>
      </w:r>
    </w:p>
    <w:p>
      <w:pPr>
        <w:spacing w:after="0" w:line="19"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Customer contracts are often modified to change the scope, price, specifications or other terms within the existing arrangement. Contract modifications are evaluated by management to determine whether the modification should be accounted for as part of the original performance obligation(s) or as a separate contract. If the modification adds distinct goods or services and increases the contract value proportionate to the stand-alone selling price of the additional goods or services, it will be accounted for as a separate contract. Generally, the Company’s contract modifications do not include goods or services which are distinct, and therefore are accounted for as part of the original performance obligation(s) with any impact on transaction price or estimated costs at completion being recorded as through a cumulative catch-up adjustment to revenue.</w:t>
      </w:r>
    </w:p>
    <w:p>
      <w:pPr>
        <w:spacing w:after="0" w:line="16"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The Company evaluates each service deliverable contracted with the customer to determine whether it represents promises to transfer distinct goods or services. Under Topic 606, these are referred to as performance obligations. One or more service deliverables often represent a single performance obligation. This evaluation requires significant judgment and the impact of combining or separating performance obligations may change the time over which revenue from the contract is recognized. The Company’s contracts generally provide a set of integrated or highly interrelated tasks or services and are therefore accounted for as a single performance obligation. However, in cases where we provide more than one distinct good or service within a customer contract, the contract is separated into individual performance obligations which are accounted for discretely.</w:t>
      </w:r>
    </w:p>
    <w:p>
      <w:pPr>
        <w:spacing w:after="0" w:line="16" w:lineRule="exact"/>
        <w:rPr>
          <w:sz w:val="20"/>
          <w:szCs w:val="20"/>
          <w:color w:val="auto"/>
        </w:rPr>
      </w:pPr>
    </w:p>
    <w:p>
      <w:pPr>
        <w:ind w:right="180" w:firstLine="318"/>
        <w:spacing w:after="0" w:line="264" w:lineRule="auto"/>
        <w:rPr>
          <w:sz w:val="20"/>
          <w:szCs w:val="20"/>
          <w:color w:val="auto"/>
        </w:rPr>
      </w:pPr>
      <w:r>
        <w:rPr>
          <w:rFonts w:ascii="Times New Roman" w:cs="Times New Roman" w:eastAsia="Times New Roman" w:hAnsi="Times New Roman"/>
          <w:sz w:val="14"/>
          <w:szCs w:val="14"/>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time-and-materials contracts are typically billed to the customer at periodic intervals (e.g. monthly or weekly) as indicated by the terms of the contract. Disparities between the timing of revenue recognition and customer billings and cash collections result in net contract assets or liabilities being recognized at the end of each reporting period.</w:t>
      </w:r>
    </w:p>
    <w:p>
      <w:pPr>
        <w:spacing w:after="0" w:line="13"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4"/>
          <w:szCs w:val="14"/>
          <w:color w:val="auto"/>
        </w:rPr>
        <w:t>Contract assets primarily consist of unbilled receivables typically resulting from revenue recognized exceeding the amount billed to the customer and right to payment is not just subject to the passage of time. Unbilled amounts represent revenues for which billings have not yet been presented to customers.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consolidated balance sheets. Contract liabilities primarily consist of advance payments, billings in excess of costs incurred and deferred revenue. Contract assets and liabilities are reported on a net contract basis at the end of each reporting period. The Company maintains an allowance for credit losses to provide for an estimate of uncollectible receivables.</w:t>
      </w:r>
    </w:p>
    <w:p>
      <w:pPr>
        <w:spacing w:after="0" w:line="19" w:lineRule="exact"/>
        <w:rPr>
          <w:sz w:val="20"/>
          <w:szCs w:val="20"/>
          <w:color w:val="auto"/>
        </w:rPr>
      </w:pPr>
    </w:p>
    <w:p>
      <w:pPr>
        <w:ind w:right="100" w:firstLine="318"/>
        <w:spacing w:after="0" w:line="270" w:lineRule="auto"/>
        <w:rPr>
          <w:sz w:val="20"/>
          <w:szCs w:val="20"/>
          <w:color w:val="auto"/>
        </w:rPr>
      </w:pPr>
      <w:r>
        <w:rPr>
          <w:rFonts w:ascii="Times New Roman" w:cs="Times New Roman" w:eastAsia="Times New Roman" w:hAnsi="Times New Roman"/>
          <w:sz w:val="14"/>
          <w:szCs w:val="14"/>
          <w:color w:val="auto"/>
        </w:rPr>
        <w:t>Changes in contract assets and contract liabilities are primarily due to the timing difference between the Company’s performance of services and payments from customers.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2" w:right="339" w:bottom="1440" w:gutter="0" w:footer="0" w:header="0"/>
        </w:sectPr>
      </w:pPr>
    </w:p>
    <w:bookmarkStart w:id="85" w:name="page86"/>
    <w:bookmarkEnd w:id="8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55" w:lineRule="exact"/>
        <w:rPr>
          <w:sz w:val="20"/>
          <w:szCs w:val="20"/>
          <w:color w:val="auto"/>
        </w:rPr>
      </w:pPr>
    </w:p>
    <w:p>
      <w:pPr>
        <w:ind w:right="40" w:firstLine="318"/>
        <w:spacing w:after="0" w:line="257" w:lineRule="auto"/>
        <w:rPr>
          <w:sz w:val="20"/>
          <w:szCs w:val="20"/>
          <w:color w:val="auto"/>
        </w:rPr>
      </w:pPr>
      <w:r>
        <w:rPr>
          <w:rFonts w:ascii="Times New Roman" w:cs="Times New Roman" w:eastAsia="Times New Roman" w:hAnsi="Times New Roman"/>
          <w:sz w:val="14"/>
          <w:szCs w:val="14"/>
          <w:color w:val="auto"/>
        </w:rPr>
        <w:t>Contracts with the U.S. government are generally subject to the Federal Acquisition Regulation (the “FAR”) and are priced based on estimated or actual costs of providing the goods or services. The Company derives a majority of its revenue from contracts awarded through a competitive bidding process. Pricing for non-U.S. government agencies and commercial customers is based on discrete negotiations with each customer. Certain of the Company’s contracts contain award fees, incentive fees or other provisions that may increase or decrease the transaction price. These variable amounts generally are awarded upon achievement of certain performance metrics, program milestones or cost targets and may be based upon customer discretion. Management estimates variable consideration as the most likely amount that we expect to achieve based on our assessment of the variable fee provisions within the contract, prior experience with similar contracts or clients, and management’s evaluation of the performance on such contracts. The Company may perform work under a contract that has not been fully funded if the work has been authorized by management and the customer to proceed. The Company evaluates unfunded amounts as variable consideration in estimating the transaction price. We include the estimated variable consideration in our transaction price to the extent that it is probable that a significant reversal of revenue will not occur upon the ultimate settlement of the variable fee provision. Our U.S. government contracts generally contain FAR provisions that enable the customer to terminate a contract for default or for the convenience of the U.S. government.</w:t>
      </w:r>
    </w:p>
    <w:p>
      <w:pPr>
        <w:spacing w:after="0" w:line="19"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The Company recognizes revenue for each performance obligation identified within our customer contracts when, or as, the performance obligation is satisfied by transferring the promised goods or services. Revenue may either be recognized over time or at a point in time. The Company generally recognizes revenue over time as our contracts typically involve a continuous transfer of control to the customer. A continuous transfer of control under contracts with the U.S. government and its agencies is evidenced by clauses which require the Company to be paid for costs incurred plus a reasonable margin in the event that the customer unilaterally terminates the contract for convenience. For contracts where the Company recognizes revenue over time, a contract cost-based input method is generally used to measure progress towards satisfaction of the underlying performance obligation(s). Contract costs include direct costs such as materials, labor and subcontract costs, as well as indirect costs identifiable with, or allocable to, a specific contract that are expensed as incurred. The Company does not incur material incremental costs to acquire or fulfill contracts. Under a contract cost-based input method, revenue is recognized based on the proportion of contract costs incurred to the total estimated costs expected to be incurred upon completion of the underlying performance obligation. The Company generally includes both funded and unfunded portions of customer contracts in this estimation process.</w:t>
      </w:r>
    </w:p>
    <w:p>
      <w:pPr>
        <w:spacing w:after="0" w:line="21"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4"/>
          <w:szCs w:val="14"/>
          <w:color w:val="auto"/>
        </w:rPr>
        <w:t>For interim financial reporting periods, contract revenue attributable to indirect costs is recognized based upon agreed-upon annual forward-pricing rates established with the U.S. government at the start of each fiscal year. Forward pricing rates are estimated and agreed upon between the Company and the U.S. government and represent indirect contract costs required to execute and administer contract obligations. The impact of any agreed-upon changes, or changes in the estimated annual forward-pricing rates, are recorded in the interim financial reporting period when such changes are identified. These changes relate to the interim financial reporting period differences between the actual indirect costs incurred and allocated to customer contracts compared to the estimated amounts allocated to contracts using the estimated annual forward-pricing rates established with the U.S. government. At the end of each fiscal year, estimated annual forward-pricing rates are adjusted to reported actual rates, with contract revenue attributable to indirect costs adjusted accordingly. These preliminary actual rates and their ultimate impact on contract revenue are subject to final audit and negotiation with the U.S. government, which may take place several years in the future.</w:t>
      </w:r>
    </w:p>
    <w:p>
      <w:pPr>
        <w:spacing w:after="0" w:line="19"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On certain contracts, principally time-and-materials and cost-reimbursable-plus-fee contracts, revenue is recognized using the right-to-invoice practical expedient as the Company is contractually able to invoice the customer based on the control transferred. However, we did not elect to use the practical expedient which would allow the Company to exclude contracts recognized using the right-to-invoice practical expedient from the remaining performance obligations disclosed below. Additionally, for stand-ready performance obligations to provide services under fixed-price contracts, revenue is recognized over time using a straight-line measure of progress as the control of the services is provided to the customer ratably over the term of the contract. If a contract does not meet the criteria for recognition of revenue over time, we recognize revenue at the point in time when control of the good or service is transferred to the customer. Determining a measure of progress towards the satisfaction of performance obligations requires management to make judgments that may affect the timing of revenue recognition.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86" w:name="page87"/>
    <w:bookmarkEnd w:id="86"/>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55"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4"/>
          <w:szCs w:val="14"/>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in the period when such changes are made on a cumulative catch-up basis. If the estimate of contract profitability indicates an anticipated loss on a contract, the Company recognizes the total loss at the time it is identified. For fiscal 2024, 2023 and 2022, the aggregate impact of adjustments in contract estimates was not material.</w:t>
      </w:r>
    </w:p>
    <w:p>
      <w:pPr>
        <w:spacing w:after="0" w:line="19" w:lineRule="exact"/>
        <w:rPr>
          <w:sz w:val="20"/>
          <w:szCs w:val="20"/>
          <w:color w:val="auto"/>
        </w:rPr>
      </w:pPr>
    </w:p>
    <w:p>
      <w:pPr>
        <w:ind w:right="160" w:firstLine="318"/>
        <w:spacing w:after="0" w:line="270" w:lineRule="auto"/>
        <w:rPr>
          <w:sz w:val="20"/>
          <w:szCs w:val="20"/>
          <w:color w:val="auto"/>
        </w:rPr>
      </w:pPr>
      <w:r>
        <w:rPr>
          <w:rFonts w:ascii="Times New Roman" w:cs="Times New Roman" w:eastAsia="Times New Roman" w:hAnsi="Times New Roman"/>
          <w:sz w:val="14"/>
          <w:szCs w:val="14"/>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which the Company does not expect to recognize as revenue.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53"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Cash and cash equivalents include unrestricted cash accounts and highly liquid investments that have a maturity of three months or less at the date of purchase. The Company’s cash equivalents consist primarily of government money market funds and money market deposit accounts. The Company maintains its cash and cash equivalents in bank accounts that, at times, exceed the federally insured FDIC limits. The Company has not experienced any losses in such accounts.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Accounts Receivable</w:t>
      </w:r>
    </w:p>
    <w:p>
      <w:pPr>
        <w:spacing w:after="0" w:line="53" w:lineRule="exact"/>
        <w:rPr>
          <w:sz w:val="20"/>
          <w:szCs w:val="20"/>
          <w:color w:val="auto"/>
        </w:rPr>
      </w:pPr>
    </w:p>
    <w:p>
      <w:pPr>
        <w:ind w:right="60" w:firstLine="350"/>
        <w:spacing w:after="0" w:line="259" w:lineRule="auto"/>
        <w:rPr>
          <w:sz w:val="20"/>
          <w:szCs w:val="20"/>
          <w:color w:val="auto"/>
        </w:rPr>
      </w:pPr>
      <w:r>
        <w:rPr>
          <w:rFonts w:ascii="Times New Roman" w:cs="Times New Roman" w:eastAsia="Times New Roman" w:hAnsi="Times New Roman"/>
          <w:sz w:val="14"/>
          <w:szCs w:val="14"/>
          <w:color w:val="auto"/>
        </w:rPr>
        <w:t>The Company maintains allowances for doubtful accounts against certain accounts receivables based upon the latest information regarding whether specific charges are recoverable or invoices are ultimately collectible. Assessing the recoverability of charges and collectability of customer receivables requires management judgment. The Company determines its allowance for doubtful accounts by specifically analyzing individual accounts receivable, historical bad debts, customer credit-worthiness, current economic conditions, accounts receivable aging trends for billed receivables, availability of funding, compliance with contractual terms and conditions, client satisfaction with work performed, and other factors impacting accounts receivables. Valuation reserves are periodically re-evaluated and adjusted as more information about the ultimate recoverability and collectability of accounts receivable becomes available. Upon determination that a receivable is uncollectible, the receivable balance and any associated reserve are written off.</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53" w:lineRule="exact"/>
        <w:rPr>
          <w:sz w:val="20"/>
          <w:szCs w:val="20"/>
          <w:color w:val="auto"/>
        </w:rPr>
      </w:pPr>
    </w:p>
    <w:p>
      <w:pPr>
        <w:ind w:right="160" w:firstLine="350"/>
        <w:spacing w:after="0" w:line="270"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primarily of cash equivalents and accounts receivable. The Company’s cash equivalents are generally invested in U.S. government money market funds and money market deposit accounts. The Company believes that credit risk for accounts receivable is limited as the receivables are primarily with the U.S. government.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53" w:lineRule="exact"/>
        <w:rPr>
          <w:sz w:val="20"/>
          <w:szCs w:val="20"/>
          <w:color w:val="auto"/>
        </w:rPr>
      </w:pPr>
    </w:p>
    <w:p>
      <w:pPr>
        <w:ind w:right="60" w:firstLine="350"/>
        <w:spacing w:after="0" w:line="270" w:lineRule="auto"/>
        <w:rPr>
          <w:sz w:val="20"/>
          <w:szCs w:val="20"/>
          <w:color w:val="auto"/>
        </w:rPr>
      </w:pPr>
      <w:r>
        <w:rPr>
          <w:rFonts w:ascii="Times New Roman" w:cs="Times New Roman" w:eastAsia="Times New Roman" w:hAnsi="Times New Roman"/>
          <w:sz w:val="14"/>
          <w:szCs w:val="14"/>
          <w:color w:val="auto"/>
        </w:rPr>
        <w:t>Property and equipment are recorded at cost, and the balances are presented net of accumulated depreciation. Depreciation is calculated using the straight-line method over the estimated useful lives of the assets. Furniture and equipment is depreciated over five to ten years, and computer equipment is depreciated over four years. Leasehold improvements are amortized over the shorter of the useful life of the asset or lease term. Maintenance and repairs are charged to expense as incurred.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53"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The accounting for the Company’s business combinations consists of allocating the purchase price to tangible and intangible assets acquired and liabilities assumed based on their estimated fair values, with the excess recorded as goodwill. The Company has up to one year from the acquisition date to use information as of each acquisition date to adjust the fair value of the acquired assets and liabilities which may result in material changes to their recorded values with an offsetting adjustment to goodwill.</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3" w:right="339" w:bottom="1440" w:gutter="0" w:footer="0" w:header="0"/>
        </w:sectPr>
      </w:pPr>
    </w:p>
    <w:bookmarkStart w:id="87" w:name="page88"/>
    <w:bookmarkEnd w:id="8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53"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Intangible assets primarily consist of programs and contracts assets, channel relationships, the Company's trade name, customer relationships, software and other amortizable intangible assets. The Company capitalizes the following costs associated with developing internal-use computer software pertaining to upgrades in our business and financial systems: (i) external direct costs of materials and services consumed in developing or obtaining internal-use computer software and (ii) certain payroll and payroll-related costs for Company employees who are directly associated with the development of internal-use software, to the extent of the time spent directly on the project. Programs and contract assets, channel relationships, and other amortizable intangible assets are generally amortized on an accelerated basis over the expected life based on projected future cash flows of approximately two to fourteen years. Software purchased or developed for internal use is amortized over one to ten years. The Company's trade name intangible asset is not amortized, but is tested for impairment on at least an annual basis as of January 1 and more frequently if interim indicators of impairment exist. The trade name is considered to be impaired if the carrying value exceeds its estimated fair value. The Company uses the relief from royalty method to estimate the fair value. The fair value of the asset is the present value of the license fees avoided by owning the asset, or the royalty savings. During the fiscal years ended March 31, 2024, 2023, and 2022, the Company did not record any impairment of intangible assets.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53" w:lineRule="exact"/>
        <w:rPr>
          <w:sz w:val="20"/>
          <w:szCs w:val="20"/>
          <w:color w:val="auto"/>
        </w:rPr>
      </w:pPr>
    </w:p>
    <w:p>
      <w:pPr>
        <w:ind w:right="40" w:firstLine="350"/>
        <w:spacing w:after="0" w:line="261" w:lineRule="auto"/>
        <w:rPr>
          <w:sz w:val="20"/>
          <w:szCs w:val="20"/>
          <w:color w:val="auto"/>
        </w:rPr>
      </w:pPr>
      <w:r>
        <w:rPr>
          <w:rFonts w:ascii="Times New Roman" w:cs="Times New Roman" w:eastAsia="Times New Roman" w:hAnsi="Times New Roman"/>
          <w:sz w:val="14"/>
          <w:szCs w:val="14"/>
          <w:color w:val="auto"/>
        </w:rPr>
        <w:t>The Company assesses goodwill for impairment on at least an annual basis on January 1 unless interim indicators of impairment exist. Goodwill is considered to be impaired when the net book value of a reporting unit exceeds its estimated fair value. The Company operates as a single operating segment and as a single reporting unit for the purpose of evaluating goodwill. As of January 1, 2024, the Company performed its annual impairment test of goodwill by comparing the fair value of the Company (based on market capitalization) to the carrying value of the Company's net equity, and concluded that the fair value of the reporting unit was significantly greater than the carrying amount. During the fiscal years ended March 31, 2024, 2023, and 2022, the Company did not record any impairment of goodwill.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Long-Lived Assets</w:t>
      </w:r>
    </w:p>
    <w:p>
      <w:pPr>
        <w:spacing w:after="0" w:line="53"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The Company reviews its long-lived assets, including property and equipment, amortizable intangible assets, and right-of-use (“ROU”) assets, for impairment whenever events or changes in circumstances indicate that the carrying amounts of the assets may not be fully recoverable. If the total of the expected undiscounted future net cash flows is less than the carrying amount of the asset, a loss is recognized for any excess of the carrying amount over the fair value of the asset. During the fiscal years ended March 31, 2024, 2023, and 2022, the Company did not record any material impairment charges.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53" w:lineRule="exact"/>
        <w:rPr>
          <w:sz w:val="20"/>
          <w:szCs w:val="20"/>
          <w:color w:val="auto"/>
        </w:rPr>
      </w:pPr>
    </w:p>
    <w:p>
      <w:pPr>
        <w:ind w:right="140" w:firstLine="350"/>
        <w:spacing w:after="0" w:line="264" w:lineRule="auto"/>
        <w:rPr>
          <w:sz w:val="20"/>
          <w:szCs w:val="20"/>
          <w:color w:val="auto"/>
        </w:rPr>
      </w:pPr>
      <w:r>
        <w:rPr>
          <w:rFonts w:ascii="Times New Roman" w:cs="Times New Roman" w:eastAsia="Times New Roman" w:hAnsi="Times New Roman"/>
          <w:sz w:val="14"/>
          <w:szCs w:val="14"/>
          <w:color w:val="auto"/>
        </w:rPr>
        <w:t>At contract inception, the Company determines whether the contract is, or contains, a lease, which exists when the contract conveys the right to control the use of identified property or equipment for a period of time in exchange for consideration. Operating lease balances are included in operating lease ROU assets, operating lease liabilities, and operating lease liabilities, net of current portion in our consolidated balance sheet. Cash payments arising from operating leases are classified within operating activities in the consolidated statement of cash flows. As of March 31, 2024, the Company had no finance leases.</w:t>
      </w:r>
    </w:p>
    <w:p>
      <w:pPr>
        <w:spacing w:after="0" w:line="13"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The Company's leases are generally for facilities and office space and the Company recognizes ROU assets and lease liabilities at the lease commencement date for those arrangements. The initial lease liability is equal to the present value of the future minimum lease payments over the lease term. The initial measurement of the ROU asset is equal to the initial lease liability plus any initial direct costs and prepaid lease payments, less any lease incentives. At the lease commencement date, the Company estimates its collateralized incremental borrowing rate based on publicly available yields adjusted for Company-specific considerations and the Company's varying lease terms in determining the present value of future payments. Certain of the Company’s leases contain options to renew or to terminate the lease which are included in the determination of the ROU assets and lease liabilities when it is reasonably certain that the Company will exercise the option. The Company's leases may also include variable lease payments, such as an escalation clause based on consumer price index rates, maintenance costs, and utilities. Variable lease payments that depend on an index or a rate are included in the determination of ROU assets and lease liabilities using the index or rate at the lease commencement date, whereas variable lease-related payments that do not depend on an index or rate are recorded as lease expense in the period incurred. ROU assets are evaluated for impairment in a manner consistent with the treatment of other long-lived assets.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2" w:right="339" w:bottom="1440" w:gutter="0" w:footer="0" w:header="0"/>
        </w:sectPr>
      </w:pPr>
    </w:p>
    <w:bookmarkStart w:id="88" w:name="page89"/>
    <w:bookmarkEnd w:id="8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53"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As permitted under Accounting Standards Update (“ASU”) 2016-02, </w:t>
      </w:r>
      <w:r>
        <w:rPr>
          <w:rFonts w:ascii="Times New Roman" w:cs="Times New Roman" w:eastAsia="Times New Roman" w:hAnsi="Times New Roman"/>
          <w:sz w:val="14"/>
          <w:szCs w:val="14"/>
          <w:i w:val="1"/>
          <w:iCs w:val="1"/>
          <w:color w:val="auto"/>
        </w:rPr>
        <w:t>Leases (Topic 842)</w:t>
      </w:r>
      <w:r>
        <w:rPr>
          <w:rFonts w:ascii="Times New Roman" w:cs="Times New Roman" w:eastAsia="Times New Roman" w:hAnsi="Times New Roman"/>
          <w:sz w:val="14"/>
          <w:szCs w:val="14"/>
          <w:color w:val="auto"/>
        </w:rPr>
        <w:t xml:space="preserve"> (“Topic 842”), the Company elected the short-term lease policy election not to recognize ROU assets and lease liabilities for leases with an initial term of 12 months or less; lease expense from these leases is recognized on a straight-line basis over the lease term. As further permitted under Topic 842, for all material classes of leased assets, the Company elected to apply the practical expedient to not separate lease components from non-lease components, and instead account for both components as a single lease component. As of March 31, 2024, the Company did not have any lease agreements with residual value guarantees or material restrictions or covenants.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provides for income taxes as a “C” corporation on income earned from operations. The Company is subject to federal, state, and foreign taxation in various jurisdictions.</w:t>
      </w:r>
    </w:p>
    <w:p>
      <w:pPr>
        <w:spacing w:after="0" w:line="51"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Deferred tax assets and liabilities are recorded to recognize the expected future tax benefits or costs of events that have been, or will be, reported in different years for financial statement purposes than for tax purposes. Deferred tax assets and liabilities are computed based on the difference between the consolidated financial statement carrying amount and tax basis of assets and liabilities using enacted tax rates and laws for the years in which these items are expected to reverse. If management determines that some portion or all of a deferred tax asset is not “more likely than not” to be realized, a valuation allowance is recorded as a component of the income tax provision to reduce the deferred tax asset to an appropriate level in that period. In determining the need for a valuation allowance, management considers all positive and negative evidence, including historical earnings, projected future taxable income, future reversals of existing taxable temporary differences, taxable income in prior carryback periods, and prudent, feasible tax-planning strategies.</w:t>
      </w:r>
    </w:p>
    <w:p>
      <w:pPr>
        <w:spacing w:after="0" w:line="19" w:lineRule="exact"/>
        <w:rPr>
          <w:sz w:val="20"/>
          <w:szCs w:val="20"/>
          <w:color w:val="auto"/>
        </w:rPr>
      </w:pPr>
    </w:p>
    <w:p>
      <w:pPr>
        <w:ind w:right="80" w:firstLine="350"/>
        <w:spacing w:after="0" w:line="263" w:lineRule="auto"/>
        <w:rPr>
          <w:sz w:val="20"/>
          <w:szCs w:val="20"/>
          <w:color w:val="auto"/>
        </w:rPr>
      </w:pPr>
      <w:r>
        <w:rPr>
          <w:rFonts w:ascii="Times New Roman" w:cs="Times New Roman" w:eastAsia="Times New Roman" w:hAnsi="Times New Roman"/>
          <w:sz w:val="14"/>
          <w:szCs w:val="14"/>
          <w:color w:val="auto"/>
        </w:rPr>
        <w:t>The Company periodically assesses its tax positions for all periods open to examination by tax authorities based on the latest available information. Those positions are evaluated to determine whether they will more likely than not be sustained upon examination by the Internal Revenue Service (“IRS”) or other taxing authorities. The Company reserves for these uncertain tax positions related to unrecognized income tax benefits where it is not more likely than not that the Company’s tax position will be sustained on examination and settlement with the various taxing authorities. Liabilities for unrecognized tax benefits are measured based on the largest amount of benefit that is greater than 50% likely of being realized upon ultimate settlement. These unrecognized tax benefits are recorded as a component of income tax expense. As uncertain tax positions in periods open to examination are closed out, or as new information becomes available, the resulting change is reflected in the recorded liability and income tax expense. Penalties and interest recognized related to the reserves for uncertain tax positions are recorded as a component of income tax expense.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Income</w:t>
      </w:r>
    </w:p>
    <w:p>
      <w:pPr>
        <w:spacing w:after="0" w:line="53" w:lineRule="exact"/>
        <w:rPr>
          <w:sz w:val="20"/>
          <w:szCs w:val="20"/>
          <w:color w:val="auto"/>
        </w:rPr>
      </w:pPr>
    </w:p>
    <w:p>
      <w:pPr>
        <w:jc w:val="both"/>
        <w:ind w:right="160" w:firstLine="350"/>
        <w:spacing w:after="0" w:line="270" w:lineRule="auto"/>
        <w:rPr>
          <w:sz w:val="20"/>
          <w:szCs w:val="20"/>
          <w:color w:val="auto"/>
        </w:rPr>
      </w:pPr>
      <w:r>
        <w:rPr>
          <w:rFonts w:ascii="Times New Roman" w:cs="Times New Roman" w:eastAsia="Times New Roman" w:hAnsi="Times New Roman"/>
          <w:sz w:val="14"/>
          <w:szCs w:val="14"/>
          <w:color w:val="auto"/>
        </w:rPr>
        <w:t>Comprehensive income is the change in equity of a business enterprise during a period from transactions and other events and circumstances from non-owner sources, and is presented in the consolidated statements of comprehensive income. Accumulated other comprehensive income as of March 31, 2024 and 2023 consisted of net unrealized gains or losses on the Company’s defined and postretirement benefit plans and unrealized gains or losses on interest rate swaps designated as cash flow hedges.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53"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Stock-based compensation to employees is recognized in the consolidated statements of operations based on the grant date fair values with the expense for time vested awards recognized on an accelerated basis over the vesting period. The Company estimates forfeitures anticipated to occur during the vesting period for the purposes of recognizing costs associated with stock-based compensation. The expense for performance awards is estimated at each reporting date using management's expectation of the probable achievement of the specified performance criteria and is recognized straight line over the vesting period. The Company uses the Black-Scholes option-pricing model to determine the fair value of its option awards at the time of grant.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Contribution Plan and Other Post-Retirement Benefits</w:t>
      </w:r>
    </w:p>
    <w:p>
      <w:pPr>
        <w:spacing w:after="0" w:line="53"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The Company recognizes the underfunded status of defined contribution plans and other post-retirement benefits on the consolidated balance sheets within other long-term liabilities. Gains and losses, and prior service costs and credits that have not yet been recognized through net periodic benefit cost are recognized in accumulated other comprehensive loss, net of tax effects, and will be amortized as a component of net periodic cost in future periods. The measurement date, the date at which the benefit obligations are measured, is the Company’s fiscal year-end.</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62" w:right="359" w:bottom="1440" w:gutter="0" w:footer="0" w:header="0"/>
        </w:sectPr>
      </w:pPr>
    </w:p>
    <w:bookmarkStart w:id="89" w:name="page90"/>
    <w:bookmarkEnd w:id="8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Self-Funded Medical Plans</w:t>
      </w:r>
    </w:p>
    <w:p>
      <w:pPr>
        <w:spacing w:after="0" w:line="53"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The Company maintains self-funded medical insurance. Self-funded plans include Consumer Driven Health Plans with a Health Savings Account option and traditional choice plans. Further, self-funded plans also include prescription drug and dental benefits. The Company records an incurred but unreported claim liability in the accrued compensation and benefits line of the consolidated balance sheets for self-funded plans based on an actuarial valuation. The estimate of the incurred but unreported claim liability was provided by a third-party valuation firm, primarily based on claims and participant data for the medical, dental, and pharmacy related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53" w:lineRule="exact"/>
        <w:rPr>
          <w:sz w:val="20"/>
          <w:szCs w:val="20"/>
          <w:color w:val="auto"/>
        </w:rPr>
      </w:pPr>
    </w:p>
    <w:p>
      <w:pPr>
        <w:jc w:val="both"/>
        <w:ind w:right="300" w:firstLine="350"/>
        <w:spacing w:after="0" w:line="270" w:lineRule="auto"/>
        <w:rPr>
          <w:sz w:val="20"/>
          <w:szCs w:val="20"/>
          <w:color w:val="auto"/>
        </w:rPr>
      </w:pPr>
      <w:r>
        <w:rPr>
          <w:rFonts w:ascii="Times New Roman" w:cs="Times New Roman" w:eastAsia="Times New Roman" w:hAnsi="Times New Roman"/>
          <w:sz w:val="14"/>
          <w:szCs w:val="14"/>
          <w:color w:val="auto"/>
        </w:rPr>
        <w:t>Fair value is the price that would be received to sell an asset or paid to transfer a liability in an orderly transaction between market participants at the measurement date. In determining fair value, the Company considers the principal or most advantageous market in which the asset or liability would transact, and if necessary, considers assumptions that market participants would use when pricing the asset or liability.</w:t>
      </w:r>
    </w:p>
    <w:p>
      <w:pPr>
        <w:spacing w:after="0" w:line="8"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 A financial instrument's level within the fair value hierarchy is based on the lowest level of input that is significant to the fair value measurement.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in Variable Interest Entities and Other Investments</w:t>
      </w:r>
    </w:p>
    <w:p>
      <w:pPr>
        <w:spacing w:after="0" w:line="53"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The Company invests in certain companies that advance or develop new technologies applicable to its business. Each investment is evaluated for consolidation under the variable interest entities model and/or the voting interest model. The results of these investments are not material to the consolidated financial statements for the periods presented. The Company uses the equity method to account for investments in entities that it does not control if it is otherwise able to exert significant influence over the entities' operating and financial policies. Equity investments in entities over which the Company does not have the ability to exercise significant influence and whose securities do not have a readily determinable fair value are Level 3 inputs and are accounted for under the measurement alternative. As of March 31, 2024 and March 31, 2023, respectively, the total of equity and other investments related to unconsolidated entities included in other long term assets of the Company’s consolidated balance sheet were $42.0 million and $23.1 million.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51" w:lineRule="exact"/>
        <w:rPr>
          <w:sz w:val="20"/>
          <w:szCs w:val="20"/>
          <w:color w:val="auto"/>
        </w:rPr>
      </w:pPr>
    </w:p>
    <w:p>
      <w:pPr>
        <w:ind w:right="120" w:firstLine="318"/>
        <w:spacing w:after="0" w:line="265" w:lineRule="auto"/>
        <w:rPr>
          <w:sz w:val="20"/>
          <w:szCs w:val="20"/>
          <w:color w:val="auto"/>
        </w:rPr>
      </w:pPr>
      <w:r>
        <w:rPr>
          <w:rFonts w:ascii="Times New Roman" w:cs="Times New Roman" w:eastAsia="Times New Roman" w:hAnsi="Times New Roman"/>
          <w:sz w:val="14"/>
          <w:szCs w:val="14"/>
          <w:color w:val="auto"/>
        </w:rPr>
        <w:t xml:space="preserve">In October 2021, the Financial Accounting Standards Board (“FASB”) issued ASU 2021-08, </w:t>
      </w:r>
      <w:r>
        <w:rPr>
          <w:rFonts w:ascii="Times New Roman" w:cs="Times New Roman" w:eastAsia="Times New Roman" w:hAnsi="Times New Roman"/>
          <w:sz w:val="14"/>
          <w:szCs w:val="14"/>
          <w:i w:val="1"/>
          <w:iCs w:val="1"/>
          <w:color w:val="auto"/>
        </w:rPr>
        <w:t>Business Combinations (Topic 805): Accounting for Contract Assets and Contract Liabilities from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Contracts with Customers </w:t>
      </w:r>
      <w:r>
        <w:rPr>
          <w:rFonts w:ascii="Times New Roman" w:cs="Times New Roman" w:eastAsia="Times New Roman" w:hAnsi="Times New Roman"/>
          <w:sz w:val="14"/>
          <w:szCs w:val="14"/>
          <w:color w:val="auto"/>
        </w:rPr>
        <w:t>(“Topic 805”)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amends the accounting for acquired revenue contracts with customers in a business combination to address recognition of an acquired contract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liability and payment terms, and their effect on subsequent revenue recognized by the acquirer. Topic 805 is effective for annual periods beginning after December 15, 2022 on a prospective basis. Early adoption is permitted. The Company early adopted the requirements of Topic 805 to apply the amendments prospectively to all business combinations that occurred on or after April 1, 2022.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90" w:name="page91"/>
    <w:bookmarkEnd w:id="9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53" w:lineRule="exact"/>
        <w:rPr>
          <w:sz w:val="20"/>
          <w:szCs w:val="20"/>
          <w:color w:val="auto"/>
        </w:rPr>
      </w:pPr>
    </w:p>
    <w:p>
      <w:pPr>
        <w:ind w:right="40" w:firstLine="318"/>
        <w:spacing w:after="0" w:line="256" w:lineRule="auto"/>
        <w:rPr>
          <w:sz w:val="20"/>
          <w:szCs w:val="20"/>
          <w:color w:val="auto"/>
        </w:rPr>
      </w:pPr>
      <w:r>
        <w:rPr>
          <w:rFonts w:ascii="Times New Roman" w:cs="Times New Roman" w:eastAsia="Times New Roman" w:hAnsi="Times New Roman"/>
          <w:sz w:val="14"/>
          <w:szCs w:val="14"/>
          <w:color w:val="auto"/>
        </w:rPr>
        <w:t xml:space="preserve">In March 2020, the FASB issued ASU 2020-04, </w:t>
      </w:r>
      <w:r>
        <w:rPr>
          <w:rFonts w:ascii="Times New Roman" w:cs="Times New Roman" w:eastAsia="Times New Roman" w:hAnsi="Times New Roman"/>
          <w:sz w:val="14"/>
          <w:szCs w:val="14"/>
          <w:i w:val="1"/>
          <w:iCs w:val="1"/>
          <w:color w:val="auto"/>
        </w:rPr>
        <w:t>Reference Rate Reform (Topic 848): Facilitation of the Effects of Reference Rate Reform on Financial Reporting</w:t>
      </w:r>
      <w:r>
        <w:rPr>
          <w:rFonts w:ascii="Times New Roman" w:cs="Times New Roman" w:eastAsia="Times New Roman" w:hAnsi="Times New Roman"/>
          <w:sz w:val="14"/>
          <w:szCs w:val="14"/>
          <w:color w:val="auto"/>
        </w:rPr>
        <w:t xml:space="preserve"> (“Topic 848”). The guidance is intended to provide relief for entities impacted by reference rate reform. Topic 848 contains provisions and optional accounting expedients designed to simplify requirements around the designation of hedging relationships, probability assessments of hedged forecasted transactions, and accounting for modifications of contracts that refer to the London Interbank Offered Rate (“LIBOR”) or other rates affected by reference rate reform. The guidance is elective and is effective on the date of issuance. Topic 848 is applied prospectively to contract modifications and as of the effective date for existing and new eligible hedging relationships. During the first quarter of fiscal 2024, the Company modified its interest rate swap agreements to transition from LIBOR-indexed to Term Secured Overnight Financing Rate (“SOFR”) indexed periodic swap payments to align with interest payments in connection with its Term SOFR-indexed debt. As such, the Company elected the optional expedients under Topic 848 which allows the cash flow hedge to continue being recognized under hedge accounting without de-designation upon a change in critical terms affected by the reference rate reform. The adoption of this guidance did not have a material impact on the consolidated financial statements and disclosures. The Company has elected to apply the hedge accounting practical expedient related to the probability of hedged future LIBOR-indexed cash flows and continued its quantitative method of assessing subsequent hedge effectiveness in the fourth quarter of fiscal 2020. Further, during the second quarter of fiscal year 2023, the Company transitioned its term loans from LIBOR-indexed interest payments to Term SOFR-indexed interest payments in connection with the Ninth Amendment of the Credit Agreement. For its interest rate swaps designated as cash flow hedges, the Company elected to apply certain of the accounting expedients to assume that the reference rates, which hedged forecasted transactions will be based on, match the LIBOR-indexed rates used in the Company's interest rate swaps consistent with past presentation. The Company continues to evaluate the impact of Topic 848 and may apply other elections, as applicable. The adoption of this guidance did not have a material impact on the consolidated financial statements and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Not Yet Adopted</w:t>
      </w:r>
    </w:p>
    <w:p>
      <w:pPr>
        <w:spacing w:after="0" w:line="53"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which enhances reportable segment disclosure requirements, including significant segment expenses and interim disclosures (“Topic 280”). The guidance allows for disclosure of multiple measures of a segment’s profit or loss, and it requires that public entities with a single reportable segment provide all disclosures required by the ASU and all existing disclosures in Topic 280. ASU 2023-07 is effective for annual periods beginning after December 15, 2023 and interim periods within fiscal years beginning after December 15, 2024. The amendments are to be applied retrospectively, and early adoption is permitted. The Company is currently assessing the impact of this update and does not expect this update to have a material impact on its present or historical consolidated financial statements.</w:t>
      </w:r>
    </w:p>
    <w:p>
      <w:pPr>
        <w:spacing w:after="0" w:line="16" w:lineRule="exact"/>
        <w:rPr>
          <w:sz w:val="20"/>
          <w:szCs w:val="20"/>
          <w:color w:val="auto"/>
        </w:rPr>
      </w:pPr>
    </w:p>
    <w:p>
      <w:pPr>
        <w:ind w:right="260" w:firstLine="318"/>
        <w:spacing w:after="0" w:line="287" w:lineRule="auto"/>
        <w:rPr>
          <w:sz w:val="20"/>
          <w:szCs w:val="20"/>
          <w:color w:val="auto"/>
        </w:rPr>
      </w:pPr>
      <w:r>
        <w:rPr>
          <w:rFonts w:ascii="Times New Roman" w:cs="Times New Roman" w:eastAsia="Times New Roman" w:hAnsi="Times New Roman"/>
          <w:sz w:val="14"/>
          <w:szCs w:val="14"/>
          <w:color w:val="auto"/>
        </w:rPr>
        <w:t>Other recent accounting pronouncements issued during fiscal 2024 and through the filing date are not expected to have a material impact on the Company's present or historical consolidated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Revenue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96"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We disaggregate our revenue from contracts with customers by contract type and by customer type, as well as by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Revenue by Contract Type:</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r>
      <w:tr>
        <w:trPr>
          <w:trHeight w:val="171"/>
        </w:trPr>
        <w:tc>
          <w:tcPr>
            <w:tcW w:w="47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17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Cost-reimbursable</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5,873,045</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rPr>
              <w:t>4,908,451</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4,514,262</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420" w:type="dxa"/>
            <w:vAlign w:val="bottom"/>
          </w:tcPr>
          <w:p>
            <w:pPr>
              <w:spacing w:after="0"/>
              <w:rPr>
                <w:sz w:val="14"/>
                <w:szCs w:val="14"/>
                <w:color w:val="auto"/>
              </w:rPr>
            </w:pP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Time-and-materials</w:t>
            </w:r>
          </w:p>
        </w:tc>
        <w:tc>
          <w:tcPr>
            <w:tcW w:w="36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2,530,366</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rPr>
              <w:t>2,296,965</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2,017,094</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420" w:type="dxa"/>
            <w:vAlign w:val="bottom"/>
          </w:tcPr>
          <w:p>
            <w:pPr>
              <w:spacing w:after="0"/>
              <w:rPr>
                <w:sz w:val="15"/>
                <w:szCs w:val="15"/>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Fixed-price</w:t>
            </w:r>
          </w:p>
        </w:tc>
        <w:tc>
          <w:tcPr>
            <w:tcW w:w="3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2,258,485</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rPr>
              <w:t>2,053,495</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1,832,344</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420" w:type="dxa"/>
            <w:vAlign w:val="bottom"/>
          </w:tcPr>
          <w:p>
            <w:pPr>
              <w:spacing w:after="0"/>
              <w:rPr>
                <w:sz w:val="15"/>
                <w:szCs w:val="15"/>
                <w:color w:val="auto"/>
              </w:rPr>
            </w:pPr>
          </w:p>
        </w:tc>
      </w:tr>
      <w:tr>
        <w:trPr>
          <w:trHeight w:val="17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10,661,896</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center"/>
              <w:ind w:left="449"/>
              <w:spacing w:after="0"/>
              <w:rPr>
                <w:sz w:val="20"/>
                <w:szCs w:val="20"/>
                <w:color w:val="auto"/>
              </w:rPr>
            </w:pPr>
            <w:r>
              <w:rPr>
                <w:rFonts w:ascii="Times New Roman" w:cs="Times New Roman" w:eastAsia="Times New Roman" w:hAnsi="Times New Roman"/>
                <w:sz w:val="14"/>
                <w:szCs w:val="14"/>
                <w:color w:val="auto"/>
                <w:w w:val="99"/>
              </w:rPr>
              <w:t>9,258,911</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color w:val="auto"/>
              </w:rPr>
              <w:t>8,363,700</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420" w:type="dxa"/>
            <w:vAlign w:val="bottom"/>
          </w:tcPr>
          <w:p>
            <w:pPr>
              <w:spacing w:after="0"/>
              <w:rPr>
                <w:sz w:val="14"/>
                <w:szCs w:val="14"/>
                <w:color w:val="auto"/>
              </w:rPr>
            </w:pPr>
          </w:p>
        </w:tc>
      </w:tr>
      <w:tr>
        <w:trPr>
          <w:trHeight w:val="20"/>
        </w:trPr>
        <w:tc>
          <w:tcPr>
            <w:tcW w:w="4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693"/>
        </w:trPr>
        <w:tc>
          <w:tcPr>
            <w:tcW w:w="4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F-17</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87"/>
        </w:trPr>
        <w:tc>
          <w:tcPr>
            <w:tcW w:w="47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62" w:right="319" w:bottom="1440" w:gutter="0" w:footer="0" w:header="0"/>
        </w:sectPr>
      </w:pPr>
    </w:p>
    <w:bookmarkStart w:id="91" w:name="page92"/>
    <w:bookmarkEnd w:id="9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200" w:lineRule="exact"/>
        <w:rPr>
          <w:sz w:val="20"/>
          <w:szCs w:val="20"/>
          <w:color w:val="auto"/>
        </w:rPr>
      </w:pP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Revenue by Customer Type:</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71"/>
        </w:trPr>
        <w:tc>
          <w:tcPr>
            <w:tcW w:w="46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r>
      <w:tr>
        <w:trPr>
          <w:trHeight w:val="160"/>
        </w:trPr>
        <w:tc>
          <w:tcPr>
            <w:tcW w:w="460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auto"/>
              </w:rPr>
              <w:t>U.S. government</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80"/>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Defense Clients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5,055,779</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4,228,110</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3,965,590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47%</w:t>
            </w:r>
          </w:p>
        </w:tc>
      </w:tr>
      <w:tr>
        <w:trPr>
          <w:trHeight w:val="18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Intelligence Clients</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1,774,405</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1,686,622</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1,573,216</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19%</w:t>
            </w:r>
          </w:p>
        </w:tc>
      </w:tr>
      <w:tr>
        <w:trPr>
          <w:trHeight w:val="180"/>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Civil Clients</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3,658,465</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3,112,537</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2,608,618</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31%</w:t>
            </w:r>
          </w:p>
        </w:tc>
      </w:tr>
      <w:tr>
        <w:trPr>
          <w:trHeight w:val="17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U.S. government</w:t>
            </w: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10,488,649</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9,027,269</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8,147,424</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97%</w:t>
            </w:r>
          </w:p>
        </w:tc>
      </w:tr>
      <w:tr>
        <w:trPr>
          <w:trHeight w:val="180"/>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Global Commercial Clients</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173,247</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231,642</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216,276</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w:t>
            </w:r>
          </w:p>
        </w:tc>
      </w:tr>
      <w:tr>
        <w:trPr>
          <w:trHeight w:val="196"/>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10,661,896</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9,258,911</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8,363,700</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640" w:hanging="126"/>
        <w:spacing w:after="0" w:line="234" w:lineRule="auto"/>
        <w:tabs>
          <w:tab w:leader="none" w:pos="640" w:val="left"/>
        </w:tabs>
        <w:numPr>
          <w:ilvl w:val="0"/>
          <w:numId w:val="6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Certain contracts were reassigned between the various verticals of our U.S. government business shown in the table above to better align our operations to the customers we serve within each market. Comparative periods revenue by customer type has been recast to reflect the changes.</w:t>
      </w:r>
    </w:p>
    <w:p>
      <w:pPr>
        <w:spacing w:after="0" w:line="62"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Revenue by Whether the Company Acts as a Prime Contractor or a Sub-</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71"/>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Contractor:</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r>
      <w:tr>
        <w:trPr>
          <w:trHeight w:val="17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Prime Contractor</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10,143,192</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8,755,628</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7,864,273</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w:t>
            </w:r>
          </w:p>
        </w:tc>
      </w:tr>
      <w:tr>
        <w:trPr>
          <w:trHeight w:val="18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Sub-contractor</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518,704</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503,283</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499,427</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w:t>
            </w:r>
          </w:p>
        </w:tc>
      </w:tr>
      <w:tr>
        <w:trPr>
          <w:trHeight w:val="196"/>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10,661,896</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9,258,911</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8,363,700</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Obligations</w:t>
      </w:r>
    </w:p>
    <w:p>
      <w:pPr>
        <w:spacing w:after="0" w:line="53" w:lineRule="exact"/>
        <w:rPr>
          <w:sz w:val="20"/>
          <w:szCs w:val="20"/>
          <w:color w:val="auto"/>
        </w:rPr>
      </w:pPr>
    </w:p>
    <w:p>
      <w:pPr>
        <w:ind w:right="40" w:firstLine="318"/>
        <w:spacing w:after="0" w:line="287" w:lineRule="auto"/>
        <w:rPr>
          <w:sz w:val="20"/>
          <w:szCs w:val="20"/>
          <w:color w:val="auto"/>
        </w:rPr>
      </w:pPr>
      <w:r>
        <w:rPr>
          <w:rFonts w:ascii="Times New Roman" w:cs="Times New Roman" w:eastAsia="Times New Roman" w:hAnsi="Times New Roman"/>
          <w:sz w:val="14"/>
          <w:szCs w:val="14"/>
          <w:color w:val="auto"/>
        </w:rPr>
        <w:t>As of March 31, 2024 and 2023, the Company had $8.7 billion and $7.9 billion of remaining performance obligations, respectively. We expect to recognize approximately 70% of the remaining performance obligations as of March 31, 2024 as revenue over the next 12 months, and approximately 80% over the next 24 months. The remainder is expected to be recognized thereafter.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contract assets and liabilities, and accounts receivable, net of allowance recognized on the Company’s consolidated balance sheets:</w:t>
      </w:r>
    </w:p>
    <w:p>
      <w:pPr>
        <w:spacing w:after="0" w:line="81"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7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171"/>
        </w:trPr>
        <w:tc>
          <w:tcPr>
            <w:tcW w:w="7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80"/>
        </w:trPr>
        <w:tc>
          <w:tcPr>
            <w:tcW w:w="7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receivable–billed</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700,066</w:t>
            </w:r>
          </w:p>
        </w:tc>
        <w:tc>
          <w:tcPr>
            <w:tcW w:w="8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551,666</w:t>
            </w:r>
          </w:p>
        </w:tc>
      </w:tr>
      <w:tr>
        <w:trPr>
          <w:trHeight w:val="180"/>
        </w:trPr>
        <w:tc>
          <w:tcPr>
            <w:tcW w:w="7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receivable–unbilled (contract assets)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1,347,577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1,223,482</w:t>
            </w:r>
          </w:p>
        </w:tc>
      </w:tr>
      <w:tr>
        <w:trPr>
          <w:trHeight w:val="180"/>
        </w:trPr>
        <w:tc>
          <w:tcPr>
            <w:tcW w:w="71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71"/>
        </w:trPr>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receivable, net</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2,047,342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1,774,830</w:t>
            </w:r>
          </w:p>
        </w:tc>
      </w:tr>
      <w:tr>
        <w:trPr>
          <w:trHeight w:val="180"/>
        </w:trPr>
        <w:tc>
          <w:tcPr>
            <w:tcW w:w="712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assets: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7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receivable–unbilled (contract assets)</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57,355</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59,455</w:t>
            </w:r>
          </w:p>
        </w:tc>
      </w:tr>
      <w:tr>
        <w:trPr>
          <w:trHeight w:val="171"/>
        </w:trPr>
        <w:tc>
          <w:tcPr>
            <w:tcW w:w="71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accounts receivable, net</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2,104,697</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1,834,285</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2"/>
        </w:trPr>
        <w:tc>
          <w:tcPr>
            <w:tcW w:w="7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Other current liabilities</w:t>
            </w: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84"/>
        </w:trPr>
        <w:tc>
          <w:tcPr>
            <w:tcW w:w="7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Advance payments, billings in excess of costs incurred and deferred revenue (contract liabilities)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15,527</w:t>
            </w:r>
          </w:p>
        </w:tc>
        <w:tc>
          <w:tcPr>
            <w:tcW w:w="80" w:type="dxa"/>
            <w:vAlign w:val="bottom"/>
          </w:tcPr>
          <w:p>
            <w:pPr>
              <w:spacing w:after="0"/>
              <w:rPr>
                <w:sz w:val="16"/>
                <w:szCs w:val="16"/>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18,995</w:t>
            </w:r>
          </w:p>
        </w:tc>
      </w:tr>
    </w:tbl>
    <w:p>
      <w:pPr>
        <w:spacing w:after="0" w:line="98" w:lineRule="exact"/>
        <w:rPr>
          <w:sz w:val="20"/>
          <w:szCs w:val="20"/>
          <w:color w:val="auto"/>
        </w:rPr>
      </w:pPr>
    </w:p>
    <w:p>
      <w:pPr>
        <w:ind w:right="460" w:firstLine="318"/>
        <w:spacing w:after="0" w:line="284" w:lineRule="auto"/>
        <w:rPr>
          <w:sz w:val="20"/>
          <w:szCs w:val="20"/>
          <w:color w:val="auto"/>
        </w:rPr>
      </w:pPr>
      <w:r>
        <w:rPr>
          <w:rFonts w:ascii="Times New Roman" w:cs="Times New Roman" w:eastAsia="Times New Roman" w:hAnsi="Times New Roman"/>
          <w:sz w:val="14"/>
          <w:szCs w:val="14"/>
          <w:color w:val="auto"/>
        </w:rPr>
        <w:t>For fiscal 2024, 2023 and 2022, we recognized revenue of $17.2 million, $24.4 million and $14.9 million, respectively, related to our contract liabilities on April 1, 2023, 2022 and 2021, respectively.</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Benefit for credit losses recognized were $(0.3) million, $(2.0) million, and $(1.5) million for fiscal 2024, 2023, and 2022,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Earnings Per Share</w:t>
      </w:r>
    </w:p>
    <w:p>
      <w:pPr>
        <w:spacing w:after="0" w:line="53" w:lineRule="exact"/>
        <w:rPr>
          <w:sz w:val="20"/>
          <w:szCs w:val="20"/>
          <w:color w:val="auto"/>
        </w:rPr>
      </w:pPr>
    </w:p>
    <w:p>
      <w:pPr>
        <w:ind w:right="240" w:firstLine="318"/>
        <w:spacing w:after="0" w:line="270" w:lineRule="auto"/>
        <w:rPr>
          <w:sz w:val="20"/>
          <w:szCs w:val="20"/>
          <w:color w:val="auto"/>
        </w:rPr>
      </w:pPr>
      <w:r>
        <w:rPr>
          <w:rFonts w:ascii="Times New Roman" w:cs="Times New Roman" w:eastAsia="Times New Roman" w:hAnsi="Times New Roman"/>
          <w:sz w:val="14"/>
          <w:szCs w:val="14"/>
          <w:color w:val="auto"/>
        </w:rPr>
        <w:t>The Company computes basic and diluted earnings per share amounts based on net income attributable to common stockholders for the periods presented. The Company uses the weighted average number of shares of common stock outstanding during the period to calculate basic earnings per share (“EPS”). Diluted EPS adjusts the weighted average number of shares outstanding to include the dilutive effect of outstanding common stock options and other stock-based awards.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92" w:name="page93"/>
    <w:bookmarkEnd w:id="9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55"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The Company currently has outstanding shares of Class A Common Stock. Holders of unvested Class A Restricted Common Stock are entitled to participate in non-forfeitable dividends or other distributions (“participating securities”). These unvested restricted shares participated in the Company's dividends declared and paid in each quarter of fiscal 2024, 2023, and 2022. As such, EPS is calculated using the two-class method whereby earnings are reduced by distributed earnings as well as any available undistributed earnings allocable to holders of these unvested restricted shares. A reconciliation of the income used to compute basic and diluted EPS for the periods presented are as follows:</w:t>
      </w:r>
    </w:p>
    <w:p>
      <w:pPr>
        <w:spacing w:after="0" w:line="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6"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16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0"/>
        </w:trPr>
        <w:tc>
          <w:tcPr>
            <w:tcW w:w="61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 xml:space="preserve">Numerator: </w:t>
            </w:r>
            <w:r>
              <w:rPr>
                <w:rFonts w:ascii="Times New Roman" w:cs="Times New Roman" w:eastAsia="Times New Roman" w:hAnsi="Times New Roman"/>
                <w:sz w:val="18"/>
                <w:szCs w:val="18"/>
                <w:color w:val="auto"/>
                <w:vertAlign w:val="superscript"/>
              </w:rPr>
              <w:t>(1)</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Earnings for basic computations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600,740</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269,656</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463,626</w:t>
            </w: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Earnings for diluted computations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600,750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269,657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463,635</w:t>
            </w:r>
          </w:p>
        </w:tc>
        <w:tc>
          <w:tcPr>
            <w:tcW w:w="0" w:type="dxa"/>
            <w:vAlign w:val="bottom"/>
          </w:tcPr>
          <w:p>
            <w:pPr>
              <w:spacing w:after="0"/>
              <w:rPr>
                <w:sz w:val="1"/>
                <w:szCs w:val="1"/>
                <w:color w:val="auto"/>
              </w:rPr>
            </w:pP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Weighted-average common stock shares outstanding, basic</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130,366,501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132,161,646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134,134,034</w:t>
            </w:r>
          </w:p>
        </w:tc>
        <w:tc>
          <w:tcPr>
            <w:tcW w:w="0" w:type="dxa"/>
            <w:vAlign w:val="bottom"/>
          </w:tcPr>
          <w:p>
            <w:pPr>
              <w:spacing w:after="0"/>
              <w:rPr>
                <w:sz w:val="1"/>
                <w:szCs w:val="1"/>
                <w:color w:val="auto"/>
              </w:rPr>
            </w:pPr>
          </w:p>
        </w:tc>
      </w:tr>
      <w:tr>
        <w:trPr>
          <w:trHeight w:val="180"/>
        </w:trPr>
        <w:tc>
          <w:tcPr>
            <w:tcW w:w="6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Dilutive stock options and restricted stock</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449,402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554,790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716,774</w:t>
            </w: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4"/>
                <w:szCs w:val="14"/>
                <w:color w:val="auto"/>
              </w:rPr>
              <w:t xml:space="preserve">Weighted-average common stock shares outstanding, diluted </w:t>
            </w:r>
            <w:r>
              <w:rPr>
                <w:rFonts w:ascii="Times New Roman" w:cs="Times New Roman" w:eastAsia="Times New Roman" w:hAnsi="Times New Roman"/>
                <w:sz w:val="18"/>
                <w:szCs w:val="18"/>
                <w:color w:val="auto"/>
                <w:vertAlign w:val="superscript"/>
              </w:rPr>
              <w:t>(2)</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130,815,903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132,716,436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134,850,808</w:t>
            </w:r>
          </w:p>
        </w:tc>
        <w:tc>
          <w:tcPr>
            <w:tcW w:w="0" w:type="dxa"/>
            <w:vAlign w:val="bottom"/>
          </w:tcPr>
          <w:p>
            <w:pPr>
              <w:spacing w:after="0"/>
              <w:rPr>
                <w:sz w:val="1"/>
                <w:szCs w:val="1"/>
                <w:color w:val="auto"/>
              </w:rPr>
            </w:pPr>
          </w:p>
        </w:tc>
      </w:tr>
      <w:tr>
        <w:trPr>
          <w:trHeight w:val="18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Earnings per share of common share:</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80"/>
              <w:spacing w:after="0" w:line="182" w:lineRule="exact"/>
              <w:rPr>
                <w:sz w:val="20"/>
                <w:szCs w:val="20"/>
                <w:color w:val="auto"/>
              </w:rPr>
            </w:pPr>
            <w:r>
              <w:rPr>
                <w:rFonts w:ascii="Times New Roman" w:cs="Times New Roman" w:eastAsia="Times New Roman" w:hAnsi="Times New Roman"/>
                <w:sz w:val="14"/>
                <w:szCs w:val="14"/>
                <w:color w:val="auto"/>
              </w:rPr>
              <w:t xml:space="preserve">Diluted </w:t>
            </w:r>
            <w:r>
              <w:rPr>
                <w:rFonts w:ascii="Times New Roman" w:cs="Times New Roman" w:eastAsia="Times New Roman" w:hAnsi="Times New Roman"/>
                <w:sz w:val="18"/>
                <w:szCs w:val="18"/>
                <w:color w:val="auto"/>
                <w:vertAlign w:val="superscript"/>
              </w:rPr>
              <w:t>(2)</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60" w:type="dxa"/>
            <w:vAlign w:val="bottom"/>
            <w:vMerge w:val="continue"/>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520" w:right="160" w:hanging="133"/>
        <w:spacing w:after="0" w:line="263" w:lineRule="auto"/>
        <w:tabs>
          <w:tab w:leader="none" w:pos="523" w:val="left"/>
        </w:tabs>
        <w:numPr>
          <w:ilvl w:val="1"/>
          <w:numId w:val="6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difference between earnings for basic and diluted computations and net income presented on the consolidated statements of operations is due to undistributed earnings and dividends allocated to the participating securities. During fiscal 2024, 2023, and 2022, respectively, approximately 1.1 million, 1.1 million, and 0.9 million shares of participating securities were paid dividends totaling $2.1 million, $1.8 million, and $1.4 million, respectively. There were undistributed earnings of $2.9 million, $0.3 million, and $1.7 million allocated to the participating class of securities in both basic and diluted earnings per share of common stock for fiscal 2024, 2023, and 2022, respectively.</w:t>
      </w:r>
    </w:p>
    <w:p>
      <w:pPr>
        <w:spacing w:after="0" w:line="4" w:lineRule="exact"/>
        <w:rPr>
          <w:rFonts w:ascii="Times New Roman" w:cs="Times New Roman" w:eastAsia="Times New Roman" w:hAnsi="Times New Roman"/>
          <w:sz w:val="17"/>
          <w:szCs w:val="17"/>
          <w:color w:val="auto"/>
          <w:vertAlign w:val="superscript"/>
        </w:rPr>
      </w:pPr>
    </w:p>
    <w:p>
      <w:pPr>
        <w:ind w:left="520" w:hanging="133"/>
        <w:spacing w:after="0"/>
        <w:tabs>
          <w:tab w:leader="none" w:pos="520" w:val="left"/>
        </w:tabs>
        <w:numPr>
          <w:ilvl w:val="1"/>
          <w:numId w:val="6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impact of anti-dilutive options excluded from the calculation of diluted EPS was not material during the periods presented.</w:t>
      </w:r>
    </w:p>
    <w:p>
      <w:pPr>
        <w:spacing w:after="0" w:line="68" w:lineRule="exact"/>
        <w:rPr>
          <w:rFonts w:ascii="Times New Roman" w:cs="Times New Roman" w:eastAsia="Times New Roman" w:hAnsi="Times New Roman"/>
          <w:sz w:val="17"/>
          <w:szCs w:val="17"/>
          <w:color w:val="auto"/>
          <w:vertAlign w:val="superscript"/>
        </w:rPr>
      </w:pPr>
    </w:p>
    <w:p>
      <w:pPr>
        <w:ind w:left="140" w:hanging="135"/>
        <w:spacing w:after="0"/>
        <w:tabs>
          <w:tab w:leader="none" w:pos="140"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Acquisition and Divestitures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w:t>
      </w:r>
    </w:p>
    <w:p>
      <w:pPr>
        <w:spacing w:after="0" w:line="96" w:lineRule="exact"/>
        <w:rPr>
          <w:sz w:val="20"/>
          <w:szCs w:val="20"/>
          <w:color w:val="auto"/>
        </w:rPr>
      </w:pPr>
    </w:p>
    <w:p>
      <w:pPr>
        <w:ind w:right="320" w:firstLine="318"/>
        <w:spacing w:after="0" w:line="270" w:lineRule="auto"/>
        <w:rPr>
          <w:sz w:val="20"/>
          <w:szCs w:val="20"/>
          <w:color w:val="auto"/>
        </w:rPr>
      </w:pPr>
      <w:r>
        <w:rPr>
          <w:rFonts w:ascii="Times New Roman" w:cs="Times New Roman" w:eastAsia="Times New Roman" w:hAnsi="Times New Roman"/>
          <w:sz w:val="14"/>
          <w:szCs w:val="14"/>
          <w:color w:val="auto"/>
        </w:rPr>
        <w:t>On October 14, 2022, the Company completed the acquisition of EverWatch Corp. (“EverWatch”), a leading provider of advanced solutions to the defense and intelligence communities for approximately $445.1 million, net of post-closing adjustments and also incurred transaction costs as part of the acquisition. The acquisition was funded with cash on hand. As a result of the transaction, EverWatch became a wholly owned subsidiary of Booz Allen Hamilton Inc.</w:t>
      </w:r>
    </w:p>
    <w:p>
      <w:pPr>
        <w:spacing w:after="0" w:line="51"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4"/>
          <w:szCs w:val="14"/>
          <w:color w:val="auto"/>
        </w:rPr>
        <w:t>The Company recognized $108.6 million of intangible assets which consists primarily of contract assets and were valued using the excess earnings method discounted cash flow approach, incorporating Level 3 inputs as described under the fair value hierarchy of Topic 820. These unobservable inputs reflect the Company's own judgment about which assumptions market participants would use in pricing an asset on a non-recurring basis. The intangible assets will be amortized over the estimated useful life of fourteen years. The goodwill of $330.9 million is primarily attributable to EverWatch's specialized workforce and the expected synergies between the Company and EverWatch, and is non-deductible for tax purposes.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93" w:name="page94"/>
    <w:bookmarkEnd w:id="9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4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the consideration and the allocation of the purchase price paid for EverWatch:</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07"/>
        </w:trPr>
        <w:tc>
          <w:tcPr>
            <w:tcW w:w="200" w:type="dxa"/>
            <w:vAlign w:val="bottom"/>
          </w:tcPr>
          <w:p>
            <w:pPr>
              <w:spacing w:after="0"/>
              <w:rPr>
                <w:sz w:val="9"/>
                <w:szCs w:val="9"/>
                <w:color w:val="auto"/>
              </w:rPr>
            </w:pPr>
          </w:p>
        </w:tc>
        <w:tc>
          <w:tcPr>
            <w:tcW w:w="7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80"/>
        </w:trPr>
        <w:tc>
          <w:tcPr>
            <w:tcW w:w="200" w:type="dxa"/>
            <w:vAlign w:val="bottom"/>
          </w:tcPr>
          <w:p>
            <w:pPr>
              <w:spacing w:after="0"/>
              <w:rPr>
                <w:sz w:val="15"/>
                <w:szCs w:val="15"/>
                <w:color w:val="auto"/>
              </w:rPr>
            </w:pPr>
          </w:p>
        </w:tc>
        <w:tc>
          <w:tcPr>
            <w:tcW w:w="7040" w:type="dxa"/>
            <w:vAlign w:val="bottom"/>
            <w:shd w:val="clear" w:color="auto" w:fill="BFE4FF"/>
          </w:tcPr>
          <w:p>
            <w:pPr>
              <w:spacing w:after="0"/>
              <w:rPr>
                <w:sz w:val="20"/>
                <w:szCs w:val="20"/>
                <w:color w:val="auto"/>
              </w:rPr>
            </w:pPr>
            <w:r>
              <w:rPr>
                <w:rFonts w:ascii="Times New Roman" w:cs="Times New Roman" w:eastAsia="Times New Roman" w:hAnsi="Times New Roman"/>
                <w:sz w:val="14"/>
                <w:szCs w:val="14"/>
                <w:color w:val="auto"/>
              </w:rPr>
              <w:t>Cash consideration (gross of cash acquired)</w:t>
            </w:r>
          </w:p>
        </w:tc>
        <w:tc>
          <w:tcPr>
            <w:tcW w:w="520" w:type="dxa"/>
            <w:vAlign w:val="bottom"/>
            <w:shd w:val="clear" w:color="auto" w:fill="BFE4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445,074</w:t>
            </w:r>
          </w:p>
        </w:tc>
      </w:tr>
      <w:tr>
        <w:trPr>
          <w:trHeight w:val="202"/>
        </w:trPr>
        <w:tc>
          <w:tcPr>
            <w:tcW w:w="20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0"/>
        </w:trPr>
        <w:tc>
          <w:tcPr>
            <w:tcW w:w="200" w:type="dxa"/>
            <w:vAlign w:val="bottom"/>
          </w:tcPr>
          <w:p>
            <w:pPr>
              <w:spacing w:after="0"/>
              <w:rPr>
                <w:sz w:val="15"/>
                <w:szCs w:val="15"/>
                <w:color w:val="auto"/>
              </w:rPr>
            </w:pPr>
          </w:p>
        </w:tc>
        <w:tc>
          <w:tcPr>
            <w:tcW w:w="7040" w:type="dxa"/>
            <w:vAlign w:val="bottom"/>
            <w:shd w:val="clear" w:color="auto" w:fill="BFE4FF"/>
          </w:tcPr>
          <w:p>
            <w:pPr>
              <w:spacing w:after="0"/>
              <w:rPr>
                <w:sz w:val="20"/>
                <w:szCs w:val="20"/>
                <w:color w:val="auto"/>
              </w:rPr>
            </w:pPr>
            <w:r>
              <w:rPr>
                <w:rFonts w:ascii="Times New Roman" w:cs="Times New Roman" w:eastAsia="Times New Roman" w:hAnsi="Times New Roman"/>
                <w:sz w:val="14"/>
                <w:szCs w:val="14"/>
                <w:color w:val="auto"/>
              </w:rPr>
              <w:t>Purchase price allocation:</w:t>
            </w:r>
          </w:p>
        </w:tc>
        <w:tc>
          <w:tcPr>
            <w:tcW w:w="520" w:type="dxa"/>
            <w:vAlign w:val="bottom"/>
            <w:shd w:val="clear" w:color="auto" w:fill="BFE4FF"/>
          </w:tcPr>
          <w:p>
            <w:pPr>
              <w:spacing w:after="0"/>
              <w:rPr>
                <w:sz w:val="15"/>
                <w:szCs w:val="15"/>
                <w:color w:val="auto"/>
              </w:rPr>
            </w:pPr>
          </w:p>
        </w:tc>
        <w:tc>
          <w:tcPr>
            <w:tcW w:w="940" w:type="dxa"/>
            <w:vAlign w:val="bottom"/>
            <w:shd w:val="clear" w:color="auto" w:fill="BFE4FF"/>
          </w:tcPr>
          <w:p>
            <w:pPr>
              <w:spacing w:after="0"/>
              <w:rPr>
                <w:sz w:val="15"/>
                <w:szCs w:val="15"/>
                <w:color w:val="auto"/>
              </w:rPr>
            </w:pPr>
          </w:p>
        </w:tc>
      </w:tr>
      <w:tr>
        <w:trPr>
          <w:trHeight w:val="180"/>
        </w:trPr>
        <w:tc>
          <w:tcPr>
            <w:tcW w:w="200" w:type="dxa"/>
            <w:vAlign w:val="bottom"/>
          </w:tcPr>
          <w:p>
            <w:pPr>
              <w:spacing w:after="0"/>
              <w:rPr>
                <w:sz w:val="15"/>
                <w:szCs w:val="15"/>
                <w:color w:val="auto"/>
              </w:rPr>
            </w:pPr>
          </w:p>
        </w:tc>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4,779</w:t>
            </w:r>
          </w:p>
        </w:tc>
      </w:tr>
      <w:tr>
        <w:trPr>
          <w:trHeight w:val="180"/>
        </w:trPr>
        <w:tc>
          <w:tcPr>
            <w:tcW w:w="200" w:type="dxa"/>
            <w:vAlign w:val="bottom"/>
          </w:tcPr>
          <w:p>
            <w:pPr>
              <w:spacing w:after="0"/>
              <w:rPr>
                <w:sz w:val="15"/>
                <w:szCs w:val="15"/>
                <w:color w:val="auto"/>
              </w:rPr>
            </w:pPr>
          </w:p>
        </w:tc>
        <w:tc>
          <w:tcPr>
            <w:tcW w:w="70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4"/>
                <w:szCs w:val="14"/>
                <w:color w:val="auto"/>
              </w:rPr>
              <w:t>Current assets</w:t>
            </w:r>
          </w:p>
        </w:tc>
        <w:tc>
          <w:tcPr>
            <w:tcW w:w="520" w:type="dxa"/>
            <w:vAlign w:val="bottom"/>
            <w:shd w:val="clear" w:color="auto" w:fill="BFE4FF"/>
          </w:tcPr>
          <w:p>
            <w:pPr>
              <w:spacing w:after="0"/>
              <w:rPr>
                <w:sz w:val="15"/>
                <w:szCs w:val="15"/>
                <w:color w:val="auto"/>
              </w:rPr>
            </w:pP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27,725</w:t>
            </w:r>
          </w:p>
        </w:tc>
      </w:tr>
      <w:tr>
        <w:trPr>
          <w:trHeight w:val="180"/>
        </w:trPr>
        <w:tc>
          <w:tcPr>
            <w:tcW w:w="200" w:type="dxa"/>
            <w:vAlign w:val="bottom"/>
          </w:tcPr>
          <w:p>
            <w:pPr>
              <w:spacing w:after="0"/>
              <w:rPr>
                <w:sz w:val="15"/>
                <w:szCs w:val="15"/>
                <w:color w:val="auto"/>
              </w:rPr>
            </w:pPr>
          </w:p>
        </w:tc>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7,894</w:t>
            </w:r>
          </w:p>
        </w:tc>
      </w:tr>
      <w:tr>
        <w:trPr>
          <w:trHeight w:val="180"/>
        </w:trPr>
        <w:tc>
          <w:tcPr>
            <w:tcW w:w="200" w:type="dxa"/>
            <w:vAlign w:val="bottom"/>
          </w:tcPr>
          <w:p>
            <w:pPr>
              <w:spacing w:after="0"/>
              <w:rPr>
                <w:sz w:val="15"/>
                <w:szCs w:val="15"/>
                <w:color w:val="auto"/>
              </w:rPr>
            </w:pPr>
          </w:p>
        </w:tc>
        <w:tc>
          <w:tcPr>
            <w:tcW w:w="70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4"/>
                <w:szCs w:val="14"/>
                <w:color w:val="auto"/>
              </w:rPr>
              <w:t>Other long-term assets</w:t>
            </w:r>
          </w:p>
        </w:tc>
        <w:tc>
          <w:tcPr>
            <w:tcW w:w="520" w:type="dxa"/>
            <w:vAlign w:val="bottom"/>
            <w:shd w:val="clear" w:color="auto" w:fill="BFE4FF"/>
          </w:tcPr>
          <w:p>
            <w:pPr>
              <w:spacing w:after="0"/>
              <w:rPr>
                <w:sz w:val="15"/>
                <w:szCs w:val="15"/>
                <w:color w:val="auto"/>
              </w:rPr>
            </w:pP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5,078</w:t>
            </w:r>
          </w:p>
        </w:tc>
      </w:tr>
      <w:tr>
        <w:trPr>
          <w:trHeight w:val="180"/>
        </w:trPr>
        <w:tc>
          <w:tcPr>
            <w:tcW w:w="200" w:type="dxa"/>
            <w:vAlign w:val="bottom"/>
          </w:tcPr>
          <w:p>
            <w:pPr>
              <w:spacing w:after="0"/>
              <w:rPr>
                <w:sz w:val="15"/>
                <w:szCs w:val="15"/>
                <w:color w:val="auto"/>
              </w:rPr>
            </w:pPr>
          </w:p>
        </w:tc>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Intangible assets</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108,600</w:t>
            </w:r>
          </w:p>
        </w:tc>
      </w:tr>
      <w:tr>
        <w:trPr>
          <w:trHeight w:val="180"/>
        </w:trPr>
        <w:tc>
          <w:tcPr>
            <w:tcW w:w="200" w:type="dxa"/>
            <w:vAlign w:val="bottom"/>
          </w:tcPr>
          <w:p>
            <w:pPr>
              <w:spacing w:after="0"/>
              <w:rPr>
                <w:sz w:val="15"/>
                <w:szCs w:val="15"/>
                <w:color w:val="auto"/>
              </w:rPr>
            </w:pPr>
          </w:p>
        </w:tc>
        <w:tc>
          <w:tcPr>
            <w:tcW w:w="70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4"/>
                <w:szCs w:val="14"/>
                <w:color w:val="auto"/>
              </w:rPr>
              <w:t>Deferred tax liabilities</w:t>
            </w:r>
          </w:p>
        </w:tc>
        <w:tc>
          <w:tcPr>
            <w:tcW w:w="520" w:type="dxa"/>
            <w:vAlign w:val="bottom"/>
            <w:shd w:val="clear" w:color="auto" w:fill="BFE4FF"/>
          </w:tcPr>
          <w:p>
            <w:pPr>
              <w:spacing w:after="0"/>
              <w:rPr>
                <w:sz w:val="15"/>
                <w:szCs w:val="15"/>
                <w:color w:val="auto"/>
              </w:rPr>
            </w:pP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(20,394)</w:t>
            </w:r>
          </w:p>
        </w:tc>
      </w:tr>
      <w:tr>
        <w:trPr>
          <w:trHeight w:val="180"/>
        </w:trPr>
        <w:tc>
          <w:tcPr>
            <w:tcW w:w="200" w:type="dxa"/>
            <w:vAlign w:val="bottom"/>
          </w:tcPr>
          <w:p>
            <w:pPr>
              <w:spacing w:after="0"/>
              <w:rPr>
                <w:sz w:val="15"/>
                <w:szCs w:val="15"/>
                <w:color w:val="auto"/>
              </w:rPr>
            </w:pPr>
          </w:p>
        </w:tc>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liabilities</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(11,612)</w:t>
            </w:r>
          </w:p>
        </w:tc>
      </w:tr>
      <w:tr>
        <w:trPr>
          <w:trHeight w:val="180"/>
        </w:trPr>
        <w:tc>
          <w:tcPr>
            <w:tcW w:w="200" w:type="dxa"/>
            <w:vAlign w:val="bottom"/>
          </w:tcPr>
          <w:p>
            <w:pPr>
              <w:spacing w:after="0"/>
              <w:rPr>
                <w:sz w:val="15"/>
                <w:szCs w:val="15"/>
                <w:color w:val="auto"/>
              </w:rPr>
            </w:pPr>
          </w:p>
        </w:tc>
        <w:tc>
          <w:tcPr>
            <w:tcW w:w="704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4"/>
                <w:szCs w:val="14"/>
                <w:color w:val="auto"/>
              </w:rPr>
              <w:t>Operating lease liabilities - short-term</w:t>
            </w:r>
          </w:p>
        </w:tc>
        <w:tc>
          <w:tcPr>
            <w:tcW w:w="520" w:type="dxa"/>
            <w:vAlign w:val="bottom"/>
            <w:shd w:val="clear" w:color="auto" w:fill="BFE4FF"/>
          </w:tcPr>
          <w:p>
            <w:pPr>
              <w:spacing w:after="0"/>
              <w:rPr>
                <w:sz w:val="15"/>
                <w:szCs w:val="15"/>
                <w:color w:val="auto"/>
              </w:rPr>
            </w:pP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(1,362)</w:t>
            </w:r>
          </w:p>
        </w:tc>
      </w:tr>
      <w:tr>
        <w:trPr>
          <w:trHeight w:val="180"/>
        </w:trPr>
        <w:tc>
          <w:tcPr>
            <w:tcW w:w="200" w:type="dxa"/>
            <w:vAlign w:val="bottom"/>
          </w:tcPr>
          <w:p>
            <w:pPr>
              <w:spacing w:after="0"/>
              <w:rPr>
                <w:sz w:val="15"/>
                <w:szCs w:val="15"/>
                <w:color w:val="auto"/>
              </w:rPr>
            </w:pPr>
          </w:p>
        </w:tc>
        <w:tc>
          <w:tcPr>
            <w:tcW w:w="7040" w:type="dxa"/>
            <w:vAlign w:val="bottom"/>
            <w:tcBorders>
              <w:bottom w:val="single" w:sz="8" w:color="BFE4FF"/>
            </w:tcBorders>
          </w:tcPr>
          <w:p>
            <w:pPr>
              <w:ind w:left="180"/>
              <w:spacing w:after="0"/>
              <w:rPr>
                <w:sz w:val="20"/>
                <w:szCs w:val="20"/>
                <w:color w:val="auto"/>
              </w:rPr>
            </w:pPr>
            <w:r>
              <w:rPr>
                <w:rFonts w:ascii="Times New Roman" w:cs="Times New Roman" w:eastAsia="Times New Roman" w:hAnsi="Times New Roman"/>
                <w:sz w:val="14"/>
                <w:szCs w:val="14"/>
                <w:color w:val="auto"/>
              </w:rPr>
              <w:t>Operating lease liabilities - long-term</w:t>
            </w: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(6,532)</w:t>
            </w:r>
          </w:p>
        </w:tc>
      </w:tr>
      <w:tr>
        <w:trPr>
          <w:trHeight w:val="171"/>
        </w:trPr>
        <w:tc>
          <w:tcPr>
            <w:tcW w:w="200" w:type="dxa"/>
            <w:vAlign w:val="bottom"/>
          </w:tcPr>
          <w:p>
            <w:pPr>
              <w:spacing w:after="0"/>
              <w:rPr>
                <w:sz w:val="14"/>
                <w:szCs w:val="14"/>
                <w:color w:val="auto"/>
              </w:rPr>
            </w:pPr>
          </w:p>
        </w:tc>
        <w:tc>
          <w:tcPr>
            <w:tcW w:w="7040" w:type="dxa"/>
            <w:vAlign w:val="bottom"/>
            <w:shd w:val="clear" w:color="auto" w:fill="BFE4FF"/>
          </w:tcPr>
          <w:p>
            <w:pPr>
              <w:spacing w:after="0"/>
              <w:rPr>
                <w:sz w:val="20"/>
                <w:szCs w:val="20"/>
                <w:color w:val="auto"/>
              </w:rPr>
            </w:pPr>
            <w:r>
              <w:rPr>
                <w:rFonts w:ascii="Times New Roman" w:cs="Times New Roman" w:eastAsia="Times New Roman" w:hAnsi="Times New Roman"/>
                <w:sz w:val="14"/>
                <w:szCs w:val="14"/>
                <w:color w:val="auto"/>
              </w:rPr>
              <w:t>Total fair value of identifiable net assets acquired</w:t>
            </w:r>
          </w:p>
        </w:tc>
        <w:tc>
          <w:tcPr>
            <w:tcW w:w="520" w:type="dxa"/>
            <w:vAlign w:val="bottom"/>
            <w:shd w:val="clear" w:color="auto" w:fill="BFE4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114,176</w:t>
            </w:r>
          </w:p>
        </w:tc>
      </w:tr>
      <w:tr>
        <w:trPr>
          <w:trHeight w:val="202"/>
        </w:trPr>
        <w:tc>
          <w:tcPr>
            <w:tcW w:w="200" w:type="dxa"/>
            <w:vAlign w:val="bottom"/>
          </w:tcPr>
          <w:p>
            <w:pPr>
              <w:spacing w:after="0"/>
              <w:rPr>
                <w:sz w:val="17"/>
                <w:szCs w:val="17"/>
                <w:color w:val="auto"/>
              </w:rPr>
            </w:pPr>
          </w:p>
        </w:tc>
        <w:tc>
          <w:tcPr>
            <w:tcW w:w="7040" w:type="dxa"/>
            <w:vAlign w:val="bottom"/>
            <w:tcBorders>
              <w:bottom w:val="single" w:sz="8" w:color="BFE4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200" w:type="dxa"/>
            <w:vAlign w:val="bottom"/>
          </w:tcPr>
          <w:p>
            <w:pPr>
              <w:spacing w:after="0"/>
              <w:rPr>
                <w:sz w:val="16"/>
                <w:szCs w:val="16"/>
                <w:color w:val="auto"/>
              </w:rPr>
            </w:pPr>
          </w:p>
        </w:tc>
        <w:tc>
          <w:tcPr>
            <w:tcW w:w="7040" w:type="dxa"/>
            <w:vAlign w:val="bottom"/>
            <w:tcBorders>
              <w:bottom w:val="single" w:sz="8" w:color="BFE4FF"/>
            </w:tcBorders>
            <w:shd w:val="clear" w:color="auto" w:fill="BFE4FF"/>
          </w:tcPr>
          <w:p>
            <w:pPr>
              <w:spacing w:after="0"/>
              <w:rPr>
                <w:sz w:val="20"/>
                <w:szCs w:val="20"/>
                <w:color w:val="auto"/>
              </w:rPr>
            </w:pPr>
            <w:r>
              <w:rPr>
                <w:rFonts w:ascii="Times New Roman" w:cs="Times New Roman" w:eastAsia="Times New Roman" w:hAnsi="Times New Roman"/>
                <w:sz w:val="14"/>
                <w:szCs w:val="14"/>
                <w:color w:val="auto"/>
              </w:rPr>
              <w:t>Goodwill</w:t>
            </w:r>
          </w:p>
        </w:tc>
        <w:tc>
          <w:tcPr>
            <w:tcW w:w="520" w:type="dxa"/>
            <w:vAlign w:val="bottom"/>
            <w:tcBorders>
              <w:bottom w:val="single" w:sz="8" w:color="auto"/>
            </w:tcBorders>
            <w:shd w:val="clear" w:color="auto" w:fill="BFE4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b w:val="1"/>
                <w:bCs w:val="1"/>
                <w:color w:val="auto"/>
              </w:rPr>
              <w:t>330,898</w:t>
            </w:r>
          </w:p>
        </w:tc>
      </w:tr>
      <w:tr>
        <w:trPr>
          <w:trHeight w:val="20"/>
        </w:trPr>
        <w:tc>
          <w:tcPr>
            <w:tcW w:w="200" w:type="dxa"/>
            <w:vAlign w:val="bottom"/>
          </w:tcPr>
          <w:p>
            <w:pPr>
              <w:spacing w:after="0" w:line="20" w:lineRule="exact"/>
              <w:rPr>
                <w:sz w:val="1"/>
                <w:szCs w:val="1"/>
                <w:color w:val="auto"/>
              </w:rPr>
            </w:pPr>
          </w:p>
        </w:tc>
        <w:tc>
          <w:tcPr>
            <w:tcW w:w="7040" w:type="dxa"/>
            <w:vAlign w:val="bottom"/>
            <w:tcBorders>
              <w:top w:val="single" w:sz="8" w:color="BFE4FF"/>
            </w:tcBorders>
          </w:tcPr>
          <w:p>
            <w:pPr>
              <w:spacing w:after="0" w:line="20" w:lineRule="exact"/>
              <w:rPr>
                <w:sz w:val="1"/>
                <w:szCs w:val="1"/>
                <w:color w:val="auto"/>
              </w:rPr>
            </w:pPr>
          </w:p>
        </w:tc>
        <w:tc>
          <w:tcPr>
            <w:tcW w:w="520" w:type="dxa"/>
            <w:vAlign w:val="bottom"/>
            <w:tcBorders>
              <w:top w:val="single" w:sz="8" w:color="BFE4FF"/>
              <w:bottom w:val="single" w:sz="8" w:color="auto"/>
            </w:tcBorders>
          </w:tcPr>
          <w:p>
            <w:pPr>
              <w:spacing w:after="0" w:line="20" w:lineRule="exact"/>
              <w:rPr>
                <w:sz w:val="1"/>
                <w:szCs w:val="1"/>
                <w:color w:val="auto"/>
              </w:rPr>
            </w:pPr>
          </w:p>
        </w:tc>
        <w:tc>
          <w:tcPr>
            <w:tcW w:w="940" w:type="dxa"/>
            <w:vAlign w:val="bottom"/>
            <w:tcBorders>
              <w:top w:val="single" w:sz="8" w:color="BFE4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right="200" w:firstLine="318"/>
        <w:spacing w:after="0" w:line="263" w:lineRule="auto"/>
        <w:rPr>
          <w:sz w:val="20"/>
          <w:szCs w:val="20"/>
          <w:color w:val="auto"/>
        </w:rPr>
      </w:pPr>
      <w:r>
        <w:rPr>
          <w:rFonts w:ascii="Times New Roman" w:cs="Times New Roman" w:eastAsia="Times New Roman" w:hAnsi="Times New Roman"/>
          <w:sz w:val="14"/>
          <w:szCs w:val="14"/>
          <w:color w:val="auto"/>
        </w:rPr>
        <w:t>The acquisition was accounted for under the acquisition method of accounting, which requires the total acquisition consideration to be allocated to the assets acquired and liabilities assumed based on an estimate of the acquisition date fair value, with the difference reflected in goodwill. During the first quarter of fiscal 2024, the Company completed the</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determination of fair values of the acquired assets and liabilities assumed. See note 6, “Goodwill and Intangible Assets,” for additional information. Pro forma results of operations for this acquisition are not presented because the acquisition is not material to the Company's consolidated results of operations.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Divestitures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Middle East and North Africa Management Consulting Business</w:t>
      </w:r>
    </w:p>
    <w:p>
      <w:pPr>
        <w:spacing w:after="0" w:line="96"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On September 1, 2022, the Company completed the divestiture of its management consulting business serving the Middle East and North Africa (“MENA”) region to Oliver Wyman, a global management consulting firm and a business of Marsh McLennan. The divestiture was substantially comprised of the contracts associated with the MENA business, the assets and liabilities associated with those contracts, and the workforce that provides services under those contracts.</w:t>
      </w:r>
    </w:p>
    <w:p>
      <w:pPr>
        <w:spacing w:after="0" w:line="51"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As a result of this transaction, the Company de-recognized the assets and liabilities associated with the MENA business and recognized a pre-tax gain of $31.2 million in the second quarter of fiscal 2023, which is reflected in other income, net, on the consolidated statement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Managed Threat Services Business</w:t>
      </w:r>
    </w:p>
    <w:p>
      <w:pPr>
        <w:spacing w:after="0" w:line="96" w:lineRule="exact"/>
        <w:rPr>
          <w:sz w:val="20"/>
          <w:szCs w:val="20"/>
          <w:color w:val="auto"/>
        </w:rPr>
      </w:pPr>
    </w:p>
    <w:p>
      <w:pPr>
        <w:ind w:right="500" w:firstLine="318"/>
        <w:spacing w:after="0" w:line="287" w:lineRule="auto"/>
        <w:rPr>
          <w:sz w:val="20"/>
          <w:szCs w:val="20"/>
          <w:color w:val="auto"/>
        </w:rPr>
      </w:pPr>
      <w:r>
        <w:rPr>
          <w:rFonts w:ascii="Times New Roman" w:cs="Times New Roman" w:eastAsia="Times New Roman" w:hAnsi="Times New Roman"/>
          <w:sz w:val="14"/>
          <w:szCs w:val="14"/>
          <w:color w:val="auto"/>
        </w:rPr>
        <w:t>On December 5, 2022, the Company completed the divestiture of its commercial Managed Threat Services (“MTS”) business to Security On-Demand. The divestiture was substantially comprised of the contracts associated with the MTS business, the assets and liabilities associated with those contracts, and the workforce that provides services under those contracts.</w:t>
      </w:r>
    </w:p>
    <w:p>
      <w:pPr>
        <w:spacing w:after="0" w:line="39"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As a result of this transaction, the Company de-recognized the assets and liabilities associated with the MTS business and recognized a pre-tax gain of $4.6 million during the third quarter of fiscal 2023, which is reflected in other income, net, on the consolidated statement of operations.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62" w:right="359" w:bottom="1440" w:gutter="0" w:footer="0" w:header="0"/>
        </w:sectPr>
      </w:pPr>
    </w:p>
    <w:bookmarkStart w:id="94" w:name="page95"/>
    <w:bookmarkEnd w:id="9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Deconsolidation</w:t>
      </w:r>
    </w:p>
    <w:p>
      <w:pPr>
        <w:spacing w:after="0" w:line="96"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4"/>
          <w:szCs w:val="14"/>
          <w:color w:val="auto"/>
        </w:rPr>
        <w:t>In fiscal 2023, the Company forfeited certain participating rights of a consolidated artificial intelligence software platform business which has unrelated third-party interest holders and is classified as a variable interest entity (“VIE”). As a result of this transaction, the Company determined that it is not the primary beneficiary of the VIE and thus de-recognized the assets, liabilities and non-controlling interest of this business. The Company recorded the fair value of its retained equity investment of $7.6 million which was accounted for under the measurement alternative. The resulting pre-tax gain, calculated as the investment value less the net de-recognized balances, was $8.9 million and was reflected in other income, net, on the fiscal 2023 consolidated statement of operations. In the last quarter of fiscal 2024, it was determined that the investment was impaired and it was written off, with the resulting pre-tax loss of $7.6 million reflected in other income, net, on the fiscal 2024 consolidated statement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Goodwill and Intangible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53"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Goodwill was $2,343.8 million and $2,338.4 million as of March 31, 2024 and March 31, 2023, respectively. The $5.4 million increase in the carrying amount of goodwill was attributable to the Company's finalization of the accounting for the acquisition of EverWatch. The Company performed an annual impairment test of the goodwill as of January 1, 2024 and 2023, and did not identify any impairment.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Intangible assets consisted of the following:</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4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340" w:type="dxa"/>
            <w:vAlign w:val="bottom"/>
            <w:gridSpan w:val="2"/>
          </w:tcPr>
          <w:p>
            <w:pPr>
              <w:ind w:left="160"/>
              <w:spacing w:after="0" w:line="13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920" w:type="dxa"/>
            <w:vAlign w:val="bottom"/>
          </w:tcPr>
          <w:p>
            <w:pPr>
              <w:jc w:val="center"/>
              <w:ind w:right="9"/>
              <w:spacing w:after="0" w:line="133"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112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60" w:type="dxa"/>
            <w:vAlign w:val="bottom"/>
          </w:tcPr>
          <w:p>
            <w:pPr>
              <w:jc w:val="right"/>
              <w:ind w:right="69"/>
              <w:spacing w:after="0" w:line="133"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9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1"/>
        </w:trPr>
        <w:tc>
          <w:tcPr>
            <w:tcW w:w="440" w:type="dxa"/>
            <w:vAlign w:val="bottom"/>
          </w:tcPr>
          <w:p>
            <w:pPr>
              <w:spacing w:after="0"/>
              <w:rPr>
                <w:sz w:val="13"/>
                <w:szCs w:val="13"/>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Amortizable intangible assets:</w:t>
            </w: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Programs and contract assets, channel</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30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relationships, and other amortizable intangible</w:t>
            </w:r>
          </w:p>
        </w:tc>
        <w:tc>
          <w:tcPr>
            <w:tcW w:w="2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591,895</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237,764</w:t>
            </w:r>
          </w:p>
        </w:tc>
        <w:tc>
          <w:tcPr>
            <w:tcW w:w="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354,131</w:t>
            </w:r>
          </w:p>
        </w:tc>
        <w:tc>
          <w:tcPr>
            <w:tcW w:w="80" w:type="dxa"/>
            <w:vAlign w:val="bottom"/>
          </w:tcPr>
          <w:p>
            <w:pPr>
              <w:spacing w:after="0"/>
              <w:rPr>
                <w:sz w:val="12"/>
                <w:szCs w:val="12"/>
                <w:color w:val="auto"/>
              </w:rPr>
            </w:pPr>
          </w:p>
        </w:tc>
        <w:tc>
          <w:tcPr>
            <w:tcW w:w="2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599,794</w:t>
            </w:r>
          </w:p>
        </w:tc>
        <w:tc>
          <w:tcPr>
            <w:tcW w:w="80" w:type="dxa"/>
            <w:vAlign w:val="bottom"/>
          </w:tcPr>
          <w:p>
            <w:pPr>
              <w:spacing w:after="0"/>
              <w:rPr>
                <w:sz w:val="12"/>
                <w:szCs w:val="12"/>
                <w:color w:val="auto"/>
              </w:rPr>
            </w:pP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169,316</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430,478</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Software</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146,284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89,572</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56,712</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134,152</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69,215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64,937</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amortizable intangible assets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738,179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327,336</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410,843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733,946</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238,531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495,415</w:t>
            </w: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Unamortizable intangible assets: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Trade name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190,200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190,200</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190,200</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190,200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6"/>
                <w:szCs w:val="16"/>
                <w:color w:val="auto"/>
              </w:rPr>
            </w:pPr>
          </w:p>
        </w:tc>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928,379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601,043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924,146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238,531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685,615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right="40" w:firstLine="318"/>
        <w:spacing w:after="0" w:line="284" w:lineRule="auto"/>
        <w:rPr>
          <w:sz w:val="20"/>
          <w:szCs w:val="20"/>
          <w:color w:val="auto"/>
        </w:rPr>
      </w:pPr>
      <w:r>
        <w:rPr>
          <w:rFonts w:ascii="Times New Roman" w:cs="Times New Roman" w:eastAsia="Times New Roman" w:hAnsi="Times New Roman"/>
          <w:sz w:val="14"/>
          <w:szCs w:val="14"/>
          <w:color w:val="auto"/>
        </w:rPr>
        <w:t>The decrease in the gross carrying value of amortizable intangible assets (excluding software) was primarily attributable to a $7.9 million adjustment related to the Company's finalization of the accounting for the acquisition of EverWatch in the first quarter of fiscal 2024.</w:t>
      </w:r>
    </w:p>
    <w:p>
      <w:pPr>
        <w:spacing w:after="0" w:line="1" w:lineRule="exact"/>
        <w:rPr>
          <w:sz w:val="20"/>
          <w:szCs w:val="20"/>
          <w:color w:val="auto"/>
        </w:rPr>
      </w:pPr>
    </w:p>
    <w:p>
      <w:pPr>
        <w:ind w:right="60" w:firstLine="318"/>
        <w:spacing w:after="0" w:line="284" w:lineRule="auto"/>
        <w:rPr>
          <w:sz w:val="20"/>
          <w:szCs w:val="20"/>
          <w:color w:val="auto"/>
        </w:rPr>
      </w:pPr>
      <w:r>
        <w:rPr>
          <w:rFonts w:ascii="Times New Roman" w:cs="Times New Roman" w:eastAsia="Times New Roman" w:hAnsi="Times New Roman"/>
          <w:sz w:val="14"/>
          <w:szCs w:val="14"/>
          <w:color w:val="auto"/>
        </w:rPr>
        <w:t>Programs and contract assets, channel relationships, and other amortizable intangible assets are generally amortized on an accelerated basis over periods ranging from two to fourteen years, and those related to software are generally amortized on a straight line basis over periods ranging from one to ten years.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performed an annual impairment test of the trade name as of January 1, 2024 and 2023, and did not identify any impairment.</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Amortization expense for fiscal 2024, 2023, and 2022 was $93.3 million, $94.3 million, and $76.2 million, respectively.</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95" w:name="page96"/>
    <w:bookmarkEnd w:id="9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55" w:lineRule="exact"/>
        <w:rPr>
          <w:sz w:val="20"/>
          <w:szCs w:val="20"/>
          <w:color w:val="auto"/>
        </w:rPr>
      </w:pPr>
    </w:p>
    <w:p>
      <w:pPr>
        <w:ind w:right="80"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estimated annual amortization expense for future periods, which does not reflect amortization expense for certain intangible assets that are not yet placed in service: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For the Fiscal Year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Borders>
              <w:right w:val="single" w:sz="8" w:color="CCEEFF"/>
            </w:tcBorders>
          </w:tcPr>
          <w:p>
            <w:pPr>
              <w:spacing w:after="0"/>
              <w:rPr>
                <w:sz w:val="14"/>
                <w:szCs w:val="14"/>
                <w:color w:val="auto"/>
              </w:rPr>
            </w:pPr>
          </w:p>
        </w:tc>
        <w:tc>
          <w:tcPr>
            <w:tcW w:w="7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8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82,085</w:t>
            </w:r>
          </w:p>
        </w:tc>
        <w:tc>
          <w:tcPr>
            <w:tcW w:w="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70,883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Borders>
              <w:right w:val="single" w:sz="8" w:color="CCEEFF"/>
            </w:tcBorders>
          </w:tcPr>
          <w:p>
            <w:pPr>
              <w:spacing w:after="0"/>
              <w:rPr>
                <w:sz w:val="15"/>
                <w:szCs w:val="15"/>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58,885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Borders>
              <w:right w:val="single" w:sz="8" w:color="CCEEFF"/>
            </w:tcBorders>
          </w:tcPr>
          <w:p>
            <w:pPr>
              <w:spacing w:after="0"/>
              <w:rPr>
                <w:sz w:val="15"/>
                <w:szCs w:val="15"/>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86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104,842</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0" w:type="dxa"/>
            <w:vAlign w:val="bottom"/>
            <w:tcBorders>
              <w:right w:val="single" w:sz="8" w:color="CCEEFF"/>
            </w:tcBorders>
          </w:tcPr>
          <w:p>
            <w:pPr>
              <w:spacing w:after="0"/>
              <w:rPr>
                <w:sz w:val="14"/>
                <w:szCs w:val="14"/>
                <w:color w:val="auto"/>
              </w:rPr>
            </w:pPr>
          </w:p>
        </w:tc>
        <w:tc>
          <w:tcPr>
            <w:tcW w:w="7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estimated amortization expense</w:t>
            </w:r>
          </w:p>
        </w:tc>
        <w:tc>
          <w:tcPr>
            <w:tcW w:w="8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410,843</w:t>
            </w:r>
          </w:p>
        </w:tc>
        <w:tc>
          <w:tcPr>
            <w:tcW w:w="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CCEEFF"/>
            </w:tcBorders>
          </w:tcPr>
          <w:p>
            <w:pPr>
              <w:spacing w:after="0" w:line="20" w:lineRule="exact"/>
              <w:rPr>
                <w:sz w:val="1"/>
                <w:szCs w:val="1"/>
                <w:color w:val="auto"/>
              </w:rPr>
            </w:pPr>
          </w:p>
        </w:tc>
        <w:tc>
          <w:tcPr>
            <w:tcW w:w="7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7. Property and Equipment, Net</w:t>
            </w: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7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7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The components of property and equipment, net were as follows: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00" w:type="dxa"/>
            <w:vAlign w:val="bottom"/>
          </w:tcPr>
          <w:p>
            <w:pPr>
              <w:spacing w:after="0"/>
              <w:rPr>
                <w:sz w:val="21"/>
                <w:szCs w:val="21"/>
                <w:color w:val="auto"/>
              </w:rPr>
            </w:pPr>
          </w:p>
        </w:tc>
        <w:tc>
          <w:tcPr>
            <w:tcW w:w="71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7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equipment</w:t>
            </w:r>
          </w:p>
        </w:tc>
        <w:tc>
          <w:tcPr>
            <w:tcW w:w="8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121,544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8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107,902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269,964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258,258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7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499,410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489,112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7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(311,131)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712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188,279</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195,186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right="80" w:firstLine="350"/>
        <w:spacing w:after="0" w:line="270" w:lineRule="auto"/>
        <w:rPr>
          <w:sz w:val="20"/>
          <w:szCs w:val="20"/>
          <w:color w:val="auto"/>
        </w:rPr>
      </w:pPr>
      <w:r>
        <w:rPr>
          <w:rFonts w:ascii="Times New Roman" w:cs="Times New Roman" w:eastAsia="Times New Roman" w:hAnsi="Times New Roman"/>
          <w:sz w:val="14"/>
          <w:szCs w:val="14"/>
          <w:color w:val="auto"/>
        </w:rPr>
        <w:t>Depreciation and amortization expense relating to property and equipment for fiscal 2024, 2023, and 2022 was $70.9 million, $71.2 million, and $69.5 million, respectively. During fiscal 2024 and 2023, the Company reduced the gross cost and accumulated depreciation and amortization by $36.3 million and $24.7 million, respectively, for zero net book value assets deemed no longer in service.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8. Accounts Payable and Other Accrued Expenses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2"/>
        </w:trPr>
        <w:tc>
          <w:tcPr>
            <w:tcW w:w="74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Accounts payable and other accrued expenses consisted of the following:</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4"/>
        </w:trPr>
        <w:tc>
          <w:tcPr>
            <w:tcW w:w="84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21"/>
                <w:szCs w:val="21"/>
                <w:color w:val="auto"/>
              </w:rPr>
            </w:pPr>
          </w:p>
        </w:tc>
      </w:tr>
      <w:tr>
        <w:trPr>
          <w:trHeight w:val="171"/>
        </w:trPr>
        <w:tc>
          <w:tcPr>
            <w:tcW w:w="840" w:type="dxa"/>
            <w:vAlign w:val="bottom"/>
          </w:tcPr>
          <w:p>
            <w:pPr>
              <w:spacing w:after="0"/>
              <w:rPr>
                <w:sz w:val="14"/>
                <w:szCs w:val="14"/>
                <w:color w:val="auto"/>
              </w:rPr>
            </w:pPr>
          </w:p>
        </w:tc>
        <w:tc>
          <w:tcPr>
            <w:tcW w:w="66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840" w:type="dxa"/>
            <w:vAlign w:val="bottom"/>
          </w:tcPr>
          <w:p>
            <w:pPr>
              <w:spacing w:after="0"/>
              <w:rPr>
                <w:sz w:val="14"/>
                <w:szCs w:val="14"/>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Vendor payables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653,131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597,808</w:t>
            </w:r>
          </w:p>
        </w:tc>
      </w:tr>
      <w:tr>
        <w:trPr>
          <w:trHeight w:val="180"/>
        </w:trPr>
        <w:tc>
          <w:tcPr>
            <w:tcW w:w="840" w:type="dxa"/>
            <w:vAlign w:val="bottom"/>
          </w:tcPr>
          <w:p>
            <w:pPr>
              <w:spacing w:after="0"/>
              <w:rPr>
                <w:sz w:val="15"/>
                <w:szCs w:val="15"/>
                <w:color w:val="auto"/>
              </w:rPr>
            </w:pPr>
          </w:p>
        </w:tc>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397,539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718,832</w:t>
            </w:r>
          </w:p>
        </w:tc>
      </w:tr>
      <w:tr>
        <w:trPr>
          <w:trHeight w:val="196"/>
        </w:trPr>
        <w:tc>
          <w:tcPr>
            <w:tcW w:w="840" w:type="dxa"/>
            <w:vAlign w:val="bottom"/>
          </w:tcPr>
          <w:p>
            <w:pPr>
              <w:spacing w:after="0"/>
              <w:rPr>
                <w:sz w:val="16"/>
                <w:szCs w:val="16"/>
                <w:color w:val="auto"/>
              </w:rPr>
            </w:pPr>
          </w:p>
        </w:tc>
        <w:tc>
          <w:tcPr>
            <w:tcW w:w="6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accounts payable and other accrued expenses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1,050,670</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1,316,640</w:t>
            </w:r>
          </w:p>
        </w:tc>
      </w:tr>
      <w:tr>
        <w:trPr>
          <w:trHeight w:val="20"/>
        </w:trPr>
        <w:tc>
          <w:tcPr>
            <w:tcW w:w="840" w:type="dxa"/>
            <w:vAlign w:val="bottom"/>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ind w:right="120" w:firstLine="350"/>
        <w:spacing w:after="0" w:line="270" w:lineRule="auto"/>
        <w:rPr>
          <w:sz w:val="20"/>
          <w:szCs w:val="20"/>
          <w:color w:val="auto"/>
        </w:rPr>
      </w:pPr>
      <w:r>
        <w:rPr>
          <w:rFonts w:ascii="Times New Roman" w:cs="Times New Roman" w:eastAsia="Times New Roman" w:hAnsi="Times New Roman"/>
          <w:sz w:val="14"/>
          <w:szCs w:val="14"/>
          <w:color w:val="auto"/>
        </w:rPr>
        <w:t>Accrued expenses consisted primarily of the Company’s provision for claimed indirect costs, (approximately $363.7 million and $326.7 million as of March 31, 2024 and 2023, respectively). Accrued expenses at March 31, 2023 also included a $350.0 million reserve associated with the settlement of the U.S. Department of Justice's investigation of the Company which was subsequently settled and paid in the second quarter of fiscal 2024. Refer to Note 20, “Commitments and Contingencies,” to the consolidated financial statements for further discussion of these items.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9. Accrued Compensation and Benefits</w:t>
            </w:r>
          </w:p>
        </w:tc>
        <w:tc>
          <w:tcPr>
            <w:tcW w:w="2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2"/>
        </w:trPr>
        <w:tc>
          <w:tcPr>
            <w:tcW w:w="4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Accrued compensation and benefits consisted of the following:</w:t>
            </w:r>
          </w:p>
        </w:tc>
        <w:tc>
          <w:tcPr>
            <w:tcW w:w="2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4"/>
        </w:trPr>
        <w:tc>
          <w:tcPr>
            <w:tcW w:w="8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21"/>
                <w:szCs w:val="21"/>
                <w:color w:val="auto"/>
              </w:rPr>
            </w:pPr>
          </w:p>
        </w:tc>
        <w:tc>
          <w:tcPr>
            <w:tcW w:w="860" w:type="dxa"/>
            <w:vAlign w:val="bottom"/>
          </w:tcPr>
          <w:p>
            <w:pPr>
              <w:spacing w:after="0"/>
              <w:rPr>
                <w:sz w:val="21"/>
                <w:szCs w:val="21"/>
                <w:color w:val="auto"/>
              </w:rPr>
            </w:pPr>
          </w:p>
        </w:tc>
      </w:tr>
      <w:tr>
        <w:trPr>
          <w:trHeight w:val="171"/>
        </w:trPr>
        <w:tc>
          <w:tcPr>
            <w:tcW w:w="880" w:type="dxa"/>
            <w:vAlign w:val="bottom"/>
          </w:tcPr>
          <w:p>
            <w:pPr>
              <w:spacing w:after="0"/>
              <w:rPr>
                <w:sz w:val="14"/>
                <w:szCs w:val="14"/>
                <w:color w:val="auto"/>
              </w:rPr>
            </w:pPr>
          </w:p>
        </w:tc>
        <w:tc>
          <w:tcPr>
            <w:tcW w:w="382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Pr>
          <w:p>
            <w:pPr>
              <w:spacing w:after="0"/>
              <w:rPr>
                <w:sz w:val="14"/>
                <w:szCs w:val="14"/>
                <w:color w:val="auto"/>
              </w:rPr>
            </w:pPr>
          </w:p>
        </w:tc>
      </w:tr>
      <w:tr>
        <w:trPr>
          <w:trHeight w:val="171"/>
        </w:trPr>
        <w:tc>
          <w:tcPr>
            <w:tcW w:w="88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Bonus</w:t>
            </w:r>
          </w:p>
        </w:tc>
        <w:tc>
          <w:tcPr>
            <w:tcW w:w="27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151,063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120,023</w:t>
            </w:r>
          </w:p>
        </w:tc>
        <w:tc>
          <w:tcPr>
            <w:tcW w:w="860" w:type="dxa"/>
            <w:vAlign w:val="bottom"/>
          </w:tcPr>
          <w:p>
            <w:pPr>
              <w:spacing w:after="0"/>
              <w:rPr>
                <w:sz w:val="14"/>
                <w:szCs w:val="14"/>
                <w:color w:val="auto"/>
              </w:rPr>
            </w:pPr>
          </w:p>
        </w:tc>
      </w:tr>
      <w:tr>
        <w:trPr>
          <w:trHeight w:val="180"/>
        </w:trPr>
        <w:tc>
          <w:tcPr>
            <w:tcW w:w="88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Retirement</w:t>
            </w:r>
          </w:p>
        </w:tc>
        <w:tc>
          <w:tcPr>
            <w:tcW w:w="2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57,465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52,480</w:t>
            </w:r>
          </w:p>
        </w:tc>
        <w:tc>
          <w:tcPr>
            <w:tcW w:w="860" w:type="dxa"/>
            <w:vAlign w:val="bottom"/>
          </w:tcPr>
          <w:p>
            <w:pPr>
              <w:spacing w:after="0"/>
              <w:rPr>
                <w:sz w:val="15"/>
                <w:szCs w:val="15"/>
                <w:color w:val="auto"/>
              </w:rPr>
            </w:pPr>
          </w:p>
        </w:tc>
      </w:tr>
      <w:tr>
        <w:trPr>
          <w:trHeight w:val="180"/>
        </w:trPr>
        <w:tc>
          <w:tcPr>
            <w:tcW w:w="880" w:type="dxa"/>
            <w:vAlign w:val="bottom"/>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Vacation</w:t>
            </w:r>
          </w:p>
        </w:tc>
        <w:tc>
          <w:tcPr>
            <w:tcW w:w="27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223,385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203,627</w:t>
            </w:r>
          </w:p>
        </w:tc>
        <w:tc>
          <w:tcPr>
            <w:tcW w:w="860" w:type="dxa"/>
            <w:vAlign w:val="bottom"/>
          </w:tcPr>
          <w:p>
            <w:pPr>
              <w:spacing w:after="0"/>
              <w:rPr>
                <w:sz w:val="15"/>
                <w:szCs w:val="15"/>
                <w:color w:val="auto"/>
              </w:rPr>
            </w:pPr>
          </w:p>
        </w:tc>
      </w:tr>
      <w:tr>
        <w:trPr>
          <w:trHeight w:val="180"/>
        </w:trPr>
        <w:tc>
          <w:tcPr>
            <w:tcW w:w="880" w:type="dxa"/>
            <w:vAlign w:val="bottom"/>
          </w:tcPr>
          <w:p>
            <w:pPr>
              <w:spacing w:after="0"/>
              <w:rPr>
                <w:sz w:val="15"/>
                <w:szCs w:val="15"/>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w:t>
            </w:r>
          </w:p>
        </w:tc>
        <w:tc>
          <w:tcPr>
            <w:tcW w:w="27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74,217</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69,075</w:t>
            </w:r>
          </w:p>
        </w:tc>
        <w:tc>
          <w:tcPr>
            <w:tcW w:w="860" w:type="dxa"/>
            <w:vAlign w:val="bottom"/>
          </w:tcPr>
          <w:p>
            <w:pPr>
              <w:spacing w:after="0"/>
              <w:rPr>
                <w:sz w:val="15"/>
                <w:szCs w:val="15"/>
                <w:color w:val="auto"/>
              </w:rPr>
            </w:pPr>
          </w:p>
        </w:tc>
      </w:tr>
      <w:tr>
        <w:trPr>
          <w:trHeight w:val="196"/>
        </w:trPr>
        <w:tc>
          <w:tcPr>
            <w:tcW w:w="880" w:type="dxa"/>
            <w:vAlign w:val="bottom"/>
          </w:tcPr>
          <w:p>
            <w:pPr>
              <w:spacing w:after="0"/>
              <w:rPr>
                <w:sz w:val="16"/>
                <w:szCs w:val="16"/>
                <w:color w:val="auto"/>
              </w:rPr>
            </w:pPr>
          </w:p>
        </w:tc>
        <w:tc>
          <w:tcPr>
            <w:tcW w:w="3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accrued compensation and benefits</w:t>
            </w:r>
          </w:p>
        </w:tc>
        <w:tc>
          <w:tcPr>
            <w:tcW w:w="27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506,130</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445,205</w:t>
            </w:r>
          </w:p>
        </w:tc>
        <w:tc>
          <w:tcPr>
            <w:tcW w:w="86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73"/>
        </w:trPr>
        <w:tc>
          <w:tcPr>
            <w:tcW w:w="8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640" w:type="dxa"/>
            <w:vAlign w:val="bottom"/>
            <w:gridSpan w:val="2"/>
          </w:tcPr>
          <w:p>
            <w:pPr>
              <w:jc w:val="right"/>
              <w:ind w:right="2489"/>
              <w:spacing w:after="0"/>
              <w:rPr>
                <w:sz w:val="20"/>
                <w:szCs w:val="20"/>
                <w:color w:val="auto"/>
              </w:rPr>
            </w:pPr>
            <w:r>
              <w:rPr>
                <w:rFonts w:ascii="Times New Roman" w:cs="Times New Roman" w:eastAsia="Times New Roman" w:hAnsi="Times New Roman"/>
                <w:sz w:val="14"/>
                <w:szCs w:val="14"/>
                <w:color w:val="auto"/>
              </w:rPr>
              <w:t>F-22</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87"/>
        </w:trPr>
        <w:tc>
          <w:tcPr>
            <w:tcW w:w="880" w:type="dxa"/>
            <w:vAlign w:val="bottom"/>
            <w:tcBorders>
              <w:bottom w:val="single" w:sz="8" w:color="9A9A9A"/>
            </w:tcBorders>
          </w:tcPr>
          <w:p>
            <w:pPr>
              <w:spacing w:after="0"/>
              <w:rPr>
                <w:sz w:val="7"/>
                <w:szCs w:val="7"/>
                <w:color w:val="auto"/>
              </w:rPr>
            </w:pPr>
          </w:p>
        </w:tc>
        <w:tc>
          <w:tcPr>
            <w:tcW w:w="382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62" w:right="319" w:bottom="1440" w:gutter="0" w:footer="0" w:header="0"/>
        </w:sectPr>
      </w:pPr>
    </w:p>
    <w:bookmarkStart w:id="96" w:name="page97"/>
    <w:bookmarkEnd w:id="96"/>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10. Debt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6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Debt consisted of the following on the dates below:</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33"/>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960" w:type="dxa"/>
            <w:vAlign w:val="bottom"/>
          </w:tcPr>
          <w:p>
            <w:pPr>
              <w:jc w:val="center"/>
              <w:ind w:left="409"/>
              <w:spacing w:after="0" w:line="13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ind w:right="229"/>
              <w:spacing w:after="0" w:line="133"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740" w:type="dxa"/>
            <w:vAlign w:val="bottom"/>
            <w:gridSpan w:val="3"/>
          </w:tcPr>
          <w:p>
            <w:pPr>
              <w:jc w:val="right"/>
              <w:ind w:right="709"/>
              <w:spacing w:after="0" w:line="13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80" w:type="dxa"/>
            <w:vAlign w:val="bottom"/>
          </w:tcPr>
          <w:p>
            <w:pPr>
              <w:jc w:val="right"/>
              <w:ind w:right="229"/>
              <w:spacing w:after="0" w:line="133" w:lineRule="exact"/>
              <w:rPr>
                <w:sz w:val="20"/>
                <w:szCs w:val="20"/>
                <w:color w:val="auto"/>
              </w:rPr>
            </w:pPr>
            <w:r>
              <w:rPr>
                <w:rFonts w:ascii="Times New Roman" w:cs="Times New Roman" w:eastAsia="Times New Roman" w:hAnsi="Times New Roman"/>
                <w:sz w:val="14"/>
                <w:szCs w:val="14"/>
                <w:b w:val="1"/>
                <w:bCs w:val="1"/>
                <w:color w:val="auto"/>
              </w:rPr>
              <w:t>Outstanding</w:t>
            </w:r>
          </w:p>
        </w:tc>
      </w:tr>
      <w:tr>
        <w:trPr>
          <w:trHeight w:val="186"/>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960" w:type="dxa"/>
            <w:vAlign w:val="bottom"/>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1740" w:type="dxa"/>
            <w:vAlign w:val="bottom"/>
            <w:gridSpan w:val="3"/>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8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71"/>
        </w:trPr>
        <w:tc>
          <w:tcPr>
            <w:tcW w:w="20" w:type="dxa"/>
            <w:vAlign w:val="bottom"/>
          </w:tcPr>
          <w:p>
            <w:pPr>
              <w:spacing w:after="0"/>
              <w:rPr>
                <w:sz w:val="14"/>
                <w:szCs w:val="14"/>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A</w:t>
            </w:r>
          </w:p>
        </w:tc>
        <w:tc>
          <w:tcPr>
            <w:tcW w:w="9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6.677 %</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1,588,125</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5.970 %</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1,629,375</w:t>
            </w:r>
          </w:p>
        </w:tc>
      </w:tr>
      <w:tr>
        <w:trPr>
          <w:trHeight w:val="180"/>
        </w:trPr>
        <w:tc>
          <w:tcPr>
            <w:tcW w:w="20" w:type="dxa"/>
            <w:vAlign w:val="bottom"/>
          </w:tcPr>
          <w:p>
            <w:pPr>
              <w:spacing w:after="0"/>
              <w:rPr>
                <w:sz w:val="15"/>
                <w:szCs w:val="15"/>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Notes due 2028</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3.875 %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3.875 %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700,000</w:t>
            </w:r>
          </w:p>
        </w:tc>
      </w:tr>
      <w:tr>
        <w:trPr>
          <w:trHeight w:val="180"/>
        </w:trPr>
        <w:tc>
          <w:tcPr>
            <w:tcW w:w="20" w:type="dxa"/>
            <w:vAlign w:val="bottom"/>
          </w:tcPr>
          <w:p>
            <w:pPr>
              <w:spacing w:after="0"/>
              <w:rPr>
                <w:sz w:val="15"/>
                <w:szCs w:val="15"/>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due 2029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4.000 %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r>
      <w:tr>
        <w:trPr>
          <w:trHeight w:val="180"/>
        </w:trPr>
        <w:tc>
          <w:tcPr>
            <w:tcW w:w="20" w:type="dxa"/>
            <w:vAlign w:val="bottom"/>
          </w:tcPr>
          <w:p>
            <w:pPr>
              <w:spacing w:after="0"/>
              <w:rPr>
                <w:sz w:val="15"/>
                <w:szCs w:val="15"/>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2033</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5.950 %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100" w:type="dxa"/>
            <w:vAlign w:val="bottom"/>
          </w:tcPr>
          <w:p>
            <w:pPr>
              <w:spacing w:after="0"/>
              <w:rPr>
                <w:sz w:val="15"/>
                <w:szCs w:val="15"/>
                <w:color w:val="auto"/>
              </w:rPr>
            </w:pPr>
          </w:p>
        </w:tc>
        <w:tc>
          <w:tcPr>
            <w:tcW w:w="1740" w:type="dxa"/>
            <w:vAlign w:val="bottom"/>
            <w:gridSpan w:val="3"/>
          </w:tcPr>
          <w:p>
            <w:pPr>
              <w:jc w:val="right"/>
              <w:ind w:right="229"/>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6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Unamortized debt issuance costs and discount on debt</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(17,230)</w:t>
            </w:r>
          </w:p>
        </w:tc>
      </w:tr>
      <w:tr>
        <w:trPr>
          <w:trHeight w:val="171"/>
        </w:trPr>
        <w:tc>
          <w:tcPr>
            <w:tcW w:w="20" w:type="dxa"/>
            <w:vAlign w:val="bottom"/>
          </w:tcPr>
          <w:p>
            <w:pPr>
              <w:spacing w:after="0"/>
              <w:rPr>
                <w:sz w:val="14"/>
                <w:szCs w:val="14"/>
                <w:color w:val="auto"/>
              </w:rPr>
            </w:pPr>
          </w:p>
        </w:tc>
        <w:tc>
          <w:tcPr>
            <w:tcW w:w="6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3,411,816</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2,812,145</w:t>
            </w:r>
          </w:p>
        </w:tc>
      </w:tr>
      <w:tr>
        <w:trPr>
          <w:trHeight w:val="180"/>
        </w:trPr>
        <w:tc>
          <w:tcPr>
            <w:tcW w:w="20" w:type="dxa"/>
            <w:vAlign w:val="bottom"/>
          </w:tcPr>
          <w:p>
            <w:pPr>
              <w:spacing w:after="0"/>
              <w:rPr>
                <w:sz w:val="15"/>
                <w:szCs w:val="15"/>
                <w:color w:val="auto"/>
              </w:rPr>
            </w:pPr>
          </w:p>
        </w:tc>
        <w:tc>
          <w:tcPr>
            <w:tcW w:w="6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(61,875)</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(41,250)</w:t>
            </w:r>
          </w:p>
        </w:tc>
      </w:tr>
      <w:tr>
        <w:trPr>
          <w:trHeight w:val="171"/>
        </w:trPr>
        <w:tc>
          <w:tcPr>
            <w:tcW w:w="20" w:type="dxa"/>
            <w:vAlign w:val="bottom"/>
          </w:tcPr>
          <w:p>
            <w:pPr>
              <w:spacing w:after="0"/>
              <w:rPr>
                <w:sz w:val="14"/>
                <w:szCs w:val="14"/>
                <w:color w:val="auto"/>
              </w:rPr>
            </w:pPr>
          </w:p>
        </w:tc>
        <w:tc>
          <w:tcPr>
            <w:tcW w:w="63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3,349,941</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2,770,895</w:t>
            </w: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Agreement</w:t>
      </w:r>
    </w:p>
    <w:p>
      <w:pPr>
        <w:spacing w:after="0" w:line="53" w:lineRule="exact"/>
        <w:rPr>
          <w:sz w:val="20"/>
          <w:szCs w:val="20"/>
          <w:color w:val="auto"/>
        </w:rPr>
      </w:pPr>
    </w:p>
    <w:p>
      <w:pPr>
        <w:ind w:right="40" w:firstLine="318"/>
        <w:spacing w:after="0" w:line="257" w:lineRule="auto"/>
        <w:rPr>
          <w:sz w:val="20"/>
          <w:szCs w:val="20"/>
          <w:color w:val="auto"/>
        </w:rPr>
      </w:pPr>
      <w:r>
        <w:rPr>
          <w:rFonts w:ascii="Times New Roman" w:cs="Times New Roman" w:eastAsia="Times New Roman" w:hAnsi="Times New Roman"/>
          <w:sz w:val="14"/>
          <w:szCs w:val="14"/>
          <w:color w:val="auto"/>
        </w:rPr>
        <w:t>Booz Allen Hamilton Inc. (“Booz Allen Hamilton”), Booz Allen Hamilton Investor Corporation (“Investor”), and certain wholly owned subsidiaries of Booz Allen Hamilton are parties to a Credit Agreement dated as of July 31, 2012, as amended (the “Credit Agreement”), with certain institutional lenders and Bank of America, N.A., as Administrative Agent, Collateral Agent and Issuing Lender. As of March 31, 2024, the Credit Agreement provided Booz Allen Hamilton with a $1,588.1 million Term Loan A (“Term Loan A”) and a $1.0 billion revolving credit facility (the “Revolving Credit Facility”), with a sub-limit for letters of credit of $200.0 million. As of March 31, 2024, the maturity date of the Term Loan A and the Revolving Commitments is September 7, 2027. Voluntary prepayments of the Term Loan A and the Revolving Loans are permitted at any time, in minimum principal amounts, without premium or penalty. Booz Allen Hamilton’s obligations and the guarantors’ guarantees under the Credit Agreement were secured by a first priority lien on substantially all of the assets (including capital stock of subsidiaries) of Booz Allen Hamilton, Investor and the subsidiary guarantors, subject to certain exceptions set forth in the Credit Agreement and related documentation; such security was released in connection with Booz Allen Hamilton obtaining investment grade ratings from both Moody's and S&amp;P. On September 7, 2022 (the “Ninth Amendment Effective Date”), the previously outstanding Term Loan B loans under the Credit Agreement were prepaid in full.</w:t>
      </w:r>
    </w:p>
    <w:p>
      <w:pPr>
        <w:spacing w:after="0" w:line="19"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On July 27, 2023 (the “Tenth Amendment Effective Date”), Booz Allen Hamilton entered into a Tenth Amendment (the “Amendment”) to the Credit Agreement (as amended prior to the Tenth Amendment Effective Date, the “Existing Credit Agreement” and, as amended by the Amendment, the “Amended Credit Agreement”) with Bank of America, N.A., as administrative agent (in such capacity, the “Administrative Agent”), and the lenders and other financial institutions party thereto, in order to make permanent certain changes to the Existing Credit Agreement in connection with Booz Allen Hamilton obtaining investment grade ratings from both Moody's and S&amp;P and prepaying the Term Loan B loans in full and to make certain additional changes in connection therewith, including, among other things, (i) removing the requirements for the obligations under the Amended Credit Agreement to be secured, (ii) removing the requirement for any subsidiary or other affiliate of Booz Allen Hamilton (other than the Company) to provide any guarantee of the obligations under the Amended Credit Agreement, and (iii) removing or modifying certain covenants applicable to Booz Allen Hamilton. Pursuant to the Amendment, all guarantees in respect of the Existing Credit Agreement have been released. The Amendment did not impact any of the terms of the Credit Agreement related to amortization or payments.</w:t>
      </w:r>
    </w:p>
    <w:p>
      <w:pPr>
        <w:spacing w:after="0" w:line="21"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On the Tenth Amendment Effective Date in connection with the Amendment, the Company entered into a Guarantee Agreement (the “Guarantee Agreement”) in favor of the Administrative Agent, pursuant to which the Company guarantees on an unsecured basis the obligations of Booz Allen Hamilton under the Amended Credit Agreement subject to certain conditions. Pursuant to the Amended Credit Agreement Booz Allen Hamilton has the option, though not any obligation, to join one or more of its domestic subsidiaries as a guarantor under the Guarantee Agreement.</w:t>
      </w:r>
    </w:p>
    <w:p>
      <w:pPr>
        <w:spacing w:after="0" w:line="8" w:lineRule="exact"/>
        <w:rPr>
          <w:sz w:val="20"/>
          <w:szCs w:val="20"/>
          <w:color w:val="auto"/>
        </w:rPr>
      </w:pPr>
    </w:p>
    <w:p>
      <w:pPr>
        <w:jc w:val="both"/>
        <w:ind w:right="120" w:firstLine="318"/>
        <w:spacing w:after="0" w:line="264" w:lineRule="auto"/>
        <w:rPr>
          <w:sz w:val="20"/>
          <w:szCs w:val="20"/>
          <w:color w:val="auto"/>
        </w:rPr>
      </w:pPr>
      <w:r>
        <w:rPr>
          <w:rFonts w:ascii="Times New Roman" w:cs="Times New Roman" w:eastAsia="Times New Roman" w:hAnsi="Times New Roman"/>
          <w:sz w:val="14"/>
          <w:szCs w:val="14"/>
          <w:color w:val="auto"/>
        </w:rPr>
        <w:t>Term Loan A amortizes in consecutive quarterly installments in an amount equal to (i) on the last business day of each full fiscal quarter that begins after the Ninth Amendment Effective Date but on or before the two year anniversary of the Ninth Amendment Effective Date, 0.625% of the stated principal amount of Term Loan A and (ii) on the last business day of each full fiscal quarter that begins after the two year anniversary of the Ninth Amendment Effective Date but before the five year anniversary of the Ninth Amendment Effective Date, 1.25% of the stated principal amount of Term Loan A. The remaining balance of Term Loan A will be payable upon maturity.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97" w:name="page98"/>
    <w:bookmarkEnd w:id="9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55"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The rate at which Term Loan A and the Revolving Loans bear interest will be based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Term Loan A and the Revolving Loans ranges from 1.00% to 2.00% for Term SOFR loans and zero to 1.00% for base rate loans, in each case based on the lower of (i) the applicable rate per annum determined pursuant to a consolidated total net leverage ratio grid and (ii) the applicable rate per annum determined pursuant to a ratings grid. Unused New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19"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The Company occasionally borrows under the Revolving Credit Facility for our working capital needs. During fiscal 2024, the Company borrowed $500.0 million on its Revolving Credit Facility for working capital needs, which was subsequently repaid as of March 31, 2024. As of March 31, 2024 and March 31, 2023, respectively, there was no outstanding balance on the Revolving Credit Facility.</w:t>
      </w:r>
    </w:p>
    <w:p>
      <w:pPr>
        <w:spacing w:after="0" w:line="8" w:lineRule="exact"/>
        <w:rPr>
          <w:sz w:val="20"/>
          <w:szCs w:val="20"/>
          <w:color w:val="auto"/>
        </w:rPr>
      </w:pPr>
    </w:p>
    <w:p>
      <w:pPr>
        <w:ind w:right="380" w:firstLine="318"/>
        <w:spacing w:after="0" w:line="264" w:lineRule="auto"/>
        <w:rPr>
          <w:sz w:val="20"/>
          <w:szCs w:val="20"/>
          <w:color w:val="auto"/>
        </w:rPr>
      </w:pPr>
      <w:r>
        <w:rPr>
          <w:rFonts w:ascii="Times New Roman" w:cs="Times New Roman" w:eastAsia="Times New Roman" w:hAnsi="Times New Roman"/>
          <w:sz w:val="14"/>
          <w:szCs w:val="14"/>
          <w:color w:val="auto"/>
        </w:rPr>
        <w:t>Borrowings under Term Loan A, and if used, the Revolving Credit Facility, incur interest at a variable rate. As of March 31, 2024, Booz Allen Hamilton had interest rate swaps with an aggregate notional amount of $550.0 million. These instruments hedge the variability of cash outflows for interest payments on Term Loan A and the Revolving Credit Facility. The Company's objectives in using cash flow hedges are to reduce volatility due to interest rate movements and to add stability to interest expense (see Note 11, “Derivatives,” to the consolidated financial statements).</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interest payments made on the Company’s term loans:</w:t>
      </w:r>
    </w:p>
    <w:p>
      <w:pPr>
        <w:spacing w:after="0" w:line="69"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20" w:type="dxa"/>
            <w:vAlign w:val="bottom"/>
            <w:gridSpan w:val="3"/>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000" w:type="dxa"/>
            <w:vAlign w:val="bottom"/>
          </w:tcPr>
          <w:p>
            <w:pPr>
              <w:spacing w:after="0"/>
              <w:rPr>
                <w:sz w:val="13"/>
                <w:szCs w:val="13"/>
                <w:color w:val="auto"/>
              </w:rPr>
            </w:pPr>
          </w:p>
        </w:tc>
      </w:tr>
      <w:tr>
        <w:trPr>
          <w:trHeight w:val="186"/>
        </w:trPr>
        <w:tc>
          <w:tcPr>
            <w:tcW w:w="23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34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171"/>
        </w:trPr>
        <w:tc>
          <w:tcPr>
            <w:tcW w:w="23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A</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24,233</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107,286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63,244</w:t>
            </w:r>
          </w:p>
        </w:tc>
      </w:tr>
      <w:tr>
        <w:trPr>
          <w:trHeight w:val="180"/>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Term Loan B</w:t>
            </w:r>
          </w:p>
        </w:tc>
        <w:tc>
          <w:tcPr>
            <w:tcW w:w="9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5,209</w:t>
            </w:r>
          </w:p>
        </w:tc>
      </w:tr>
      <w:tr>
        <w:trPr>
          <w:trHeight w:val="196"/>
        </w:trPr>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top w:val="single" w:sz="8" w:color="auto"/>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107,286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68,453</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The Credit Agreement contains customary representations and warranties and customary affirmative and negative covenants. In connection with Booz Allen Hamilton obtaining investment grade ratings from both Moody's and S&amp;P, certain activities previously restricted by certain negative covenants are permitted subject to pro forma compliance with the financial covenants and no events of default having occurred or are continuing. In addition, Booz Allen Hamilton is required to meet certain financial covenants at each quarter end, namely Consolidated Net Total Leverage and Consolidated Net Interest Coverage Ratios. As of March 31, 2024 and March 31, 2023, Booz Allen Hamilton was in compliance with all financial covenants associated with its debt and debt-like instruments.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Senior Notes</w:t>
      </w:r>
    </w:p>
    <w:p>
      <w:pPr>
        <w:spacing w:after="0" w:line="53"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On August 4, 2023, Booz Allen Hamilton issued $650.0 million aggregate principal amount of its 5.950% Senior Notes due August 4, 2033 (the “Senior Notes due 2033”) under an Indenture and First Supplemental Indenture, both dated as of August 4, 2023 (the “Indenture”), among Booz Allen Hamilton, Booz Allen Hamilton Holding Corporation, as parent guarantor, and U.S. Bank Trust Company, National Association, as trustee. The Senior Notes due 2033 are unsecured senior indebtedness of Booz Allen Hamilton and are fully and unconditionally guaranteed on an unsecured and unsubordinated basis by Booz Allen Hamilton Holding Corporation, and rank equally and ratably in right of payment with all of Booz Allen Hamilton’s and Booz Allen Hamilton Holding Corporation’s other unsecured and unsubordinated indebtedness outstanding from time to time, pursuant to the Indenture.</w:t>
      </w:r>
    </w:p>
    <w:p>
      <w:pPr>
        <w:spacing w:after="0" w:line="16" w:lineRule="exact"/>
        <w:rPr>
          <w:sz w:val="20"/>
          <w:szCs w:val="20"/>
          <w:color w:val="auto"/>
        </w:rPr>
      </w:pPr>
    </w:p>
    <w:p>
      <w:pPr>
        <w:ind w:right="160" w:firstLine="318"/>
        <w:spacing w:after="0" w:line="261" w:lineRule="auto"/>
        <w:rPr>
          <w:sz w:val="20"/>
          <w:szCs w:val="20"/>
          <w:color w:val="auto"/>
        </w:rPr>
      </w:pPr>
      <w:r>
        <w:rPr>
          <w:rFonts w:ascii="Times New Roman" w:cs="Times New Roman" w:eastAsia="Times New Roman" w:hAnsi="Times New Roman"/>
          <w:sz w:val="14"/>
          <w:szCs w:val="14"/>
          <w:color w:val="auto"/>
        </w:rPr>
        <w:t>On June 17, 2021, Booz Allen Hamilton issued $500.0 million aggregate principal amount of its 4.000% Senior Notes due July 1, 2029 (the “Senior Notes due 2029”) under an Indenture and First Supplemental Indenture, both dated as of June 17, 2021, among Booz Allen Hamilton, certain subsidiaries of Booz Allen Hamilton, as guarantors (the “2029 Subsidiary Guarantors”), and Wilmington Trust, National Association, as trustee. The Senior Notes due 2029 are Booz Allen Hamilton’s senior unsecured obligations and rank equally in right of payment with all of Booz Allen Hamilton’s and the 2029 Subsidiary Guarantors’ existing and future senior indebtedness and rank senior in right of payment to any of Booz Allen Hamilton’s future subordinated indebtedness. The net proceeds from the sale of the Senior Notes due 2029 were used to fund the acquisition of Liberty and to pay related fees and expenses.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3" w:right="339" w:bottom="1440" w:gutter="0" w:footer="0" w:header="0"/>
        </w:sectPr>
      </w:pPr>
    </w:p>
    <w:bookmarkStart w:id="98" w:name="page99"/>
    <w:bookmarkEnd w:id="9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55"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On August 24, 2020, Booz Allen Hamilton issued $700.0 million aggregate principal amount of its 3.875% Senior Notes due September 1, 2028 (the “Senior Notes due 2028”, and, together with the Senior Notes due 2029 and Senior Notes due 2033, the “Senior Notes”) under an Indenture and First Supplemental Indenture, both dated as of August 24, 2020, among Booz Allen Hamilton, certain subsidiaries of Booz Allen Hamilton, as guarantors (the “2028 Subsidiary Guarantors”), and Wilmington Trust, National Association, as trustee. The Senior Notes due 2028 are Booz Allen Hamilton’s senior unsecured obligations and rank equally in right of payment with all of Booz Allen Hamilton’s and the 2028 Subsidiary Guarantors’ existing and future senior indebtedness and rank senior in right of payment to any of Booz Allen Hamilton’s future subordinated indebtedness.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material terms of the Company’s Senior Notes as of March 31, 2024:</w:t>
      </w:r>
    </w:p>
    <w:p>
      <w:pPr>
        <w:spacing w:after="0" w:line="81"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16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Indenture Date</w:t>
            </w:r>
          </w:p>
        </w:tc>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28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06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Interest Payable</w:t>
            </w:r>
          </w:p>
        </w:tc>
        <w:tc>
          <w:tcPr>
            <w:tcW w:w="17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Issuance Costs</w:t>
            </w:r>
          </w:p>
        </w:tc>
      </w:tr>
      <w:tr>
        <w:trPr>
          <w:trHeight w:val="22"/>
        </w:trPr>
        <w:tc>
          <w:tcPr>
            <w:tcW w:w="17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15"/>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due 2033</w:t>
            </w:r>
          </w:p>
        </w:tc>
        <w:tc>
          <w:tcPr>
            <w:tcW w:w="1620" w:type="dxa"/>
            <w:vAlign w:val="bottom"/>
            <w:tcBorders>
              <w:bottom w:val="single" w:sz="8" w:color="CCEEFF"/>
            </w:tcBorders>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8/4/2023</w:t>
            </w:r>
          </w:p>
        </w:tc>
        <w:tc>
          <w:tcPr>
            <w:tcW w:w="1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$650.0 million</w:t>
            </w:r>
          </w:p>
        </w:tc>
        <w:tc>
          <w:tcPr>
            <w:tcW w:w="940" w:type="dxa"/>
            <w:vAlign w:val="bottom"/>
            <w:tcBorders>
              <w:bottom w:val="single" w:sz="8" w:color="CCEEFF"/>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w w:val="97"/>
              </w:rPr>
              <w:t>5.950%</w:t>
            </w:r>
          </w:p>
        </w:tc>
        <w:tc>
          <w:tcPr>
            <w:tcW w:w="1280" w:type="dxa"/>
            <w:vAlign w:val="bottom"/>
            <w:tcBorders>
              <w:bottom w:val="single" w:sz="8" w:color="CCEEFF"/>
            </w:tcBorders>
            <w:shd w:val="clear" w:color="auto" w:fill="CCEEFF"/>
          </w:tcPr>
          <w:p>
            <w:pPr>
              <w:jc w:val="center"/>
              <w:ind w:right="89"/>
              <w:spacing w:after="0"/>
              <w:rPr>
                <w:sz w:val="20"/>
                <w:szCs w:val="20"/>
                <w:color w:val="auto"/>
              </w:rPr>
            </w:pPr>
            <w:r>
              <w:rPr>
                <w:rFonts w:ascii="Times New Roman" w:cs="Times New Roman" w:eastAsia="Times New Roman" w:hAnsi="Times New Roman"/>
                <w:sz w:val="14"/>
                <w:szCs w:val="14"/>
                <w:color w:val="auto"/>
              </w:rPr>
              <w:t>8/4/2033</w:t>
            </w:r>
          </w:p>
        </w:tc>
        <w:tc>
          <w:tcPr>
            <w:tcW w:w="2060" w:type="dxa"/>
            <w:vAlign w:val="bottom"/>
            <w:tcBorders>
              <w:bottom w:val="single" w:sz="8" w:color="CCEEFF"/>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rPr>
              <w:t>February and August 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w:t>
            </w:r>
          </w:p>
        </w:tc>
      </w:tr>
      <w:tr>
        <w:trPr>
          <w:trHeight w:val="222"/>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due 2029</w:t>
            </w:r>
          </w:p>
        </w:tc>
        <w:tc>
          <w:tcPr>
            <w:tcW w:w="16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8"/>
              </w:rPr>
              <w:t>6/17/2021</w:t>
            </w:r>
          </w:p>
        </w:tc>
        <w:tc>
          <w:tcPr>
            <w:tcW w:w="1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$500.0 million</w:t>
            </w:r>
          </w:p>
        </w:tc>
        <w:tc>
          <w:tcPr>
            <w:tcW w:w="9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7"/>
              </w:rPr>
              <w:t>4.000%</w:t>
            </w:r>
          </w:p>
        </w:tc>
        <w:tc>
          <w:tcPr>
            <w:tcW w:w="12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7/1/2029</w:t>
            </w:r>
          </w:p>
        </w:tc>
        <w:tc>
          <w:tcPr>
            <w:tcW w:w="206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July and January 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million</w:t>
            </w:r>
          </w:p>
        </w:tc>
      </w:tr>
      <w:tr>
        <w:trPr>
          <w:trHeight w:val="22"/>
        </w:trPr>
        <w:tc>
          <w:tcPr>
            <w:tcW w:w="1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due 2028</w:t>
            </w:r>
          </w:p>
        </w:tc>
        <w:tc>
          <w:tcPr>
            <w:tcW w:w="162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8"/>
              </w:rPr>
              <w:t>8/24/2020</w:t>
            </w:r>
          </w:p>
        </w:tc>
        <w:tc>
          <w:tcPr>
            <w:tcW w:w="1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$700.0 million</w:t>
            </w:r>
          </w:p>
        </w:tc>
        <w:tc>
          <w:tcPr>
            <w:tcW w:w="940" w:type="dxa"/>
            <w:vAlign w:val="bottom"/>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w w:val="97"/>
              </w:rPr>
              <w:t>3.875%</w:t>
            </w:r>
          </w:p>
        </w:tc>
        <w:tc>
          <w:tcPr>
            <w:tcW w:w="1280" w:type="dxa"/>
            <w:vAlign w:val="bottom"/>
            <w:shd w:val="clear" w:color="auto" w:fill="CCEEFF"/>
          </w:tcPr>
          <w:p>
            <w:pPr>
              <w:jc w:val="center"/>
              <w:ind w:right="89"/>
              <w:spacing w:after="0"/>
              <w:rPr>
                <w:sz w:val="20"/>
                <w:szCs w:val="20"/>
                <w:color w:val="auto"/>
              </w:rPr>
            </w:pPr>
            <w:r>
              <w:rPr>
                <w:rFonts w:ascii="Times New Roman" w:cs="Times New Roman" w:eastAsia="Times New Roman" w:hAnsi="Times New Roman"/>
                <w:sz w:val="14"/>
                <w:szCs w:val="14"/>
                <w:color w:val="auto"/>
              </w:rPr>
              <w:t>9/1/2028</w:t>
            </w:r>
          </w:p>
        </w:tc>
        <w:tc>
          <w:tcPr>
            <w:tcW w:w="206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March and September 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w:t>
            </w:r>
          </w:p>
        </w:tc>
      </w:tr>
      <w:tr>
        <w:trPr>
          <w:trHeight w:val="22"/>
        </w:trPr>
        <w:tc>
          <w:tcPr>
            <w:tcW w:w="17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r>
    </w:tbl>
    <w:p>
      <w:pPr>
        <w:spacing w:after="0" w:line="60" w:lineRule="exact"/>
        <w:rPr>
          <w:sz w:val="20"/>
          <w:szCs w:val="20"/>
          <w:color w:val="auto"/>
        </w:rPr>
      </w:pPr>
    </w:p>
    <w:p>
      <w:pPr>
        <w:jc w:val="both"/>
        <w:ind w:right="200" w:firstLine="509"/>
        <w:spacing w:after="0" w:line="284" w:lineRule="auto"/>
        <w:rPr>
          <w:sz w:val="20"/>
          <w:szCs w:val="20"/>
          <w:color w:val="auto"/>
        </w:rPr>
      </w:pPr>
      <w:r>
        <w:rPr>
          <w:rFonts w:ascii="Times New Roman" w:cs="Times New Roman" w:eastAsia="Times New Roman" w:hAnsi="Times New Roman"/>
          <w:sz w:val="14"/>
          <w:szCs w:val="14"/>
          <w:color w:val="auto"/>
        </w:rPr>
        <w:t>Interest is payable semi-annually in cash in arrears, with the principal due at maturity. Issuance Costs were recorded as an offset against the carrying value of respective debt and are being amortized to interest expense over the term of the respective debt.</w:t>
      </w:r>
    </w:p>
    <w:p>
      <w:pPr>
        <w:spacing w:after="0" w:line="1" w:lineRule="exact"/>
        <w:rPr>
          <w:sz w:val="20"/>
          <w:szCs w:val="20"/>
          <w:color w:val="auto"/>
        </w:rPr>
      </w:pPr>
    </w:p>
    <w:p>
      <w:pPr>
        <w:ind w:right="160" w:firstLine="318"/>
        <w:spacing w:after="0" w:line="287" w:lineRule="auto"/>
        <w:rPr>
          <w:sz w:val="20"/>
          <w:szCs w:val="20"/>
          <w:color w:val="auto"/>
        </w:rPr>
      </w:pPr>
      <w:r>
        <w:rPr>
          <w:rFonts w:ascii="Times New Roman" w:cs="Times New Roman" w:eastAsia="Times New Roman" w:hAnsi="Times New Roman"/>
          <w:sz w:val="14"/>
          <w:szCs w:val="14"/>
          <w:color w:val="auto"/>
        </w:rPr>
        <w:t>All the Senior Notes’ Indentures contain certain covenants, events of default, and other customary provisions. In connection with the Senior Notes obtaining investment grade ratings from Moody’s and S&amp;P, in January 2023, certain negative covenants in the indentures governing the Senior Notes 2028 and Senior Notes 2029 were suspended, and the related guarantees were released.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Senior Notes Redemption Options</w:t>
      </w:r>
    </w:p>
    <w:p>
      <w:pPr>
        <w:spacing w:after="0" w:line="53"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Booz Allen Hamilton may redeem some or all of the Senior Notes due 2033 prior to May 4, 2033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Senior Notes 2033 matured on May 4, 2033) on a semi-annual basis (assuming a 360-day year consisting of twelve 30-day months) at the Treasury Rate (as defined in the Supplemental Indenture) plus 35 basis points less (b) interest accrued to, but excluding, the redemption date, and (2) 100.00% of the principal amount of the Senior Notes 2033 to be redeemed, plus, in either case, accrued and unpaid interest on the principal amount being redeemed to, but excluding, the redemption date. On or after May 4, 2033, Booz Allen Hamilton may redeem the Senior Notes 2033, in whole or in part, at any time and from time to time, at a redemption price equal to 100.00% of the principal amount of the Senior Notes 2033 being redeemed plus accrued and unpaid interest on the principal amount being redeemed, but excluding, to the redemption date.</w:t>
      </w:r>
    </w:p>
    <w:p>
      <w:pPr>
        <w:spacing w:after="0" w:line="19"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Booz Allen Hamilton may redeem some or all of the Senior Notes due 2029 at any time prior to July 1, 2024, at a price equal to 100.00% of the principal amount of the Senior Notes due 2029 redeemed, plus accrued and unpaid interest, if any, to (but not including) the redemption date, plus an applicable “make-whole premium.” Booz Allen Hamilton may redeem the Senior Notes due 2029 at its option, in whole at any time or in part from time to time, upon certain required notice, (i) on and after July 1, 2024, at a price equal to 102.00% of the principal amount of the Senior Notes due 2029 redeemed, (ii) on or after July 1, 2025, at a price equal to 101.00% of the principal amount of the Senior Notes due 2029 redeemed, and (iii) on July 1, 2026 and thereafter, at a price equal to 100.00% of the principal amount of the Senior Notes due 2029 redeemed, in each case, plus accrued and unpaid interest, if any, to (but not including) the applicable redemption date. In addition, at any time on or prior to July 1, 2024, Booz Allen Hamilton may redeem up to 40.00% of the original aggregate principal amount of the Senior Notes due 2029 with an amount equal to the net cash proceeds of certain equity offerings at a redemption price equal to 104.00% of the principal amount of the Senior Notes due 2029, plus accrued and unpaid interest, if any, to (but not including) the redemption date, provided that at least 50.00% of the original aggregate principal amount of the Senior Notes due 2029 remains outstanding after each such redemption; and provided, further, that such redemption occurs within 180 days after the date on which any such equity offering is consummated.</w:t>
      </w:r>
    </w:p>
    <w:p>
      <w:pPr>
        <w:spacing w:after="0" w:line="19"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Booz Allen Hamilton has the ability to redeem the Senior Notes due 2028 at its option, in whole at any time or in part from time to time, upon certain required notice, (i) on and after September 1, 2023, at a price equal to 101.938% of the principal amount of the Senior Notes due 2028 redeemed, (ii) on or after September 1, 2024, at a price equal to 100.969% of the principal amount of the Senior Notes due 2028 redeemed, and (iii) on September 1, 2025 and thereafter, at a price equal to 100.00% of the principal amount of the Senior Notes due 2028 redeemed, in each case, plus accrued and unpaid interest, if any, to (but not including) the applicable redemption date.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2" w:right="319" w:bottom="1440" w:gutter="0" w:footer="0" w:header="0"/>
        </w:sectPr>
      </w:pPr>
    </w:p>
    <w:bookmarkStart w:id="99" w:name="page100"/>
    <w:bookmarkEnd w:id="9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Scheduled Maturities and Interest Expense</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5"/>
        </w:trPr>
        <w:tc>
          <w:tcPr>
            <w:tcW w:w="20" w:type="dxa"/>
            <w:vAlign w:val="bottom"/>
          </w:tcPr>
          <w:p>
            <w:pPr>
              <w:spacing w:after="0"/>
              <w:rPr>
                <w:sz w:val="22"/>
                <w:szCs w:val="22"/>
                <w:color w:val="auto"/>
              </w:rPr>
            </w:pPr>
          </w:p>
        </w:tc>
        <w:tc>
          <w:tcPr>
            <w:tcW w:w="408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The following table summarizes required future debt repayments:</w:t>
            </w: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March 31,</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4"/>
                <w:szCs w:val="14"/>
                <w:color w:val="auto"/>
              </w:rPr>
            </w:pPr>
          </w:p>
        </w:tc>
        <w:tc>
          <w:tcPr>
            <w:tcW w:w="78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171"/>
        </w:trPr>
        <w:tc>
          <w:tcPr>
            <w:tcW w:w="20" w:type="dxa"/>
            <w:vAlign w:val="bottom"/>
          </w:tcPr>
          <w:p>
            <w:pPr>
              <w:spacing w:after="0"/>
              <w:rPr>
                <w:sz w:val="14"/>
                <w:szCs w:val="14"/>
                <w:color w:val="auto"/>
              </w:rPr>
            </w:pPr>
          </w:p>
        </w:tc>
        <w:tc>
          <w:tcPr>
            <w:tcW w:w="2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A</w:t>
            </w:r>
          </w:p>
        </w:tc>
        <w:tc>
          <w:tcPr>
            <w:tcW w:w="280" w:type="dxa"/>
            <w:vAlign w:val="bottom"/>
            <w:tcBorders>
              <w:top w:val="single" w:sz="8" w:color="auto"/>
            </w:tcBorders>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1,588,125</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61,875</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1,361,250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due 2028</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700,000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due 2029</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r>
      <w:tr>
        <w:trPr>
          <w:trHeight w:val="180"/>
        </w:trPr>
        <w:tc>
          <w:tcPr>
            <w:tcW w:w="20" w:type="dxa"/>
            <w:vAlign w:val="bottom"/>
          </w:tcPr>
          <w:p>
            <w:pPr>
              <w:spacing w:after="0"/>
              <w:rPr>
                <w:sz w:val="15"/>
                <w:szCs w:val="15"/>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due 2033</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650,000</w:t>
            </w:r>
          </w:p>
        </w:tc>
      </w:tr>
      <w:tr>
        <w:trPr>
          <w:trHeight w:val="180"/>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on indebtedness</w:t>
            </w: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942,804</w:t>
            </w: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192,101</w:t>
            </w:r>
          </w:p>
        </w:tc>
        <w:tc>
          <w:tcPr>
            <w:tcW w:w="1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187,040</w:t>
            </w:r>
          </w:p>
        </w:tc>
        <w:tc>
          <w:tcPr>
            <w:tcW w:w="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181,454</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125,934</w:t>
            </w: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72,237</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184,038</w:t>
            </w:r>
          </w:p>
        </w:tc>
      </w:tr>
      <w:tr>
        <w:trPr>
          <w:trHeight w:val="171"/>
        </w:trPr>
        <w:tc>
          <w:tcPr>
            <w:tcW w:w="20" w:type="dxa"/>
            <w:vAlign w:val="bottom"/>
          </w:tcPr>
          <w:p>
            <w:pPr>
              <w:spacing w:after="0"/>
              <w:rPr>
                <w:sz w:val="14"/>
                <w:szCs w:val="14"/>
                <w:color w:val="auto"/>
              </w:rPr>
            </w:pPr>
          </w:p>
        </w:tc>
        <w:tc>
          <w:tcPr>
            <w:tcW w:w="2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4,380,929</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253,976</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269,540</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263,954</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1,487,184</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772,237</w:t>
            </w:r>
          </w:p>
        </w:tc>
        <w:tc>
          <w:tcPr>
            <w:tcW w:w="30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1,334,038</w:t>
            </w: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5000" w:type="dxa"/>
            <w:vAlign w:val="bottom"/>
            <w:gridSpan w:val="7"/>
          </w:tcPr>
          <w:p>
            <w:pPr>
              <w:jc w:val="center"/>
              <w:spacing w:after="0"/>
              <w:rPr>
                <w:sz w:val="20"/>
                <w:szCs w:val="20"/>
                <w:color w:val="auto"/>
              </w:rPr>
            </w:pPr>
            <w:r>
              <w:rPr>
                <w:rFonts w:ascii="Times New Roman" w:cs="Times New Roman" w:eastAsia="Times New Roman" w:hAnsi="Times New Roman"/>
                <w:sz w:val="14"/>
                <w:szCs w:val="14"/>
                <w:color w:val="auto"/>
              </w:rPr>
              <w:t>Interest expense on debt and debt-like instruments consisted of the following:</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10"/>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20" w:type="dxa"/>
            <w:vAlign w:val="bottom"/>
            <w:tcBorders>
              <w:bottom w:val="single" w:sz="8" w:color="auto"/>
            </w:tcBorders>
          </w:tcPr>
          <w:p>
            <w:pPr>
              <w:spacing w:after="0"/>
              <w:rPr>
                <w:sz w:val="17"/>
                <w:szCs w:val="17"/>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A</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107,891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63,463</w:t>
            </w: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19,570</w:t>
            </w:r>
          </w:p>
        </w:tc>
      </w:tr>
      <w:tr>
        <w:trPr>
          <w:trHeight w:val="180"/>
        </w:trPr>
        <w:tc>
          <w:tcPr>
            <w:tcW w:w="20" w:type="dxa"/>
            <w:vAlign w:val="bottom"/>
          </w:tcPr>
          <w:p>
            <w:pPr>
              <w:spacing w:after="0"/>
              <w:rPr>
                <w:sz w:val="15"/>
                <w:szCs w:val="15"/>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Term Loan B</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7,207</w:t>
            </w:r>
          </w:p>
        </w:tc>
      </w:tr>
      <w:tr>
        <w:trPr>
          <w:trHeight w:val="180"/>
        </w:trPr>
        <w:tc>
          <w:tcPr>
            <w:tcW w:w="2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Revolving Credit Facility</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20" w:type="dxa"/>
            <w:vAlign w:val="bottom"/>
          </w:tcPr>
          <w:p>
            <w:pPr>
              <w:spacing w:after="0"/>
              <w:rPr>
                <w:sz w:val="15"/>
                <w:szCs w:val="15"/>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72,693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47,125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42,902</w:t>
            </w:r>
          </w:p>
        </w:tc>
      </w:tr>
      <w:tr>
        <w:trPr>
          <w:trHeight w:val="180"/>
        </w:trPr>
        <w:tc>
          <w:tcPr>
            <w:tcW w:w="20" w:type="dxa"/>
            <w:vAlign w:val="bottom"/>
            <w:shd w:val="clear" w:color="auto" w:fill="CCEEFF"/>
          </w:tcPr>
          <w:p>
            <w:pPr>
              <w:spacing w:after="0"/>
              <w:rPr>
                <w:sz w:val="15"/>
                <w:szCs w:val="15"/>
                <w:color w:val="auto"/>
              </w:rPr>
            </w:pPr>
          </w:p>
        </w:tc>
        <w:tc>
          <w:tcPr>
            <w:tcW w:w="5000" w:type="dxa"/>
            <w:vAlign w:val="bottom"/>
            <w:gridSpan w:val="7"/>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Debt Issuance Cost (DIC) and Original Issue Discount (OID) </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w:t>
            </w:r>
          </w:p>
        </w:tc>
      </w:tr>
      <w:tr>
        <w:trPr>
          <w:trHeight w:val="180"/>
        </w:trPr>
        <w:tc>
          <w:tcPr>
            <w:tcW w:w="20" w:type="dxa"/>
            <w:vAlign w:val="bottom"/>
          </w:tcPr>
          <w:p>
            <w:pPr>
              <w:spacing w:after="0"/>
              <w:rPr>
                <w:sz w:val="15"/>
                <w:szCs w:val="15"/>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17,535</w:t>
            </w:r>
          </w:p>
        </w:tc>
      </w:tr>
      <w:tr>
        <w:trPr>
          <w:trHeight w:val="180"/>
        </w:trPr>
        <w:tc>
          <w:tcPr>
            <w:tcW w:w="2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Total Interest Expense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172,901</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119,850</w:t>
            </w:r>
          </w:p>
        </w:tc>
        <w:tc>
          <w:tcPr>
            <w:tcW w:w="80" w:type="dxa"/>
            <w:vAlign w:val="bottom"/>
          </w:tcPr>
          <w:p>
            <w:pPr>
              <w:spacing w:after="0"/>
              <w:rPr>
                <w:sz w:val="14"/>
                <w:szCs w:val="14"/>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92,352</w:t>
            </w: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520" w:right="20" w:hanging="133"/>
        <w:spacing w:after="0" w:line="237" w:lineRule="auto"/>
        <w:tabs>
          <w:tab w:leader="none" w:pos="535" w:val="left"/>
        </w:tabs>
        <w:numPr>
          <w:ilvl w:val="1"/>
          <w:numId w:val="7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DIC and OID on the Term Loans and Senior Notes are recorded as a reduction of long-term debt in the consolidated balance sheet and are amortized ratably over the life of the related debt using the effective rate method. DIC on the Company's Revolving Credit Facility is recorded as a long-term asset on the consolidated balance sheet and amortized ratably over the term of the Revolving Credit Facility.</w:t>
      </w:r>
    </w:p>
    <w:p>
      <w:pPr>
        <w:spacing w:after="0" w:line="69" w:lineRule="exact"/>
        <w:rPr>
          <w:rFonts w:ascii="Times New Roman" w:cs="Times New Roman" w:eastAsia="Times New Roman" w:hAnsi="Times New Roman"/>
          <w:sz w:val="18"/>
          <w:szCs w:val="18"/>
          <w:color w:val="auto"/>
          <w:vertAlign w:val="superscript"/>
        </w:rPr>
      </w:pPr>
    </w:p>
    <w:p>
      <w:pPr>
        <w:ind w:left="200" w:hanging="195"/>
        <w:spacing w:after="0"/>
        <w:tabs>
          <w:tab w:leader="none" w:pos="200"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Derivatives</w:t>
      </w:r>
    </w:p>
    <w:p>
      <w:pPr>
        <w:spacing w:after="0" w:line="53" w:lineRule="exact"/>
        <w:rPr>
          <w:sz w:val="20"/>
          <w:szCs w:val="20"/>
          <w:color w:val="auto"/>
        </w:rPr>
      </w:pPr>
    </w:p>
    <w:p>
      <w:pPr>
        <w:ind w:right="100" w:firstLine="318"/>
        <w:spacing w:after="0" w:line="284" w:lineRule="auto"/>
        <w:rPr>
          <w:sz w:val="20"/>
          <w:szCs w:val="20"/>
          <w:color w:val="auto"/>
        </w:rPr>
      </w:pPr>
      <w:r>
        <w:rPr>
          <w:rFonts w:ascii="Times New Roman" w:cs="Times New Roman" w:eastAsia="Times New Roman" w:hAnsi="Times New Roman"/>
          <w:sz w:val="14"/>
          <w:szCs w:val="14"/>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material terms of the Company’s outstanding interest rate swap derivative contracts as of March 31, 2024:</w:t>
      </w:r>
    </w:p>
    <w:p>
      <w:pPr>
        <w:spacing w:after="0" w:line="39" w:lineRule="exact"/>
        <w:rPr>
          <w:sz w:val="20"/>
          <w:szCs w:val="20"/>
          <w:color w:val="auto"/>
        </w:rPr>
      </w:pPr>
    </w:p>
    <w:tbl>
      <w:tblPr>
        <w:tblLayout w:type="fixed"/>
        <w:tblInd w:w="1420" w:type="dxa"/>
        <w:tblCellMar>
          <w:top w:w="0" w:type="dxa"/>
          <w:left w:w="0" w:type="dxa"/>
          <w:bottom w:w="0" w:type="dxa"/>
          <w:right w:w="0" w:type="dxa"/>
        </w:tblCellMar>
      </w:tblPr>
      <w:tr>
        <w:trPr>
          <w:trHeight w:val="186"/>
        </w:trPr>
        <w:tc>
          <w:tcPr>
            <w:tcW w:w="1500" w:type="dxa"/>
            <w:vAlign w:val="bottom"/>
            <w:tcBorders>
              <w:bottom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9"/>
              </w:rPr>
              <w:t>Effective Date</w:t>
            </w:r>
          </w:p>
        </w:tc>
        <w:tc>
          <w:tcPr>
            <w:tcW w:w="8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12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w w:val="97"/>
              </w:rPr>
              <w:t>Terms</w:t>
            </w: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0" w:type="dxa"/>
            <w:vAlign w:val="bottom"/>
          </w:tcPr>
          <w:p>
            <w:pPr>
              <w:spacing w:after="0"/>
              <w:rPr>
                <w:sz w:val="1"/>
                <w:szCs w:val="1"/>
                <w:color w:val="auto"/>
              </w:rPr>
            </w:pPr>
          </w:p>
        </w:tc>
      </w:tr>
      <w:tr>
        <w:trPr>
          <w:trHeight w:val="111"/>
        </w:trPr>
        <w:tc>
          <w:tcPr>
            <w:tcW w:w="1500" w:type="dxa"/>
            <w:vAlign w:val="bottom"/>
            <w:vMerge w:val="restart"/>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rPr>
              <w:t>April 28, 2023</w:t>
            </w:r>
          </w:p>
        </w:tc>
        <w:tc>
          <w:tcPr>
            <w:tcW w:w="8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9"/>
                <w:szCs w:val="9"/>
                <w:color w:val="auto"/>
              </w:rPr>
              <w:t>(1)</w:t>
            </w:r>
          </w:p>
        </w:tc>
        <w:tc>
          <w:tcPr>
            <w:tcW w:w="2180" w:type="dxa"/>
            <w:vAlign w:val="bottom"/>
            <w:vMerge w:val="restart"/>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w w:val="99"/>
              </w:rPr>
              <w:t>June 30, 2024</w:t>
            </w:r>
          </w:p>
        </w:tc>
        <w:tc>
          <w:tcPr>
            <w:tcW w:w="2120" w:type="dxa"/>
            <w:vAlign w:val="bottom"/>
            <w:vMerge w:val="restart"/>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Variable to Fixed</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61"/>
        </w:trPr>
        <w:tc>
          <w:tcPr>
            <w:tcW w:w="1500" w:type="dxa"/>
            <w:vAlign w:val="bottom"/>
            <w:vMerge w:val="continue"/>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180" w:type="dxa"/>
            <w:vAlign w:val="bottom"/>
            <w:vMerge w:val="continue"/>
            <w:shd w:val="clear" w:color="auto" w:fill="CCEEFF"/>
          </w:tcPr>
          <w:p>
            <w:pPr>
              <w:spacing w:after="0"/>
              <w:rPr>
                <w:sz w:val="5"/>
                <w:szCs w:val="5"/>
                <w:color w:val="auto"/>
              </w:rPr>
            </w:pPr>
          </w:p>
        </w:tc>
        <w:tc>
          <w:tcPr>
            <w:tcW w:w="2120" w:type="dxa"/>
            <w:vAlign w:val="bottom"/>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500" w:type="dxa"/>
            <w:vAlign w:val="bottom"/>
            <w:vMerge w:val="restart"/>
          </w:tcPr>
          <w:p>
            <w:pPr>
              <w:jc w:val="center"/>
              <w:ind w:left="149"/>
              <w:spacing w:after="0"/>
              <w:rPr>
                <w:sz w:val="20"/>
                <w:szCs w:val="20"/>
                <w:color w:val="auto"/>
              </w:rPr>
            </w:pPr>
            <w:r>
              <w:rPr>
                <w:rFonts w:ascii="Times New Roman" w:cs="Times New Roman" w:eastAsia="Times New Roman" w:hAnsi="Times New Roman"/>
                <w:sz w:val="14"/>
                <w:szCs w:val="14"/>
                <w:color w:val="auto"/>
              </w:rPr>
              <w:t>April 28, 2023</w:t>
            </w:r>
          </w:p>
        </w:tc>
        <w:tc>
          <w:tcPr>
            <w:tcW w:w="820" w:type="dxa"/>
            <w:vAlign w:val="bottom"/>
          </w:tcPr>
          <w:p>
            <w:pPr>
              <w:jc w:val="right"/>
              <w:ind w:right="434"/>
              <w:spacing w:after="0"/>
              <w:rPr>
                <w:sz w:val="20"/>
                <w:szCs w:val="20"/>
                <w:color w:val="auto"/>
              </w:rPr>
            </w:pPr>
            <w:r>
              <w:rPr>
                <w:rFonts w:ascii="Times New Roman" w:cs="Times New Roman" w:eastAsia="Times New Roman" w:hAnsi="Times New Roman"/>
                <w:sz w:val="9"/>
                <w:szCs w:val="9"/>
                <w:color w:val="auto"/>
              </w:rPr>
              <w:t>(1)</w:t>
            </w:r>
          </w:p>
        </w:tc>
        <w:tc>
          <w:tcPr>
            <w:tcW w:w="2180" w:type="dxa"/>
            <w:vAlign w:val="bottom"/>
            <w:vMerge w:val="restart"/>
          </w:tcPr>
          <w:p>
            <w:pPr>
              <w:jc w:val="center"/>
              <w:ind w:right="249"/>
              <w:spacing w:after="0"/>
              <w:rPr>
                <w:sz w:val="20"/>
                <w:szCs w:val="20"/>
                <w:color w:val="auto"/>
              </w:rPr>
            </w:pPr>
            <w:r>
              <w:rPr>
                <w:rFonts w:ascii="Times New Roman" w:cs="Times New Roman" w:eastAsia="Times New Roman" w:hAnsi="Times New Roman"/>
                <w:sz w:val="14"/>
                <w:szCs w:val="14"/>
                <w:color w:val="auto"/>
                <w:w w:val="99"/>
              </w:rPr>
              <w:t>June 30, 2025</w:t>
            </w:r>
          </w:p>
        </w:tc>
        <w:tc>
          <w:tcPr>
            <w:tcW w:w="2120" w:type="dxa"/>
            <w:vAlign w:val="bottom"/>
            <w:vMerge w:val="restart"/>
          </w:tcPr>
          <w:p>
            <w:pPr>
              <w:jc w:val="center"/>
              <w:ind w:left="429"/>
              <w:spacing w:after="0"/>
              <w:rPr>
                <w:sz w:val="20"/>
                <w:szCs w:val="20"/>
                <w:color w:val="auto"/>
              </w:rPr>
            </w:pPr>
            <w:r>
              <w:rPr>
                <w:rFonts w:ascii="Times New Roman" w:cs="Times New Roman" w:eastAsia="Times New Roman" w:hAnsi="Times New Roman"/>
                <w:sz w:val="14"/>
                <w:szCs w:val="14"/>
                <w:color w:val="auto"/>
                <w:w w:val="99"/>
              </w:rPr>
              <w:t>Variable to Fixed</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61"/>
        </w:trPr>
        <w:tc>
          <w:tcPr>
            <w:tcW w:w="15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21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rPr>
              <w:t>June 30, 2023</w:t>
            </w: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w w:val="99"/>
              </w:rPr>
              <w:t>June 30, 2026</w:t>
            </w:r>
          </w:p>
        </w:tc>
        <w:tc>
          <w:tcPr>
            <w:tcW w:w="2120" w:type="dxa"/>
            <w:vAlign w:val="bottom"/>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Variable to Fixed</w:t>
            </w:r>
          </w:p>
        </w:tc>
        <w:tc>
          <w:tcPr>
            <w:tcW w:w="6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4"/>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520" w:right="40" w:hanging="133"/>
        <w:spacing w:after="0" w:line="260" w:lineRule="auto"/>
        <w:tabs>
          <w:tab w:leader="none" w:pos="523" w:val="left"/>
        </w:tabs>
        <w:numPr>
          <w:ilvl w:val="0"/>
          <w:numId w:val="7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Swap agreement was originally effective on April 30, 2019 and were amended during the first quarter of fiscal 2024 to transition from LIBOR-indexed to Term SOFR-indexed periodic swap payments to align with interest payments in connection with its Term SOFR-indexed debt. See Note 2, “Summary of Significant Accounting Policies,” to the consolidated financial statements for further information on the transition.</w:t>
      </w:r>
    </w:p>
    <w:p>
      <w:pPr>
        <w:spacing w:after="0" w:line="16" w:lineRule="exact"/>
        <w:rPr>
          <w:sz w:val="20"/>
          <w:szCs w:val="20"/>
          <w:color w:val="auto"/>
        </w:rPr>
      </w:pPr>
    </w:p>
    <w:p>
      <w:pPr>
        <w:ind w:right="540" w:firstLine="318"/>
        <w:spacing w:after="0" w:line="287" w:lineRule="auto"/>
        <w:rPr>
          <w:sz w:val="20"/>
          <w:szCs w:val="20"/>
          <w:color w:val="auto"/>
        </w:rPr>
      </w:pPr>
      <w:r>
        <w:rPr>
          <w:rFonts w:ascii="Times New Roman" w:cs="Times New Roman" w:eastAsia="Times New Roman" w:hAnsi="Times New Roman"/>
          <w:sz w:val="14"/>
          <w:szCs w:val="14"/>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converting a portion of the variable rate debt into fixed interest rate debt.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100" w:name="page101"/>
    <w:bookmarkEnd w:id="10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55" w:lineRule="exact"/>
        <w:rPr>
          <w:sz w:val="20"/>
          <w:szCs w:val="20"/>
          <w:color w:val="auto"/>
        </w:rPr>
      </w:pPr>
    </w:p>
    <w:p>
      <w:pPr>
        <w:ind w:right="100" w:firstLine="318"/>
        <w:spacing w:after="0" w:line="264" w:lineRule="auto"/>
        <w:rPr>
          <w:sz w:val="20"/>
          <w:szCs w:val="20"/>
          <w:color w:val="auto"/>
        </w:rPr>
      </w:pPr>
      <w:r>
        <w:rPr>
          <w:rFonts w:ascii="Times New Roman" w:cs="Times New Roman" w:eastAsia="Times New Roman" w:hAnsi="Times New Roman"/>
          <w:sz w:val="14"/>
          <w:szCs w:val="14"/>
          <w:color w:val="auto"/>
        </w:rPr>
        <w:t>Derivative instruments are recorded in the consolidated balance sheet on a gross basis at estimated fair value. As of March 31, 2024, $8.7 million and $1.6 million were classified as other current assets and other long-term assets, respectively, on the consolidated balance sheet. As of March 31, 2023, $11.2 million, $3.5 million and $1.4 million were classified as other current assets, other long term assets and other long-term liabilities, respectively, on the consolidated balance sheet. See Note 18, “Fair Value Measurements,” to the consolidated financial statements for additional information on the fair values and location of our derivative instruments on the consolidated balance sheet.</w:t>
      </w:r>
    </w:p>
    <w:p>
      <w:pPr>
        <w:spacing w:after="0" w:line="13"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4"/>
          <w:szCs w:val="14"/>
          <w:color w:val="auto"/>
        </w:rPr>
        <w:t>For interest rate swaps designated as cash flow hedges, the changes in the fair value of derivatives is recorded in Accumulated Other Comprehensive Income (“AOCI”), net of taxes, and is subsequently reclassified into interest expense, net in the period that the hedged forecasted interest payments are made on the Company's variable-rate debt. See Note 15, “Accumulated Other Comprehensive Income,” and Note 10, “Debt,” to the consolidated financial statements for additional information on reclassifications from AOCI and interest payments related to the derivatives. The effect of derivative instruments on the accompanying consolidated financial statements is as follows:</w:t>
      </w:r>
    </w:p>
    <w:p>
      <w:pPr>
        <w:spacing w:after="0" w:line="15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80" w:type="dxa"/>
            <w:vAlign w:val="bottom"/>
            <w:gridSpan w:val="3"/>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Amount of Gain Recognized in AOCI on</w:t>
            </w:r>
          </w:p>
        </w:tc>
        <w:tc>
          <w:tcPr>
            <w:tcW w:w="30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 Reclassified from AOCI</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206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Location of Gain or Loss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89"/>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49"/>
              <w:spacing w:after="0" w:line="189" w:lineRule="exact"/>
              <w:rPr>
                <w:sz w:val="20"/>
                <w:szCs w:val="20"/>
                <w:color w:val="auto"/>
              </w:rPr>
            </w:pPr>
            <w:r>
              <w:rPr>
                <w:rFonts w:ascii="Times New Roman" w:cs="Times New Roman" w:eastAsia="Times New Roman" w:hAnsi="Times New Roman"/>
                <w:sz w:val="14"/>
                <w:szCs w:val="14"/>
                <w:b w:val="1"/>
                <w:bCs w:val="1"/>
                <w:color w:val="auto"/>
                <w:w w:val="96"/>
              </w:rPr>
              <w:t xml:space="preserve">into Income </w:t>
            </w:r>
            <w:r>
              <w:rPr>
                <w:rFonts w:ascii="Times New Roman" w:cs="Times New Roman" w:eastAsia="Times New Roman" w:hAnsi="Times New Roman"/>
                <w:sz w:val="18"/>
                <w:szCs w:val="18"/>
                <w:b w:val="1"/>
                <w:bCs w:val="1"/>
                <w:color w:val="auto"/>
                <w:w w:val="96"/>
                <w:vertAlign w:val="superscript"/>
              </w:rPr>
              <w:t>(1)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234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Derivatives in Cash Flow Hedging</w:t>
            </w:r>
          </w:p>
        </w:tc>
        <w:tc>
          <w:tcPr>
            <w:tcW w:w="20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160" w:type="dxa"/>
            <w:vAlign w:val="bottom"/>
            <w:gridSpan w:val="2"/>
            <w:vMerge w:val="restart"/>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140" w:type="dxa"/>
            <w:vAlign w:val="bottom"/>
            <w:gridSpan w:val="2"/>
            <w:vMerge w:val="restart"/>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340" w:type="dxa"/>
            <w:vAlign w:val="bottom"/>
            <w:vMerge w:val="continue"/>
          </w:tcPr>
          <w:p>
            <w:pPr>
              <w:spacing w:after="0"/>
              <w:rPr>
                <w:sz w:val="12"/>
                <w:szCs w:val="12"/>
                <w:color w:val="auto"/>
              </w:rPr>
            </w:pPr>
          </w:p>
        </w:tc>
        <w:tc>
          <w:tcPr>
            <w:tcW w:w="2060" w:type="dxa"/>
            <w:vAlign w:val="bottom"/>
          </w:tcPr>
          <w:p>
            <w:pPr>
              <w:jc w:val="center"/>
              <w:ind w:right="69"/>
              <w:spacing w:after="0" w:line="144" w:lineRule="exact"/>
              <w:rPr>
                <w:sz w:val="20"/>
                <w:szCs w:val="20"/>
                <w:color w:val="auto"/>
              </w:rPr>
            </w:pPr>
            <w:r>
              <w:rPr>
                <w:rFonts w:ascii="Times New Roman" w:cs="Times New Roman" w:eastAsia="Times New Roman" w:hAnsi="Times New Roman"/>
                <w:sz w:val="14"/>
                <w:szCs w:val="14"/>
                <w:b w:val="1"/>
                <w:bCs w:val="1"/>
                <w:color w:val="auto"/>
              </w:rPr>
              <w:t>Recognized in Income on</w:t>
            </w:r>
          </w:p>
        </w:tc>
        <w:tc>
          <w:tcPr>
            <w:tcW w:w="18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62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66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0" w:type="dxa"/>
            <w:vAlign w:val="bottom"/>
          </w:tcPr>
          <w:p>
            <w:pPr>
              <w:spacing w:after="0"/>
              <w:rPr>
                <w:sz w:val="1"/>
                <w:szCs w:val="1"/>
                <w:color w:val="auto"/>
              </w:rPr>
            </w:pPr>
          </w:p>
        </w:tc>
      </w:tr>
      <w:tr>
        <w:trPr>
          <w:trHeight w:val="180"/>
        </w:trPr>
        <w:tc>
          <w:tcPr>
            <w:tcW w:w="23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0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Borders>
              <w:bottom w:val="single" w:sz="8" w:color="auto"/>
            </w:tcBorders>
          </w:tcPr>
          <w:p>
            <w:pPr>
              <w:jc w:val="center"/>
              <w:ind w:right="38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bottom w:val="single" w:sz="8" w:color="auto"/>
            </w:tcBorders>
          </w:tcPr>
          <w:p>
            <w:pPr>
              <w:jc w:val="center"/>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w w:val="99"/>
              </w:rPr>
              <w:t>Interest rate swaps</w:t>
            </w:r>
          </w:p>
        </w:tc>
        <w:tc>
          <w:tcPr>
            <w:tcW w:w="206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11,794 $</w:t>
            </w:r>
          </w:p>
        </w:tc>
        <w:tc>
          <w:tcPr>
            <w:tcW w:w="12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14,919 $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20,352</w:t>
            </w:r>
          </w:p>
        </w:tc>
        <w:tc>
          <w:tcPr>
            <w:tcW w:w="2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14,932 $</w:t>
            </w:r>
          </w:p>
        </w:tc>
        <w:tc>
          <w:tcPr>
            <w:tcW w:w="12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1,237 $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(17,535)</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520" w:right="40" w:hanging="133"/>
        <w:spacing w:after="0"/>
        <w:tabs>
          <w:tab w:leader="none" w:pos="523" w:val="left"/>
        </w:tabs>
        <w:numPr>
          <w:ilvl w:val="0"/>
          <w:numId w:val="7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reclassifications from accumulated other comprehensive gain (loss) to net income was reduced by taxes of $4.0 million, $0.3 million and $4.6 million, respectively, for fiscal 2024, 2023 and 2022.</w:t>
      </w:r>
    </w:p>
    <w:p>
      <w:pPr>
        <w:spacing w:after="0" w:line="186" w:lineRule="exact"/>
        <w:rPr>
          <w:sz w:val="20"/>
          <w:szCs w:val="20"/>
          <w:color w:val="auto"/>
        </w:rPr>
      </w:pPr>
    </w:p>
    <w:p>
      <w:pPr>
        <w:ind w:right="220" w:firstLine="318"/>
        <w:spacing w:after="0" w:line="284" w:lineRule="auto"/>
        <w:rPr>
          <w:sz w:val="20"/>
          <w:szCs w:val="20"/>
          <w:color w:val="auto"/>
        </w:rPr>
      </w:pPr>
      <w:r>
        <w:rPr>
          <w:rFonts w:ascii="Times New Roman" w:cs="Times New Roman" w:eastAsia="Times New Roman" w:hAnsi="Times New Roman"/>
          <w:sz w:val="14"/>
          <w:szCs w:val="14"/>
          <w:color w:val="auto"/>
        </w:rPr>
        <w:t>Over the next 12 months, the Company estimates that $8.7 million will be reclassified as a decrease to interest expense. Cash flows associated with periodic settlements of interest rate swaps will be classified as operating activities in the consolidated statement of cash flows.</w:t>
      </w:r>
    </w:p>
    <w:p>
      <w:pPr>
        <w:spacing w:after="0" w:line="1"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Leases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leases are generally for facilities and office space.</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total lease cost is recorded primarily within general and administrative expenses on the consolidated statement of operations and consisted of the following:</w:t>
      </w:r>
    </w:p>
    <w:p>
      <w:pPr>
        <w:spacing w:after="0" w:line="3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ind w:left="86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 w:type="dxa"/>
            <w:vAlign w:val="bottom"/>
          </w:tcPr>
          <w:p>
            <w:pPr>
              <w:spacing w:after="0"/>
              <w:rPr>
                <w:sz w:val="15"/>
                <w:szCs w:val="15"/>
                <w:color w:val="auto"/>
              </w:rPr>
            </w:pPr>
          </w:p>
        </w:tc>
        <w:tc>
          <w:tcPr>
            <w:tcW w:w="3380" w:type="dxa"/>
            <w:vAlign w:val="bottom"/>
            <w:tcBorders>
              <w:bottom w:val="single" w:sz="8" w:color="CCEEFF"/>
            </w:tcBorders>
          </w:tcPr>
          <w:p>
            <w:pPr>
              <w:spacing w:after="0"/>
              <w:rPr>
                <w:sz w:val="15"/>
                <w:szCs w:val="15"/>
                <w:color w:val="auto"/>
              </w:rPr>
            </w:pPr>
          </w:p>
        </w:tc>
        <w:tc>
          <w:tcPr>
            <w:tcW w:w="296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34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29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63,575</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68,620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69,831</w:t>
            </w:r>
          </w:p>
        </w:tc>
      </w:tr>
      <w:tr>
        <w:trPr>
          <w:trHeight w:val="180"/>
        </w:trPr>
        <w:tc>
          <w:tcPr>
            <w:tcW w:w="34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Short-term lease cost</w:t>
            </w:r>
          </w:p>
        </w:tc>
        <w:tc>
          <w:tcPr>
            <w:tcW w:w="2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r>
      <w:tr>
        <w:trPr>
          <w:trHeight w:val="180"/>
        </w:trPr>
        <w:tc>
          <w:tcPr>
            <w:tcW w:w="340" w:type="dxa"/>
            <w:vAlign w:val="bottom"/>
          </w:tcPr>
          <w:p>
            <w:pPr>
              <w:spacing w:after="0"/>
              <w:rPr>
                <w:sz w:val="15"/>
                <w:szCs w:val="15"/>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Variable lease cost</w:t>
            </w:r>
          </w:p>
        </w:tc>
        <w:tc>
          <w:tcPr>
            <w:tcW w:w="296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12,911</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11,237</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11,641</w:t>
            </w:r>
          </w:p>
        </w:tc>
      </w:tr>
      <w:tr>
        <w:trPr>
          <w:trHeight w:val="171"/>
        </w:trPr>
        <w:tc>
          <w:tcPr>
            <w:tcW w:w="340" w:type="dxa"/>
            <w:vAlign w:val="bottom"/>
          </w:tcPr>
          <w:p>
            <w:pPr>
              <w:spacing w:after="0"/>
              <w:rPr>
                <w:sz w:val="14"/>
                <w:szCs w:val="14"/>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operating lease costs</w:t>
            </w:r>
          </w:p>
        </w:tc>
        <w:tc>
          <w:tcPr>
            <w:tcW w:w="2960" w:type="dxa"/>
            <w:vAlign w:val="bottom"/>
          </w:tcPr>
          <w:p>
            <w:pPr>
              <w:spacing w:after="0"/>
              <w:rPr>
                <w:sz w:val="14"/>
                <w:szCs w:val="14"/>
                <w:color w:val="auto"/>
              </w:rPr>
            </w:pP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77,697</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80,312</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82,057</w:t>
            </w:r>
          </w:p>
        </w:tc>
      </w:tr>
      <w:tr>
        <w:trPr>
          <w:trHeight w:val="20"/>
        </w:trPr>
        <w:tc>
          <w:tcPr>
            <w:tcW w:w="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3"/>
        </w:trPr>
        <w:tc>
          <w:tcPr>
            <w:tcW w:w="3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920" w:type="dxa"/>
            <w:vAlign w:val="bottom"/>
            <w:gridSpan w:val="2"/>
          </w:tcPr>
          <w:p>
            <w:pPr>
              <w:jc w:val="right"/>
              <w:ind w:right="1789"/>
              <w:spacing w:after="0"/>
              <w:rPr>
                <w:sz w:val="20"/>
                <w:szCs w:val="20"/>
                <w:color w:val="auto"/>
              </w:rPr>
            </w:pPr>
            <w:r>
              <w:rPr>
                <w:rFonts w:ascii="Times New Roman" w:cs="Times New Roman" w:eastAsia="Times New Roman" w:hAnsi="Times New Roman"/>
                <w:sz w:val="14"/>
                <w:szCs w:val="14"/>
                <w:color w:val="auto"/>
              </w:rPr>
              <w:t>F-27</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7"/>
        </w:trPr>
        <w:tc>
          <w:tcPr>
            <w:tcW w:w="340" w:type="dxa"/>
            <w:vAlign w:val="bottom"/>
            <w:tcBorders>
              <w:bottom w:val="single" w:sz="8" w:color="9A9A9A"/>
            </w:tcBorders>
          </w:tcPr>
          <w:p>
            <w:pPr>
              <w:spacing w:after="0"/>
              <w:rPr>
                <w:sz w:val="7"/>
                <w:szCs w:val="7"/>
                <w:color w:val="auto"/>
              </w:rPr>
            </w:pPr>
          </w:p>
        </w:tc>
        <w:tc>
          <w:tcPr>
            <w:tcW w:w="3380" w:type="dxa"/>
            <w:vAlign w:val="bottom"/>
            <w:tcBorders>
              <w:bottom w:val="single" w:sz="8" w:color="9A9A9A"/>
            </w:tcBorders>
          </w:tcPr>
          <w:p>
            <w:pPr>
              <w:spacing w:after="0"/>
              <w:rPr>
                <w:sz w:val="7"/>
                <w:szCs w:val="7"/>
                <w:color w:val="auto"/>
              </w:rPr>
            </w:pPr>
          </w:p>
        </w:tc>
        <w:tc>
          <w:tcPr>
            <w:tcW w:w="29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101" w:name="page102"/>
    <w:bookmarkEnd w:id="10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5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6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Future minimum operating lease payments for noncancelable operating leases as of March 31, 2024 are as follows:</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Fiscal Year Ending March 31,</w:t>
            </w:r>
          </w:p>
        </w:tc>
        <w:tc>
          <w:tcPr>
            <w:tcW w:w="180" w:type="dxa"/>
            <w:vAlign w:val="bottom"/>
          </w:tcPr>
          <w:p>
            <w:pPr>
              <w:spacing w:after="0"/>
              <w:rPr>
                <w:sz w:val="17"/>
                <w:szCs w:val="17"/>
                <w:color w:val="auto"/>
              </w:rPr>
            </w:pPr>
          </w:p>
        </w:tc>
        <w:tc>
          <w:tcPr>
            <w:tcW w:w="274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Operating Lease Payments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54,337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61,710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49,558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41,357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18,929</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29,948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future lease payments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255,839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Less: imputed interest</w:t>
            </w: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(30,518)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liabilities</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225,321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w:t>
            </w: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2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60" w:type="dxa"/>
            <w:vAlign w:val="bottom"/>
            <w:gridSpan w:val="5"/>
          </w:tcPr>
          <w:p>
            <w:pPr>
              <w:ind w:left="100"/>
              <w:spacing w:after="0" w:line="159" w:lineRule="exact"/>
              <w:rPr>
                <w:sz w:val="20"/>
                <w:szCs w:val="20"/>
                <w:color w:val="auto"/>
              </w:rPr>
            </w:pPr>
            <w:r>
              <w:rPr>
                <w:rFonts w:ascii="Times New Roman" w:cs="Times New Roman" w:eastAsia="Times New Roman" w:hAnsi="Times New Roman"/>
                <w:sz w:val="14"/>
                <w:szCs w:val="14"/>
                <w:b w:val="1"/>
                <w:bCs w:val="1"/>
                <w:color w:val="auto"/>
              </w:rPr>
              <w:t>Fiscal Year Ended</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620" w:type="dxa"/>
            <w:vAlign w:val="bottom"/>
            <w:tcBorders>
              <w:bottom w:val="single" w:sz="8" w:color="CCEEFF"/>
            </w:tcBorders>
          </w:tcPr>
          <w:p>
            <w:pPr>
              <w:spacing w:after="0"/>
              <w:rPr>
                <w:sz w:val="15"/>
                <w:szCs w:val="15"/>
                <w:color w:val="auto"/>
              </w:rPr>
            </w:pPr>
          </w:p>
        </w:tc>
        <w:tc>
          <w:tcPr>
            <w:tcW w:w="50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66,529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Operating lease liabilities arising from obtaining ROU assets </w:t>
            </w:r>
            <w:r>
              <w:rPr>
                <w:rFonts w:ascii="Times New Roman" w:cs="Times New Roman" w:eastAsia="Times New Roman" w:hAnsi="Times New Roman"/>
                <w:sz w:val="18"/>
                <w:szCs w:val="18"/>
                <w:color w:val="auto"/>
                <w:vertAlign w:val="superscript"/>
              </w:rPr>
              <w:t>(1)</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40,151</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16,517</w:t>
            </w:r>
          </w:p>
        </w:tc>
        <w:tc>
          <w:tcPr>
            <w:tcW w:w="80" w:type="dxa"/>
            <w:vAlign w:val="bottom"/>
          </w:tcPr>
          <w:p>
            <w:pPr>
              <w:spacing w:after="0"/>
              <w:rPr>
                <w:sz w:val="21"/>
                <w:szCs w:val="21"/>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41,206</w:t>
            </w:r>
          </w:p>
        </w:tc>
        <w:tc>
          <w:tcPr>
            <w:tcW w:w="0" w:type="dxa"/>
            <w:vAlign w:val="bottom"/>
          </w:tcPr>
          <w:p>
            <w:pPr>
              <w:spacing w:after="0"/>
              <w:rPr>
                <w:sz w:val="1"/>
                <w:szCs w:val="1"/>
                <w:color w:val="auto"/>
              </w:rPr>
            </w:pPr>
          </w:p>
        </w:tc>
      </w:tr>
    </w:tbl>
    <w:p>
      <w:pPr>
        <w:ind w:left="320" w:right="4760" w:firstLine="3"/>
        <w:spacing w:after="0" w:line="314" w:lineRule="auto"/>
        <w:tabs>
          <w:tab w:leader="none" w:pos="462" w:val="left"/>
        </w:tabs>
        <w:numPr>
          <w:ilvl w:val="0"/>
          <w:numId w:val="7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all noncash increases and decreases arising from new or remeasured operating lease arrangements Other information related to leases was as follows:</w:t>
      </w:r>
    </w:p>
    <w:tbl>
      <w:tblPr>
        <w:tblLayout w:type="fixed"/>
        <w:tblInd w:w="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1"/>
        </w:trPr>
        <w:tc>
          <w:tcPr>
            <w:tcW w:w="11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 (in years)</w:t>
            </w:r>
          </w:p>
        </w:tc>
        <w:tc>
          <w:tcPr>
            <w:tcW w:w="10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4"/>
        </w:trPr>
        <w:tc>
          <w:tcPr>
            <w:tcW w:w="1180" w:type="dxa"/>
            <w:vAlign w:val="bottom"/>
          </w:tcPr>
          <w:p>
            <w:pPr>
              <w:spacing w:after="0"/>
              <w:rPr>
                <w:sz w:val="16"/>
                <w:szCs w:val="16"/>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14"/>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13. Income Taxes</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5"/>
        </w:trPr>
        <w:tc>
          <w:tcPr>
            <w:tcW w:w="47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The components of income tax expense were as follows:</w:t>
            </w:r>
          </w:p>
        </w:tc>
        <w:tc>
          <w:tcPr>
            <w:tcW w:w="1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2"/>
        </w:trPr>
        <w:tc>
          <w:tcPr>
            <w:tcW w:w="11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71"/>
        </w:trPr>
        <w:tc>
          <w:tcPr>
            <w:tcW w:w="1180" w:type="dxa"/>
            <w:vAlign w:val="bottom"/>
            <w:tcBorders>
              <w:bottom w:val="single" w:sz="8" w:color="CCEEFF"/>
            </w:tcBorders>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4"/>
                <w:szCs w:val="14"/>
                <w:color w:val="auto"/>
              </w:rPr>
            </w:pPr>
          </w:p>
        </w:tc>
      </w:tr>
      <w:tr>
        <w:trPr>
          <w:trHeight w:val="16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1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80"/>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U.S. Federal</w:t>
            </w:r>
          </w:p>
        </w:tc>
        <w:tc>
          <w:tcPr>
            <w:tcW w:w="1440" w:type="dxa"/>
            <w:vAlign w:val="bottom"/>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229,234</w:t>
            </w:r>
          </w:p>
        </w:tc>
        <w:tc>
          <w:tcPr>
            <w:tcW w:w="60" w:type="dxa"/>
            <w:vAlign w:val="bottom"/>
          </w:tcPr>
          <w:p>
            <w:pPr>
              <w:spacing w:after="0"/>
              <w:rPr>
                <w:sz w:val="15"/>
                <w:szCs w:val="15"/>
                <w:color w:val="auto"/>
              </w:rPr>
            </w:pPr>
          </w:p>
        </w:tc>
        <w:tc>
          <w:tcPr>
            <w:tcW w:w="76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354,569</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232,844</w:t>
            </w:r>
          </w:p>
        </w:tc>
        <w:tc>
          <w:tcPr>
            <w:tcW w:w="40" w:type="dxa"/>
            <w:vAlign w:val="bottom"/>
          </w:tcPr>
          <w:p>
            <w:pPr>
              <w:spacing w:after="0"/>
              <w:rPr>
                <w:sz w:val="15"/>
                <w:szCs w:val="15"/>
                <w:color w:val="auto"/>
              </w:rPr>
            </w:pPr>
          </w:p>
        </w:tc>
      </w:tr>
      <w:tr>
        <w:trPr>
          <w:trHeight w:val="180"/>
        </w:trPr>
        <w:tc>
          <w:tcPr>
            <w:tcW w:w="4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State and local</w:t>
            </w: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116,751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86,947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26,333</w:t>
            </w:r>
          </w:p>
        </w:tc>
        <w:tc>
          <w:tcPr>
            <w:tcW w:w="40" w:type="dxa"/>
            <w:vAlign w:val="bottom"/>
          </w:tcPr>
          <w:p>
            <w:pPr>
              <w:spacing w:after="0"/>
              <w:rPr>
                <w:sz w:val="15"/>
                <w:szCs w:val="15"/>
                <w:color w:val="auto"/>
              </w:rPr>
            </w:pPr>
          </w:p>
        </w:tc>
      </w:tr>
      <w:tr>
        <w:trPr>
          <w:trHeight w:val="180"/>
        </w:trPr>
        <w:tc>
          <w:tcPr>
            <w:tcW w:w="47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10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9,120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8,486</w:t>
            </w:r>
          </w:p>
        </w:tc>
        <w:tc>
          <w:tcPr>
            <w:tcW w:w="40" w:type="dxa"/>
            <w:vAlign w:val="bottom"/>
          </w:tcPr>
          <w:p>
            <w:pPr>
              <w:spacing w:after="0"/>
              <w:rPr>
                <w:sz w:val="15"/>
                <w:szCs w:val="15"/>
                <w:color w:val="auto"/>
              </w:rPr>
            </w:pPr>
          </w:p>
        </w:tc>
      </w:tr>
      <w:tr>
        <w:trPr>
          <w:trHeight w:val="171"/>
        </w:trPr>
        <w:tc>
          <w:tcPr>
            <w:tcW w:w="4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current</w:t>
            </w:r>
          </w:p>
        </w:tc>
        <w:tc>
          <w:tcPr>
            <w:tcW w:w="104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348,620</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450,636</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267,663</w:t>
            </w:r>
          </w:p>
        </w:tc>
        <w:tc>
          <w:tcPr>
            <w:tcW w:w="40" w:type="dxa"/>
            <w:vAlign w:val="bottom"/>
          </w:tcPr>
          <w:p>
            <w:pPr>
              <w:spacing w:after="0"/>
              <w:rPr>
                <w:sz w:val="14"/>
                <w:szCs w:val="14"/>
                <w:color w:val="auto"/>
              </w:rPr>
            </w:pPr>
          </w:p>
        </w:tc>
      </w:tr>
      <w:tr>
        <w:trPr>
          <w:trHeight w:val="160"/>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0"/>
        </w:trPr>
        <w:tc>
          <w:tcPr>
            <w:tcW w:w="4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Federal</w:t>
            </w: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(94,321)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(300,494)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(146,581)</w:t>
            </w:r>
          </w:p>
        </w:tc>
        <w:tc>
          <w:tcPr>
            <w:tcW w:w="40" w:type="dxa"/>
            <w:vAlign w:val="bottom"/>
          </w:tcPr>
          <w:p>
            <w:pPr>
              <w:spacing w:after="0"/>
              <w:rPr>
                <w:sz w:val="15"/>
                <w:szCs w:val="15"/>
                <w:color w:val="auto"/>
              </w:rPr>
            </w:pPr>
          </w:p>
        </w:tc>
      </w:tr>
      <w:tr>
        <w:trPr>
          <w:trHeight w:val="180"/>
        </w:trPr>
        <w:tc>
          <w:tcPr>
            <w:tcW w:w="47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State and local</w:t>
            </w: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(5,990)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(50,318)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11,781</w:t>
            </w:r>
          </w:p>
        </w:tc>
        <w:tc>
          <w:tcPr>
            <w:tcW w:w="40" w:type="dxa"/>
            <w:vAlign w:val="bottom"/>
          </w:tcPr>
          <w:p>
            <w:pPr>
              <w:spacing w:after="0"/>
              <w:rPr>
                <w:sz w:val="15"/>
                <w:szCs w:val="15"/>
                <w:color w:val="auto"/>
              </w:rPr>
            </w:pPr>
          </w:p>
        </w:tc>
      </w:tr>
      <w:tr>
        <w:trPr>
          <w:trHeight w:val="180"/>
        </w:trPr>
        <w:tc>
          <w:tcPr>
            <w:tcW w:w="4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104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(3,090)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4,603</w:t>
            </w:r>
          </w:p>
        </w:tc>
        <w:tc>
          <w:tcPr>
            <w:tcW w:w="40" w:type="dxa"/>
            <w:vAlign w:val="bottom"/>
          </w:tcPr>
          <w:p>
            <w:pPr>
              <w:spacing w:after="0"/>
              <w:rPr>
                <w:sz w:val="15"/>
                <w:szCs w:val="15"/>
                <w:color w:val="auto"/>
              </w:rPr>
            </w:pPr>
          </w:p>
        </w:tc>
      </w:tr>
      <w:tr>
        <w:trPr>
          <w:trHeight w:val="171"/>
        </w:trPr>
        <w:tc>
          <w:tcPr>
            <w:tcW w:w="476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 deferred</w:t>
            </w:r>
          </w:p>
        </w:tc>
        <w:tc>
          <w:tcPr>
            <w:tcW w:w="10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(101,006)</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(353,902)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(130,197)</w:t>
            </w:r>
          </w:p>
        </w:tc>
        <w:tc>
          <w:tcPr>
            <w:tcW w:w="40" w:type="dxa"/>
            <w:vAlign w:val="bottom"/>
          </w:tcPr>
          <w:p>
            <w:pPr>
              <w:spacing w:after="0"/>
              <w:rPr>
                <w:sz w:val="14"/>
                <w:szCs w:val="14"/>
                <w:color w:val="auto"/>
              </w:rPr>
            </w:pPr>
          </w:p>
        </w:tc>
      </w:tr>
      <w:tr>
        <w:trPr>
          <w:trHeight w:val="196"/>
        </w:trPr>
        <w:tc>
          <w:tcPr>
            <w:tcW w:w="47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247,614</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96,734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137,466</w:t>
            </w:r>
          </w:p>
        </w:tc>
        <w:tc>
          <w:tcPr>
            <w:tcW w:w="40" w:type="dxa"/>
            <w:vAlign w:val="bottom"/>
          </w:tcPr>
          <w:p>
            <w:pPr>
              <w:spacing w:after="0"/>
              <w:rPr>
                <w:sz w:val="16"/>
                <w:szCs w:val="16"/>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73"/>
        </w:trPr>
        <w:tc>
          <w:tcPr>
            <w:tcW w:w="11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40" w:type="dxa"/>
            <w:vAlign w:val="bottom"/>
            <w:gridSpan w:val="2"/>
          </w:tcPr>
          <w:p>
            <w:pPr>
              <w:jc w:val="right"/>
              <w:ind w:right="349"/>
              <w:spacing w:after="0"/>
              <w:rPr>
                <w:sz w:val="20"/>
                <w:szCs w:val="20"/>
                <w:color w:val="auto"/>
              </w:rPr>
            </w:pPr>
            <w:r>
              <w:rPr>
                <w:rFonts w:ascii="Times New Roman" w:cs="Times New Roman" w:eastAsia="Times New Roman" w:hAnsi="Times New Roman"/>
                <w:sz w:val="14"/>
                <w:szCs w:val="14"/>
                <w:color w:val="auto"/>
              </w:rPr>
              <w:t>F-28</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1180" w:type="dxa"/>
            <w:vAlign w:val="bottom"/>
            <w:tcBorders>
              <w:bottom w:val="single" w:sz="8" w:color="9A9A9A"/>
            </w:tcBorders>
          </w:tcPr>
          <w:p>
            <w:pPr>
              <w:spacing w:after="0"/>
              <w:rPr>
                <w:sz w:val="7"/>
                <w:szCs w:val="7"/>
                <w:color w:val="auto"/>
              </w:rPr>
            </w:pPr>
          </w:p>
        </w:tc>
        <w:tc>
          <w:tcPr>
            <w:tcW w:w="35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102" w:name="page103"/>
    <w:bookmarkEnd w:id="10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98" w:lineRule="exact"/>
        <w:rPr>
          <w:sz w:val="20"/>
          <w:szCs w:val="20"/>
          <w:color w:val="auto"/>
        </w:rPr>
      </w:pPr>
    </w:p>
    <w:p>
      <w:pPr>
        <w:ind w:right="80" w:firstLine="318"/>
        <w:spacing w:after="0" w:line="275" w:lineRule="auto"/>
        <w:rPr>
          <w:sz w:val="20"/>
          <w:szCs w:val="20"/>
          <w:color w:val="auto"/>
        </w:rPr>
      </w:pPr>
      <w:r>
        <w:rPr>
          <w:rFonts w:ascii="Times New Roman" w:cs="Times New Roman" w:eastAsia="Times New Roman" w:hAnsi="Times New Roman"/>
          <w:sz w:val="14"/>
          <w:szCs w:val="14"/>
          <w:color w:val="auto"/>
        </w:rPr>
        <w:t>A reconciliation of the provision for income tax to the amount computed by applying the statutory federal income tax rate to income from continuing operations before income taxes for each of the three years ended March 31 is as follows:</w:t>
      </w:r>
    </w:p>
    <w:tbl>
      <w:tblPr>
        <w:tblLayout w:type="fixed"/>
        <w:tblInd w:w="0" w:type="dxa"/>
        <w:tblCellMar>
          <w:top w:w="0" w:type="dxa"/>
          <w:left w:w="0" w:type="dxa"/>
          <w:bottom w:w="0" w:type="dxa"/>
          <w:right w:w="0" w:type="dxa"/>
        </w:tblCellMar>
      </w:tblPr>
      <w:tr>
        <w:trPr>
          <w:trHeight w:val="186"/>
        </w:trPr>
        <w:tc>
          <w:tcPr>
            <w:tcW w:w="4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0" w:type="dxa"/>
            <w:vAlign w:val="bottom"/>
            <w:tcBorders>
              <w:bottom w:val="single" w:sz="8" w:color="CCEEFF"/>
            </w:tcBorders>
          </w:tcPr>
          <w:p>
            <w:pPr>
              <w:spacing w:after="0"/>
              <w:rPr>
                <w:sz w:val="14"/>
                <w:szCs w:val="14"/>
                <w:color w:val="auto"/>
              </w:rPr>
            </w:pPr>
          </w:p>
        </w:tc>
        <w:tc>
          <w:tcPr>
            <w:tcW w:w="58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computed at U.S. federal statutory rate</w:t>
            </w: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77,269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126,981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Increases (reductions) resulting from:</w:t>
            </w: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local income taxes, net of federal tax</w:t>
            </w:r>
          </w:p>
        </w:tc>
        <w:tc>
          <w:tcPr>
            <w:tcW w:w="10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85,486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32,599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shd w:val="clear" w:color="auto" w:fill="CCEEFF"/>
          </w:tcPr>
          <w:p>
            <w:pPr>
              <w:spacing w:after="0"/>
              <w:rPr>
                <w:sz w:val="15"/>
                <w:szCs w:val="15"/>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income taxes, net of federal tax</w:t>
            </w:r>
          </w:p>
        </w:tc>
        <w:tc>
          <w:tcPr>
            <w:tcW w:w="10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Non-deductible expenses, including non-deductible penalties</w:t>
            </w:r>
          </w:p>
        </w:tc>
        <w:tc>
          <w:tcPr>
            <w:tcW w:w="10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34,825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shd w:val="clear" w:color="auto" w:fill="CCEEFF"/>
          </w:tcPr>
          <w:p>
            <w:pPr>
              <w:spacing w:after="0"/>
              <w:rPr>
                <w:sz w:val="15"/>
                <w:szCs w:val="15"/>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Excess tax benefits from stock-based compensation</w:t>
            </w:r>
          </w:p>
        </w:tc>
        <w:tc>
          <w:tcPr>
            <w:tcW w:w="10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gridSpan w:val="4"/>
            <w:shd w:val="clear" w:color="auto" w:fill="CCEEFF"/>
          </w:tcPr>
          <w:p>
            <w:pPr>
              <w:jc w:val="center"/>
              <w:ind w:left="949"/>
              <w:spacing w:after="0"/>
              <w:rPr>
                <w:sz w:val="20"/>
                <w:szCs w:val="20"/>
                <w:color w:val="auto"/>
              </w:rPr>
            </w:pPr>
            <w:r>
              <w:rPr>
                <w:rFonts w:ascii="Times New Roman" w:cs="Times New Roman" w:eastAsia="Times New Roman" w:hAnsi="Times New Roman"/>
                <w:sz w:val="14"/>
                <w:szCs w:val="14"/>
                <w:color w:val="auto"/>
              </w:rPr>
              <w:t>(5,247)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(4,227)</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and other federal credits</w:t>
            </w:r>
          </w:p>
        </w:tc>
        <w:tc>
          <w:tcPr>
            <w:tcW w:w="10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(31,289)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(33,159)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(34,080)</w:t>
            </w:r>
          </w:p>
        </w:tc>
        <w:tc>
          <w:tcPr>
            <w:tcW w:w="0" w:type="dxa"/>
            <w:vAlign w:val="bottom"/>
          </w:tcPr>
          <w:p>
            <w:pPr>
              <w:spacing w:after="0"/>
              <w:rPr>
                <w:sz w:val="1"/>
                <w:szCs w:val="1"/>
                <w:color w:val="auto"/>
              </w:rPr>
            </w:pPr>
          </w:p>
        </w:tc>
      </w:tr>
      <w:tr>
        <w:trPr>
          <w:trHeight w:val="180"/>
        </w:trPr>
        <w:tc>
          <w:tcPr>
            <w:tcW w:w="420" w:type="dxa"/>
            <w:vAlign w:val="bottom"/>
            <w:shd w:val="clear" w:color="auto" w:fill="CCEEFF"/>
          </w:tcPr>
          <w:p>
            <w:pPr>
              <w:spacing w:after="0"/>
              <w:rPr>
                <w:sz w:val="15"/>
                <w:szCs w:val="15"/>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Executive compensation -162(m)</w:t>
            </w:r>
          </w:p>
        </w:tc>
        <w:tc>
          <w:tcPr>
            <w:tcW w:w="10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Foreign-Derived Intangible Income (FDII)</w:t>
            </w:r>
          </w:p>
        </w:tc>
        <w:tc>
          <w:tcPr>
            <w:tcW w:w="10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(15,869)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(9,115)</w:t>
            </w:r>
          </w:p>
        </w:tc>
        <w:tc>
          <w:tcPr>
            <w:tcW w:w="0" w:type="dxa"/>
            <w:vAlign w:val="bottom"/>
          </w:tcPr>
          <w:p>
            <w:pPr>
              <w:spacing w:after="0"/>
              <w:rPr>
                <w:sz w:val="1"/>
                <w:szCs w:val="1"/>
                <w:color w:val="auto"/>
              </w:rPr>
            </w:pPr>
          </w:p>
        </w:tc>
      </w:tr>
      <w:tr>
        <w:trPr>
          <w:trHeight w:val="180"/>
        </w:trPr>
        <w:tc>
          <w:tcPr>
            <w:tcW w:w="420" w:type="dxa"/>
            <w:vAlign w:val="bottom"/>
            <w:shd w:val="clear" w:color="auto" w:fill="CCEEFF"/>
          </w:tcPr>
          <w:p>
            <w:pPr>
              <w:spacing w:after="0"/>
              <w:rPr>
                <w:sz w:val="15"/>
                <w:szCs w:val="15"/>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uncertain tax positions (including indirect effects)</w:t>
            </w:r>
          </w:p>
        </w:tc>
        <w:tc>
          <w:tcPr>
            <w:tcW w:w="10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gridSpan w:val="4"/>
            <w:shd w:val="clear" w:color="auto" w:fill="CCEEFF"/>
          </w:tcPr>
          <w:p>
            <w:pPr>
              <w:jc w:val="center"/>
              <w:ind w:left="949"/>
              <w:spacing w:after="0"/>
              <w:rPr>
                <w:sz w:val="20"/>
                <w:szCs w:val="20"/>
                <w:color w:val="auto"/>
              </w:rPr>
            </w:pPr>
            <w:r>
              <w:rPr>
                <w:rFonts w:ascii="Times New Roman" w:cs="Times New Roman" w:eastAsia="Times New Roman" w:hAnsi="Times New Roman"/>
                <w:sz w:val="14"/>
                <w:szCs w:val="14"/>
                <w:color w:val="auto"/>
              </w:rPr>
              <w:t>(6,498)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Borders>
              <w:bottom w:val="single" w:sz="8" w:color="CCEEFF"/>
            </w:tcBorders>
          </w:tcPr>
          <w:p>
            <w:pPr>
              <w:spacing w:after="0"/>
              <w:rPr>
                <w:sz w:val="15"/>
                <w:szCs w:val="15"/>
                <w:color w:val="auto"/>
              </w:rPr>
            </w:pPr>
          </w:p>
        </w:tc>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3,754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(1,509)</w:t>
            </w:r>
          </w:p>
        </w:tc>
        <w:tc>
          <w:tcPr>
            <w:tcW w:w="0" w:type="dxa"/>
            <w:vAlign w:val="bottom"/>
          </w:tcPr>
          <w:p>
            <w:pPr>
              <w:spacing w:after="0"/>
              <w:rPr>
                <w:sz w:val="1"/>
                <w:szCs w:val="1"/>
                <w:color w:val="auto"/>
              </w:rPr>
            </w:pPr>
          </w:p>
        </w:tc>
      </w:tr>
      <w:tr>
        <w:trPr>
          <w:trHeight w:val="196"/>
        </w:trPr>
        <w:tc>
          <w:tcPr>
            <w:tcW w:w="420" w:type="dxa"/>
            <w:vAlign w:val="bottom"/>
            <w:tcBorders>
              <w:bottom w:val="single" w:sz="8" w:color="CCEEFF"/>
            </w:tcBorders>
            <w:shd w:val="clear" w:color="auto" w:fill="CCEEFF"/>
          </w:tcPr>
          <w:p>
            <w:pPr>
              <w:spacing w:after="0"/>
              <w:rPr>
                <w:sz w:val="16"/>
                <w:szCs w:val="16"/>
                <w:color w:val="auto"/>
              </w:rPr>
            </w:pPr>
          </w:p>
        </w:tc>
        <w:tc>
          <w:tcPr>
            <w:tcW w:w="58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Income tax expense from operations</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247,614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96,734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137,466</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Tax Receivables and Payables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00" w:type="dxa"/>
            <w:vAlign w:val="bottom"/>
            <w:gridSpan w:val="2"/>
            <w:vMerge w:val="continue"/>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7340" w:type="dxa"/>
            <w:vAlign w:val="bottom"/>
            <w:gridSpan w:val="3"/>
          </w:tcPr>
          <w:p>
            <w:pPr>
              <w:jc w:val="right"/>
              <w:ind w:right="389"/>
              <w:spacing w:after="0"/>
              <w:rPr>
                <w:sz w:val="20"/>
                <w:szCs w:val="20"/>
                <w:color w:val="auto"/>
              </w:rPr>
            </w:pPr>
            <w:r>
              <w:rPr>
                <w:rFonts w:ascii="Times New Roman" w:cs="Times New Roman" w:eastAsia="Times New Roman" w:hAnsi="Times New Roman"/>
                <w:sz w:val="14"/>
                <w:szCs w:val="14"/>
                <w:color w:val="auto"/>
              </w:rPr>
              <w:t>The Company has both income tax receivables and income tax payable on its consolidated balance sheet as follows: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58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income tax receivable</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center"/>
              <w:ind w:right="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 term income tax receivable</w:t>
            </w:r>
          </w:p>
        </w:tc>
        <w:tc>
          <w:tcPr>
            <w:tcW w:w="1040" w:type="dxa"/>
            <w:vAlign w:val="bottom"/>
          </w:tcPr>
          <w:p>
            <w:pPr>
              <w:spacing w:after="0"/>
              <w:rPr>
                <w:sz w:val="15"/>
                <w:szCs w:val="15"/>
                <w:color w:val="auto"/>
              </w:rPr>
            </w:pPr>
          </w:p>
        </w:tc>
        <w:tc>
          <w:tcPr>
            <w:tcW w:w="600" w:type="dxa"/>
            <w:vAlign w:val="bottom"/>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152,474</w:t>
            </w: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income tax payable</w:t>
            </w:r>
          </w:p>
        </w:tc>
        <w:tc>
          <w:tcPr>
            <w:tcW w:w="10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11,331</w:t>
            </w:r>
          </w:p>
        </w:tc>
        <w:tc>
          <w:tcPr>
            <w:tcW w:w="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Current income tax receivable represents previously made estimated payments that will be applied to the Company’s future U.S. federal and state tax returns. This amount is classified as prepaid expenses and other current assets on the consolidated balance sheet. Current income tax payable represents current liabilities associated with the Company’s current tax returns that the Company intends to file in fiscal 2025. This amount is classified as other current liabilities on the consolidated balance sheet.</w:t>
      </w:r>
    </w:p>
    <w:p>
      <w:pPr>
        <w:spacing w:after="0" w:line="8" w:lineRule="exact"/>
        <w:rPr>
          <w:sz w:val="20"/>
          <w:szCs w:val="20"/>
          <w:color w:val="auto"/>
        </w:rPr>
      </w:pPr>
    </w:p>
    <w:p>
      <w:pPr>
        <w:jc w:val="both"/>
        <w:ind w:right="20" w:firstLine="318"/>
        <w:spacing w:after="0" w:line="270" w:lineRule="auto"/>
        <w:rPr>
          <w:sz w:val="20"/>
          <w:szCs w:val="20"/>
          <w:color w:val="auto"/>
        </w:rPr>
      </w:pPr>
      <w:r>
        <w:rPr>
          <w:rFonts w:ascii="Times New Roman" w:cs="Times New Roman" w:eastAsia="Times New Roman" w:hAnsi="Times New Roman"/>
          <w:sz w:val="14"/>
          <w:szCs w:val="14"/>
          <w:color w:val="auto"/>
        </w:rPr>
        <w:t>The long-term income tax receivable represents the amended U.S. federal return refund claims for research and development tax credits and the carryback claim for the fiscal 2021 net operating loss which is classified as other long-term assets on the consolidated balance sheet. The Company is currently under federal audit by the IRS for fiscal years 2016, 2017 and 2019-2021 and the receipt of our U.S federal return refund claims is contingent upon the completion of the ongoing IRS audits.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2" w:right="319" w:bottom="1440" w:gutter="0" w:footer="0" w:header="0"/>
        </w:sectPr>
      </w:pPr>
    </w:p>
    <w:bookmarkStart w:id="103" w:name="page104"/>
    <w:bookmarkEnd w:id="10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Taxes</w:t>
            </w: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2"/>
        </w:trPr>
        <w:tc>
          <w:tcPr>
            <w:tcW w:w="3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4"/>
                <w:szCs w:val="14"/>
                <w:color w:val="auto"/>
              </w:rPr>
              <w:t>The significant components of the Company’s deferred income tax assets and liabilities were as follows:</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2"/>
        </w:trPr>
        <w:tc>
          <w:tcPr>
            <w:tcW w:w="3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7"/>
                <w:szCs w:val="17"/>
                <w:color w:val="auto"/>
              </w:rPr>
            </w:pPr>
          </w:p>
        </w:tc>
      </w:tr>
      <w:tr>
        <w:trPr>
          <w:trHeight w:val="171"/>
        </w:trPr>
        <w:tc>
          <w:tcPr>
            <w:tcW w:w="320" w:type="dxa"/>
            <w:vAlign w:val="bottom"/>
          </w:tcPr>
          <w:p>
            <w:pPr>
              <w:spacing w:after="0"/>
              <w:rPr>
                <w:sz w:val="14"/>
                <w:szCs w:val="14"/>
                <w:color w:val="auto"/>
              </w:rPr>
            </w:pPr>
          </w:p>
        </w:tc>
        <w:tc>
          <w:tcPr>
            <w:tcW w:w="7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320" w:type="dxa"/>
            <w:vAlign w:val="bottom"/>
          </w:tcPr>
          <w:p>
            <w:pPr>
              <w:spacing w:after="0"/>
              <w:rPr>
                <w:sz w:val="13"/>
                <w:szCs w:val="13"/>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1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80"/>
        </w:trPr>
        <w:tc>
          <w:tcPr>
            <w:tcW w:w="320" w:type="dxa"/>
            <w:vAlign w:val="bottom"/>
          </w:tcPr>
          <w:p>
            <w:pPr>
              <w:spacing w:after="0"/>
              <w:rPr>
                <w:sz w:val="15"/>
                <w:szCs w:val="15"/>
                <w:color w:val="auto"/>
              </w:rPr>
            </w:pPr>
          </w:p>
        </w:tc>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w:t>
            </w:r>
          </w:p>
        </w:tc>
        <w:tc>
          <w:tcPr>
            <w:tcW w:w="11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102,618</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146,945</w:t>
            </w:r>
          </w:p>
        </w:tc>
      </w:tr>
      <w:tr>
        <w:trPr>
          <w:trHeight w:val="180"/>
        </w:trPr>
        <w:tc>
          <w:tcPr>
            <w:tcW w:w="320" w:type="dxa"/>
            <w:vAlign w:val="bottom"/>
          </w:tcPr>
          <w:p>
            <w:pPr>
              <w:spacing w:after="0"/>
              <w:rPr>
                <w:sz w:val="15"/>
                <w:szCs w:val="15"/>
                <w:color w:val="auto"/>
              </w:rPr>
            </w:pPr>
          </w:p>
        </w:tc>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compensation</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47,931</w:t>
            </w:r>
          </w:p>
        </w:tc>
      </w:tr>
      <w:tr>
        <w:trPr>
          <w:trHeight w:val="180"/>
        </w:trPr>
        <w:tc>
          <w:tcPr>
            <w:tcW w:w="320" w:type="dxa"/>
            <w:vAlign w:val="bottom"/>
          </w:tcPr>
          <w:p>
            <w:pPr>
              <w:spacing w:after="0"/>
              <w:rPr>
                <w:sz w:val="15"/>
                <w:szCs w:val="15"/>
                <w:color w:val="auto"/>
              </w:rPr>
            </w:pPr>
          </w:p>
        </w:tc>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11,628</w:t>
            </w:r>
          </w:p>
        </w:tc>
      </w:tr>
      <w:tr>
        <w:trPr>
          <w:trHeight w:val="180"/>
        </w:trPr>
        <w:tc>
          <w:tcPr>
            <w:tcW w:w="320" w:type="dxa"/>
            <w:vAlign w:val="bottom"/>
          </w:tcPr>
          <w:p>
            <w:pPr>
              <w:spacing w:after="0"/>
              <w:rPr>
                <w:sz w:val="15"/>
                <w:szCs w:val="15"/>
                <w:color w:val="auto"/>
              </w:rPr>
            </w:pPr>
          </w:p>
        </w:tc>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Pension and postretirement benefits</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28,585</w:t>
            </w:r>
          </w:p>
        </w:tc>
      </w:tr>
      <w:tr>
        <w:trPr>
          <w:trHeight w:val="180"/>
        </w:trPr>
        <w:tc>
          <w:tcPr>
            <w:tcW w:w="320" w:type="dxa"/>
            <w:vAlign w:val="bottom"/>
          </w:tcPr>
          <w:p>
            <w:pPr>
              <w:spacing w:after="0"/>
              <w:rPr>
                <w:sz w:val="15"/>
                <w:szCs w:val="15"/>
                <w:color w:val="auto"/>
              </w:rPr>
            </w:pPr>
          </w:p>
        </w:tc>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operating loss and other carryforwards</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16,984</w:t>
            </w:r>
          </w:p>
        </w:tc>
      </w:tr>
      <w:tr>
        <w:trPr>
          <w:trHeight w:val="180"/>
        </w:trPr>
        <w:tc>
          <w:tcPr>
            <w:tcW w:w="320" w:type="dxa"/>
            <w:vAlign w:val="bottom"/>
          </w:tcPr>
          <w:p>
            <w:pPr>
              <w:spacing w:after="0"/>
              <w:rPr>
                <w:sz w:val="15"/>
                <w:szCs w:val="15"/>
                <w:color w:val="auto"/>
              </w:rPr>
            </w:pPr>
          </w:p>
        </w:tc>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 expenditures and indirect effects</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248,147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599,381</w:t>
            </w:r>
          </w:p>
        </w:tc>
      </w:tr>
      <w:tr>
        <w:trPr>
          <w:trHeight w:val="180"/>
        </w:trPr>
        <w:tc>
          <w:tcPr>
            <w:tcW w:w="320" w:type="dxa"/>
            <w:vAlign w:val="bottom"/>
          </w:tcPr>
          <w:p>
            <w:pPr>
              <w:spacing w:after="0"/>
              <w:rPr>
                <w:sz w:val="15"/>
                <w:szCs w:val="15"/>
                <w:color w:val="auto"/>
              </w:rPr>
            </w:pPr>
          </w:p>
        </w:tc>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State tax credits</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11,516</w:t>
            </w:r>
          </w:p>
        </w:tc>
      </w:tr>
      <w:tr>
        <w:trPr>
          <w:trHeight w:val="180"/>
        </w:trPr>
        <w:tc>
          <w:tcPr>
            <w:tcW w:w="320" w:type="dxa"/>
            <w:vAlign w:val="bottom"/>
          </w:tcPr>
          <w:p>
            <w:pPr>
              <w:spacing w:after="0"/>
              <w:rPr>
                <w:sz w:val="15"/>
                <w:szCs w:val="15"/>
                <w:color w:val="auto"/>
              </w:rPr>
            </w:pPr>
          </w:p>
        </w:tc>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63,781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69,604</w:t>
            </w:r>
          </w:p>
        </w:tc>
      </w:tr>
      <w:tr>
        <w:trPr>
          <w:trHeight w:val="180"/>
        </w:trPr>
        <w:tc>
          <w:tcPr>
            <w:tcW w:w="320" w:type="dxa"/>
            <w:vAlign w:val="bottom"/>
          </w:tcPr>
          <w:p>
            <w:pPr>
              <w:spacing w:after="0"/>
              <w:rPr>
                <w:sz w:val="15"/>
                <w:szCs w:val="15"/>
                <w:color w:val="auto"/>
              </w:rPr>
            </w:pPr>
          </w:p>
        </w:tc>
        <w:tc>
          <w:tcPr>
            <w:tcW w:w="7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9,100</w:t>
            </w:r>
          </w:p>
        </w:tc>
      </w:tr>
      <w:tr>
        <w:trPr>
          <w:trHeight w:val="171"/>
        </w:trPr>
        <w:tc>
          <w:tcPr>
            <w:tcW w:w="320" w:type="dxa"/>
            <w:vAlign w:val="bottom"/>
          </w:tcPr>
          <w:p>
            <w:pPr>
              <w:spacing w:after="0"/>
              <w:rPr>
                <w:sz w:val="14"/>
                <w:szCs w:val="14"/>
                <w:color w:val="auto"/>
              </w:rPr>
            </w:pPr>
          </w:p>
        </w:tc>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gross deferred income tax assets</w:t>
            </w:r>
          </w:p>
        </w:tc>
        <w:tc>
          <w:tcPr>
            <w:tcW w:w="1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534,852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941,674</w:t>
            </w:r>
          </w:p>
        </w:tc>
      </w:tr>
      <w:tr>
        <w:trPr>
          <w:trHeight w:val="180"/>
        </w:trPr>
        <w:tc>
          <w:tcPr>
            <w:tcW w:w="320" w:type="dxa"/>
            <w:vAlign w:val="bottom"/>
          </w:tcPr>
          <w:p>
            <w:pPr>
              <w:spacing w:after="0"/>
              <w:rPr>
                <w:sz w:val="15"/>
                <w:szCs w:val="15"/>
                <w:color w:val="auto"/>
              </w:rPr>
            </w:pPr>
          </w:p>
        </w:tc>
        <w:tc>
          <w:tcPr>
            <w:tcW w:w="71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color w:val="auto"/>
              </w:rPr>
              <w:t>Less: Valuation allowance</w:t>
            </w:r>
          </w:p>
        </w:tc>
        <w:tc>
          <w:tcPr>
            <w:tcW w:w="1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(11,788)</w:t>
            </w:r>
          </w:p>
        </w:tc>
      </w:tr>
      <w:tr>
        <w:trPr>
          <w:trHeight w:val="171"/>
        </w:trPr>
        <w:tc>
          <w:tcPr>
            <w:tcW w:w="320" w:type="dxa"/>
            <w:vAlign w:val="bottom"/>
          </w:tcPr>
          <w:p>
            <w:pPr>
              <w:spacing w:after="0"/>
              <w:rPr>
                <w:sz w:val="14"/>
                <w:szCs w:val="14"/>
                <w:color w:val="auto"/>
              </w:rPr>
            </w:pPr>
          </w:p>
        </w:tc>
        <w:tc>
          <w:tcPr>
            <w:tcW w:w="71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Total net deferred income tax assets</w:t>
            </w:r>
          </w:p>
        </w:tc>
        <w:tc>
          <w:tcPr>
            <w:tcW w:w="1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526,774</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929,886</w:t>
            </w:r>
          </w:p>
        </w:tc>
      </w:tr>
      <w:tr>
        <w:trPr>
          <w:trHeight w:val="160"/>
        </w:trPr>
        <w:tc>
          <w:tcPr>
            <w:tcW w:w="320" w:type="dxa"/>
            <w:vAlign w:val="bottom"/>
          </w:tcPr>
          <w:p>
            <w:pPr>
              <w:spacing w:after="0"/>
              <w:rPr>
                <w:sz w:val="13"/>
                <w:szCs w:val="13"/>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0"/>
        </w:trPr>
        <w:tc>
          <w:tcPr>
            <w:tcW w:w="320" w:type="dxa"/>
            <w:vAlign w:val="bottom"/>
          </w:tcPr>
          <w:p>
            <w:pPr>
              <w:spacing w:after="0"/>
              <w:rPr>
                <w:sz w:val="15"/>
                <w:szCs w:val="15"/>
                <w:color w:val="auto"/>
              </w:rPr>
            </w:pPr>
          </w:p>
        </w:tc>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Unbilled receivables</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(131,919)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(177,321)</w:t>
            </w:r>
          </w:p>
        </w:tc>
      </w:tr>
      <w:tr>
        <w:trPr>
          <w:trHeight w:val="180"/>
        </w:trPr>
        <w:tc>
          <w:tcPr>
            <w:tcW w:w="320" w:type="dxa"/>
            <w:vAlign w:val="bottom"/>
          </w:tcPr>
          <w:p>
            <w:pPr>
              <w:spacing w:after="0"/>
              <w:rPr>
                <w:sz w:val="15"/>
                <w:szCs w:val="15"/>
                <w:color w:val="auto"/>
              </w:rPr>
            </w:pPr>
          </w:p>
        </w:tc>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Intangible assets</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(93,207)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(88,858)</w:t>
            </w:r>
          </w:p>
        </w:tc>
      </w:tr>
      <w:tr>
        <w:trPr>
          <w:trHeight w:val="180"/>
        </w:trPr>
        <w:tc>
          <w:tcPr>
            <w:tcW w:w="320" w:type="dxa"/>
            <w:vAlign w:val="bottom"/>
          </w:tcPr>
          <w:p>
            <w:pPr>
              <w:spacing w:after="0"/>
              <w:rPr>
                <w:sz w:val="15"/>
                <w:szCs w:val="15"/>
                <w:color w:val="auto"/>
              </w:rPr>
            </w:pPr>
          </w:p>
        </w:tc>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and equipment</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(34,905)</w:t>
            </w:r>
          </w:p>
        </w:tc>
      </w:tr>
      <w:tr>
        <w:trPr>
          <w:trHeight w:val="180"/>
        </w:trPr>
        <w:tc>
          <w:tcPr>
            <w:tcW w:w="320" w:type="dxa"/>
            <w:vAlign w:val="bottom"/>
          </w:tcPr>
          <w:p>
            <w:pPr>
              <w:spacing w:after="0"/>
              <w:rPr>
                <w:sz w:val="15"/>
                <w:szCs w:val="15"/>
                <w:color w:val="auto"/>
              </w:rPr>
            </w:pPr>
          </w:p>
        </w:tc>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(45,022)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(48,939)</w:t>
            </w:r>
          </w:p>
        </w:tc>
      </w:tr>
      <w:tr>
        <w:trPr>
          <w:trHeight w:val="180"/>
        </w:trPr>
        <w:tc>
          <w:tcPr>
            <w:tcW w:w="320" w:type="dxa"/>
            <w:vAlign w:val="bottom"/>
          </w:tcPr>
          <w:p>
            <w:pPr>
              <w:spacing w:after="0"/>
              <w:rPr>
                <w:sz w:val="15"/>
                <w:szCs w:val="15"/>
                <w:color w:val="auto"/>
              </w:rPr>
            </w:pPr>
          </w:p>
        </w:tc>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(6,083)</w:t>
            </w:r>
          </w:p>
        </w:tc>
      </w:tr>
      <w:tr>
        <w:trPr>
          <w:trHeight w:val="171"/>
        </w:trPr>
        <w:tc>
          <w:tcPr>
            <w:tcW w:w="320" w:type="dxa"/>
            <w:vAlign w:val="bottom"/>
          </w:tcPr>
          <w:p>
            <w:pPr>
              <w:spacing w:after="0"/>
              <w:rPr>
                <w:sz w:val="14"/>
                <w:szCs w:val="14"/>
                <w:color w:val="auto"/>
              </w:rPr>
            </w:pPr>
          </w:p>
        </w:tc>
        <w:tc>
          <w:tcPr>
            <w:tcW w:w="71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deferred income tax liabilities</w:t>
            </w:r>
          </w:p>
        </w:tc>
        <w:tc>
          <w:tcPr>
            <w:tcW w:w="1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(299,603)</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(356,106)</w:t>
            </w:r>
          </w:p>
        </w:tc>
      </w:tr>
      <w:tr>
        <w:trPr>
          <w:trHeight w:val="196"/>
        </w:trPr>
        <w:tc>
          <w:tcPr>
            <w:tcW w:w="320" w:type="dxa"/>
            <w:vAlign w:val="bottom"/>
          </w:tcPr>
          <w:p>
            <w:pPr>
              <w:spacing w:after="0"/>
              <w:rPr>
                <w:sz w:val="16"/>
                <w:szCs w:val="16"/>
                <w:color w:val="auto"/>
              </w:rPr>
            </w:pPr>
          </w:p>
        </w:tc>
        <w:tc>
          <w:tcPr>
            <w:tcW w:w="71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Net deferred income tax asset</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227,171</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573,780</w:t>
            </w:r>
          </w:p>
        </w:tc>
      </w:tr>
      <w:tr>
        <w:trPr>
          <w:trHeight w:val="20"/>
        </w:trPr>
        <w:tc>
          <w:tcPr>
            <w:tcW w:w="320" w:type="dxa"/>
            <w:vAlign w:val="bottom"/>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Deferred tax balances arise from temporary differences between the carrying amount of assets and liabilities and their tax basis and are stated at the enacted tax rates in effect for the year in which the differences are expected to reverse. A valuation allowance is provided against deferred tax assets when it is more likely than not that some or all of the deferred tax asset will not be realized. In determining if the Company's deferred tax assets are realizable, management considers all positive and negative evidence, including the history of generating financial reporting earnings, future reversals of existing taxable temporary differences, projected future taxable income, as well as any tax planning strategies.</w:t>
      </w:r>
    </w:p>
    <w:p>
      <w:pPr>
        <w:spacing w:after="0" w:line="13"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As of March 31, 2024 and 2023, the Company had available federal, state, and foreign net operating loss (“NOL carryforwards”) of $9.2 million and $13.7 million, respectively, that may be applied against future taxable income. The federal net operating loss of $1.2 million is primarily attributable to an acquisition and will begin to expire in fiscal 2037. The state net operating loss of $3.1 million is primarily attributable to losses in jurisdictions in which the Company does not file a consolidated return. The foreign net operating loss of $4.9 million is primarily attributable to operations in jurisdictions where the Company has not historically been profitable. The Company recorded a partial valuation allowance against those federal, state and foreign net operating losses it believes will expire prior to utilization.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Uncertain Tax Positions</w:t>
      </w:r>
    </w:p>
    <w:p>
      <w:pPr>
        <w:spacing w:after="0" w:line="53"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4"/>
          <w:szCs w:val="14"/>
          <w:color w:val="auto"/>
        </w:rPr>
        <w:t>The Company maintains reserves for uncertain tax positions related to unrecognized income tax benefits. These reserves involve considerable judgment and estimation and are evaluated by management based on the best information available including changes in tax laws and other information. As of March 31, 2024, 2023, and 2022, the Company has recorded $115.4 million, $552.3 million, and $79.9 million, respectively, of reserves for uncertain tax positions which include potential tax benefits of $104.2 million, $91.1 million, and $78.5 million, respectively, that, when recognized, impact the effective tax rate. As of March 31, 2024 and 2023, $1.4 million and $3.0 million, respectively, of the reserve is reflected as a reduction to deferred taxes and the remaining balance is recorded as a component of other long-term liabilities in the consolidated balance sheet.</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63" w:right="399" w:bottom="1440" w:gutter="0" w:footer="0" w:header="0"/>
        </w:sectPr>
      </w:pPr>
    </w:p>
    <w:bookmarkStart w:id="104" w:name="page105"/>
    <w:bookmarkEnd w:id="10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reconciliation of the beginning and ending amount of potential tax benefits for the periods presented is as follows:</w:t>
      </w:r>
    </w:p>
    <w:p>
      <w:pPr>
        <w:spacing w:after="0" w:line="39" w:lineRule="exact"/>
        <w:rPr>
          <w:sz w:val="20"/>
          <w:szCs w:val="20"/>
          <w:color w:val="auto"/>
        </w:rPr>
      </w:pPr>
    </w:p>
    <w:tbl>
      <w:tblPr>
        <w:tblLayout w:type="fixed"/>
        <w:tblInd w:w="68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71"/>
        </w:trPr>
        <w:tc>
          <w:tcPr>
            <w:tcW w:w="53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year</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547,885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78,519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62,742</w:t>
            </w:r>
          </w:p>
        </w:tc>
      </w:tr>
      <w:tr>
        <w:trPr>
          <w:trHeight w:val="180"/>
        </w:trPr>
        <w:tc>
          <w:tcPr>
            <w:tcW w:w="5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Increases in prior year position</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2,620</w:t>
            </w:r>
          </w:p>
        </w:tc>
      </w:tr>
      <w:tr>
        <w:trPr>
          <w:trHeight w:val="180"/>
        </w:trPr>
        <w:tc>
          <w:tcPr>
            <w:tcW w:w="5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Increases in current year position</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470,881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13,530</w:t>
            </w:r>
          </w:p>
        </w:tc>
      </w:tr>
      <w:tr>
        <w:trPr>
          <w:trHeight w:val="180"/>
        </w:trPr>
        <w:tc>
          <w:tcPr>
            <w:tcW w:w="5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Decreases in prior year position</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(473,848)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r>
      <w:tr>
        <w:trPr>
          <w:trHeight w:val="180"/>
        </w:trPr>
        <w:tc>
          <w:tcPr>
            <w:tcW w:w="5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Settlements with taxing authorities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3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Lapse of statute of limitations</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3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End of year</w:t>
            </w: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547,885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78,519</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recognized accrued interest and penalties of $7.4 million, $2.9 million and $1.7 million for fiscal 2024, 2023, and 2022, respectively, related to the reserves for uncertain tax positions in the income tax provision. Included in the total reserve for uncertain tax positions are accrued penalties and interest of approximately $13.2 million, $5.8 million and $2.9 million at March 31, 2024, 2023, and 2022, respectively.</w:t>
      </w:r>
    </w:p>
    <w:p>
      <w:pPr>
        <w:spacing w:after="0" w:line="8" w:lineRule="exact"/>
        <w:rPr>
          <w:sz w:val="20"/>
          <w:szCs w:val="20"/>
          <w:color w:val="auto"/>
        </w:rPr>
      </w:pPr>
    </w:p>
    <w:p>
      <w:pPr>
        <w:jc w:val="both"/>
        <w:ind w:firstLine="318"/>
        <w:spacing w:after="0" w:line="284" w:lineRule="auto"/>
        <w:rPr>
          <w:sz w:val="20"/>
          <w:szCs w:val="20"/>
          <w:color w:val="auto"/>
        </w:rPr>
      </w:pPr>
      <w:r>
        <w:rPr>
          <w:rFonts w:ascii="Times New Roman" w:cs="Times New Roman" w:eastAsia="Times New Roman" w:hAnsi="Times New Roman"/>
          <w:sz w:val="14"/>
          <w:szCs w:val="14"/>
          <w:color w:val="auto"/>
        </w:rPr>
        <w:t>The Company is subject to taxation in the United States and various state and foreign jurisdictions. As of March 31, 2024, the Company's tax years ended March 31, 2016 and forward are open and subject to examination by the federal tax authorities. The other jurisdictions currently open or under examination are not considered to be material.</w:t>
      </w:r>
    </w:p>
    <w:p>
      <w:pPr>
        <w:spacing w:after="0" w:line="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During fiscal 2023, the Company recognized an increase in reserves for uncertain tax positions related to an increase in research and development tax credits available, as in prior years, and the required capitalization of research and development expenditures, which became effective in fiscal 2023. The uncertain tax positions related to the capitalization of research and development expenditures were offset by a deferred tax asset.</w:t>
      </w:r>
    </w:p>
    <w:p>
      <w:pPr>
        <w:spacing w:after="0" w:line="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During fiscal 2024, the Company completed a detailed study of its research and development expenditures and confirmed management's position that only certain contracts and activities are required to be capitalized and amortized under the rules enacted as part of the Tax Cuts and Jobs Act of 2017, specifically Section 174. This was further supported by guidance issued by the Internal Revenue Service in September and December 2023. As a result, the Company reversed its uncertain tax position reserve related to Section 174 with a corresponding decrease to deferred tax assets. During fiscal 2024, the Company also recognized an increase in reserves for uncertain tax position reserve related to research and development tax credits, as in prior years.</w:t>
      </w:r>
    </w:p>
    <w:p>
      <w:pPr>
        <w:spacing w:after="0" w:line="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In the fourth quarter of fiscal 2024, the Company received an unfavorable ruling from the District of Columbia Court of Appeals related to contested tax assessments from the District of Columbia Office of Tax and Revenue (“DC OTR”) for fiscal years 2013 through 2015. As previously disclosed, no reserves had previously been accrued related to this matter and as such, $42.7 million of income tax expense has been recorded in the fiscal 2024 consolidated statement of operations, which reflects the tax liability including interest and penalties, net of federal benefit. This expense is related to the years at issue in the litigation, which were previously paid under protest, and the subsequent periods in which the position had been taken. The Company has filed amended tax returns related to these subsequent periods and paid $13.2 million of incremental cash taxes in the fourth quarter of fiscal 2024. The remaining $10.5 million of settlements with taxing authorities was previously paid.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Employee Benefit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Contribution Plan</w:t>
      </w:r>
    </w:p>
    <w:p>
      <w:pPr>
        <w:spacing w:after="0" w:line="53" w:lineRule="exact"/>
        <w:rPr>
          <w:sz w:val="20"/>
          <w:szCs w:val="20"/>
          <w:color w:val="auto"/>
        </w:rPr>
      </w:pPr>
    </w:p>
    <w:p>
      <w:pPr>
        <w:ind w:right="180" w:firstLine="318"/>
        <w:spacing w:after="0" w:line="264" w:lineRule="auto"/>
        <w:rPr>
          <w:sz w:val="20"/>
          <w:szCs w:val="20"/>
          <w:color w:val="auto"/>
        </w:rPr>
      </w:pPr>
      <w:r>
        <w:rPr>
          <w:rFonts w:ascii="Times New Roman" w:cs="Times New Roman" w:eastAsia="Times New Roman" w:hAnsi="Times New Roman"/>
          <w:sz w:val="14"/>
          <w:szCs w:val="14"/>
          <w:color w:val="auto"/>
        </w:rPr>
        <w:t>The Company sponsors the Employees’ Capital Accumulation Plan (the “ECAP”), which is a qualified defined contribution plan that covers eligible U.S. and certain international employees. ECAP provides for distributions to participants by reason of retirement, death, disability, or termination of employment. The Company provides an annual matching contribution of up to 6% of eligible annual compensation. Total expense recognized under ECAP for fiscal 2024, 2023, and 2022 was $218.4 million, $190.5 million, and $176.8 million, respectively, and the Company-paid contributions were $213.3 million, $185.7 million, and $171.6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Post Retirement Benefits</w:t>
      </w:r>
    </w:p>
    <w:p>
      <w:pPr>
        <w:spacing w:after="0" w:line="53"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The Company provides postretirement healthcare benefits to former officers under a medical indemnity insurance plan, with premiums paid by the Company. This plan is referred to as the Officer Medical Plan. The Company recognizes a liability for the defined benefit plans' underfunded status, measures the defined benefit plans' obligations that determine its funded status as of the end of the fiscal year, and recognizes as a component of accumulated other comprehensive income the changes in the defined benefit plans' funded status that are not recognized as components of net periodic benefit cost. See Note 15, “Accumulated Other Comprehensive Income,” to our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105" w:name="page106"/>
    <w:bookmarkEnd w:id="10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 components of net postretirement medical expense for the Officer Medical Plan were as follows:</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2"/>
        </w:trPr>
        <w:tc>
          <w:tcPr>
            <w:tcW w:w="68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Borders>
              <w:bottom w:val="single" w:sz="8" w:color="auto"/>
            </w:tcBorders>
          </w:tcPr>
          <w:p>
            <w:pPr>
              <w:spacing w:after="0"/>
              <w:rPr>
                <w:sz w:val="17"/>
                <w:szCs w:val="17"/>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6,505</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4,063</w:t>
            </w:r>
          </w:p>
        </w:tc>
      </w:tr>
      <w:tr>
        <w:trPr>
          <w:trHeight w:val="196"/>
        </w:trPr>
        <w:tc>
          <w:tcPr>
            <w:tcW w:w="6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postretirement medical expense</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10,568</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right="180" w:firstLine="318"/>
        <w:spacing w:after="0" w:line="284" w:lineRule="auto"/>
        <w:rPr>
          <w:sz w:val="20"/>
          <w:szCs w:val="20"/>
          <w:color w:val="auto"/>
        </w:rPr>
      </w:pPr>
      <w:r>
        <w:rPr>
          <w:rFonts w:ascii="Times New Roman" w:cs="Times New Roman" w:eastAsia="Times New Roman" w:hAnsi="Times New Roman"/>
          <w:sz w:val="14"/>
          <w:szCs w:val="14"/>
          <w:color w:val="auto"/>
        </w:rPr>
        <w:t>The service cost component of net periodic benefit cost is included in cost of revenue and general and administrative expenses, and the non-service cost components of net periodic benefit cost (interest cost and net actuarial loss) are included as part of other income (expense), net in the accompanying consolidated statements of operations.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weighted-average discount rate used to determine the year-end benefit obligation for the Officer Medical Plan were 5.20%, 4.90% and 3.75% for fiscal 2024, 2023, and 2022, respectively.</w:t>
      </w:r>
    </w:p>
    <w:p>
      <w:pPr>
        <w:spacing w:after="0" w:line="5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Assumed healthcare cost trend rates for the Officer Medical Plan at March 31 were as follows:</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2"/>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Pre-65 initial rate</w:t>
            </w:r>
          </w:p>
        </w:tc>
        <w:tc>
          <w:tcPr>
            <w:tcW w:w="15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28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8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Healthcare cost trend rate assumed for next year</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7.25 %</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 to which the cost trend rate is assumed to decline (the ultimate trend rate)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that the rate reaches the ultimate trend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132"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Post-65 initial rate</w:t>
            </w:r>
          </w:p>
        </w:tc>
        <w:tc>
          <w:tcPr>
            <w:tcW w:w="15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8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8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Healthcare cost trend rate assumed for next year</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8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 to which the cost trend rate is assumed to decline (the ultimate trend rate)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that the rate reaches the ultimate trend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changes in the benefit obligation, plan assets, and funded status of the Officer Medical Plan were as follows:</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71"/>
        </w:trPr>
        <w:tc>
          <w:tcPr>
            <w:tcW w:w="60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beginning of the year</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105,585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113,505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121,518</w:t>
            </w:r>
          </w:p>
        </w:tc>
      </w:tr>
      <w:tr>
        <w:trPr>
          <w:trHeight w:val="180"/>
        </w:trPr>
        <w:tc>
          <w:tcPr>
            <w:tcW w:w="6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Service cost</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6,505</w:t>
            </w:r>
          </w:p>
        </w:tc>
      </w:tr>
      <w:tr>
        <w:trPr>
          <w:trHeight w:val="180"/>
        </w:trPr>
        <w:tc>
          <w:tcPr>
            <w:tcW w:w="6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cost</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r>
      <w:tr>
        <w:trPr>
          <w:trHeight w:val="180"/>
        </w:trPr>
        <w:tc>
          <w:tcPr>
            <w:tcW w:w="6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actuarial loss (gain)</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(13,563)</w:t>
            </w:r>
          </w:p>
        </w:tc>
      </w:tr>
      <w:tr>
        <w:trPr>
          <w:trHeight w:val="180"/>
        </w:trPr>
        <w:tc>
          <w:tcPr>
            <w:tcW w:w="6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Benefits paid</w:t>
            </w: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(5,927)</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(5,018)</w:t>
            </w:r>
          </w:p>
        </w:tc>
      </w:tr>
      <w:tr>
        <w:trPr>
          <w:trHeight w:val="171"/>
        </w:trPr>
        <w:tc>
          <w:tcPr>
            <w:tcW w:w="6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Benefit obligation, end of the year</w:t>
            </w: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126,988</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105,585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113,505</w:t>
            </w:r>
          </w:p>
        </w:tc>
      </w:tr>
      <w:tr>
        <w:trPr>
          <w:trHeight w:val="20"/>
        </w:trPr>
        <w:tc>
          <w:tcPr>
            <w:tcW w:w="6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right="380" w:firstLine="318"/>
        <w:spacing w:after="0" w:line="249" w:lineRule="auto"/>
        <w:rPr>
          <w:sz w:val="20"/>
          <w:szCs w:val="20"/>
          <w:color w:val="auto"/>
        </w:rPr>
      </w:pPr>
      <w:r>
        <w:rPr>
          <w:rFonts w:ascii="Times New Roman" w:cs="Times New Roman" w:eastAsia="Times New Roman" w:hAnsi="Times New Roman"/>
          <w:sz w:val="14"/>
          <w:szCs w:val="14"/>
          <w:color w:val="auto"/>
        </w:rPr>
        <w:t>The net actuarial loss related to the benefit obligation in fiscal 2024 was primarily due to unfavorable updates in estimated medical claims, medical inflation, and demographic assumptions, partially offset by increases in discount rates. The net actuarial gain related to the benefit obligation in fiscal 2023 was primarily due to a favorable change from using an amounts-weighted to a headcount-weighted mortality table and increases in discount rates, partially offset by updates to estimated medical costs and the outlook of higher future medical inflation. The net actuarial gain related to the benefit obligation in fiscal 2022 was primarily due to favorable changes in estimated medical costs and increases in discount rates, partially offset by updates to demographic assumptions and outlook of higher future medical inflation.</w:t>
      </w:r>
    </w:p>
    <w:p>
      <w:pPr>
        <w:spacing w:after="0" w:line="44" w:lineRule="exact"/>
        <w:rPr>
          <w:sz w:val="20"/>
          <w:szCs w:val="20"/>
          <w:color w:val="auto"/>
        </w:rPr>
      </w:pPr>
    </w:p>
    <w:tbl>
      <w:tblPr>
        <w:tblLayout w:type="fixed"/>
        <w:tblInd w:w="440" w:type="dxa"/>
        <w:tblCellMar>
          <w:top w:w="0" w:type="dxa"/>
          <w:left w:w="0" w:type="dxa"/>
          <w:bottom w:w="0" w:type="dxa"/>
          <w:right w:w="0" w:type="dxa"/>
        </w:tblCellMar>
      </w:tblPr>
      <w:tr>
        <w:trPr>
          <w:trHeight w:val="186"/>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Changes in plan assets</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plan assets, beginning of the year</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2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Employer contributions</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5,018</w:t>
            </w:r>
          </w:p>
        </w:tc>
        <w:tc>
          <w:tcPr>
            <w:tcW w:w="0" w:type="dxa"/>
            <w:vAlign w:val="bottom"/>
          </w:tcPr>
          <w:p>
            <w:pPr>
              <w:spacing w:after="0"/>
              <w:rPr>
                <w:sz w:val="1"/>
                <w:szCs w:val="1"/>
                <w:color w:val="auto"/>
              </w:rPr>
            </w:pPr>
          </w:p>
        </w:tc>
      </w:tr>
      <w:tr>
        <w:trPr>
          <w:trHeight w:val="180"/>
        </w:trPr>
        <w:tc>
          <w:tcPr>
            <w:tcW w:w="5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Benefits paid</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(5,927)</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(5,018)</w:t>
            </w:r>
          </w:p>
        </w:tc>
        <w:tc>
          <w:tcPr>
            <w:tcW w:w="0" w:type="dxa"/>
            <w:vAlign w:val="bottom"/>
          </w:tcPr>
          <w:p>
            <w:pPr>
              <w:spacing w:after="0"/>
              <w:rPr>
                <w:sz w:val="1"/>
                <w:szCs w:val="1"/>
                <w:color w:val="auto"/>
              </w:rPr>
            </w:pPr>
          </w:p>
        </w:tc>
      </w:tr>
      <w:tr>
        <w:trPr>
          <w:trHeight w:val="171"/>
        </w:trPr>
        <w:tc>
          <w:tcPr>
            <w:tcW w:w="52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Fair value of plan assets, end of the year</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60" w:firstLine="318"/>
        <w:spacing w:after="0" w:line="287" w:lineRule="auto"/>
        <w:rPr>
          <w:sz w:val="20"/>
          <w:szCs w:val="20"/>
          <w:color w:val="auto"/>
        </w:rPr>
      </w:pPr>
      <w:r>
        <w:rPr>
          <w:rFonts w:ascii="Times New Roman" w:cs="Times New Roman" w:eastAsia="Times New Roman" w:hAnsi="Times New Roman"/>
          <w:sz w:val="14"/>
          <w:szCs w:val="14"/>
          <w:color w:val="auto"/>
        </w:rPr>
        <w:t>As of March 31, 2024 and 2023, the unfunded status of the Officer Medical Plan was $127.0 million and $105.6 million, respectively, which is included in other long-term liabilities in the accompanying consolidated balance sheets.</w:t>
      </w:r>
    </w:p>
    <w:p>
      <w:pPr>
        <w:spacing w:after="0" w:line="200" w:lineRule="exact"/>
        <w:rPr>
          <w:sz w:val="20"/>
          <w:szCs w:val="20"/>
          <w:color w:val="auto"/>
        </w:rPr>
      </w:pPr>
    </w:p>
    <w:p>
      <w:pPr>
        <w:spacing w:after="0" w:line="2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3" w:right="239" w:bottom="1440" w:gutter="0" w:footer="0" w:header="0"/>
        </w:sectPr>
      </w:pPr>
    </w:p>
    <w:bookmarkStart w:id="106" w:name="page107"/>
    <w:bookmarkEnd w:id="106"/>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98"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expected future medical benefit payments and related contributions are as follows:</w:t>
            </w: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2"/>
        </w:trPr>
        <w:tc>
          <w:tcPr>
            <w:tcW w:w="20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Fiscal Year Ending March 31,</w:t>
            </w: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1"/>
        </w:trPr>
        <w:tc>
          <w:tcPr>
            <w:tcW w:w="20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w:t>
            </w:r>
          </w:p>
        </w:tc>
      </w:tr>
      <w:tr>
        <w:trPr>
          <w:trHeight w:val="180"/>
        </w:trPr>
        <w:tc>
          <w:tcPr>
            <w:tcW w:w="20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5,677</w:t>
            </w:r>
          </w:p>
        </w:tc>
      </w:tr>
      <w:tr>
        <w:trPr>
          <w:trHeight w:val="180"/>
        </w:trPr>
        <w:tc>
          <w:tcPr>
            <w:tcW w:w="20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6,117</w:t>
            </w:r>
          </w:p>
        </w:tc>
      </w:tr>
      <w:tr>
        <w:trPr>
          <w:trHeight w:val="180"/>
        </w:trPr>
        <w:tc>
          <w:tcPr>
            <w:tcW w:w="20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6,658</w:t>
            </w:r>
          </w:p>
        </w:tc>
      </w:tr>
      <w:tr>
        <w:trPr>
          <w:trHeight w:val="180"/>
        </w:trPr>
        <w:tc>
          <w:tcPr>
            <w:tcW w:w="20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7,173</w:t>
            </w:r>
          </w:p>
        </w:tc>
      </w:tr>
      <w:tr>
        <w:trPr>
          <w:trHeight w:val="180"/>
        </w:trPr>
        <w:tc>
          <w:tcPr>
            <w:tcW w:w="2020" w:type="dxa"/>
            <w:vAlign w:val="bottom"/>
          </w:tcPr>
          <w:p>
            <w:pPr>
              <w:spacing w:after="0"/>
              <w:rPr>
                <w:sz w:val="15"/>
                <w:szCs w:val="15"/>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2030 - 2034</w:t>
            </w:r>
          </w:p>
        </w:tc>
        <w:tc>
          <w:tcPr>
            <w:tcW w:w="6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42,398</w:t>
            </w:r>
          </w:p>
        </w:tc>
      </w:tr>
      <w:tr>
        <w:trPr>
          <w:trHeight w:val="196"/>
        </w:trPr>
        <w:tc>
          <w:tcPr>
            <w:tcW w:w="2020" w:type="dxa"/>
            <w:vAlign w:val="bottom"/>
          </w:tcPr>
          <w:p>
            <w:pPr>
              <w:spacing w:after="0"/>
              <w:rPr>
                <w:sz w:val="16"/>
                <w:szCs w:val="16"/>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73,165</w:t>
            </w:r>
          </w:p>
        </w:tc>
      </w:tr>
      <w:tr>
        <w:trPr>
          <w:trHeight w:val="20"/>
        </w:trPr>
        <w:tc>
          <w:tcPr>
            <w:tcW w:w="2020" w:type="dxa"/>
            <w:vAlign w:val="bottom"/>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Accumulated Other Comprehensive Income</w:t>
      </w:r>
    </w:p>
    <w:p>
      <w:pPr>
        <w:spacing w:after="0" w:line="96" w:lineRule="exact"/>
        <w:rPr>
          <w:sz w:val="20"/>
          <w:szCs w:val="20"/>
          <w:color w:val="auto"/>
        </w:rPr>
      </w:pPr>
    </w:p>
    <w:p>
      <w:pPr>
        <w:ind w:right="160" w:firstLine="318"/>
        <w:spacing w:after="0" w:line="275" w:lineRule="auto"/>
        <w:rPr>
          <w:sz w:val="20"/>
          <w:szCs w:val="20"/>
          <w:color w:val="auto"/>
        </w:rPr>
      </w:pPr>
      <w:r>
        <w:rPr>
          <w:rFonts w:ascii="Times New Roman" w:cs="Times New Roman" w:eastAsia="Times New Roman" w:hAnsi="Times New Roman"/>
          <w:sz w:val="14"/>
          <w:szCs w:val="14"/>
          <w:color w:val="auto"/>
        </w:rPr>
        <w:t>All amounts recorded in other comprehensive loss are related to the Company's post-retirement plans and interest rate swaps designated as cash flow hedges. The following table presents the changes in accumulated other comprehensive income, net of tax:</w:t>
      </w:r>
    </w:p>
    <w:tbl>
      <w:tblPr>
        <w:tblLayout w:type="fixed"/>
        <w:tblInd w:w="12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Fiscal Year Ended March 31, 2024</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480" w:type="dxa"/>
            <w:vAlign w:val="bottom"/>
          </w:tcPr>
          <w:p>
            <w:pPr>
              <w:spacing w:after="0"/>
              <w:rPr>
                <w:sz w:val="11"/>
                <w:szCs w:val="11"/>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100" w:type="dxa"/>
            <w:vAlign w:val="bottom"/>
          </w:tcPr>
          <w:p>
            <w:pPr>
              <w:spacing w:after="0"/>
              <w:rPr>
                <w:sz w:val="11"/>
                <w:szCs w:val="11"/>
                <w:color w:val="auto"/>
              </w:rPr>
            </w:pPr>
          </w:p>
        </w:tc>
        <w:tc>
          <w:tcPr>
            <w:tcW w:w="1660" w:type="dxa"/>
            <w:vAlign w:val="bottom"/>
          </w:tcPr>
          <w:p>
            <w:pPr>
              <w:jc w:val="right"/>
              <w:ind w:right="49"/>
              <w:spacing w:after="0" w:line="129" w:lineRule="exact"/>
              <w:rPr>
                <w:sz w:val="20"/>
                <w:szCs w:val="20"/>
                <w:color w:val="auto"/>
              </w:rPr>
            </w:pPr>
            <w:r>
              <w:rPr>
                <w:rFonts w:ascii="Times New Roman" w:cs="Times New Roman" w:eastAsia="Times New Roman" w:hAnsi="Times New Roman"/>
                <w:sz w:val="14"/>
                <w:szCs w:val="14"/>
                <w:b w:val="1"/>
                <w:bCs w:val="1"/>
                <w:color w:val="auto"/>
              </w:rPr>
              <w:t>Derivatives designated as</w:t>
            </w:r>
          </w:p>
        </w:tc>
        <w:tc>
          <w:tcPr>
            <w:tcW w:w="380" w:type="dxa"/>
            <w:vAlign w:val="bottom"/>
          </w:tcPr>
          <w:p>
            <w:pPr>
              <w:spacing w:after="0"/>
              <w:rPr>
                <w:sz w:val="11"/>
                <w:szCs w:val="11"/>
                <w:color w:val="auto"/>
              </w:rPr>
            </w:pPr>
          </w:p>
        </w:tc>
        <w:tc>
          <w:tcPr>
            <w:tcW w:w="108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4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year</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9,883</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29,333</w:t>
            </w:r>
          </w:p>
        </w:tc>
        <w:tc>
          <w:tcPr>
            <w:tcW w:w="0" w:type="dxa"/>
            <w:vAlign w:val="bottom"/>
          </w:tcPr>
          <w:p>
            <w:pPr>
              <w:spacing w:after="0"/>
              <w:rPr>
                <w:sz w:val="1"/>
                <w:szCs w:val="1"/>
                <w:color w:val="auto"/>
              </w:rPr>
            </w:pPr>
          </w:p>
        </w:tc>
      </w:tr>
      <w:tr>
        <w:trPr>
          <w:trHeight w:val="180"/>
        </w:trPr>
        <w:tc>
          <w:tcPr>
            <w:tcW w:w="648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Other comprehensive (loss) income before reclassifications </w:t>
            </w:r>
            <w:r>
              <w:rPr>
                <w:rFonts w:ascii="Times New Roman" w:cs="Times New Roman" w:eastAsia="Times New Roman" w:hAnsi="Times New Roman"/>
                <w:sz w:val="18"/>
                <w:szCs w:val="18"/>
                <w:color w:val="auto"/>
                <w:vertAlign w:val="superscript"/>
              </w:rPr>
              <w:t>(1)</w:t>
            </w: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(15,989)</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8,643</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(7,346)</w:t>
            </w:r>
          </w:p>
        </w:tc>
        <w:tc>
          <w:tcPr>
            <w:tcW w:w="0" w:type="dxa"/>
            <w:vAlign w:val="bottom"/>
          </w:tcPr>
          <w:p>
            <w:pPr>
              <w:spacing w:after="0"/>
              <w:rPr>
                <w:sz w:val="1"/>
                <w:szCs w:val="1"/>
                <w:color w:val="auto"/>
              </w:rPr>
            </w:pPr>
          </w:p>
        </w:tc>
      </w:tr>
      <w:tr>
        <w:trPr>
          <w:trHeight w:val="180"/>
        </w:trPr>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1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(10,970)</w:t>
            </w:r>
          </w:p>
        </w:tc>
        <w:tc>
          <w:tcPr>
            <w:tcW w:w="3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(12,455)</w:t>
            </w:r>
          </w:p>
        </w:tc>
        <w:tc>
          <w:tcPr>
            <w:tcW w:w="0" w:type="dxa"/>
            <w:vAlign w:val="bottom"/>
          </w:tcPr>
          <w:p>
            <w:pPr>
              <w:spacing w:after="0"/>
              <w:rPr>
                <w:sz w:val="1"/>
                <w:szCs w:val="1"/>
                <w:color w:val="auto"/>
              </w:rPr>
            </w:pPr>
          </w:p>
        </w:tc>
      </w:tr>
      <w:tr>
        <w:trPr>
          <w:trHeight w:val="171"/>
        </w:trPr>
        <w:tc>
          <w:tcPr>
            <w:tcW w:w="6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Net current-period other comprehensive income</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(17,474)</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(19,801)</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 of year</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7,556</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520" w:right="220" w:hanging="133"/>
        <w:spacing w:after="0" w:line="230" w:lineRule="auto"/>
        <w:tabs>
          <w:tab w:leader="none" w:pos="535" w:val="left"/>
        </w:tabs>
        <w:numPr>
          <w:ilvl w:val="0"/>
          <w:numId w:val="7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Changes in other comprehensive income before reclassification for post-retirement plans and derivatives designated as cash flow hedges are recorded net of tax benefit (expense) of $5.5 million and $(3.2) million, respectively, for the fiscal year ended March 31, 2024.</w:t>
      </w:r>
    </w:p>
    <w:p>
      <w:pPr>
        <w:spacing w:after="0" w:line="17"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Fiscal Year Ended March 31, 2023</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Derivatives designated as</w:t>
            </w:r>
          </w:p>
        </w:tc>
        <w:tc>
          <w:tcPr>
            <w:tcW w:w="400" w:type="dxa"/>
            <w:vAlign w:val="bottom"/>
          </w:tcPr>
          <w:p>
            <w:pPr>
              <w:spacing w:after="0"/>
              <w:rPr>
                <w:sz w:val="11"/>
                <w:szCs w:val="11"/>
                <w:color w:val="auto"/>
              </w:rPr>
            </w:pPr>
          </w:p>
        </w:tc>
        <w:tc>
          <w:tcPr>
            <w:tcW w:w="100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8,811</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8,585</w:t>
            </w:r>
          </w:p>
        </w:tc>
        <w:tc>
          <w:tcPr>
            <w:tcW w:w="0" w:type="dxa"/>
            <w:vAlign w:val="bottom"/>
          </w:tcPr>
          <w:p>
            <w:pPr>
              <w:spacing w:after="0"/>
              <w:rPr>
                <w:sz w:val="1"/>
                <w:szCs w:val="1"/>
                <w:color w:val="auto"/>
              </w:rPr>
            </w:pPr>
          </w:p>
        </w:tc>
      </w:tr>
      <w:tr>
        <w:trPr>
          <w:trHeight w:val="180"/>
        </w:trPr>
        <w:tc>
          <w:tcPr>
            <w:tcW w:w="618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Other comprehensive income before reclassifications </w:t>
            </w:r>
            <w:r>
              <w:rPr>
                <w:rFonts w:ascii="Times New Roman" w:cs="Times New Roman" w:eastAsia="Times New Roman" w:hAnsi="Times New Roman"/>
                <w:sz w:val="18"/>
                <w:szCs w:val="18"/>
                <w:color w:val="auto"/>
                <w:vertAlign w:val="superscript"/>
              </w:rPr>
              <w:t>(2)</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10,644</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11,021</w:t>
            </w:r>
          </w:p>
        </w:tc>
        <w:tc>
          <w:tcPr>
            <w:tcW w:w="4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21,665</w:t>
            </w:r>
          </w:p>
        </w:tc>
        <w:tc>
          <w:tcPr>
            <w:tcW w:w="0" w:type="dxa"/>
            <w:vAlign w:val="bottom"/>
          </w:tcPr>
          <w:p>
            <w:pPr>
              <w:spacing w:after="0"/>
              <w:rPr>
                <w:sz w:val="1"/>
                <w:szCs w:val="1"/>
                <w:color w:val="auto"/>
              </w:rPr>
            </w:pPr>
          </w:p>
        </w:tc>
      </w:tr>
      <w:tr>
        <w:trPr>
          <w:trHeight w:val="180"/>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4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0" w:type="dxa"/>
            <w:vAlign w:val="bottom"/>
          </w:tcPr>
          <w:p>
            <w:pPr>
              <w:spacing w:after="0"/>
              <w:rPr>
                <w:sz w:val="1"/>
                <w:szCs w:val="1"/>
                <w:color w:val="auto"/>
              </w:rPr>
            </w:pPr>
          </w:p>
        </w:tc>
      </w:tr>
      <w:tr>
        <w:trPr>
          <w:trHeight w:val="171"/>
        </w:trPr>
        <w:tc>
          <w:tcPr>
            <w:tcW w:w="6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current-period other comprehensive income</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10,639</w:t>
            </w: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10,109</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20,748</w:t>
            </w:r>
          </w:p>
        </w:tc>
        <w:tc>
          <w:tcPr>
            <w:tcW w:w="0" w:type="dxa"/>
            <w:vAlign w:val="bottom"/>
          </w:tcPr>
          <w:p>
            <w:pPr>
              <w:spacing w:after="0"/>
              <w:rPr>
                <w:sz w:val="1"/>
                <w:szCs w:val="1"/>
                <w:color w:val="auto"/>
              </w:rPr>
            </w:pPr>
          </w:p>
        </w:tc>
      </w:tr>
      <w:tr>
        <w:trPr>
          <w:trHeight w:val="196"/>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19,450</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9,883</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29,333</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520" w:hanging="133"/>
        <w:spacing w:after="0" w:line="230" w:lineRule="auto"/>
        <w:tabs>
          <w:tab w:leader="none" w:pos="535" w:val="left"/>
        </w:tabs>
        <w:numPr>
          <w:ilvl w:val="0"/>
          <w:numId w:val="7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Changes in other comprehensive income (loss) before reclassification for post-retirement plans and derivatives designated as cash flow hedges are recorded net of tax benefit of $3.8 million and $3.9 million, respectively, for the fiscal year ended March 31, 2023.</w:t>
      </w:r>
    </w:p>
    <w:p>
      <w:pPr>
        <w:spacing w:after="0" w:line="17"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Fiscal Year Ended March 31, 2022</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440" w:type="dxa"/>
            <w:vAlign w:val="bottom"/>
          </w:tcPr>
          <w:p>
            <w:pPr>
              <w:spacing w:after="0"/>
              <w:rPr>
                <w:sz w:val="11"/>
                <w:szCs w:val="11"/>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120" w:type="dxa"/>
            <w:vAlign w:val="bottom"/>
          </w:tcPr>
          <w:p>
            <w:pPr>
              <w:spacing w:after="0"/>
              <w:rPr>
                <w:sz w:val="11"/>
                <w:szCs w:val="11"/>
                <w:color w:val="auto"/>
              </w:rPr>
            </w:pPr>
          </w:p>
        </w:tc>
        <w:tc>
          <w:tcPr>
            <w:tcW w:w="1640" w:type="dxa"/>
            <w:vAlign w:val="bottom"/>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Derivatives designated as</w:t>
            </w:r>
          </w:p>
        </w:tc>
        <w:tc>
          <w:tcPr>
            <w:tcW w:w="420" w:type="dxa"/>
            <w:vAlign w:val="bottom"/>
          </w:tcPr>
          <w:p>
            <w:pPr>
              <w:spacing w:after="0"/>
              <w:rPr>
                <w:sz w:val="11"/>
                <w:szCs w:val="11"/>
                <w:color w:val="auto"/>
              </w:rPr>
            </w:pPr>
          </w:p>
        </w:tc>
        <w:tc>
          <w:tcPr>
            <w:tcW w:w="1100" w:type="dxa"/>
            <w:vAlign w:val="bottom"/>
            <w:vMerge w:val="restart"/>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year</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(28,209)</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(29,771)</w:t>
            </w:r>
          </w:p>
        </w:tc>
        <w:tc>
          <w:tcPr>
            <w:tcW w:w="0" w:type="dxa"/>
            <w:vAlign w:val="bottom"/>
          </w:tcPr>
          <w:p>
            <w:pPr>
              <w:spacing w:after="0"/>
              <w:rPr>
                <w:sz w:val="1"/>
                <w:szCs w:val="1"/>
                <w:color w:val="auto"/>
              </w:rPr>
            </w:pPr>
          </w:p>
        </w:tc>
      </w:tr>
      <w:tr>
        <w:trPr>
          <w:trHeight w:val="180"/>
        </w:trPr>
        <w:tc>
          <w:tcPr>
            <w:tcW w:w="64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Other comprehensive income before reclassifications </w:t>
            </w:r>
            <w:r>
              <w:rPr>
                <w:rFonts w:ascii="Times New Roman" w:cs="Times New Roman" w:eastAsia="Times New Roman" w:hAnsi="Times New Roman"/>
                <w:sz w:val="18"/>
                <w:szCs w:val="18"/>
                <w:color w:val="auto"/>
                <w:vertAlign w:val="superscript"/>
              </w:rPr>
              <w:t>(3)</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10,294</w:t>
            </w: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15,032</w:t>
            </w: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25,326</w:t>
            </w:r>
          </w:p>
        </w:tc>
        <w:tc>
          <w:tcPr>
            <w:tcW w:w="0" w:type="dxa"/>
            <w:vAlign w:val="bottom"/>
          </w:tcPr>
          <w:p>
            <w:pPr>
              <w:spacing w:after="0"/>
              <w:rPr>
                <w:sz w:val="1"/>
                <w:szCs w:val="1"/>
                <w:color w:val="auto"/>
              </w:rPr>
            </w:pPr>
          </w:p>
        </w:tc>
      </w:tr>
      <w:tr>
        <w:trPr>
          <w:trHeight w:val="18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12,951</w:t>
            </w:r>
          </w:p>
        </w:tc>
        <w:tc>
          <w:tcPr>
            <w:tcW w:w="4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13,030</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current-period other comprehensive income</w:t>
            </w: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10,373</w:t>
            </w: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27,983</w:t>
            </w: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38,356</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 of year</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520" w:right="20" w:hanging="133"/>
        <w:spacing w:after="0" w:line="254" w:lineRule="auto"/>
        <w:tabs>
          <w:tab w:leader="none" w:pos="523" w:val="left"/>
        </w:tabs>
        <w:numPr>
          <w:ilvl w:val="0"/>
          <w:numId w:val="7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Changes in other comprehensive income (loss) before reclassification for post-retirement plans and derivatives designated as cash flow hedges are recorded net of tax benefit of $3.6 million and $5.3 million, respectively, for the fiscal year ended March 31, 2022.</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62" w:right="379" w:bottom="1440" w:gutter="0" w:footer="0" w:header="0"/>
        </w:sectPr>
      </w:pPr>
    </w:p>
    <w:bookmarkStart w:id="107" w:name="page108"/>
    <w:bookmarkEnd w:id="10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Stockholders’ 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53"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Holders of Class A Common Stock are entitled to one vote for each share. Each share of Class A Common is entitled to participate equally in all dividends and other distributions declared on and payable with respect to the Class A Common Stock, subject to the preferences and rights of any preferred stock and the General Corporation Law of the State of Delaware. The Company’s ability to pay dividends to stockholders is limited as a practical matter by restrictions in the agreements governing the Company's indebtedness.</w:t>
      </w:r>
    </w:p>
    <w:p>
      <w:pPr>
        <w:spacing w:after="0" w:line="8" w:lineRule="exact"/>
        <w:rPr>
          <w:sz w:val="20"/>
          <w:szCs w:val="20"/>
          <w:color w:val="auto"/>
        </w:rPr>
      </w:pPr>
    </w:p>
    <w:p>
      <w:pPr>
        <w:ind w:right="160" w:firstLine="318"/>
        <w:spacing w:after="0" w:line="287" w:lineRule="auto"/>
        <w:rPr>
          <w:sz w:val="20"/>
          <w:szCs w:val="20"/>
          <w:color w:val="auto"/>
        </w:rPr>
      </w:pPr>
      <w:r>
        <w:rPr>
          <w:rFonts w:ascii="Times New Roman" w:cs="Times New Roman" w:eastAsia="Times New Roman" w:hAnsi="Times New Roman"/>
          <w:sz w:val="14"/>
          <w:szCs w:val="14"/>
          <w:color w:val="auto"/>
        </w:rPr>
        <w:t>The authorized and unissued shares of Class A Common Stock are available for future issuance upon stock option exercises and vesting of restricted stock units without additional stockholder approval.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53" w:lineRule="exact"/>
        <w:rPr>
          <w:sz w:val="20"/>
          <w:szCs w:val="20"/>
          <w:color w:val="auto"/>
        </w:rPr>
      </w:pPr>
    </w:p>
    <w:p>
      <w:pPr>
        <w:ind w:right="180" w:firstLine="318"/>
        <w:spacing w:after="0" w:line="261" w:lineRule="auto"/>
        <w:rPr>
          <w:sz w:val="20"/>
          <w:szCs w:val="20"/>
          <w:color w:val="auto"/>
        </w:rPr>
      </w:pPr>
      <w:r>
        <w:rPr>
          <w:rFonts w:ascii="Times New Roman" w:cs="Times New Roman" w:eastAsia="Times New Roman" w:hAnsi="Times New Roman"/>
          <w:sz w:val="14"/>
          <w:szCs w:val="14"/>
          <w:color w:val="auto"/>
        </w:rPr>
        <w:t>On December 21, 2011, the Board of Directors adopted a share repurchase program, which was most recently increased by $525.0 million to $3,085.0 million on May 22, 2024. A special committee of the Board evaluates market conditions and other relevant factors and initiates repurchases under the program from time to time. The share repurchase program may be suspended, modified or discontinued at any time at the Company’s discretion without prior notice. During fiscal 2024, the Company purchased 3.2 million shares of Class A Common Stock in a series of open market transactions for $372.8 million. During fiscal 2023, the Company purchased 2.1 million shares of Class A Common Stock in a series of open market transactions for $196.2 million. As of March 31, 2024, the Company had $483.2 million remaining under the share repurchase program.</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2"/>
        </w:trPr>
        <w:tc>
          <w:tcPr>
            <w:tcW w:w="6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cash distributions recognized in the consolidated statement of cash flows: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2"/>
        </w:trPr>
        <w:tc>
          <w:tcPr>
            <w:tcW w:w="68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Borders>
              <w:bottom w:val="single" w:sz="8" w:color="auto"/>
            </w:tcBorders>
          </w:tcPr>
          <w:p>
            <w:pPr>
              <w:spacing w:after="0"/>
              <w:rPr>
                <w:sz w:val="17"/>
                <w:szCs w:val="17"/>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8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Recurring dividends </w:t>
            </w:r>
            <w:r>
              <w:rPr>
                <w:rFonts w:ascii="Times New Roman" w:cs="Times New Roman" w:eastAsia="Times New Roman" w:hAnsi="Times New Roman"/>
                <w:sz w:val="18"/>
                <w:szCs w:val="18"/>
                <w:color w:val="auto"/>
                <w:vertAlign w:val="superscript"/>
              </w:rPr>
              <w:t>(1)</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253,413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235,726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209,057</w:t>
            </w:r>
          </w:p>
        </w:tc>
      </w:tr>
    </w:tbl>
    <w:p>
      <w:pPr>
        <w:spacing w:after="0" w:line="48" w:lineRule="exact"/>
        <w:rPr>
          <w:sz w:val="20"/>
          <w:szCs w:val="20"/>
          <w:color w:val="auto"/>
        </w:rPr>
      </w:pPr>
    </w:p>
    <w:p>
      <w:pPr>
        <w:ind w:left="140" w:hanging="135"/>
        <w:spacing w:after="0"/>
        <w:tabs>
          <w:tab w:leader="none" w:pos="140" w:val="left"/>
        </w:tabs>
        <w:numPr>
          <w:ilvl w:val="0"/>
          <w:numId w:val="7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Amounts represent recurring quarterly dividends that were declared and paid for during each quarter of fiscal 2024, 2023, and 2022.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Stock-based Compensation</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stock-based compensation expense recognized in the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Borders>
              <w:bottom w:val="single" w:sz="8" w:color="auto"/>
            </w:tcBorders>
          </w:tcPr>
          <w:p>
            <w:pPr>
              <w:spacing w:after="0"/>
              <w:rPr>
                <w:sz w:val="16"/>
                <w:szCs w:val="16"/>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36,836</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50,987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36,894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32,948</w:t>
            </w:r>
          </w:p>
        </w:tc>
      </w:tr>
      <w:tr>
        <w:trPr>
          <w:trHeight w:val="196"/>
        </w:trPr>
        <w:tc>
          <w:tcPr>
            <w:tcW w:w="6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94,982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80,272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69,784</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right="160" w:firstLine="318"/>
        <w:spacing w:after="0" w:line="267" w:lineRule="auto"/>
        <w:rPr>
          <w:sz w:val="20"/>
          <w:szCs w:val="20"/>
          <w:color w:val="auto"/>
        </w:rPr>
      </w:pPr>
      <w:r>
        <w:rPr>
          <w:rFonts w:ascii="Times New Roman" w:cs="Times New Roman" w:eastAsia="Times New Roman" w:hAnsi="Times New Roman"/>
          <w:sz w:val="14"/>
          <w:szCs w:val="14"/>
          <w:color w:val="auto"/>
        </w:rPr>
        <w:t>The following table summarizes the total stock-based compensation expense recognized in the consolidated statements of operations by the following types of equity awards, including stock options, time-based and performance-based restricted stock awards. Compensation expense for performance-based awards is estimated at each reporting date using management's expectation of the probable achievement of the specified performance criteria of each tranche during the respective performance periods: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Borders>
              <w:bottom w:val="single" w:sz="8" w:color="auto"/>
            </w:tcBorders>
          </w:tcPr>
          <w:p>
            <w:pPr>
              <w:spacing w:after="0"/>
              <w:rPr>
                <w:sz w:val="16"/>
                <w:szCs w:val="16"/>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Incentive Plan Options</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Stock and Other Awards</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93,663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67,991</w:t>
            </w:r>
          </w:p>
        </w:tc>
      </w:tr>
      <w:tr>
        <w:trPr>
          <w:trHeight w:val="196"/>
        </w:trPr>
        <w:tc>
          <w:tcPr>
            <w:tcW w:w="6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94,982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80,272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69,784</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As of March 31, 2024 and 2023, there was $62.3 million and $50.9 million, respectively, of total unrecognized compensation cost related to unvested stock-based compensation agreements. The unrecognized compensation cost as of March 31, 2024 is expected to be fully amortized over the next five years. Absent the effect of forfeiture or acceleration of stock compensation cost for departures of employees, the following tables summarize the unrecognized compensation cost and the weighted average period the cost is expected to be amortized (excludes any future award):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2" w:right="319" w:bottom="1440" w:gutter="0" w:footer="0" w:header="0"/>
        </w:sectPr>
      </w:pPr>
    </w:p>
    <w:bookmarkStart w:id="108" w:name="page109"/>
    <w:bookmarkEnd w:id="10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30"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20" w:type="dxa"/>
            <w:vAlign w:val="bottom"/>
            <w:gridSpan w:val="4"/>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Unrecognized Compensation Cost</w:t>
            </w:r>
          </w:p>
        </w:tc>
        <w:tc>
          <w:tcPr>
            <w:tcW w:w="100" w:type="dxa"/>
            <w:vAlign w:val="bottom"/>
          </w:tcPr>
          <w:p>
            <w:pPr>
              <w:spacing w:after="0"/>
              <w:rPr>
                <w:sz w:val="13"/>
                <w:szCs w:val="13"/>
                <w:color w:val="auto"/>
              </w:rPr>
            </w:pPr>
          </w:p>
        </w:tc>
        <w:tc>
          <w:tcPr>
            <w:tcW w:w="3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Remaining Period to be</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049"/>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1"/>
                <w:szCs w:val="11"/>
                <w:color w:val="auto"/>
              </w:rPr>
            </w:pPr>
          </w:p>
        </w:tc>
        <w:tc>
          <w:tcPr>
            <w:tcW w:w="1060" w:type="dxa"/>
            <w:vAlign w:val="bottom"/>
          </w:tcPr>
          <w:p>
            <w:pPr>
              <w:jc w:val="right"/>
              <w:ind w:right="249"/>
              <w:spacing w:after="0" w:line="13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940" w:type="dxa"/>
            <w:vAlign w:val="bottom"/>
          </w:tcPr>
          <w:p>
            <w:pPr>
              <w:ind w:left="900"/>
              <w:spacing w:after="0" w:line="13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gridSpan w:val="2"/>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940" w:type="dxa"/>
            <w:vAlign w:val="bottom"/>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7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Incentive Plan Options</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rPr>
              <w:t>3.6</w:t>
            </w:r>
          </w:p>
        </w:tc>
        <w:tc>
          <w:tcPr>
            <w:tcW w:w="1940" w:type="dxa"/>
            <w:vAlign w:val="bottom"/>
            <w:tcBorders>
              <w:top w:val="single" w:sz="8" w:color="auto"/>
            </w:tcBorders>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Stock and Other Awards</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59,706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47,451</w:t>
            </w:r>
          </w:p>
        </w:tc>
        <w:tc>
          <w:tcPr>
            <w:tcW w:w="1220" w:type="dxa"/>
            <w:vAlign w:val="bottom"/>
            <w:tcBorders>
              <w:bottom w:val="single" w:sz="8" w:color="CCEEFF"/>
            </w:tcBorders>
            <w:gridSpan w:val="2"/>
          </w:tcPr>
          <w:p>
            <w:pPr>
              <w:jc w:val="center"/>
              <w:ind w:left="409"/>
              <w:spacing w:after="0"/>
              <w:rPr>
                <w:sz w:val="20"/>
                <w:szCs w:val="20"/>
                <w:color w:val="auto"/>
              </w:rPr>
            </w:pPr>
            <w:r>
              <w:rPr>
                <w:rFonts w:ascii="Times New Roman" w:cs="Times New Roman" w:eastAsia="Times New Roman" w:hAnsi="Times New Roman"/>
                <w:sz w:val="14"/>
                <w:szCs w:val="14"/>
                <w:color w:val="auto"/>
              </w:rPr>
              <w:t>1.7</w:t>
            </w:r>
          </w:p>
        </w:tc>
        <w:tc>
          <w:tcPr>
            <w:tcW w:w="1940" w:type="dxa"/>
            <w:vAlign w:val="bottom"/>
            <w:tcBorders>
              <w:bottom w:val="single" w:sz="8" w:color="CCEEFF"/>
            </w:tcBorders>
          </w:tcPr>
          <w:p>
            <w:pPr>
              <w:jc w:val="center"/>
              <w:ind w:left="409"/>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62,298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50,946</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w:t>
      </w:r>
    </w:p>
    <w:p>
      <w:pPr>
        <w:spacing w:after="0" w:line="53" w:lineRule="exact"/>
        <w:rPr>
          <w:sz w:val="20"/>
          <w:szCs w:val="20"/>
          <w:color w:val="auto"/>
        </w:rPr>
      </w:pPr>
    </w:p>
    <w:p>
      <w:pPr>
        <w:ind w:right="100" w:firstLine="191"/>
        <w:spacing w:after="0" w:line="270" w:lineRule="auto"/>
        <w:rPr>
          <w:sz w:val="20"/>
          <w:szCs w:val="20"/>
          <w:color w:val="auto"/>
        </w:rPr>
      </w:pPr>
      <w:r>
        <w:rPr>
          <w:rFonts w:ascii="Times New Roman" w:cs="Times New Roman" w:eastAsia="Times New Roman" w:hAnsi="Times New Roman"/>
          <w:sz w:val="14"/>
          <w:szCs w:val="14"/>
          <w:color w:val="auto"/>
        </w:rPr>
        <w:t>Awards under the Company's Equity Incentive Plan (the “EIP”) may be made in the form of stock options; stock purchase rights; restricted stock; restricted stock units; performance shares; performance units; stock appreciation rights; deferred share units; dividend equivalents; and other stock-based awards. As of March 31, 2024 and 2023, there were 6.0 million and 7.7 million shares, respectively, available for future grant under the EIP.</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53" w:lineRule="exact"/>
        <w:rPr>
          <w:sz w:val="20"/>
          <w:szCs w:val="20"/>
          <w:color w:val="auto"/>
        </w:rPr>
      </w:pPr>
    </w:p>
    <w:p>
      <w:pPr>
        <w:ind w:right="100" w:firstLine="318"/>
        <w:spacing w:after="0" w:line="270" w:lineRule="auto"/>
        <w:rPr>
          <w:sz w:val="20"/>
          <w:szCs w:val="20"/>
          <w:color w:val="auto"/>
        </w:rPr>
      </w:pPr>
      <w:r>
        <w:rPr>
          <w:rFonts w:ascii="Times New Roman" w:cs="Times New Roman" w:eastAsia="Times New Roman" w:hAnsi="Times New Roman"/>
          <w:sz w:val="14"/>
          <w:szCs w:val="14"/>
          <w:color w:val="auto"/>
        </w:rPr>
        <w:t>Stock options under the EIP are granted at the discretion of the Board of Directors or its Compensation, Culture and People Committee and expire ten years from the grant date. Stock options generally vest in equal installments over a five-year period subject to the grantee’s continued service on each applicable vesting. All options under the EIP are exercisable, upon vesting, for shares of Class A Common Stock of Holding.</w:t>
      </w:r>
    </w:p>
    <w:p>
      <w:pPr>
        <w:spacing w:after="0" w:line="8" w:lineRule="exact"/>
        <w:rPr>
          <w:sz w:val="20"/>
          <w:szCs w:val="20"/>
          <w:color w:val="auto"/>
        </w:rPr>
      </w:pPr>
    </w:p>
    <w:p>
      <w:pPr>
        <w:ind w:right="160" w:firstLine="318"/>
        <w:spacing w:after="0" w:line="287" w:lineRule="auto"/>
        <w:rPr>
          <w:sz w:val="20"/>
          <w:szCs w:val="20"/>
          <w:color w:val="auto"/>
        </w:rPr>
      </w:pPr>
      <w:r>
        <w:rPr>
          <w:rFonts w:ascii="Times New Roman" w:cs="Times New Roman" w:eastAsia="Times New Roman" w:hAnsi="Times New Roman"/>
          <w:sz w:val="14"/>
          <w:szCs w:val="14"/>
          <w:color w:val="auto"/>
        </w:rPr>
        <w:t>As of March 31, 2024 and 2023, 0.2 million and 0.4 million options were unvested under the EIP, with a weighted average grant date fair value of $18.45 and $15.61, respectively. There were 0.8 million and 1.1 million EIP options outstanding as of March 31, 2024 and 2023, with a weighted average exercise price of $67.98 and $60.55,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Annual Incentive Plans</w:t>
      </w:r>
    </w:p>
    <w:p>
      <w:pPr>
        <w:spacing w:after="0" w:line="53"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4"/>
          <w:szCs w:val="14"/>
          <w:color w:val="auto"/>
        </w:rPr>
        <w:t>On October 1, 2010, the Board of Directors adopted an Annual Incentive Plan, or AIP, in connection with the initial public offering to more appropriately align the Company’s compensation programs with those of similarly situated companies. The amount of the annual incentive payment is determined based on performance targets established by the Board and a portion of the bonus may be paid in the form of equity (including stock and other awards under the EIP). Such equity awards vest over a three-year period subject to the employee’s continued service to the Company. The related expense is recognized in the accompanying consolidated statements of operations based on grant date fair value over the vesting period of three years.</w:t>
      </w:r>
    </w:p>
    <w:p>
      <w:pPr>
        <w:spacing w:after="0" w:line="13"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4"/>
          <w:szCs w:val="14"/>
          <w:color w:val="auto"/>
        </w:rPr>
        <w:t>The Company maintains annual incentive programs for officers and key employees. The equity compensation would be issued in the form of restricted stock units of which a portion would vest based on the passage of time, and the other portion would vest based on specified performance conditions to be achieved over a specified time period. A restricted stock unit represents a contingent right to receive one share of Class A Common Stock upon vesting. Service-based restricted stock units vest in equal installments over a three-year period subject to the grantee's continued service on each applicable vesting date and are settled for shares of Class A Common Stock. Dividend equivalents are paid in respect of the service-based restricted stock units when dividends are paid on the Company's Class A Common Stock. The related expense is recognized in the accompanying consolidated statements of operations based on grant date fair value over the vesting period.</w:t>
      </w:r>
    </w:p>
    <w:p>
      <w:pPr>
        <w:spacing w:after="0" w:line="16"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4"/>
          <w:szCs w:val="14"/>
          <w:color w:val="auto"/>
        </w:rPr>
        <w:t>Performance-based awards vest at the end of a three-year period, subject to certain specified financial performance criteria, the grantee's continued service through the period, and certification of final performance by the Compensation, Culture and People Committee of the Board of Directors. The performance-based awards granted during fiscal 2024 included additional market conditions related to the Company’s total shareholder return relative to its peer group over the three-year performance period. The Company recognizes compensation expense for these performance-based awards with market conditions based on the grant-date fair value calculated using a Monte Carlo model. These awards are settled for Class A Common Stock and dividend equivalents. Compensation expense for performance-based awards during the performance period is estimated at each reporting date using management's expectation of the probable achievement of the specified performance criteria.</w:t>
      </w:r>
    </w:p>
    <w:p>
      <w:pPr>
        <w:spacing w:after="0" w:line="189"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The Company also issues equity awards under other programs in the form of restricted stock units that would vest immediately after issuance or over an applicable vesting period subject to the employee's continued service for the Company. The associated expenses are recognized in the accompanying consolidated statements of operations based on grant date fair value.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109" w:name="page110"/>
    <w:bookmarkEnd w:id="10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Grants of Class A Restricted Common Stock and Restricted Stock Units</w:t>
      </w:r>
    </w:p>
    <w:p>
      <w:pPr>
        <w:spacing w:after="0" w:line="53"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During fiscal 2024, the Board of Directors granted an aggregate of 1.0 million Restricted Stock Units with service-based and performance-based vesting conditions to existing officers, vice presidents, and other employees and non-employees of the Company, as well as to newly promoted and hired partners and vice presidents. The awards will vest based on the applicable vesting period for the specific award subject to the employees' continued employment with the Company. The Board also granted Class A Restricted Common Stock to members of the Board during fiscal 2024. These awards generally vest over one year.</w:t>
      </w:r>
    </w:p>
    <w:p>
      <w:pPr>
        <w:spacing w:after="0" w:line="13" w:lineRule="exact"/>
        <w:rPr>
          <w:sz w:val="20"/>
          <w:szCs w:val="20"/>
          <w:color w:val="auto"/>
        </w:rPr>
      </w:pPr>
    </w:p>
    <w:p>
      <w:pPr>
        <w:ind w:right="60" w:firstLine="318"/>
        <w:spacing w:after="0" w:line="284" w:lineRule="auto"/>
        <w:rPr>
          <w:sz w:val="20"/>
          <w:szCs w:val="20"/>
          <w:color w:val="auto"/>
        </w:rPr>
      </w:pPr>
      <w:r>
        <w:rPr>
          <w:rFonts w:ascii="Times New Roman" w:cs="Times New Roman" w:eastAsia="Times New Roman" w:hAnsi="Times New Roman"/>
          <w:sz w:val="14"/>
          <w:szCs w:val="14"/>
          <w:color w:val="auto"/>
        </w:rPr>
        <w:t>The aggregate fair value of all awards issued during fiscal 2024 was $97.2 million and will be recognized in the accompanying consolidated statements of operations over the applicable vesting period of the awards. The total fair value of restricted stock shares vested during fiscal 2024 and 2023 was $86.2 million and $70.2 million, respectively.</w:t>
      </w:r>
    </w:p>
    <w:p>
      <w:pPr>
        <w:spacing w:after="0" w:line="1" w:lineRule="exact"/>
        <w:rPr>
          <w:sz w:val="20"/>
          <w:szCs w:val="20"/>
          <w:color w:val="auto"/>
        </w:rPr>
      </w:pPr>
    </w:p>
    <w:p>
      <w:pPr>
        <w:ind w:right="280" w:firstLine="318"/>
        <w:spacing w:after="0" w:line="270" w:lineRule="auto"/>
        <w:rPr>
          <w:sz w:val="20"/>
          <w:szCs w:val="20"/>
          <w:color w:val="auto"/>
        </w:rPr>
      </w:pPr>
      <w:r>
        <w:rPr>
          <w:rFonts w:ascii="Times New Roman" w:cs="Times New Roman" w:eastAsia="Times New Roman" w:hAnsi="Times New Roman"/>
          <w:sz w:val="14"/>
          <w:szCs w:val="14"/>
          <w:color w:val="auto"/>
        </w:rPr>
        <w:t>As permitted under the terms of the EIP, the Compensation, Culture and People Committee, as Administrator of the Plan, authorized the withholding of taxes not to exceed the minimum statutory withholding amount, through the surrender of shares of Class A Common Stock issuable upon the vesting or accelerated vesting of Restricted Stock. As a result of these transactions, the Company repurchased 0.3 million shares and recorded them as treasury shares at a total cost of $42.3 million in fiscal 2024.</w:t>
      </w:r>
    </w:p>
    <w:p>
      <w:pPr>
        <w:spacing w:after="0" w:line="8"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unvested restricted stock activity for the periods presented:</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6380" w:type="dxa"/>
            <w:vAlign w:val="bottom"/>
          </w:tcPr>
          <w:p>
            <w:pPr>
              <w:spacing w:after="0"/>
              <w:rPr>
                <w:sz w:val="14"/>
                <w:szCs w:val="14"/>
                <w:color w:val="auto"/>
              </w:rPr>
            </w:pPr>
          </w:p>
        </w:tc>
        <w:tc>
          <w:tcPr>
            <w:tcW w:w="156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63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jc w:val="center"/>
              <w:ind w:right="189"/>
              <w:spacing w:after="0" w:line="144" w:lineRule="exact"/>
              <w:rPr>
                <w:sz w:val="20"/>
                <w:szCs w:val="20"/>
                <w:color w:val="auto"/>
              </w:rPr>
            </w:pPr>
            <w:r>
              <w:rPr>
                <w:rFonts w:ascii="Times New Roman" w:cs="Times New Roman" w:eastAsia="Times New Roman" w:hAnsi="Times New Roman"/>
                <w:sz w:val="14"/>
                <w:szCs w:val="14"/>
                <w:b w:val="1"/>
                <w:bCs w:val="1"/>
                <w:color w:val="auto"/>
              </w:rPr>
              <w:t>Average Grant Date</w:t>
            </w:r>
          </w:p>
        </w:tc>
        <w:tc>
          <w:tcPr>
            <w:tcW w:w="0" w:type="dxa"/>
            <w:vAlign w:val="bottom"/>
          </w:tcPr>
          <w:p>
            <w:pPr>
              <w:spacing w:after="0"/>
              <w:rPr>
                <w:sz w:val="1"/>
                <w:szCs w:val="1"/>
                <w:color w:val="auto"/>
              </w:rPr>
            </w:pPr>
          </w:p>
        </w:tc>
      </w:tr>
      <w:tr>
        <w:trPr>
          <w:trHeight w:val="180"/>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Unvested Restricted Stock Awards</w:t>
            </w:r>
          </w:p>
        </w:tc>
        <w:tc>
          <w:tcPr>
            <w:tcW w:w="15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60"/>
        </w:trPr>
        <w:tc>
          <w:tcPr>
            <w:tcW w:w="638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March 31, 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1,184,587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87.08</w:t>
            </w:r>
          </w:p>
        </w:tc>
        <w:tc>
          <w:tcPr>
            <w:tcW w:w="0" w:type="dxa"/>
            <w:vAlign w:val="bottom"/>
          </w:tcPr>
          <w:p>
            <w:pPr>
              <w:spacing w:after="0"/>
              <w:rPr>
                <w:sz w:val="1"/>
                <w:szCs w:val="1"/>
                <w:color w:val="auto"/>
              </w:rPr>
            </w:pPr>
          </w:p>
        </w:tc>
      </w:tr>
      <w:tr>
        <w:trPr>
          <w:trHeight w:val="180"/>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982,447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98.94</w:t>
            </w:r>
          </w:p>
        </w:tc>
        <w:tc>
          <w:tcPr>
            <w:tcW w:w="0" w:type="dxa"/>
            <w:vAlign w:val="bottom"/>
          </w:tcPr>
          <w:p>
            <w:pPr>
              <w:spacing w:after="0"/>
              <w:rPr>
                <w:sz w:val="1"/>
                <w:szCs w:val="1"/>
                <w:color w:val="auto"/>
              </w:rPr>
            </w:pPr>
          </w:p>
        </w:tc>
      </w:tr>
      <w:tr>
        <w:trPr>
          <w:trHeight w:val="18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949,651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90.79</w:t>
            </w:r>
          </w:p>
        </w:tc>
        <w:tc>
          <w:tcPr>
            <w:tcW w:w="0" w:type="dxa"/>
            <w:vAlign w:val="bottom"/>
          </w:tcPr>
          <w:p>
            <w:pPr>
              <w:spacing w:after="0"/>
              <w:rPr>
                <w:sz w:val="1"/>
                <w:szCs w:val="1"/>
                <w:color w:val="auto"/>
              </w:rPr>
            </w:pPr>
          </w:p>
        </w:tc>
      </w:tr>
      <w:tr>
        <w:trPr>
          <w:trHeight w:val="18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96.81</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Unvested at March 31, 2024 </w:t>
            </w:r>
            <w:r>
              <w:rPr>
                <w:rFonts w:ascii="Times New Roman" w:cs="Times New Roman" w:eastAsia="Times New Roman" w:hAnsi="Times New Roman"/>
                <w:sz w:val="18"/>
                <w:szCs w:val="18"/>
                <w:color w:val="auto"/>
                <w:vertAlign w:val="superscript"/>
              </w:rPr>
              <w:t>(1)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1,110,663</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520" w:right="60" w:hanging="165"/>
        <w:spacing w:after="0" w:line="254" w:lineRule="auto"/>
        <w:tabs>
          <w:tab w:leader="none" w:pos="491" w:val="left"/>
        </w:tabs>
        <w:numPr>
          <w:ilvl w:val="0"/>
          <w:numId w:val="7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Unvested restricted stock includes 0.1 million shares of performance-based awards that completed the three-year performance period but remained unsettled at March 31, 2024, subject to the certification of final performance by the Compensation, Culture and People Committee of the Board of Directors.</w:t>
      </w:r>
    </w:p>
    <w:p>
      <w:pPr>
        <w:spacing w:after="0" w:line="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53"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The Company offers a tax qualified Employee Stock Purchase Plan, or ESPP, which is designed to enable eligible employees to periodically purchase shares of the Class A Common Stock at a five percent discount from the fair market value of the Class A Common Stock. The ESPP provides for quarterly offering periods. For the year ended March 31, 2024, 0.2 million shares of Class A Common Stock were purchased by employees under the ESPP. Since the program's inception, 3.7 million shares have been purchased by employees of the total 10.0 million shares available.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Fair Value Measurements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financial instruments measured at fair value on a recurring basis in the accompanying consolidated balance sheets consist of the following: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Recurring Fair Value Measurements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as of March 31, 2024</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5"/>
                <w:szCs w:val="15"/>
                <w:color w:val="auto"/>
              </w:rPr>
            </w:pPr>
          </w:p>
        </w:tc>
        <w:tc>
          <w:tcPr>
            <w:tcW w:w="9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2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20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Current derivative instruments </w:t>
            </w:r>
            <w:r>
              <w:rPr>
                <w:rFonts w:ascii="Times New Roman" w:cs="Times New Roman" w:eastAsia="Times New Roman" w:hAnsi="Times New Roman"/>
                <w:sz w:val="18"/>
                <w:szCs w:val="18"/>
                <w:color w:val="auto"/>
                <w:vertAlign w:val="superscript"/>
              </w:rPr>
              <w:t>(1)</w:t>
            </w:r>
          </w:p>
        </w:tc>
        <w:tc>
          <w:tcPr>
            <w:tcW w:w="23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8,713</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8,713</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2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Long-term derivative instruments </w:t>
            </w:r>
            <w:r>
              <w:rPr>
                <w:rFonts w:ascii="Times New Roman" w:cs="Times New Roman" w:eastAsia="Times New Roman" w:hAnsi="Times New Roman"/>
                <w:sz w:val="18"/>
                <w:szCs w:val="18"/>
                <w:color w:val="auto"/>
                <w:vertAlign w:val="superscript"/>
              </w:rPr>
              <w:t>(1)</w:t>
            </w:r>
          </w:p>
        </w:tc>
        <w:tc>
          <w:tcPr>
            <w:tcW w:w="2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20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Long term deferred compensation plan asset </w:t>
            </w:r>
            <w:r>
              <w:rPr>
                <w:rFonts w:ascii="Times New Roman" w:cs="Times New Roman" w:eastAsia="Times New Roman" w:hAnsi="Times New Roman"/>
                <w:sz w:val="18"/>
                <w:szCs w:val="18"/>
                <w:color w:val="auto"/>
                <w:vertAlign w:val="superscript"/>
              </w:rPr>
              <w:t>(2)</w:t>
            </w: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28,957</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39,226</w:t>
            </w:r>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2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Long term deferred compensation plan liability </w:t>
            </w:r>
            <w:r>
              <w:rPr>
                <w:rFonts w:ascii="Times New Roman" w:cs="Times New Roman" w:eastAsia="Times New Roman" w:hAnsi="Times New Roman"/>
                <w:sz w:val="18"/>
                <w:szCs w:val="18"/>
                <w:color w:val="auto"/>
                <w:vertAlign w:val="superscript"/>
              </w:rPr>
              <w:t>(2)</w:t>
            </w:r>
          </w:p>
        </w:tc>
        <w:tc>
          <w:tcPr>
            <w:tcW w:w="2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28,957</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28,957</w:t>
            </w:r>
          </w:p>
        </w:tc>
        <w:tc>
          <w:tcPr>
            <w:tcW w:w="20" w:type="dxa"/>
            <w:vAlign w:val="bottom"/>
          </w:tcPr>
          <w:p>
            <w:pPr>
              <w:spacing w:after="0"/>
              <w:rPr>
                <w:sz w:val="14"/>
                <w:szCs w:val="14"/>
                <w:color w:val="auto"/>
              </w:rPr>
            </w:pPr>
          </w:p>
        </w:tc>
      </w:tr>
      <w:tr>
        <w:trPr>
          <w:trHeight w:val="701"/>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320" w:type="dxa"/>
            <w:vAlign w:val="bottom"/>
            <w:gridSpan w:val="2"/>
          </w:tcPr>
          <w:p>
            <w:pPr>
              <w:jc w:val="right"/>
              <w:ind w:right="689"/>
              <w:spacing w:after="0"/>
              <w:rPr>
                <w:sz w:val="20"/>
                <w:szCs w:val="20"/>
                <w:color w:val="auto"/>
              </w:rPr>
            </w:pPr>
            <w:r>
              <w:rPr>
                <w:rFonts w:ascii="Times New Roman" w:cs="Times New Roman" w:eastAsia="Times New Roman" w:hAnsi="Times New Roman"/>
                <w:sz w:val="14"/>
                <w:szCs w:val="14"/>
                <w:color w:val="auto"/>
              </w:rPr>
              <w:t>F-36</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110" w:name="page111"/>
    <w:bookmarkEnd w:id="11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Recurring Fair Value Measurements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6"/>
        </w:trPr>
        <w:tc>
          <w:tcPr>
            <w:tcW w:w="6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as of March 31, 2023</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4"/>
                <w:szCs w:val="14"/>
                <w:color w:val="auto"/>
              </w:rPr>
            </w:pPr>
          </w:p>
        </w:tc>
        <w:tc>
          <w:tcPr>
            <w:tcW w:w="9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180"/>
        </w:trPr>
        <w:tc>
          <w:tcPr>
            <w:tcW w:w="630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Current derivative instruments </w:t>
            </w:r>
            <w:r>
              <w:rPr>
                <w:rFonts w:ascii="Times New Roman" w:cs="Times New Roman" w:eastAsia="Times New Roman" w:hAnsi="Times New Roman"/>
                <w:sz w:val="18"/>
                <w:szCs w:val="18"/>
                <w:color w:val="auto"/>
                <w:vertAlign w:val="superscript"/>
              </w:rPr>
              <w:t>(1)</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11,245</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11,245</w:t>
            </w:r>
          </w:p>
        </w:tc>
      </w:tr>
      <w:tr>
        <w:trPr>
          <w:trHeight w:val="180"/>
        </w:trPr>
        <w:tc>
          <w:tcPr>
            <w:tcW w:w="63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Long-term derivative instruments </w:t>
            </w:r>
            <w:r>
              <w:rPr>
                <w:rFonts w:ascii="Times New Roman" w:cs="Times New Roman" w:eastAsia="Times New Roman" w:hAnsi="Times New Roman"/>
                <w:sz w:val="18"/>
                <w:szCs w:val="18"/>
                <w:color w:val="auto"/>
                <w:vertAlign w:val="superscript"/>
              </w:rPr>
              <w:t>(1)</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3,530</w:t>
            </w:r>
          </w:p>
        </w:tc>
      </w:tr>
      <w:tr>
        <w:trPr>
          <w:trHeight w:val="180"/>
        </w:trPr>
        <w:tc>
          <w:tcPr>
            <w:tcW w:w="630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Long term deferred compensation plan asset </w:t>
            </w:r>
            <w:r>
              <w:rPr>
                <w:rFonts w:ascii="Times New Roman" w:cs="Times New Roman" w:eastAsia="Times New Roman" w:hAnsi="Times New Roman"/>
                <w:sz w:val="18"/>
                <w:szCs w:val="18"/>
                <w:color w:val="auto"/>
                <w:vertAlign w:val="superscript"/>
              </w:rPr>
              <w:t>(2)</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20,090</w:t>
            </w:r>
          </w:p>
        </w:tc>
      </w:tr>
      <w:tr>
        <w:trPr>
          <w:trHeight w:val="171"/>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34,865</w:t>
            </w:r>
          </w:p>
        </w:tc>
      </w:tr>
      <w:tr>
        <w:trPr>
          <w:trHeight w:val="160"/>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0"/>
        </w:trPr>
        <w:tc>
          <w:tcPr>
            <w:tcW w:w="63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Long-term derivative instruments </w:t>
            </w:r>
            <w:r>
              <w:rPr>
                <w:rFonts w:ascii="Times New Roman" w:cs="Times New Roman" w:eastAsia="Times New Roman" w:hAnsi="Times New Roman"/>
                <w:sz w:val="18"/>
                <w:szCs w:val="18"/>
                <w:color w:val="auto"/>
                <w:vertAlign w:val="superscript"/>
              </w:rPr>
              <w:t>(1)</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r>
      <w:tr>
        <w:trPr>
          <w:trHeight w:val="180"/>
        </w:trPr>
        <w:tc>
          <w:tcPr>
            <w:tcW w:w="630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Long term deferred compensation plan liability </w:t>
            </w:r>
            <w:r>
              <w:rPr>
                <w:rFonts w:ascii="Times New Roman" w:cs="Times New Roman" w:eastAsia="Times New Roman" w:hAnsi="Times New Roman"/>
                <w:sz w:val="18"/>
                <w:szCs w:val="18"/>
                <w:color w:val="auto"/>
                <w:vertAlign w:val="superscript"/>
              </w:rPr>
              <w:t>(2)</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20,090</w:t>
            </w:r>
          </w:p>
        </w:tc>
      </w:tr>
      <w:tr>
        <w:trPr>
          <w:trHeight w:val="171"/>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21,459</w:t>
            </w:r>
          </w:p>
        </w:tc>
      </w:tr>
    </w:tbl>
    <w:p>
      <w:pPr>
        <w:spacing w:after="0" w:line="144" w:lineRule="exact"/>
        <w:rPr>
          <w:sz w:val="20"/>
          <w:szCs w:val="20"/>
          <w:color w:val="auto"/>
        </w:rPr>
      </w:pPr>
    </w:p>
    <w:p>
      <w:pPr>
        <w:ind w:left="520" w:right="100" w:hanging="133"/>
        <w:spacing w:after="0" w:line="237" w:lineRule="auto"/>
        <w:tabs>
          <w:tab w:leader="none" w:pos="535" w:val="left"/>
        </w:tabs>
        <w:numPr>
          <w:ilvl w:val="0"/>
          <w:numId w:val="8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11, “Derivatives,” to the consolidated financial statements for further discussion on the Company’s derivative instruments designated as cash flow hedges.</w:t>
      </w:r>
    </w:p>
    <w:p>
      <w:pPr>
        <w:spacing w:after="0" w:line="29" w:lineRule="exact"/>
        <w:rPr>
          <w:rFonts w:ascii="Times New Roman" w:cs="Times New Roman" w:eastAsia="Times New Roman" w:hAnsi="Times New Roman"/>
          <w:sz w:val="18"/>
          <w:szCs w:val="18"/>
          <w:color w:val="auto"/>
          <w:vertAlign w:val="superscript"/>
        </w:rPr>
      </w:pPr>
    </w:p>
    <w:p>
      <w:pPr>
        <w:jc w:val="both"/>
        <w:ind w:left="520" w:right="120" w:hanging="133"/>
        <w:spacing w:after="0" w:line="260" w:lineRule="auto"/>
        <w:tabs>
          <w:tab w:leader="none" w:pos="523" w:val="left"/>
        </w:tabs>
        <w:numPr>
          <w:ilvl w:val="0"/>
          <w:numId w:val="8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represent investments held in a consolidated trust to fund the Company's non-qualified deferred compensation plan and are recorded in other long-term assets and other long-term liabilities on our consolidated balance sheets.</w:t>
      </w:r>
    </w:p>
    <w:p>
      <w:pPr>
        <w:spacing w:after="0" w:line="58" w:lineRule="exact"/>
        <w:rPr>
          <w:sz w:val="20"/>
          <w:szCs w:val="20"/>
          <w:color w:val="auto"/>
        </w:rPr>
      </w:pPr>
    </w:p>
    <w:p>
      <w:pPr>
        <w:ind w:right="220" w:firstLine="318"/>
        <w:spacing w:after="0" w:line="270" w:lineRule="auto"/>
        <w:rPr>
          <w:sz w:val="20"/>
          <w:szCs w:val="20"/>
          <w:color w:val="auto"/>
        </w:rPr>
      </w:pPr>
      <w:r>
        <w:rPr>
          <w:rFonts w:ascii="Times New Roman" w:cs="Times New Roman" w:eastAsia="Times New Roman" w:hAnsi="Times New Roman"/>
          <w:sz w:val="14"/>
          <w:szCs w:val="14"/>
          <w:color w:val="auto"/>
        </w:rPr>
        <w:t>The fair value of the Company's cash and cash equivalents, which are Level 1 inputs, approximated its carrying values at March 31, 2024 and 2023. The Company’s cash and cash equivalent balances presented on the accompanying consolidated balance sheets include $192.7 million and $237.8 million of marketable securities in money market funds as of March 31, 2024 and 2023, respectively.</w:t>
      </w:r>
    </w:p>
    <w:p>
      <w:pPr>
        <w:spacing w:after="0" w:line="51"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The Company's long-term debt is carried at amortized cost and is measured at fair value quarterly for disclosure purposes. The estimated fair values of debt are determined using quoted prices or other market information obtained from recent trading activity of the debt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are determined using quoted prices or other market information obtained from recent trading activity in the high-yield bond market (Level 2 inputs). The carrying amount and estimated fair value of debt consists of the following:</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760" w:type="dxa"/>
            <w:vAlign w:val="bottom"/>
            <w:tcBorders>
              <w:bottom w:val="single" w:sz="8" w:color="auto"/>
            </w:tcBorders>
          </w:tcPr>
          <w:p>
            <w:pPr>
              <w:spacing w:after="0"/>
              <w:rPr>
                <w:sz w:val="16"/>
                <w:szCs w:val="16"/>
                <w:color w:val="auto"/>
              </w:rPr>
            </w:pPr>
          </w:p>
        </w:tc>
      </w:tr>
      <w:tr>
        <w:trPr>
          <w:trHeight w:val="17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r>
      <w:tr>
        <w:trPr>
          <w:trHeight w:val="171"/>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A</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1,588,125</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1,582,170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1,629,375</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1,600,861</w:t>
            </w:r>
          </w:p>
        </w:tc>
      </w:tr>
      <w:tr>
        <w:trPr>
          <w:trHeight w:val="180"/>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3.875% Senior Notes due 2028</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656,677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638,540</w:t>
            </w:r>
          </w:p>
        </w:tc>
      </w:tr>
      <w:tr>
        <w:trPr>
          <w:trHeight w:val="18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4.000% Senior Notes due 2029</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465,470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451,930</w:t>
            </w:r>
          </w:p>
        </w:tc>
      </w:tr>
      <w:tr>
        <w:trPr>
          <w:trHeight w:val="184"/>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5.950% Senior Notes due 2033</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672,815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98" w:lineRule="exact"/>
        <w:rPr>
          <w:sz w:val="20"/>
          <w:szCs w:val="20"/>
          <w:color w:val="auto"/>
        </w:rPr>
      </w:pPr>
    </w:p>
    <w:p>
      <w:pPr>
        <w:jc w:val="both"/>
        <w:ind w:right="660" w:firstLine="318"/>
        <w:spacing w:after="0" w:line="287" w:lineRule="auto"/>
        <w:rPr>
          <w:sz w:val="20"/>
          <w:szCs w:val="20"/>
          <w:color w:val="auto"/>
        </w:rPr>
      </w:pPr>
      <w:r>
        <w:rPr>
          <w:rFonts w:ascii="Times New Roman" w:cs="Times New Roman" w:eastAsia="Times New Roman" w:hAnsi="Times New Roman"/>
          <w:sz w:val="14"/>
          <w:szCs w:val="14"/>
          <w:color w:val="auto"/>
        </w:rPr>
        <w:t>For our investments that are measured at fair value on a non-recurring basis, we did not have any material measurement adjustments during fiscal 2024. See Note 5, “Acquisition and Divestitures,” to the consolidated financial statements for details on non-recurring fair value measurement adjustments related to the assets and liabilities acquired through our acquisitions.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Related Party Transactions</w:t>
      </w:r>
    </w:p>
    <w:p>
      <w:pPr>
        <w:spacing w:after="0" w:line="53" w:lineRule="exact"/>
        <w:rPr>
          <w:sz w:val="20"/>
          <w:szCs w:val="20"/>
          <w:color w:val="auto"/>
        </w:rPr>
      </w:pPr>
    </w:p>
    <w:p>
      <w:pPr>
        <w:ind w:right="220" w:firstLine="318"/>
        <w:spacing w:after="0" w:line="270" w:lineRule="auto"/>
        <w:rPr>
          <w:sz w:val="20"/>
          <w:szCs w:val="20"/>
          <w:color w:val="auto"/>
        </w:rPr>
      </w:pPr>
      <w:r>
        <w:rPr>
          <w:rFonts w:ascii="Times New Roman" w:cs="Times New Roman" w:eastAsia="Times New Roman" w:hAnsi="Times New Roman"/>
          <w:sz w:val="14"/>
          <w:szCs w:val="14"/>
          <w:color w:val="auto"/>
        </w:rPr>
        <w:t>Two of our directors served on the board of directors of a subcontractor to which the Company subcontracted $70.0 million of services for fiscal 2022. The subcontractor was acquired by another company in August 2021, at which point the two directors ceased to serve on the board of directors. Other than the fiscal 2022 subcontractor fees noted, we did not have any other material related party transactions in fiscal 2024, 2023 or 2022.</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111" w:name="page112"/>
    <w:bookmarkEnd w:id="11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Letters of Credit and Third-Party Guarantees</w:t>
      </w:r>
    </w:p>
    <w:p>
      <w:pPr>
        <w:spacing w:after="0" w:line="53"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4"/>
          <w:szCs w:val="14"/>
          <w:color w:val="auto"/>
        </w:rPr>
        <w:t>As of March 31, 2024 and 2023, the Company was contingently liable under open standby letters of credit and bank guarantees issued by our banks in favor of third parties that totaled $4.4 million and $6.1 million, respectively. These letters of credit and bank guarantees primarily support insurance and bid and performance obligations. At both March 31, 2024 and 2023, approximately $1.3 million of these instruments reduce the available borrowings under the Revolving Credit Facility. The remainder is guaranteed under a separate $7.5 million facility of which $4.4 million and $2.7 million were available to the Company at March 31, 2024 and March 31, 2023,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Contracting Matters - Provision for Claimed Indirect Costs</w:t>
      </w:r>
    </w:p>
    <w:p>
      <w:pPr>
        <w:spacing w:after="0" w:line="53"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4"/>
          <w:szCs w:val="14"/>
          <w:color w:val="auto"/>
        </w:rPr>
        <w:t>For each of the fiscal years 2024, 2023, and 2022, approximately 98%, 97%, and 97%, respectively,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U.S. government contracts and subcontracts are subject to extensive legal and regulatory requirements. From time to time and in the ordinary course of business, agencies of the U.S. government, including the Defense Contract Audit Agency (“DCAA”), audit the Company’s claimed indirect costs and conduct inquiries and investigations of our business practices with respect to government contracts to determine whether the Company's operations are conducted in accordance with these requirements and the terms of the relevant contracts. Based upon DCAA’s recent audit findings, the Company reduced a portion of its provision for claimed indirect costs related to fiscal 2022 by approximately $18.3 million during the second quarter of fiscal 2024, which resulted in a corresponding increase to revenue, to reflect our best estimate of the final indirect cost rates for fiscal 2022. Operating income for the fiscal year ended March 31, 2024 was accordingly increased by $18.3 million and net income was increased by $13.5 million (or $0.10 of basic and diluted earnings per common share for the fiscal year ended March 31, 2024). Our final indirect cost rates for fiscal 2022 remain subject to negotiation with the Defense Contract Management Agency (“DCMA”) Administrative Contracting Officer. Management believes it has recorded the appropriate provision for claimed indirect costs for any audit, inquiry, or investigation of which it is aware that may be subject to any reductions and/or penalties. As of March 31, 2024 and 2023, the Company had recorded liabilities of approximately $363.7 million and $326.7 million, respectively, for estimated adjustments to claimed indirect costs based on its historical DCAA audit results, including the final resolution of such audits with the Defense Contract Management Agency, for claimed indirect costs incurred subsequent to fiscal 2011, and for contracts not yet closed that are subject to audit and final resolution.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53"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March 31, 2024 and 2023, there were no material amounts accrued in the consolidated financial statements related to these proceedings.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2" w:right="339" w:bottom="1440" w:gutter="0" w:footer="0" w:header="0"/>
        </w:sectPr>
      </w:pPr>
    </w:p>
    <w:bookmarkStart w:id="112" w:name="page113"/>
    <w:bookmarkEnd w:id="11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(Amounts in tables in thousands, except share and per share data or unless otherwise noted)</w:t>
      </w:r>
    </w:p>
    <w:p>
      <w:pPr>
        <w:spacing w:after="0" w:line="355"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4"/>
          <w:szCs w:val="14"/>
          <w:color w:val="auto"/>
        </w:rPr>
        <w:t xml:space="preserve">On June 7, 2017, Booz Allen Hamilton was informed that the U.S. Department of Justice (“DOJ”) was conducting a civil and criminal investigation of the Company. In connection with the investigation, the DOJ requested information from the Company relating to certain elements of the Company’s cost accounting and indirect cost charging practices with the U.S. government. The investigation resulted from a </w:t>
      </w:r>
      <w:r>
        <w:rPr>
          <w:rFonts w:ascii="Times New Roman" w:cs="Times New Roman" w:eastAsia="Times New Roman" w:hAnsi="Times New Roman"/>
          <w:sz w:val="14"/>
          <w:szCs w:val="14"/>
          <w:i w:val="1"/>
          <w:iCs w:val="1"/>
          <w:color w:val="auto"/>
        </w:rPr>
        <w:t>qui tam</w:t>
      </w:r>
      <w:r>
        <w:rPr>
          <w:rFonts w:ascii="Times New Roman" w:cs="Times New Roman" w:eastAsia="Times New Roman" w:hAnsi="Times New Roman"/>
          <w:sz w:val="14"/>
          <w:szCs w:val="14"/>
          <w:color w:val="auto"/>
        </w:rPr>
        <w:t xml:space="preserve"> lawsuit filed on or about September 26, 2016 in the United States District Court for the District of Columbia pursuant to the </w:t>
      </w:r>
      <w:r>
        <w:rPr>
          <w:rFonts w:ascii="Times New Roman" w:cs="Times New Roman" w:eastAsia="Times New Roman" w:hAnsi="Times New Roman"/>
          <w:sz w:val="14"/>
          <w:szCs w:val="14"/>
          <w:i w:val="1"/>
          <w:iCs w:val="1"/>
          <w:color w:val="auto"/>
        </w:rPr>
        <w:t>qui tam</w:t>
      </w:r>
      <w:r>
        <w:rPr>
          <w:rFonts w:ascii="Times New Roman" w:cs="Times New Roman" w:eastAsia="Times New Roman" w:hAnsi="Times New Roman"/>
          <w:sz w:val="14"/>
          <w:szCs w:val="14"/>
          <w:color w:val="auto"/>
        </w:rPr>
        <w:t xml:space="preserve"> provisions of the civil False Claims Act (the “Civil Action”), which lawsuit was under judicial seal until July 21, 2023. After learning of the investigation, the Company engaged a law firm experienced in these matters to represent the Company in connection with this matter and respond to the government's requests. As is commonly the case with this type of matter, the Company was also contacted by other regulatory agencies and bodies, including the SEC, which notified the Company that it was conducting an investigation that the Company believes related to the matters that were also the subject of the DOJ's investigation.</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May 12, 2021, the Company was informed that the DOJ closed its criminal investigation.</w:t>
      </w:r>
    </w:p>
    <w:p>
      <w:pPr>
        <w:spacing w:after="0" w:line="51" w:lineRule="exact"/>
        <w:rPr>
          <w:sz w:val="20"/>
          <w:szCs w:val="20"/>
          <w:color w:val="auto"/>
        </w:rPr>
      </w:pPr>
    </w:p>
    <w:p>
      <w:pPr>
        <w:jc w:val="both"/>
        <w:ind w:right="60" w:firstLine="318"/>
        <w:spacing w:after="0" w:line="270" w:lineRule="auto"/>
        <w:rPr>
          <w:sz w:val="20"/>
          <w:szCs w:val="20"/>
          <w:color w:val="auto"/>
        </w:rPr>
      </w:pPr>
      <w:r>
        <w:rPr>
          <w:rFonts w:ascii="Times New Roman" w:cs="Times New Roman" w:eastAsia="Times New Roman" w:hAnsi="Times New Roman"/>
          <w:sz w:val="14"/>
          <w:szCs w:val="14"/>
          <w:color w:val="auto"/>
        </w:rPr>
        <w:t>On July 21, 2023, the Company entered into a Settlement Agreement (the “Settlement Agreement”) with the United States of America, acting through the DOJ and on behalf of the Department of Defense and Defense Contract Management Agency (collectively the “United States”), and Relator Sarah A. Feinberg, to resolve the DOJ’s civil investigation and the Civil Action. The Company entered into the Settlement Agreement to avoid the delay, uncertainty and expense of protracted litigation. The Settlement Agreement contains no admission of liability by the Company.</w:t>
      </w:r>
    </w:p>
    <w:p>
      <w:pPr>
        <w:spacing w:after="0" w:line="8"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Under the terms of the Settlement Agreement, the Company agreed to pay to the United States $377.5 million (the “Settlement Amount”). The Company paid the Settlement Amount with cash on hand and by drawing on its revolving credit facility. As of June 30, 2023, the Company had recorded a $377.5 million reserve relating to this investigation and had previously disclosed that it believed the range of reasonably possible loss in connection with the investigation to be between $350 million and $378 million. Following the United States’ receipt of the Settlement Amount, the Company was released from any civil or administrative monetary claims under the civil False Claims Act and other specified civil statutes and common law theories of liability for certain elements of the Company’s cost accounting and indirect cost charging practices from April 1, 2011 through March 31, 2021, and the claim brought in the Civil Action was dismissed with prejudice.</w:t>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July 27, 2023, the Company was informed that the SEC concluded its investigation without recommending an enforcement action.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Business Segment Information</w:t>
      </w:r>
    </w:p>
    <w:p>
      <w:pPr>
        <w:spacing w:after="0" w:line="53" w:lineRule="exact"/>
        <w:rPr>
          <w:sz w:val="20"/>
          <w:szCs w:val="20"/>
          <w:color w:val="auto"/>
        </w:rPr>
      </w:pPr>
    </w:p>
    <w:p>
      <w:pPr>
        <w:ind w:right="300" w:firstLine="350"/>
        <w:spacing w:after="0" w:line="264" w:lineRule="auto"/>
        <w:rPr>
          <w:sz w:val="20"/>
          <w:szCs w:val="20"/>
          <w:color w:val="auto"/>
        </w:rPr>
      </w:pPr>
      <w:r>
        <w:rPr>
          <w:rFonts w:ascii="Times New Roman" w:cs="Times New Roman" w:eastAsia="Times New Roman" w:hAnsi="Times New Roman"/>
          <w:sz w:val="14"/>
          <w:szCs w:val="14"/>
          <w:color w:val="auto"/>
        </w:rPr>
        <w:t>The Company reports operating results and financial data in one operating and reportable segment. The Company manages its business as a single profit center in order to promote collaboration, provide comprehensive functional service offerings across its entire client base, and provide incentives to employees based on the success of the organization as a whole. Although certain information regarding served markets and functional capabilities is discussed for purposes of promoting an understanding of the Company’s complex business, the Company manages its business and allocates resources at the consolidated level of a single operating segment.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22. Subsequent Events</w:t>
      </w:r>
    </w:p>
    <w:p>
      <w:pPr>
        <w:spacing w:after="0" w:line="53" w:lineRule="exact"/>
        <w:rPr>
          <w:sz w:val="20"/>
          <w:szCs w:val="20"/>
          <w:color w:val="auto"/>
        </w:rPr>
      </w:pPr>
    </w:p>
    <w:p>
      <w:pPr>
        <w:ind w:right="320" w:firstLine="318"/>
        <w:spacing w:after="0" w:line="287" w:lineRule="auto"/>
        <w:rPr>
          <w:sz w:val="20"/>
          <w:szCs w:val="20"/>
          <w:color w:val="auto"/>
        </w:rPr>
      </w:pPr>
      <w:r>
        <w:rPr>
          <w:rFonts w:ascii="Times New Roman" w:cs="Times New Roman" w:eastAsia="Times New Roman" w:hAnsi="Times New Roman"/>
          <w:sz w:val="14"/>
          <w:szCs w:val="14"/>
          <w:color w:val="auto"/>
        </w:rPr>
        <w:t>On May 24, 2024, the Company announced that its Board of Directors had declared a quarterly cash dividend of $0.51 per share. Payment of the dividend will be made on June 28, 2024 to stockholders of record at the close of business on June 13, 2024.</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2" w:right="339" w:bottom="1440" w:gutter="0" w:footer="0" w:header="0"/>
        </w:sectPr>
      </w:pPr>
    </w:p>
    <w:bookmarkStart w:id="113" w:name="page114"/>
    <w:bookmarkEnd w:id="113"/>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9</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Changes in and Disagreements With Accountants on Accounting and Financial Disclosure</w:t>
      </w:r>
      <w:r>
        <w:rPr>
          <w:rFonts w:ascii="Times New Roman" w:cs="Times New Roman" w:eastAsia="Times New Roman" w:hAnsi="Times New Roman"/>
          <w:sz w:val="14"/>
          <w:szCs w:val="14"/>
          <w:b w:val="1"/>
          <w:bCs w:val="1"/>
          <w:i w:val="1"/>
          <w:iCs w:val="1"/>
          <w:color w:val="auto"/>
        </w:rPr>
        <w:t>.</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3"/>
          <w:szCs w:val="13"/>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53"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The Company’s management, with the participation of our Chief Executive Officer and Chief Financial Officer, has evaluated the effectiveness of our disclosure controls and procedures, as defined in Rules 13a-15(e) and 15d-15(e) of the Securities Exchange Act of 1934, as of the end of the period covered by this Annual Report. Based on that evaluation, our Chief Executive Officer and Chief Financial Officer concluded that, as of the end of the period covered by this Annual Report, our disclosure controls and procedures were effective as of March 31, 2024.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 and Attestation Report of the Registered Public Accounting Firm</w:t>
      </w:r>
    </w:p>
    <w:p>
      <w:pPr>
        <w:spacing w:after="0" w:line="53" w:lineRule="exact"/>
        <w:rPr>
          <w:sz w:val="20"/>
          <w:szCs w:val="20"/>
          <w:color w:val="auto"/>
        </w:rPr>
      </w:pPr>
    </w:p>
    <w:p>
      <w:pPr>
        <w:ind w:right="60" w:firstLine="350"/>
        <w:spacing w:after="0" w:line="28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Our internal control system was designed to provide reasonable assurance to our management and the Board regarding the reliability of financial reporting and the preparation of consolidated financial statements for external purposes.</w:t>
      </w:r>
    </w:p>
    <w:p>
      <w:pPr>
        <w:spacing w:after="0" w:line="1" w:lineRule="exact"/>
        <w:rPr>
          <w:sz w:val="20"/>
          <w:szCs w:val="20"/>
          <w:color w:val="auto"/>
        </w:rPr>
      </w:pPr>
    </w:p>
    <w:p>
      <w:pPr>
        <w:ind w:right="60" w:firstLine="350"/>
        <w:spacing w:after="0" w:line="270" w:lineRule="auto"/>
        <w:rPr>
          <w:sz w:val="20"/>
          <w:szCs w:val="20"/>
          <w:color w:val="auto"/>
        </w:rPr>
      </w:pPr>
      <w:r>
        <w:rPr>
          <w:rFonts w:ascii="Times New Roman" w:cs="Times New Roman" w:eastAsia="Times New Roman" w:hAnsi="Times New Roman"/>
          <w:sz w:val="14"/>
          <w:szCs w:val="14"/>
          <w:color w:val="auto"/>
        </w:rPr>
        <w:t xml:space="preserve">Our management conducted an assessment of the effectiveness of our internal control over financial reporting as of March 31, 2024. This assessment was based on the criteria set forth by the Committee of Sponsoring Organizations of the Treadway Commission in </w:t>
      </w:r>
      <w:r>
        <w:rPr>
          <w:rFonts w:ascii="Times New Roman" w:cs="Times New Roman" w:eastAsia="Times New Roman" w:hAnsi="Times New Roman"/>
          <w:sz w:val="14"/>
          <w:szCs w:val="14"/>
          <w:i w:val="1"/>
          <w:iCs w:val="1"/>
          <w:color w:val="auto"/>
        </w:rPr>
        <w:t>Internal Control — Integrated Framework (2013 framework)</w:t>
      </w:r>
      <w:r>
        <w:rPr>
          <w:rFonts w:ascii="Times New Roman" w:cs="Times New Roman" w:eastAsia="Times New Roman" w:hAnsi="Times New Roman"/>
          <w:sz w:val="14"/>
          <w:szCs w:val="14"/>
          <w:color w:val="auto"/>
        </w:rPr>
        <w:t>. Based on this assessment, management has concluded that, as of March 31, 2024, our internal control over financial reporting was effective.</w:t>
      </w:r>
    </w:p>
    <w:p>
      <w:pPr>
        <w:spacing w:after="0" w:line="8" w:lineRule="exact"/>
        <w:rPr>
          <w:sz w:val="20"/>
          <w:szCs w:val="20"/>
          <w:color w:val="auto"/>
        </w:rPr>
      </w:pPr>
    </w:p>
    <w:p>
      <w:pPr>
        <w:ind w:right="2260" w:firstLine="318"/>
        <w:spacing w:after="0" w:line="347" w:lineRule="auto"/>
        <w:rPr>
          <w:sz w:val="20"/>
          <w:szCs w:val="20"/>
          <w:color w:val="auto"/>
        </w:rPr>
      </w:pPr>
      <w:r>
        <w:rPr>
          <w:rFonts w:ascii="Times New Roman" w:cs="Times New Roman" w:eastAsia="Times New Roman" w:hAnsi="Times New Roman"/>
          <w:sz w:val="14"/>
          <w:szCs w:val="14"/>
          <w:color w:val="auto"/>
        </w:rPr>
        <w:t xml:space="preserve">Our independent registered public accounting firm has issued a report on the effectiveness of our internal control over financial reporting, which is below. </w:t>
      </w:r>
      <w:r>
        <w:rPr>
          <w:rFonts w:ascii="Times New Roman" w:cs="Times New Roman" w:eastAsia="Times New Roman" w:hAnsi="Times New Roman"/>
          <w:sz w:val="14"/>
          <w:szCs w:val="14"/>
          <w:b w:val="1"/>
          <w:bCs w:val="1"/>
          <w:color w:val="auto"/>
        </w:rPr>
        <w:t>Changes in Internal Control Over Financial Reporting</w:t>
      </w:r>
    </w:p>
    <w:p>
      <w:pPr>
        <w:spacing w:after="0" w:line="1"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defined in Rules 13a-15(f) and 15d-15(f) of the Securities Exchange Act of 1934, that occurred in the fourth fiscal quarter of the period covered by this Annual Report that materially affected, or are reasonably likely to materially affect, our internal control over financial reporting.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8" w:right="31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Booz Allen Hamilton Holding Corporation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We have audited Booz Allen Hamilton Holding Corporation’s internal control over financial reporting as of March 31, 2024, based on criteria established in Internal Control—Integrated Framework issued by the Committee of Sponsoring Organizations of the Treadway Commission (2013 framework) (the COSO criteria). In our opinion, Booz Allen Hamilton Holding Corporation (the Company) maintained, in all material respects, effective internal control over financial reporting as of March 31, 2024, based on the COSO criteria.</w:t>
      </w:r>
    </w:p>
    <w:p>
      <w:pPr>
        <w:spacing w:after="0" w:line="15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March 31, 2024 and 2023, the related consolidated statements of operations, comprehensive income, stockholders’ equity, and cash flows for each of the three years in the period ended March 31, 2024, and the related notes and our report dated May 24, 2024 expressed an unqualified opinion thereon.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7"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9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Tysons, Virginia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24, 2024</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80" w:right="339" w:bottom="1440" w:gutter="0" w:footer="0" w:header="0"/>
        </w:sectPr>
      </w:pPr>
    </w:p>
    <w:bookmarkStart w:id="115" w:name="page116"/>
    <w:bookmarkEnd w:id="115"/>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9B</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Retirement of Dr. Shrader and Chair Transition</w:t>
      </w:r>
    </w:p>
    <w:p>
      <w:pPr>
        <w:spacing w:after="0" w:line="53"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On May 21, 2024, Dr. Ralph W. Shrader, Chair of the Board of Directors (the “Board”) of the Company informed the Board of his intention to not stand for re-election and to retire as Chair and as a member of the Board, effective as of the Company’s annual meeting of stockholders to be held on July 24, 2024 (the “Annual Meeting”). Additionally, on May 22, 2024, the Board elected President and Chief Executive Officer, Horacio D. Rozanski, to serve as Chair, President and Chief Executive Officer, effective as of the Annual Meeting, and appointed Mark Gaumond, the Company’s Audit Committee Chair, to serve as Lead Independent Director, effective as of the Annual Meeting.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2025 Compensation Adjustments</w:t>
      </w:r>
    </w:p>
    <w:p>
      <w:pPr>
        <w:spacing w:after="0" w:line="53" w:lineRule="exact"/>
        <w:rPr>
          <w:sz w:val="20"/>
          <w:szCs w:val="20"/>
          <w:color w:val="auto"/>
        </w:rPr>
      </w:pPr>
    </w:p>
    <w:p>
      <w:pPr>
        <w:ind w:right="220" w:firstLine="350"/>
        <w:spacing w:after="0" w:line="284" w:lineRule="auto"/>
        <w:rPr>
          <w:sz w:val="20"/>
          <w:szCs w:val="20"/>
          <w:color w:val="auto"/>
        </w:rPr>
      </w:pPr>
      <w:r>
        <w:rPr>
          <w:rFonts w:ascii="Times New Roman" w:cs="Times New Roman" w:eastAsia="Times New Roman" w:hAnsi="Times New Roman"/>
          <w:sz w:val="14"/>
          <w:szCs w:val="14"/>
          <w:color w:val="auto"/>
        </w:rPr>
        <w:t>On May 21, 2024, the Compensation, Culture and People Committee (the “Committee”) of the Board approved for fiscal year 2025 certain changes to the target total direct compensation of certain named executive officers of the Company.</w:t>
      </w:r>
    </w:p>
    <w:p>
      <w:pPr>
        <w:spacing w:after="0" w:line="1" w:lineRule="exact"/>
        <w:rPr>
          <w:sz w:val="20"/>
          <w:szCs w:val="20"/>
          <w:color w:val="auto"/>
        </w:rPr>
      </w:pPr>
    </w:p>
    <w:p>
      <w:pPr>
        <w:jc w:val="both"/>
        <w:ind w:right="100" w:firstLine="350"/>
        <w:spacing w:after="0" w:line="284" w:lineRule="auto"/>
        <w:rPr>
          <w:sz w:val="20"/>
          <w:szCs w:val="20"/>
          <w:color w:val="auto"/>
        </w:rPr>
      </w:pPr>
      <w:r>
        <w:rPr>
          <w:rFonts w:ascii="Times New Roman" w:cs="Times New Roman" w:eastAsia="Times New Roman" w:hAnsi="Times New Roman"/>
          <w:sz w:val="14"/>
          <w:szCs w:val="14"/>
          <w:color w:val="auto"/>
        </w:rPr>
        <w:t>The target total direct compensation for Matthew A. Calderone, Executive Vice President and Chief Financial Officer of the Company, was increased to $3,200,000, which reflects an increase of $100,000 in his base salary, an increase of $100,000 in his target cash bonus, and an increase of $300,000 in his long-term equity incentive.</w:t>
      </w:r>
    </w:p>
    <w:p>
      <w:pPr>
        <w:spacing w:after="0" w:line="1" w:lineRule="exact"/>
        <w:rPr>
          <w:sz w:val="20"/>
          <w:szCs w:val="20"/>
          <w:color w:val="auto"/>
        </w:rPr>
      </w:pPr>
    </w:p>
    <w:p>
      <w:pPr>
        <w:jc w:val="both"/>
        <w:ind w:right="120" w:firstLine="350"/>
        <w:spacing w:after="0" w:line="284" w:lineRule="auto"/>
        <w:rPr>
          <w:sz w:val="20"/>
          <w:szCs w:val="20"/>
          <w:color w:val="auto"/>
        </w:rPr>
      </w:pPr>
      <w:r>
        <w:rPr>
          <w:rFonts w:ascii="Times New Roman" w:cs="Times New Roman" w:eastAsia="Times New Roman" w:hAnsi="Times New Roman"/>
          <w:sz w:val="14"/>
          <w:szCs w:val="14"/>
          <w:color w:val="auto"/>
        </w:rPr>
        <w:t>The target total direct compensation for Kristine M. Anderson, Executive Vice President and Chief Operating Officer of the Company, was increased to $3,675,000, which reflects an increase of $125,000 in her target cash bonus and an increase of $250,000 in her long-term equity incentive.</w:t>
      </w:r>
    </w:p>
    <w:p>
      <w:pPr>
        <w:spacing w:after="0" w:line="1" w:lineRule="exact"/>
        <w:rPr>
          <w:sz w:val="20"/>
          <w:szCs w:val="20"/>
          <w:color w:val="auto"/>
        </w:rPr>
      </w:pPr>
    </w:p>
    <w:p>
      <w:pPr>
        <w:jc w:val="both"/>
        <w:ind w:right="100" w:firstLine="350"/>
        <w:spacing w:after="0" w:line="264" w:lineRule="auto"/>
        <w:rPr>
          <w:sz w:val="20"/>
          <w:szCs w:val="20"/>
          <w:color w:val="auto"/>
        </w:rPr>
      </w:pPr>
      <w:r>
        <w:rPr>
          <w:rFonts w:ascii="Times New Roman" w:cs="Times New Roman" w:eastAsia="Times New Roman" w:hAnsi="Times New Roman"/>
          <w:sz w:val="14"/>
          <w:szCs w:val="14"/>
          <w:color w:val="auto"/>
        </w:rPr>
        <w:t>Additionally, on May 21, 2024, in connection with the approval of the foregoing compensation changes and the annual equity grants for our named executed officers, the Committee approved special one-time equity grants for each of Mr. Calderone and Mses. Anderson and Nancy J. Laben, Executive Vice President and Chief Legal Officer of the Company, in the amounts of $3,000,000, $3,000,000 and $1,000,000, respectively. Mr. Calderone’s and Ms. Anderson’s grants are comprised of 50% time-based restricted stock units and 50% performance-based restricted stock units, and Ms. Laben’s grant is comprised of 100% time-based restricted stock units.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of Trading Arrangements</w:t>
      </w:r>
    </w:p>
    <w:p>
      <w:pPr>
        <w:spacing w:after="0" w:line="53"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Item 408(a) of Regulation S-K requires the Company to disclose whether any director or officer of the Company has adopted or terminated (i) any trading arrangement that is intended to satisfy the affirmative defense conditions of Rule 10b5-1(c) (a “Rule 10b5-1 trading arrangement”); and/or (ii) any written trading arrangement that meets the requirements of a “non-Rule 10b5-1 trading arrangement” as defined in Item 408(c) of Regulation S-K.</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During the quarter ended March 31, 2024, the following activity occurred requiring disclosure under Item 408(a) of Regulation S-K:</w:t>
      </w:r>
    </w:p>
    <w:p>
      <w:pPr>
        <w:spacing w:after="0" w:line="51" w:lineRule="exact"/>
        <w:rPr>
          <w:sz w:val="20"/>
          <w:szCs w:val="20"/>
          <w:color w:val="auto"/>
        </w:rPr>
      </w:pPr>
    </w:p>
    <w:p>
      <w:pPr>
        <w:ind w:firstLine="350"/>
        <w:spacing w:after="0" w:line="284" w:lineRule="auto"/>
        <w:rPr>
          <w:sz w:val="20"/>
          <w:szCs w:val="20"/>
          <w:color w:val="auto"/>
        </w:rPr>
      </w:pPr>
      <w:r>
        <w:rPr>
          <w:rFonts w:ascii="Times New Roman" w:cs="Times New Roman" w:eastAsia="Times New Roman" w:hAnsi="Times New Roman"/>
          <w:sz w:val="14"/>
          <w:szCs w:val="14"/>
          <w:color w:val="auto"/>
        </w:rPr>
        <w:t>Melody Barnes, a member of the Board of Directors, adopted a new Rule 10b5-1 trading arrangement on March 14, 2024 that will terminate on March 14, 2025. Under the trading arrangement, up to an aggregate of 1,041 shares of common stock are available to be sold by the broker upon reaching pricing targets defined in the trading arrangement.</w:t>
      </w:r>
    </w:p>
    <w:p>
      <w:pPr>
        <w:spacing w:after="0" w:line="1" w:lineRule="exact"/>
        <w:rPr>
          <w:sz w:val="20"/>
          <w:szCs w:val="20"/>
          <w:color w:val="auto"/>
        </w:rPr>
      </w:pPr>
    </w:p>
    <w:p>
      <w:pPr>
        <w:ind w:right="80" w:firstLine="350"/>
        <w:spacing w:after="0" w:line="284" w:lineRule="auto"/>
        <w:rPr>
          <w:sz w:val="20"/>
          <w:szCs w:val="20"/>
          <w:color w:val="auto"/>
        </w:rPr>
      </w:pPr>
      <w:r>
        <w:rPr>
          <w:rFonts w:ascii="Times New Roman" w:cs="Times New Roman" w:eastAsia="Times New Roman" w:hAnsi="Times New Roman"/>
          <w:sz w:val="14"/>
          <w:szCs w:val="14"/>
          <w:color w:val="auto"/>
        </w:rPr>
        <w:t>Richard Crowe, an Executive Vice President and President for the Company's Civil sector, adopted a new Rule 10b5-1 trading arrangement on March 4, 2024 that will terminate on February 28, 2025. Under the trading arrangement, up to an aggregate of 5,249 shares of common stock are available to be sold by the broker upon reaching pricing targets defined in the trading arrangement.</w:t>
      </w:r>
    </w:p>
    <w:p>
      <w:pPr>
        <w:spacing w:after="0" w:line="1"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Susan Penfield, our Chief Technology Officer, adopted a new Rule 10b5-1 trading arrangement on February 8, 2024 that will terminate on June 7, 2024. Under the trading arrangement, up to an aggregate of 30,161 shares of common stock issuable upon the exercise of options are available to be sold by the broker upon reaching pricing targets defined in the trading arrangement.</w:t>
      </w:r>
    </w:p>
    <w:p>
      <w:pPr>
        <w:spacing w:after="0" w:line="8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9C</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Disclosure Regarding Foreign Jurisdictions that Prevent Inspections.</w:t>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3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10</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Directors, Executive Officers and Corporate Governance.</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Information related to our directors is set forth under the caption “Proposal 1: Election of Directors” of our Proxy Statement for our Annual Meeting of Stockholders scheduled for July 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 (the “2024 Proxy Statement”). Such information is incorporated herein by reference.</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Information relating to our Executive Officers is included in Part I of this Annual Report under the caption “Information about our Executive Officers.”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3" w:right="339" w:bottom="1440" w:gutter="0" w:footer="0" w:header="0"/>
        </w:sectPr>
      </w:pPr>
    </w:p>
    <w:bookmarkStart w:id="116" w:name="page117"/>
    <w:bookmarkEnd w:id="116"/>
    <w:p>
      <w:pPr>
        <w:ind w:right="560" w:firstLine="350"/>
        <w:spacing w:after="0" w:line="284" w:lineRule="auto"/>
        <w:rPr>
          <w:sz w:val="20"/>
          <w:szCs w:val="20"/>
          <w:color w:val="auto"/>
        </w:rPr>
      </w:pPr>
      <w:r>
        <w:rPr>
          <w:rFonts w:ascii="Times New Roman" w:cs="Times New Roman" w:eastAsia="Times New Roman" w:hAnsi="Times New Roman"/>
          <w:sz w:val="14"/>
          <w:szCs w:val="14"/>
          <w:color w:val="auto"/>
        </w:rPr>
        <w:t>Information relating to compliance with Section 16(a) of the Exchange Act, to the extent required, is set forth in our 2024 Proxy Statement. Such information is incorporated herein by reference.</w:t>
      </w:r>
    </w:p>
    <w:p>
      <w:pPr>
        <w:spacing w:after="0" w:line="1" w:lineRule="exact"/>
        <w:rPr>
          <w:sz w:val="20"/>
          <w:szCs w:val="20"/>
          <w:color w:val="auto"/>
        </w:rPr>
      </w:pPr>
    </w:p>
    <w:p>
      <w:pPr>
        <w:ind w:right="300" w:firstLine="350"/>
        <w:spacing w:after="0" w:line="284" w:lineRule="auto"/>
        <w:rPr>
          <w:sz w:val="20"/>
          <w:szCs w:val="20"/>
          <w:color w:val="auto"/>
        </w:rPr>
      </w:pPr>
      <w:r>
        <w:rPr>
          <w:rFonts w:ascii="Times New Roman" w:cs="Times New Roman" w:eastAsia="Times New Roman" w:hAnsi="Times New Roman"/>
          <w:sz w:val="14"/>
          <w:szCs w:val="14"/>
          <w:color w:val="auto"/>
        </w:rPr>
        <w:t>Information related to our code of ethics is set forth under the caption “Corporate Governance and General Information Concerning the Board of Directors and its Committees” of our 2024 Proxy Statement. Such information is incorporated herein by reference.</w:t>
      </w:r>
    </w:p>
    <w:p>
      <w:pPr>
        <w:spacing w:after="0" w:line="1" w:lineRule="exact"/>
        <w:rPr>
          <w:sz w:val="20"/>
          <w:szCs w:val="20"/>
          <w:color w:val="auto"/>
        </w:rPr>
      </w:pPr>
    </w:p>
    <w:p>
      <w:pPr>
        <w:ind w:right="300" w:firstLine="350"/>
        <w:spacing w:after="0" w:line="284" w:lineRule="auto"/>
        <w:rPr>
          <w:sz w:val="20"/>
          <w:szCs w:val="20"/>
          <w:color w:val="auto"/>
        </w:rPr>
      </w:pPr>
      <w:r>
        <w:rPr>
          <w:rFonts w:ascii="Times New Roman" w:cs="Times New Roman" w:eastAsia="Times New Roman" w:hAnsi="Times New Roman"/>
          <w:sz w:val="14"/>
          <w:szCs w:val="14"/>
          <w:color w:val="auto"/>
        </w:rPr>
        <w:t>Information related to our insider trading policy is set forth under the caption “Insider Trading Policy and Policy on Hedging, Short Sales, and Speculative Transactions” of our 2024 Proxy Statement. Such information is incorporated herein by reference.</w:t>
      </w:r>
    </w:p>
    <w:p>
      <w:pPr>
        <w:spacing w:after="0" w:line="1" w:lineRule="exact"/>
        <w:rPr>
          <w:sz w:val="20"/>
          <w:szCs w:val="20"/>
          <w:color w:val="auto"/>
        </w:rPr>
      </w:pPr>
    </w:p>
    <w:p>
      <w:pPr>
        <w:ind w:right="100" w:firstLine="350"/>
        <w:spacing w:after="0" w:line="270" w:lineRule="auto"/>
        <w:rPr>
          <w:sz w:val="20"/>
          <w:szCs w:val="20"/>
          <w:color w:val="auto"/>
        </w:rPr>
      </w:pPr>
      <w:r>
        <w:rPr>
          <w:rFonts w:ascii="Times New Roman" w:cs="Times New Roman" w:eastAsia="Times New Roman" w:hAnsi="Times New Roman"/>
          <w:sz w:val="14"/>
          <w:szCs w:val="14"/>
          <w:color w:val="auto"/>
        </w:rPr>
        <w:t>Information relating to the Audit Committee required by Item 407(d)(4) of Regulation S-K and relating to Audit Committee and Board of Directors determinations concerning whether a member of the Audit Committee is a “financial expert” as that term is defined under Item 407(d)(5) of Regulation S-K is set forth under the caption “Corporate Governance and General Information Concerning the Board of Directors and its Committees” of our 2024 Proxy Statement. Such information is incorporated herein by reference.</w:t>
      </w:r>
    </w:p>
    <w:p>
      <w:pPr>
        <w:spacing w:after="0" w:line="9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11</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Executive Compensation.</w:t>
      </w:r>
    </w:p>
    <w:p>
      <w:pPr>
        <w:spacing w:after="0" w:line="53" w:lineRule="exact"/>
        <w:rPr>
          <w:sz w:val="20"/>
          <w:szCs w:val="20"/>
          <w:color w:val="auto"/>
        </w:rPr>
      </w:pPr>
    </w:p>
    <w:p>
      <w:pPr>
        <w:ind w:right="600" w:firstLine="350"/>
        <w:spacing w:after="0" w:line="287" w:lineRule="auto"/>
        <w:rPr>
          <w:sz w:val="20"/>
          <w:szCs w:val="20"/>
          <w:color w:val="auto"/>
        </w:rPr>
      </w:pPr>
      <w:r>
        <w:rPr>
          <w:rFonts w:ascii="Times New Roman" w:cs="Times New Roman" w:eastAsia="Times New Roman" w:hAnsi="Times New Roman"/>
          <w:sz w:val="14"/>
          <w:szCs w:val="14"/>
          <w:color w:val="auto"/>
        </w:rPr>
        <w:t>Information relating to this item is set forth under the captions “Compensation Discussion and Analysis,” “Director Compensation,” “Compensation Committee Interlocks and Insider Participation” and “Compensation Committee Report” of our 2024 Proxy Statement. Such information is incorporated herein by reference.</w:t>
      </w:r>
    </w:p>
    <w:p>
      <w:pPr>
        <w:spacing w:after="0" w:line="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12</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Security Ownership of Certain Beneficial Owners and Management and Related Stockholder Matters.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Compensation Plans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information concerning the securities authorized for issuance pursuant to our equity compensation plans as of March 31, 2024: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38"/>
        </w:trPr>
        <w:tc>
          <w:tcPr>
            <w:tcW w:w="4120" w:type="dxa"/>
            <w:vAlign w:val="bottom"/>
          </w:tcPr>
          <w:p>
            <w:pPr>
              <w:spacing w:after="0"/>
              <w:rPr>
                <w:sz w:val="11"/>
                <w:szCs w:val="11"/>
                <w:color w:val="auto"/>
              </w:rPr>
            </w:pPr>
          </w:p>
        </w:tc>
        <w:tc>
          <w:tcPr>
            <w:tcW w:w="19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9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5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19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5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Future Issuance Under Equity</w:t>
            </w:r>
          </w:p>
        </w:tc>
        <w:tc>
          <w:tcPr>
            <w:tcW w:w="0" w:type="dxa"/>
            <w:vAlign w:val="bottom"/>
          </w:tcPr>
          <w:p>
            <w:pPr>
              <w:spacing w:after="0"/>
              <w:rPr>
                <w:sz w:val="1"/>
                <w:szCs w:val="1"/>
                <w:color w:val="auto"/>
              </w:rPr>
            </w:pPr>
          </w:p>
        </w:tc>
      </w:tr>
      <w:tr>
        <w:trPr>
          <w:trHeight w:val="138"/>
        </w:trPr>
        <w:tc>
          <w:tcPr>
            <w:tcW w:w="4120" w:type="dxa"/>
            <w:vAlign w:val="bottom"/>
          </w:tcPr>
          <w:p>
            <w:pPr>
              <w:spacing w:after="0"/>
              <w:rPr>
                <w:sz w:val="11"/>
                <w:szCs w:val="11"/>
                <w:color w:val="auto"/>
              </w:rPr>
            </w:pPr>
          </w:p>
        </w:tc>
        <w:tc>
          <w:tcPr>
            <w:tcW w:w="19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8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5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38"/>
        </w:trPr>
        <w:tc>
          <w:tcPr>
            <w:tcW w:w="4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80" w:type="dxa"/>
            <w:vAlign w:val="bottom"/>
            <w:gridSpan w:val="2"/>
          </w:tcPr>
          <w:p>
            <w:pPr>
              <w:jc w:val="center"/>
              <w:ind w:right="360"/>
              <w:spacing w:after="0" w:line="138"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5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 Column (a))</w:t>
            </w:r>
          </w:p>
        </w:tc>
        <w:tc>
          <w:tcPr>
            <w:tcW w:w="0" w:type="dxa"/>
            <w:vAlign w:val="bottom"/>
          </w:tcPr>
          <w:p>
            <w:pPr>
              <w:spacing w:after="0"/>
              <w:rPr>
                <w:sz w:val="1"/>
                <w:szCs w:val="1"/>
                <w:color w:val="auto"/>
              </w:rPr>
            </w:pPr>
          </w:p>
        </w:tc>
      </w:tr>
      <w:tr>
        <w:trPr>
          <w:trHeight w:val="180"/>
        </w:trPr>
        <w:tc>
          <w:tcPr>
            <w:tcW w:w="412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412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securityholders</w:t>
            </w:r>
          </w:p>
        </w:tc>
        <w:tc>
          <w:tcPr>
            <w:tcW w:w="1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1,897,986</w:t>
            </w:r>
          </w:p>
        </w:tc>
        <w:tc>
          <w:tcPr>
            <w:tcW w:w="520" w:type="dxa"/>
            <w:vAlign w:val="bottom"/>
            <w:tcBorders>
              <w:top w:val="single" w:sz="8" w:color="CCEEFF"/>
            </w:tcBorders>
            <w:shd w:val="clear" w:color="auto" w:fill="CCEEFF"/>
          </w:tcPr>
          <w:p>
            <w:pPr>
              <w:jc w:val="right"/>
              <w:ind w:right="274"/>
              <w:spacing w:after="0" w:line="100" w:lineRule="exact"/>
              <w:rPr>
                <w:sz w:val="20"/>
                <w:szCs w:val="20"/>
                <w:color w:val="auto"/>
              </w:rPr>
            </w:pPr>
            <w:r>
              <w:rPr>
                <w:rFonts w:ascii="Times New Roman" w:cs="Times New Roman" w:eastAsia="Times New Roman" w:hAnsi="Times New Roman"/>
                <w:sz w:val="9"/>
                <w:szCs w:val="9"/>
                <w:color w:val="auto"/>
              </w:rPr>
              <w:t>(1)</w:t>
            </w:r>
          </w:p>
        </w:tc>
        <w:tc>
          <w:tcPr>
            <w:tcW w:w="280" w:type="dxa"/>
            <w:vAlign w:val="bottom"/>
            <w:tcBorders>
              <w:top w:val="single" w:sz="8" w:color="auto"/>
            </w:tcBorders>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67.98</w:t>
            </w:r>
          </w:p>
        </w:tc>
        <w:tc>
          <w:tcPr>
            <w:tcW w:w="80" w:type="dxa"/>
            <w:vAlign w:val="bottom"/>
            <w:tcBorders>
              <w:top w:val="single" w:sz="8" w:color="CCEEFF"/>
            </w:tcBorders>
            <w:shd w:val="clear" w:color="auto" w:fill="CCEEFF"/>
          </w:tcPr>
          <w:p>
            <w:pPr>
              <w:spacing w:after="0"/>
              <w:rPr>
                <w:sz w:val="8"/>
                <w:szCs w:val="8"/>
                <w:color w:val="auto"/>
              </w:rPr>
            </w:pPr>
          </w:p>
        </w:tc>
        <w:tc>
          <w:tcPr>
            <w:tcW w:w="2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5,963,821</w:t>
            </w:r>
          </w:p>
        </w:tc>
        <w:tc>
          <w:tcPr>
            <w:tcW w:w="0" w:type="dxa"/>
            <w:vAlign w:val="bottom"/>
          </w:tcPr>
          <w:p>
            <w:pPr>
              <w:spacing w:after="0"/>
              <w:rPr>
                <w:sz w:val="1"/>
                <w:szCs w:val="1"/>
                <w:color w:val="auto"/>
              </w:rPr>
            </w:pPr>
          </w:p>
        </w:tc>
      </w:tr>
      <w:tr>
        <w:trPr>
          <w:trHeight w:val="71"/>
        </w:trPr>
        <w:tc>
          <w:tcPr>
            <w:tcW w:w="4120" w:type="dxa"/>
            <w:vAlign w:val="bottom"/>
            <w:vMerge w:val="continue"/>
            <w:shd w:val="clear" w:color="auto" w:fill="CCEEFF"/>
          </w:tcPr>
          <w:p>
            <w:pPr>
              <w:spacing w:after="0"/>
              <w:rPr>
                <w:sz w:val="6"/>
                <w:szCs w:val="6"/>
                <w:color w:val="auto"/>
              </w:rPr>
            </w:pPr>
          </w:p>
        </w:tc>
        <w:tc>
          <w:tcPr>
            <w:tcW w:w="1980" w:type="dxa"/>
            <w:vAlign w:val="bottom"/>
            <w:vMerge w:val="continue"/>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8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compensation plans not approved by securityholders</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gridSpan w:val="2"/>
          </w:tcPr>
          <w:p>
            <w:pPr>
              <w:ind w:left="1540"/>
              <w:spacing w:after="0"/>
              <w:rPr>
                <w:sz w:val="20"/>
                <w:szCs w:val="20"/>
                <w:color w:val="auto"/>
              </w:rPr>
            </w:pPr>
            <w:r>
              <w:rPr>
                <w:rFonts w:ascii="Times New Roman" w:cs="Times New Roman" w:eastAsia="Times New Roman" w:hAnsi="Times New Roman"/>
                <w:sz w:val="14"/>
                <w:szCs w:val="14"/>
                <w:color w:val="auto"/>
              </w:rPr>
              <w:t>N/A</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0"/>
        </w:trPr>
        <w:tc>
          <w:tcPr>
            <w:tcW w:w="412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1,897,986</w:t>
            </w:r>
          </w:p>
        </w:tc>
        <w:tc>
          <w:tcPr>
            <w:tcW w:w="520" w:type="dxa"/>
            <w:vAlign w:val="bottom"/>
            <w:tcBorders>
              <w:top w:val="single" w:sz="8" w:color="CCEEFF"/>
            </w:tcBorders>
            <w:shd w:val="clear" w:color="auto" w:fill="CCEEFF"/>
          </w:tcPr>
          <w:p>
            <w:pPr>
              <w:jc w:val="right"/>
              <w:ind w:right="274"/>
              <w:spacing w:after="0" w:line="100" w:lineRule="exact"/>
              <w:rPr>
                <w:sz w:val="20"/>
                <w:szCs w:val="20"/>
                <w:color w:val="auto"/>
              </w:rPr>
            </w:pPr>
            <w:r>
              <w:rPr>
                <w:rFonts w:ascii="Times New Roman" w:cs="Times New Roman" w:eastAsia="Times New Roman" w:hAnsi="Times New Roman"/>
                <w:sz w:val="9"/>
                <w:szCs w:val="9"/>
                <w:color w:val="auto"/>
              </w:rPr>
              <w:t>(1)</w:t>
            </w:r>
          </w:p>
        </w:tc>
        <w:tc>
          <w:tcPr>
            <w:tcW w:w="280" w:type="dxa"/>
            <w:vAlign w:val="bottom"/>
            <w:tcBorders>
              <w:top w:val="single" w:sz="8" w:color="auto"/>
            </w:tcBorders>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67.98</w:t>
            </w:r>
          </w:p>
        </w:tc>
        <w:tc>
          <w:tcPr>
            <w:tcW w:w="80" w:type="dxa"/>
            <w:vAlign w:val="bottom"/>
            <w:tcBorders>
              <w:top w:val="single" w:sz="8" w:color="CCEEFF"/>
            </w:tcBorders>
            <w:shd w:val="clear" w:color="auto" w:fill="CCEEFF"/>
          </w:tcPr>
          <w:p>
            <w:pPr>
              <w:spacing w:after="0"/>
              <w:rPr>
                <w:sz w:val="8"/>
                <w:szCs w:val="8"/>
                <w:color w:val="auto"/>
              </w:rPr>
            </w:pPr>
          </w:p>
        </w:tc>
        <w:tc>
          <w:tcPr>
            <w:tcW w:w="2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5,963,821</w:t>
            </w:r>
          </w:p>
        </w:tc>
        <w:tc>
          <w:tcPr>
            <w:tcW w:w="0" w:type="dxa"/>
            <w:vAlign w:val="bottom"/>
          </w:tcPr>
          <w:p>
            <w:pPr>
              <w:spacing w:after="0"/>
              <w:rPr>
                <w:sz w:val="1"/>
                <w:szCs w:val="1"/>
                <w:color w:val="auto"/>
              </w:rPr>
            </w:pPr>
          </w:p>
        </w:tc>
      </w:tr>
      <w:tr>
        <w:trPr>
          <w:trHeight w:val="91"/>
        </w:trPr>
        <w:tc>
          <w:tcPr>
            <w:tcW w:w="4120" w:type="dxa"/>
            <w:vAlign w:val="bottom"/>
            <w:tcBorders>
              <w:bottom w:val="single" w:sz="8" w:color="CCEEFF"/>
            </w:tcBorders>
            <w:vMerge w:val="continue"/>
            <w:shd w:val="clear" w:color="auto" w:fill="CCEEFF"/>
          </w:tcPr>
          <w:p>
            <w:pPr>
              <w:spacing w:after="0"/>
              <w:rPr>
                <w:sz w:val="7"/>
                <w:szCs w:val="7"/>
                <w:color w:val="auto"/>
              </w:rPr>
            </w:pPr>
          </w:p>
        </w:tc>
        <w:tc>
          <w:tcPr>
            <w:tcW w:w="1980" w:type="dxa"/>
            <w:vAlign w:val="bottom"/>
            <w:tcBorders>
              <w:bottom w:val="single" w:sz="8" w:color="auto"/>
            </w:tcBorders>
            <w:vMerge w:val="continue"/>
            <w:shd w:val="clear" w:color="auto" w:fill="CCEEFF"/>
          </w:tcPr>
          <w:p>
            <w:pPr>
              <w:spacing w:after="0"/>
              <w:rPr>
                <w:sz w:val="7"/>
                <w:szCs w:val="7"/>
                <w:color w:val="auto"/>
              </w:rPr>
            </w:pPr>
          </w:p>
        </w:tc>
        <w:tc>
          <w:tcPr>
            <w:tcW w:w="52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auto"/>
            </w:tcBorders>
            <w:vMerge w:val="continue"/>
            <w:shd w:val="clear" w:color="auto" w:fill="CCEEFF"/>
          </w:tcPr>
          <w:p>
            <w:pPr>
              <w:spacing w:after="0"/>
              <w:rPr>
                <w:sz w:val="7"/>
                <w:szCs w:val="7"/>
                <w:color w:val="auto"/>
              </w:rPr>
            </w:pPr>
          </w:p>
        </w:tc>
        <w:tc>
          <w:tcPr>
            <w:tcW w:w="1800" w:type="dxa"/>
            <w:vAlign w:val="bottom"/>
            <w:tcBorders>
              <w:bottom w:val="single" w:sz="8" w:color="auto"/>
            </w:tcBorders>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50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60" w:right="360" w:hanging="264"/>
        <w:spacing w:after="0" w:line="230" w:lineRule="auto"/>
        <w:tabs>
          <w:tab w:leader="none" w:pos="450" w:val="left"/>
        </w:tabs>
        <w:numPr>
          <w:ilvl w:val="0"/>
          <w:numId w:val="8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Column (a) includes: 1,100,508 shares that have been granted as restricted stock units (RSUs) and 797,478 shares granted as options under our equity compensation plans. The weighted average price in column (b) does not take into account shares issued pursuant to RSUs.</w:t>
      </w:r>
    </w:p>
    <w:p>
      <w:pPr>
        <w:spacing w:after="0" w:line="29" w:lineRule="exact"/>
        <w:rPr>
          <w:sz w:val="20"/>
          <w:szCs w:val="20"/>
          <w:color w:val="auto"/>
        </w:rPr>
      </w:pPr>
    </w:p>
    <w:p>
      <w:pPr>
        <w:ind w:right="560" w:firstLine="350"/>
        <w:spacing w:after="0" w:line="287" w:lineRule="auto"/>
        <w:rPr>
          <w:sz w:val="20"/>
          <w:szCs w:val="20"/>
          <w:color w:val="auto"/>
        </w:rPr>
      </w:pPr>
      <w:r>
        <w:rPr>
          <w:rFonts w:ascii="Times New Roman" w:cs="Times New Roman" w:eastAsia="Times New Roman" w:hAnsi="Times New Roman"/>
          <w:sz w:val="14"/>
          <w:szCs w:val="14"/>
          <w:color w:val="auto"/>
        </w:rPr>
        <w:t>Information relating to the security ownership of certain beneficial owners and management is included in our 2024 Proxy Statement under the caption “Security Ownership of Certain Beneficial Owners and Management” and is incorporated herein by reference.</w:t>
      </w:r>
    </w:p>
    <w:p>
      <w:pPr>
        <w:spacing w:after="0" w:line="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13</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Certain Relationships and Related Transactions, and Director Independence.</w:t>
      </w:r>
    </w:p>
    <w:p>
      <w:pPr>
        <w:spacing w:after="0" w:line="53" w:lineRule="exact"/>
        <w:rPr>
          <w:sz w:val="20"/>
          <w:szCs w:val="20"/>
          <w:color w:val="auto"/>
        </w:rPr>
      </w:pPr>
    </w:p>
    <w:p>
      <w:pPr>
        <w:ind w:right="280" w:firstLine="350"/>
        <w:spacing w:after="0" w:line="287" w:lineRule="auto"/>
        <w:rPr>
          <w:sz w:val="20"/>
          <w:szCs w:val="20"/>
          <w:color w:val="auto"/>
        </w:rPr>
      </w:pPr>
      <w:r>
        <w:rPr>
          <w:rFonts w:ascii="Times New Roman" w:cs="Times New Roman" w:eastAsia="Times New Roman" w:hAnsi="Times New Roman"/>
          <w:sz w:val="14"/>
          <w:szCs w:val="14"/>
          <w:color w:val="auto"/>
        </w:rPr>
        <w:t>Information relating to this item is set forth under the captions “Certain Relationships and Related Party Transactions” and “Corporate Governance and General Information Concerning the Board of Directors and its Committees” of our 2024 Proxy Statement. Such information is incorporated herein by reference.</w:t>
      </w:r>
    </w:p>
    <w:p>
      <w:pPr>
        <w:spacing w:after="0" w:line="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14</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Principal Accounting Fees and Services.</w:t>
      </w:r>
    </w:p>
    <w:p>
      <w:pPr>
        <w:spacing w:after="0" w:line="96" w:lineRule="exact"/>
        <w:rPr>
          <w:sz w:val="20"/>
          <w:szCs w:val="20"/>
          <w:color w:val="auto"/>
        </w:rPr>
      </w:pPr>
    </w:p>
    <w:p>
      <w:pPr>
        <w:ind w:right="100" w:firstLine="350"/>
        <w:spacing w:after="0" w:line="287" w:lineRule="auto"/>
        <w:rPr>
          <w:sz w:val="20"/>
          <w:szCs w:val="20"/>
          <w:color w:val="auto"/>
        </w:rPr>
      </w:pPr>
      <w:r>
        <w:rPr>
          <w:rFonts w:ascii="Times New Roman" w:cs="Times New Roman" w:eastAsia="Times New Roman" w:hAnsi="Times New Roman"/>
          <w:sz w:val="14"/>
          <w:szCs w:val="14"/>
          <w:color w:val="auto"/>
        </w:rPr>
        <w:t>Information relating to this item is set forth under the caption “Independent Registered Public Accounting Firm Fees” of our 2024 Proxy Statement. Such information is incorporated herein by reference.</w:t>
      </w:r>
    </w:p>
    <w:p>
      <w:pPr>
        <w:spacing w:after="0" w:line="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15</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Exhibits, Financial Statement Schedules.</w:t>
      </w:r>
    </w:p>
    <w:p>
      <w:pPr>
        <w:spacing w:after="0" w:line="53" w:lineRule="exact"/>
        <w:rPr>
          <w:sz w:val="20"/>
          <w:szCs w:val="20"/>
          <w:color w:val="auto"/>
        </w:rPr>
      </w:pPr>
    </w:p>
    <w:p>
      <w:pPr>
        <w:ind w:left="340" w:hanging="194"/>
        <w:spacing w:after="0"/>
        <w:tabs>
          <w:tab w:leader="none" w:pos="3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documents are filed as part of this Annual Report:</w:t>
      </w:r>
    </w:p>
    <w:p>
      <w:pPr>
        <w:spacing w:after="0" w:line="51" w:lineRule="exact"/>
        <w:rPr>
          <w:rFonts w:ascii="Times New Roman" w:cs="Times New Roman" w:eastAsia="Times New Roman" w:hAnsi="Times New Roman"/>
          <w:sz w:val="14"/>
          <w:szCs w:val="14"/>
          <w:color w:val="auto"/>
        </w:rPr>
      </w:pPr>
    </w:p>
    <w:p>
      <w:pPr>
        <w:ind w:left="1080" w:hanging="311"/>
        <w:spacing w:after="0"/>
        <w:tabs>
          <w:tab w:leader="none" w:pos="108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w:t>
      </w:r>
    </w:p>
    <w:p>
      <w:pPr>
        <w:spacing w:after="0" w:line="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Our consolidated financial statements filed herewith are set forth in Item 8 of this Annual Report.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117" w:name="page118"/>
    <w:bookmarkEnd w:id="117"/>
    <w:p>
      <w:pPr>
        <w:spacing w:after="0"/>
        <w:tabs>
          <w:tab w:leader="none" w:pos="300" w:val="left"/>
        </w:tabs>
        <w:rPr>
          <w:sz w:val="20"/>
          <w:szCs w:val="20"/>
          <w:color w:val="auto"/>
        </w:rPr>
      </w:pPr>
      <w:r>
        <w:rPr>
          <w:rFonts w:ascii="Times New Roman" w:cs="Times New Roman" w:eastAsia="Times New Roman" w:hAnsi="Times New Roman"/>
          <w:sz w:val="14"/>
          <w:szCs w:val="14"/>
          <w:color w:val="auto"/>
        </w:rPr>
        <w:t>(2)</w:t>
        <w:tab/>
        <w:t>Financial Statement Schedules</w:t>
      </w:r>
    </w:p>
    <w:p>
      <w:pPr>
        <w:spacing w:after="0" w:line="51" w:lineRule="exact"/>
        <w:rPr>
          <w:sz w:val="20"/>
          <w:szCs w:val="20"/>
          <w:color w:val="auto"/>
        </w:rPr>
      </w:pPr>
    </w:p>
    <w:p>
      <w:pPr>
        <w:ind w:left="400" w:hanging="240"/>
        <w:spacing w:after="0" w:line="284" w:lineRule="auto"/>
        <w:rPr>
          <w:sz w:val="20"/>
          <w:szCs w:val="20"/>
          <w:color w:val="auto"/>
        </w:rPr>
      </w:pPr>
      <w:r>
        <w:rPr>
          <w:rFonts w:ascii="Times New Roman" w:cs="Times New Roman" w:eastAsia="Times New Roman" w:hAnsi="Times New Roman"/>
          <w:sz w:val="14"/>
          <w:szCs w:val="14"/>
          <w:color w:val="auto"/>
        </w:rPr>
        <w:t>Consolidated financial statement schedules have been omitted because either they are not applicable or the required information is included in the consolidated financial statements or the notes thereto.</w:t>
      </w:r>
    </w:p>
    <w:p>
      <w:pPr>
        <w:spacing w:after="0" w:line="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(3)</w:t>
      </w:r>
      <w:r>
        <w:rPr>
          <w:sz w:val="20"/>
          <w:szCs w:val="20"/>
          <w:color w:val="auto"/>
        </w:rPr>
        <w:tab/>
      </w:r>
      <w:r>
        <w:rPr>
          <w:rFonts w:ascii="Times New Roman" w:cs="Times New Roman" w:eastAsia="Times New Roman" w:hAnsi="Times New Roman"/>
          <w:sz w:val="13"/>
          <w:szCs w:val="13"/>
          <w:color w:val="auto"/>
        </w:rPr>
        <w:t>Exhibits</w:t>
      </w:r>
    </w:p>
    <w:p>
      <w:pPr>
        <w:spacing w:after="0" w:line="200" w:lineRule="exact"/>
        <w:rPr>
          <w:sz w:val="20"/>
          <w:szCs w:val="20"/>
          <w:color w:val="auto"/>
        </w:rPr>
      </w:pPr>
    </w:p>
    <w:p>
      <w:pPr>
        <w:spacing w:after="0" w:line="2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60"/>
          </w:cols>
          <w:pgMar w:left="1060" w:top="825" w:right="37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520" w:type="dxa"/>
            <w:vAlign w:val="bottom"/>
            <w:gridSpan w:val="24"/>
          </w:tcPr>
          <w:p>
            <w:pPr>
              <w:ind w:left="6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230"/>
        </w:trPr>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4"/>
        </w:trPr>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Number</w:t>
            </w:r>
          </w:p>
        </w:tc>
        <w:tc>
          <w:tcPr>
            <w:tcW w:w="20" w:type="dxa"/>
            <w:vAlign w:val="bottom"/>
          </w:tcPr>
          <w:p>
            <w:pPr>
              <w:spacing w:after="0"/>
              <w:rPr>
                <w:sz w:val="16"/>
                <w:szCs w:val="16"/>
                <w:color w:val="auto"/>
              </w:rPr>
            </w:pPr>
          </w:p>
        </w:tc>
        <w:tc>
          <w:tcPr>
            <w:tcW w:w="10300" w:type="dxa"/>
            <w:vAlign w:val="bottom"/>
            <w:gridSpan w:val="30"/>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171"/>
        </w:trPr>
        <w:tc>
          <w:tcPr>
            <w:tcW w:w="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300" w:type="dxa"/>
            <w:vAlign w:val="bottom"/>
            <w:tcBorders>
              <w:top w:val="single" w:sz="8" w:color="auto"/>
            </w:tcBorders>
            <w:gridSpan w:val="30"/>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Membership Interest Purchase Agreement, dated May 3, 2021, among (i) Booz Allen Hamilton Inc., (ii) Liberty IT Solutions, LLC, (iii) William Greene, Christopher Bickell, and</w:t>
              </w:r>
            </w:hyperlink>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0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Jeff Denniston, and (iv) Southpaw Representative, LLC, in its capacity as Members' Representative (Incorporated by reference to Exhibit 2.1 to the Company's Form 8-K filed on</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8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May 4, 2021 (File No. 001-34972))</w:t>
              </w:r>
            </w:hyperlink>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Seventh Amended and Restated Certificate of Incorporation of Booz Allen Hamilton Holding Corporation (Incorporated by reference to Exhibit 3.1 to the Company’s Current</w:t>
              </w:r>
            </w:hyperlink>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72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Report on Form 8-K filed on July 28, 2023 (File No. 001-34972))</w:t>
              </w:r>
            </w:hyperlink>
          </w:p>
        </w:tc>
        <w:tc>
          <w:tcPr>
            <w:tcW w:w="6140" w:type="dxa"/>
            <w:vAlign w:val="bottom"/>
            <w:tcBorders>
              <w:top w:val="single" w:sz="8" w:color="0000FF"/>
            </w:tcBorders>
            <w:gridSpan w:val="13"/>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Amended and Restated Bylaws of Booz Allen Hamilton Holding Corporation (Incorporated by reference to Exhibit 3.2 to the Company's Current Report on Form 8-K filed on July</w:t>
              </w:r>
            </w:hyperlink>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8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w w:val="99"/>
              </w:rPr>
            </w:pPr>
            <w:hyperlink r:id="rId142">
              <w:r>
                <w:rPr>
                  <w:rFonts w:ascii="Times New Roman" w:cs="Times New Roman" w:eastAsia="Times New Roman" w:hAnsi="Times New Roman"/>
                  <w:sz w:val="14"/>
                  <w:szCs w:val="14"/>
                  <w:color w:val="0000FF"/>
                  <w:w w:val="99"/>
                </w:rPr>
                <w:t>28, 2023 (File No. 001-34972))</w:t>
              </w:r>
            </w:hyperlink>
          </w:p>
        </w:tc>
        <w:tc>
          <w:tcPr>
            <w:tcW w:w="8380" w:type="dxa"/>
            <w:vAlign w:val="bottom"/>
            <w:tcBorders>
              <w:top w:val="single" w:sz="8" w:color="0000FF"/>
            </w:tcBorders>
            <w:gridSpan w:val="2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Form of Stock Certificate (Incorporated by reference to Exhibit 4.5 to the Company’s Registration Statement on Form S-1 (File No. 333-167645))</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Indenture, dated August 24, 2020, among Booz Allen Hamilton Inc., the Subsidiary Guarantors party thereto and Wilmington Trust, National Association (Incorporated by reference</w:t>
              </w:r>
            </w:hyperlink>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0" w:type="dxa"/>
            <w:vAlign w:val="bottom"/>
            <w:tcBorders>
              <w:top w:val="single" w:sz="8" w:color="0000FF"/>
              <w:bottom w:val="single" w:sz="8" w:color="0000FF"/>
            </w:tcBorders>
            <w:gridSpan w:val="10"/>
          </w:tcPr>
          <w:p>
            <w:pPr>
              <w:spacing w:after="0" w:line="129"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to Exhibit 4.1 to the Company’s Current Report on Form 8-K filed on August 24, 2020 (File No. 001-34972))</w:t>
              </w:r>
            </w:hyperlink>
          </w:p>
        </w:tc>
        <w:tc>
          <w:tcPr>
            <w:tcW w:w="406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First Supplemental Indenture, dated August 24, 2020, among Booz Allen Hamilton Inc., the Subsidiary Guarantors party thereto and Wilmington Trust, National Association</w:t>
              </w:r>
            </w:hyperlink>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74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(Incorporated by reference to Exhibit 4.2 to the Company’s Current Report on Form 8-K filed on August 24, 2020 (File No. 001-34972))</w:t>
              </w:r>
            </w:hyperlink>
          </w:p>
        </w:tc>
        <w:tc>
          <w:tcPr>
            <w:tcW w:w="2060" w:type="dxa"/>
            <w:vAlign w:val="bottom"/>
            <w:tcBorders>
              <w:top w:val="single" w:sz="8" w:color="0000FF"/>
            </w:tcBorders>
            <w:gridSpan w:val="5"/>
          </w:tcPr>
          <w:p>
            <w:pPr>
              <w:spacing w:after="0"/>
              <w:rPr>
                <w:sz w:val="11"/>
                <w:szCs w:val="11"/>
                <w:color w:val="auto"/>
              </w:rPr>
            </w:pPr>
          </w:p>
        </w:tc>
        <w:tc>
          <w:tcPr>
            <w:tcW w:w="1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3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Second Supplemental Indenture, dated as of November 5, 2021, among Booz Allen Hamilton Inc., the New Subsidiary Guarantors party thereto and Wilmington Trust, National</w:t>
              </w:r>
            </w:hyperlink>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8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Association (Incorporated by reference to Exhibit 4.1 to the Company’s Quarterly Report for the period ended December 31, 2021 on Form 10-Q (File No. 001-34972))</w:t>
              </w:r>
            </w:hyperlink>
          </w:p>
        </w:tc>
        <w:tc>
          <w:tcPr>
            <w:tcW w:w="8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Indenture, dated June 17, 2021, among Booz Allen Hamilton Inc., the Subsidiary Guarantors party thereto and Wilmington Trust, National Association (Incorporated by reference to</w:t>
              </w:r>
            </w:hyperlink>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40" w:type="dxa"/>
            <w:vAlign w:val="bottom"/>
            <w:tcBorders>
              <w:top w:val="single" w:sz="8" w:color="0000FF"/>
            </w:tcBorders>
            <w:gridSpan w:val="27"/>
          </w:tcPr>
          <w:p>
            <w:pPr>
              <w:spacing w:after="0" w:line="129"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Exhibit 4.1 to the Company’s Current Report on Form 8-K filed on June 17, 2021 (File No. 001-34972))</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First Supplemental Indenture, dated June 17, 2021, among Booz Allen Hamilton Inc., the Subsidiary Guarantors party thereto and Wilmington Trust, National Association</w:t>
              </w:r>
            </w:hyperlink>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0" w:type="dxa"/>
            <w:vAlign w:val="bottom"/>
            <w:tcBorders>
              <w:top w:val="single" w:sz="8" w:color="0000FF"/>
              <w:bottom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(Incorporated by reference to Exhibit 4.2 to the Company’s Current Report on Form 8-K filed on June 17, 2021 (File No. 001-34972))</w:t>
              </w:r>
            </w:hyperlink>
          </w:p>
        </w:tc>
        <w:tc>
          <w:tcPr>
            <w:tcW w:w="2040" w:type="dxa"/>
            <w:vAlign w:val="bottom"/>
            <w:tcBorders>
              <w:top w:val="single" w:sz="8" w:color="0000FF"/>
            </w:tcBorders>
            <w:gridSpan w:val="5"/>
          </w:tcPr>
          <w:p>
            <w:pPr>
              <w:spacing w:after="0"/>
              <w:rPr>
                <w:sz w:val="11"/>
                <w:szCs w:val="11"/>
                <w:color w:val="auto"/>
              </w:rPr>
            </w:pPr>
          </w:p>
        </w:tc>
        <w:tc>
          <w:tcPr>
            <w:tcW w:w="42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3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Second Supplemental Indenture, dated as of November 5, 2021, among Booz Allen Hamilton Inc., the New Subsidiary Guarantors party thereto and Wilmington Trust, National</w:t>
              </w:r>
            </w:hyperlink>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8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Association (Incorporated by reference to Exhibit 4.2 to the Company’s Quarterly Report for the period ended December 31, 2021 on Form 10-Q (File No. 001-34972))</w:t>
              </w:r>
            </w:hyperlink>
          </w:p>
        </w:tc>
        <w:tc>
          <w:tcPr>
            <w:tcW w:w="8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0" w:type="dxa"/>
            <w:vAlign w:val="bottom"/>
            <w:gridSpan w:val="6"/>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Indenture dated as of August 4, 2023, among Booz Allen Hamilton Inc., Booz Allen Hamilton Holding Corporation, as parent guarantor, and U.S. Bank Trust Company, National</w:t>
              </w:r>
            </w:hyperlink>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960" w:type="dxa"/>
            <w:vAlign w:val="bottom"/>
            <w:tcBorders>
              <w:top w:val="single" w:sz="8" w:color="0000FF"/>
              <w:bottom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Association, as trustee (Incorporated by reference to Exhibit 4.1 to the Company's Current Report on Form 8-K filed on August 4, 2023 (File No. 001-34972))</w:t>
              </w:r>
            </w:hyperlink>
          </w:p>
        </w:tc>
        <w:tc>
          <w:tcPr>
            <w:tcW w:w="1100" w:type="dxa"/>
            <w:vAlign w:val="bottom"/>
            <w:tcBorders>
              <w:top w:val="single" w:sz="8" w:color="0000FF"/>
            </w:tcBorders>
            <w:gridSpan w:val="6"/>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3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First Supplemental Indenture (including the form of 5.950% Senior Notes due 2033), dated as of August 4, 2023, among Booz Allen Hamilton Inc., Booz Allen Hamilton Holding</w:t>
              </w:r>
            </w:hyperlink>
          </w:p>
        </w:tc>
        <w:tc>
          <w:tcPr>
            <w:tcW w:w="180" w:type="dxa"/>
            <w:vAlign w:val="bottom"/>
            <w:gridSpan w:val="7"/>
          </w:tcPr>
          <w:p>
            <w:pPr>
              <w:spacing w:after="0"/>
              <w:rPr>
                <w:sz w:val="20"/>
                <w:szCs w:val="20"/>
                <w:color w:val="auto"/>
              </w:rPr>
            </w:pPr>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300" w:type="dxa"/>
            <w:vAlign w:val="bottom"/>
            <w:gridSpan w:val="30"/>
          </w:tcPr>
          <w:p>
            <w:pPr>
              <w:spacing w:after="0" w:line="129"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Corporation, as parent guarantor, and U.S. Bank Trust Company, National Association, as trustee (Incorporated by reference to Exhibit 4.2 to the Company's Current Report on Form</w:t>
              </w:r>
            </w:hyperlink>
          </w:p>
        </w:tc>
      </w:tr>
      <w:tr>
        <w:trPr>
          <w:trHeight w:val="118"/>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8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8-K filed on August 4, 2023 (File No. 001-34972))</w:t>
              </w:r>
            </w:hyperlink>
          </w:p>
        </w:tc>
        <w:tc>
          <w:tcPr>
            <w:tcW w:w="7400" w:type="dxa"/>
            <w:vAlign w:val="bottom"/>
            <w:tcBorders>
              <w:top w:val="single" w:sz="8" w:color="0000FF"/>
            </w:tcBorders>
            <w:gridSpan w:val="25"/>
          </w:tcPr>
          <w:p>
            <w:pPr>
              <w:spacing w:after="0"/>
              <w:rPr>
                <w:sz w:val="10"/>
                <w:szCs w:val="10"/>
                <w:color w:val="auto"/>
              </w:rPr>
            </w:pPr>
          </w:p>
        </w:tc>
        <w:tc>
          <w:tcPr>
            <w:tcW w:w="20" w:type="dxa"/>
            <w:vAlign w:val="bottom"/>
          </w:tcPr>
          <w:p>
            <w:pPr>
              <w:spacing w:after="0"/>
              <w:rPr>
                <w:sz w:val="10"/>
                <w:szCs w:val="10"/>
                <w:color w:val="auto"/>
              </w:rPr>
            </w:pPr>
          </w:p>
        </w:tc>
      </w:tr>
      <w:tr>
        <w:trPr>
          <w:trHeight w:val="23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Form of 5.950% Senior Note due 2033 (included as Exhibit A to Exhibit 4.9 hereof)</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4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3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Form of 4.000% Senior Note due 2029 (included as Exhibit A to Exhibit 4.5 hereof)</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4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3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Form of 3.875% Senior Note due 2028 (included as Exhibit A to Exhibit 4.2 hereof)</w:t>
              </w:r>
            </w:hyperlink>
          </w:p>
        </w:tc>
      </w:tr>
      <w:tr>
        <w:trPr>
          <w:trHeight w:val="20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9"/>
              </w:rPr>
              <w:t>Description of Capital Stock*</w:t>
            </w:r>
          </w:p>
        </w:tc>
        <w:tc>
          <w:tcPr>
            <w:tcW w:w="3080" w:type="dxa"/>
            <w:vAlign w:val="bottom"/>
            <w:tcBorders>
              <w:top w:val="single" w:sz="8" w:color="0000FF"/>
            </w:tcBorders>
            <w:gridSpan w:val="7"/>
          </w:tcPr>
          <w:p>
            <w:pPr>
              <w:spacing w:after="0"/>
              <w:rPr>
                <w:sz w:val="17"/>
                <w:szCs w:val="17"/>
                <w:color w:val="auto"/>
              </w:rPr>
            </w:pPr>
          </w:p>
        </w:tc>
        <w:tc>
          <w:tcPr>
            <w:tcW w:w="5540" w:type="dxa"/>
            <w:vAlign w:val="bottom"/>
            <w:gridSpan w:val="22"/>
          </w:tcPr>
          <w:p>
            <w:pPr>
              <w:spacing w:after="0"/>
              <w:rPr>
                <w:sz w:val="17"/>
                <w:szCs w:val="17"/>
                <w:color w:val="auto"/>
              </w:rPr>
            </w:pPr>
          </w:p>
        </w:tc>
      </w:tr>
      <w:tr>
        <w:trPr>
          <w:trHeight w:val="20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20" w:type="dxa"/>
            <w:vAlign w:val="bottom"/>
          </w:tcPr>
          <w:p>
            <w:pPr>
              <w:spacing w:after="0"/>
              <w:rPr>
                <w:sz w:val="17"/>
                <w:szCs w:val="17"/>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2023 Equity Incentive Plan of Booz Allen Hamilton Holding Corporation (Incorporated by reference to Appendix C to the Company's Definitive Proxy Statement on Schedule 14A,</w:t>
              </w:r>
            </w:hyperlink>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2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filed with the Commission on June 15, 2023 (File No. 001-34972))</w:t>
              </w:r>
            </w:hyperlink>
          </w:p>
        </w:tc>
        <w:tc>
          <w:tcPr>
            <w:tcW w:w="80" w:type="dxa"/>
            <w:vAlign w:val="bottom"/>
            <w:gridSpan w:val="4"/>
          </w:tcPr>
          <w:p>
            <w:pPr>
              <w:spacing w:after="0"/>
              <w:rPr>
                <w:sz w:val="11"/>
                <w:szCs w:val="11"/>
                <w:color w:val="auto"/>
              </w:rPr>
            </w:pPr>
          </w:p>
        </w:tc>
      </w:tr>
      <w:tr>
        <w:trPr>
          <w:trHeight w:val="20"/>
        </w:trPr>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6"/>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980" w:type="dxa"/>
            <w:vAlign w:val="bottom"/>
            <w:gridSpan w:val="1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35"/>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20"/>
                <w:szCs w:val="20"/>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Third Amended and Restated Equity Incentive Plan of Booz Allen Hamilton Holding Corporation (Incorporated by reference to Exhibit 10.2 to the Company’s Quarterly Report for</w:t>
              </w:r>
            </w:hyperlink>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2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the period ended December 31, 2019 on Form 10-Q (File No. 001-34972))</w:t>
              </w:r>
            </w:hyperlink>
          </w:p>
        </w:tc>
        <w:tc>
          <w:tcPr>
            <w:tcW w:w="5980" w:type="dxa"/>
            <w:vAlign w:val="bottom"/>
            <w:tcBorders>
              <w:top w:val="single" w:sz="8" w:color="0000FF"/>
            </w:tcBorders>
            <w:gridSpan w:val="18"/>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743"/>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gridSpan w:val="9"/>
          </w:tcPr>
          <w:p>
            <w:pPr>
              <w:jc w:val="right"/>
              <w:ind w:right="40"/>
              <w:spacing w:after="0"/>
              <w:rPr>
                <w:sz w:val="20"/>
                <w:szCs w:val="20"/>
                <w:color w:val="auto"/>
              </w:rPr>
            </w:pPr>
            <w:r>
              <w:rPr>
                <w:rFonts w:ascii="Times New Roman" w:cs="Times New Roman" w:eastAsia="Times New Roman" w:hAnsi="Times New Roman"/>
                <w:sz w:val="14"/>
                <w:szCs w:val="14"/>
                <w:color w:val="auto"/>
              </w:rPr>
              <w:t>77</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81" w:right="3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0360" w:type="dxa"/>
            <w:vAlign w:val="bottom"/>
            <w:gridSpan w:val="35"/>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Second Amended and Restated Booz Allen Hamilton Holding Corporation Annual Incentive Plan (Incorporated by reference to Exhibit 10.3 to the Company’s Quarterly Report for</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220" w:type="dxa"/>
            <w:vAlign w:val="bottom"/>
            <w:tcBorders>
              <w:top w:val="single" w:sz="8" w:color="0000FF"/>
              <w:bottom w:val="single" w:sz="8" w:color="0000FF"/>
            </w:tcBorders>
            <w:gridSpan w:val="10"/>
          </w:tcPr>
          <w:p>
            <w:pPr>
              <w:spacing w:after="0" w:line="129"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the period ended December 31, 2019 on Form 10-Q (File No. 001-34972))</w:t>
              </w:r>
            </w:hyperlink>
          </w:p>
        </w:tc>
        <w:tc>
          <w:tcPr>
            <w:tcW w:w="6020" w:type="dxa"/>
            <w:vAlign w:val="bottom"/>
            <w:tcBorders>
              <w:top w:val="single" w:sz="8" w:color="0000FF"/>
            </w:tcBorders>
            <w:gridSpan w:val="1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360" w:type="dxa"/>
            <w:vAlign w:val="bottom"/>
            <w:gridSpan w:val="35"/>
          </w:tcPr>
          <w:p>
            <w:pPr>
              <w:spacing w:after="0"/>
              <w:rPr>
                <w:sz w:val="20"/>
                <w:szCs w:val="20"/>
                <w:color w:val="auto"/>
              </w:rPr>
            </w:pPr>
            <w:r>
              <w:rPr>
                <w:rFonts w:ascii="Times New Roman" w:cs="Times New Roman" w:eastAsia="Times New Roman" w:hAnsi="Times New Roman"/>
                <w:sz w:val="14"/>
                <w:szCs w:val="14"/>
                <w:color w:val="0000FF"/>
              </w:rPr>
              <w:t>Booz Allen Hamilton Holding Corporation Officers’ Retirement Policy</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0360" w:type="dxa"/>
            <w:vAlign w:val="bottom"/>
            <w:gridSpan w:val="35"/>
          </w:tcPr>
          <w:p>
            <w:pPr>
              <w:spacing w:after="0"/>
              <w:rPr>
                <w:sz w:val="20"/>
                <w:szCs w:val="20"/>
                <w:color w:val="auto"/>
              </w:rPr>
            </w:pPr>
            <w:r>
              <w:rPr>
                <w:rFonts w:ascii="Times New Roman" w:cs="Times New Roman" w:eastAsia="Times New Roman" w:hAnsi="Times New Roman"/>
                <w:sz w:val="14"/>
                <w:szCs w:val="14"/>
                <w:color w:val="0000FF"/>
              </w:rPr>
              <w:t>Form of Booz Allen Hamilton Inc. Named Executive Officer Retirement Letter</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10360" w:type="dxa"/>
            <w:vAlign w:val="bottom"/>
            <w:gridSpan w:val="35"/>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Officer’s Comprehensive Medical and Dental Choice Plans (Incorporated by reference to Exhibit 10.7 to the Company’s Annual Report for the year ended March 31, 2018 on Form</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58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w w:val="99"/>
              </w:rPr>
            </w:pPr>
            <w:hyperlink r:id="rId157">
              <w:r>
                <w:rPr>
                  <w:rFonts w:ascii="Times New Roman" w:cs="Times New Roman" w:eastAsia="Times New Roman" w:hAnsi="Times New Roman"/>
                  <w:sz w:val="14"/>
                  <w:szCs w:val="14"/>
                  <w:color w:val="0000FF"/>
                  <w:w w:val="99"/>
                </w:rPr>
                <w:t>10-K (File No. 001-34972))</w:t>
              </w:r>
            </w:hyperlink>
          </w:p>
        </w:tc>
        <w:tc>
          <w:tcPr>
            <w:tcW w:w="8680" w:type="dxa"/>
            <w:vAlign w:val="bottom"/>
            <w:tcBorders>
              <w:top w:val="single" w:sz="8" w:color="0000FF"/>
            </w:tcBorders>
            <w:gridSpan w:val="2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10360" w:type="dxa"/>
            <w:vAlign w:val="bottom"/>
            <w:gridSpan w:val="35"/>
          </w:tcPr>
          <w:p>
            <w:pPr>
              <w:spacing w:after="0"/>
              <w:rPr>
                <w:sz w:val="20"/>
                <w:szCs w:val="20"/>
                <w:color w:val="auto"/>
              </w:rPr>
            </w:pPr>
            <w:r>
              <w:rPr>
                <w:rFonts w:ascii="Times New Roman" w:cs="Times New Roman" w:eastAsia="Times New Roman" w:hAnsi="Times New Roman"/>
                <w:sz w:val="14"/>
                <w:szCs w:val="14"/>
                <w:color w:val="0000FF"/>
              </w:rPr>
              <w:t>Retired Officer Medical Plan</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3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Retired Officer’s Comprehensive Medical and Dental Choice Plans*</w:t>
            </w:r>
          </w:p>
        </w:tc>
        <w:tc>
          <w:tcPr>
            <w:tcW w:w="6480" w:type="dxa"/>
            <w:vAlign w:val="bottom"/>
            <w:gridSpan w:val="27"/>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10360" w:type="dxa"/>
            <w:vAlign w:val="bottom"/>
            <w:gridSpan w:val="35"/>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Group Variable Universal Life Insurance (Incorporated by reference to Exhibit 10.14 to the Company’s Annual Report for the year ended March 31, 2015 on Form 10-K (File No.</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70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7"/>
              </w:rPr>
            </w:pPr>
            <w:hyperlink r:id="rId158">
              <w:r>
                <w:rPr>
                  <w:rFonts w:ascii="Times New Roman" w:cs="Times New Roman" w:eastAsia="Times New Roman" w:hAnsi="Times New Roman"/>
                  <w:sz w:val="14"/>
                  <w:szCs w:val="14"/>
                  <w:color w:val="0000FF"/>
                  <w:w w:val="97"/>
                </w:rPr>
                <w:t>001-34972))</w:t>
              </w:r>
            </w:hyperlink>
          </w:p>
        </w:tc>
        <w:tc>
          <w:tcPr>
            <w:tcW w:w="7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318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10360" w:type="dxa"/>
            <w:vAlign w:val="bottom"/>
            <w:gridSpan w:val="35"/>
          </w:tcPr>
          <w:p>
            <w:pPr>
              <w:spacing w:after="0"/>
              <w:rPr>
                <w:sz w:val="20"/>
                <w:szCs w:val="20"/>
                <w:color w:val="auto"/>
              </w:rPr>
            </w:pPr>
            <w:r>
              <w:rPr>
                <w:rFonts w:ascii="Times New Roman" w:cs="Times New Roman" w:eastAsia="Times New Roman" w:hAnsi="Times New Roman"/>
                <w:sz w:val="14"/>
                <w:szCs w:val="14"/>
                <w:color w:val="0000FF"/>
              </w:rPr>
              <w:t>Group Personal Excess Liability Insurance*</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10360" w:type="dxa"/>
            <w:vAlign w:val="bottom"/>
            <w:gridSpan w:val="35"/>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Officer Annual Performance Bonus Policy (Incorporated by reference to Exhibit 10.11 to the Company’s Annual Report for the year ended March 31, 2018 on Form 10-K (File No.</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70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7"/>
              </w:rPr>
            </w:pPr>
            <w:hyperlink r:id="rId159">
              <w:r>
                <w:rPr>
                  <w:rFonts w:ascii="Times New Roman" w:cs="Times New Roman" w:eastAsia="Times New Roman" w:hAnsi="Times New Roman"/>
                  <w:sz w:val="14"/>
                  <w:szCs w:val="14"/>
                  <w:color w:val="0000FF"/>
                  <w:w w:val="97"/>
                </w:rPr>
                <w:t>001-34972))</w:t>
              </w:r>
            </w:hyperlink>
          </w:p>
        </w:tc>
        <w:tc>
          <w:tcPr>
            <w:tcW w:w="7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318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10.12†</w:t>
            </w:r>
          </w:p>
        </w:tc>
        <w:tc>
          <w:tcPr>
            <w:tcW w:w="10360" w:type="dxa"/>
            <w:vAlign w:val="bottom"/>
            <w:gridSpan w:val="35"/>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Form of Booz Allen Hamilton Holding Corporation Director and Officer Indemnification Agreement (Incorporated by reference to Exhibit 10.23 to the Company’s Registration</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996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Statement on Form S-1 (File No. 333-167645))</w:t>
              </w:r>
            </w:hyperlink>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10.13†</w:t>
            </w:r>
          </w:p>
        </w:tc>
        <w:tc>
          <w:tcPr>
            <w:tcW w:w="1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Officer Transition Policy*</w:t>
            </w:r>
          </w:p>
        </w:tc>
        <w:tc>
          <w:tcPr>
            <w:tcW w:w="1180" w:type="dxa"/>
            <w:vAlign w:val="bottom"/>
            <w:tcBorders>
              <w:top w:val="single" w:sz="8" w:color="0000FF"/>
            </w:tcBorders>
            <w:gridSpan w:val="4"/>
          </w:tcPr>
          <w:p>
            <w:pPr>
              <w:spacing w:after="0"/>
              <w:rPr>
                <w:sz w:val="17"/>
                <w:szCs w:val="17"/>
                <w:color w:val="auto"/>
              </w:rPr>
            </w:pPr>
          </w:p>
        </w:tc>
        <w:tc>
          <w:tcPr>
            <w:tcW w:w="77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10360" w:type="dxa"/>
            <w:vAlign w:val="bottom"/>
            <w:gridSpan w:val="35"/>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Credit Agreement among Booz Allen Hamilton Inc., as the Borrower, the several lenders from time to time parties thereto, Bank of America, N.A., as Administrative Agent,</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978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Collateral Agent and Issuing Lender, Merrill Lynch, Pierce, Fenner &amp; Smith Incorporated and Credit Suisse Securities (USA) LLC, as Joint Lead Arrangers, Merrill Lynch,</w:t>
              </w:r>
            </w:hyperlink>
          </w:p>
        </w:tc>
        <w:tc>
          <w:tcPr>
            <w:tcW w:w="580" w:type="dxa"/>
            <w:vAlign w:val="bottom"/>
            <w:gridSpan w:val="17"/>
          </w:tcPr>
          <w:p>
            <w:pPr>
              <w:spacing w:after="0" w:line="129"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Pierce,</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16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Fenner &amp; Smith Incorporated, Credit Suisse Securities (USA) LLC, Barclays Bank PLC, Citigroup Global Markets Inc., HSBC Securities (USA) Inc., J.P. Morgan Securities LLC,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140" w:type="dxa"/>
            <w:vAlign w:val="bottom"/>
            <w:tcBorders>
              <w:top w:val="single" w:sz="8" w:color="0000FF"/>
              <w:bottom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Morgan Stanley Senior Funding, Inc. and Sumimoto Mitsui Banking Corporation, as Joint Bookrunners, Credit Suisse Securities (USA) LLC, as Syndication Agent, Barclays Bank</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220" w:type="dxa"/>
            <w:vAlign w:val="bottom"/>
            <w:gridSpan w:val="28"/>
          </w:tcPr>
          <w:p>
            <w:pPr>
              <w:spacing w:after="0" w:line="129"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PLC, Citigroup Global Markets Inc., HSBC Securities (USA) Inc., J.P. Morgan Securities LLC, Morgan Stanley Senior Funding, Inc., Sumimoto Mitsui Banking Corporation and</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10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The Bank of Tokyo-Mitsubishi UFJ, Ltd., as Co-Documentation Agents, dated as of July 31, 2012 (Incorporated by reference to Exhibit 10.1 to the Company’s Current Report on</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322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Form 8-K filed on August 1, 2012 (File No. 001-34972))</w:t>
              </w:r>
            </w:hyperlink>
          </w:p>
        </w:tc>
        <w:tc>
          <w:tcPr>
            <w:tcW w:w="6860" w:type="dxa"/>
            <w:vAlign w:val="bottom"/>
            <w:tcBorders>
              <w:top w:val="single" w:sz="8" w:color="0000FF"/>
            </w:tcBorders>
            <w:gridSpan w:val="14"/>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10360" w:type="dxa"/>
            <w:vAlign w:val="bottom"/>
            <w:gridSpan w:val="35"/>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Guarantee and Collateral Agreement, among Booz Allen Hamilton Investor Corporation, Booz Allen Hamilton Inc., ASE, Inc. and Booz Allen Hamilton International, Inc., in favor</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300" w:type="dxa"/>
            <w:vAlign w:val="bottom"/>
            <w:tcBorders>
              <w:top w:val="single" w:sz="8" w:color="0000FF"/>
            </w:tcBorders>
            <w:gridSpan w:val="32"/>
          </w:tcPr>
          <w:p>
            <w:pPr>
              <w:spacing w:after="0" w:line="129"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of Bank of America, N.A., as Collateral Agent, dated as of July 31, 2012 (Incorporated by reference to Exhibit 10.2 to the Company’s Current Report on Form 8-K filed on August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18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62">
              <w:r>
                <w:rPr>
                  <w:rFonts w:ascii="Times New Roman" w:cs="Times New Roman" w:eastAsia="Times New Roman" w:hAnsi="Times New Roman"/>
                  <w:sz w:val="13"/>
                  <w:szCs w:val="13"/>
                  <w:color w:val="0000FF"/>
                </w:rPr>
                <w:t>1, 2012 (File No. 001-34972))</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10.16</w:t>
            </w:r>
          </w:p>
        </w:tc>
        <w:tc>
          <w:tcPr>
            <w:tcW w:w="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000" w:type="dxa"/>
            <w:vAlign w:val="bottom"/>
            <w:vMerge w:val="continue"/>
          </w:tcPr>
          <w:p>
            <w:pPr>
              <w:spacing w:after="0"/>
              <w:rPr>
                <w:sz w:val="20"/>
                <w:szCs w:val="20"/>
                <w:color w:val="auto"/>
              </w:rPr>
            </w:pPr>
          </w:p>
        </w:tc>
        <w:tc>
          <w:tcPr>
            <w:tcW w:w="10360" w:type="dxa"/>
            <w:vAlign w:val="bottom"/>
            <w:gridSpan w:val="35"/>
            <w:vMerge w:val="restart"/>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First Amendment to Credit Agreement, dated as of August 16, 2013, among Booz Allen Hamilton Inc., as Borrower, Booz Allen Hamilton Investor Corporation, Booz Allen</w:t>
              </w:r>
            </w:hyperlink>
          </w:p>
        </w:tc>
        <w:tc>
          <w:tcPr>
            <w:tcW w:w="0" w:type="dxa"/>
            <w:vAlign w:val="bottom"/>
          </w:tcPr>
          <w:p>
            <w:pPr>
              <w:spacing w:after="0"/>
              <w:rPr>
                <w:sz w:val="1"/>
                <w:szCs w:val="1"/>
                <w:color w:val="auto"/>
              </w:rPr>
            </w:pPr>
          </w:p>
        </w:tc>
      </w:tr>
      <w:tr>
        <w:trPr>
          <w:trHeight w:val="43"/>
        </w:trPr>
        <w:tc>
          <w:tcPr>
            <w:tcW w:w="1000" w:type="dxa"/>
            <w:vAlign w:val="bottom"/>
          </w:tcPr>
          <w:p>
            <w:pPr>
              <w:spacing w:after="0"/>
              <w:rPr>
                <w:sz w:val="3"/>
                <w:szCs w:val="3"/>
                <w:color w:val="auto"/>
              </w:rPr>
            </w:pPr>
          </w:p>
        </w:tc>
        <w:tc>
          <w:tcPr>
            <w:tcW w:w="10360" w:type="dxa"/>
            <w:vAlign w:val="bottom"/>
            <w:gridSpan w:val="3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9680" w:type="dxa"/>
            <w:vAlign w:val="bottom"/>
            <w:tcBorders>
              <w:top w:val="single" w:sz="8" w:color="0000FF"/>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Hamilton Engineering Holding Co., LLC, Booz Allen Hamilton Engineering Services, LLC, SDI Technology Corporation, and Booz Allen Hamilton International, Inc., as</w:t>
              </w:r>
            </w:hyperlink>
          </w:p>
        </w:tc>
        <w:tc>
          <w:tcPr>
            <w:tcW w:w="120" w:type="dxa"/>
            <w:vAlign w:val="bottom"/>
            <w:tcBorders>
              <w:top w:val="single" w:sz="8" w:color="0000FF"/>
            </w:tcBorders>
            <w:gridSpan w:val="4"/>
          </w:tcPr>
          <w:p>
            <w:pPr>
              <w:spacing w:after="0"/>
              <w:rPr>
                <w:sz w:val="10"/>
                <w:szCs w:val="10"/>
                <w:color w:val="auto"/>
              </w:rPr>
            </w:pPr>
          </w:p>
        </w:tc>
        <w:tc>
          <w:tcPr>
            <w:tcW w:w="320" w:type="dxa"/>
            <w:vAlign w:val="bottom"/>
            <w:gridSpan w:val="4"/>
          </w:tcPr>
          <w:p>
            <w:pPr>
              <w:spacing w:after="0"/>
              <w:rPr>
                <w:sz w:val="10"/>
                <w:szCs w:val="10"/>
                <w:color w:val="auto"/>
              </w:rPr>
            </w:pPr>
          </w:p>
        </w:tc>
        <w:tc>
          <w:tcPr>
            <w:tcW w:w="80" w:type="dxa"/>
            <w:vAlign w:val="bottom"/>
            <w:gridSpan w:val="4"/>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360" w:type="dxa"/>
            <w:vAlign w:val="bottom"/>
            <w:gridSpan w:val="35"/>
          </w:tcPr>
          <w:p>
            <w:pPr>
              <w:spacing w:after="0" w:line="129"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Guarantors,, Bank of America, N.A., as Administrative Agent, Collateral Agent and New Refinancing Tranche B Term Lender, and the other Lenders and financial institutions from</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932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time to time party thereto. (Incorporated by reference to Exhibit 10.1 to the Company’s Current Report on Form 8-K filed on August 20, 2013 (File No. 001-34972))</w:t>
              </w:r>
            </w:hyperlink>
          </w:p>
        </w:tc>
        <w:tc>
          <w:tcPr>
            <w:tcW w:w="960" w:type="dxa"/>
            <w:vAlign w:val="bottom"/>
            <w:tcBorders>
              <w:top w:val="single" w:sz="8" w:color="0000FF"/>
            </w:tcBorders>
            <w:gridSpan w:val="17"/>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10.17</w:t>
            </w:r>
          </w:p>
        </w:tc>
        <w:tc>
          <w:tcPr>
            <w:tcW w:w="10360" w:type="dxa"/>
            <w:vAlign w:val="bottom"/>
            <w:gridSpan w:val="35"/>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Second Amendment to Credit Agreement, dated as of May 7, 2014, among Booz Allen Hamilton Inc., as Borrower, Booz Allen Hamilton Investor Corporation, Booz Allen</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972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w w:val="99"/>
              </w:rPr>
            </w:pPr>
            <w:hyperlink r:id="rId164">
              <w:r>
                <w:rPr>
                  <w:rFonts w:ascii="Times New Roman" w:cs="Times New Roman" w:eastAsia="Times New Roman" w:hAnsi="Times New Roman"/>
                  <w:sz w:val="14"/>
                  <w:szCs w:val="14"/>
                  <w:color w:val="0000FF"/>
                  <w:w w:val="99"/>
                </w:rPr>
                <w:t>Hamilton Engineering Holding Co., LLC, Booz Allen Hamilton Engineering Services, LLC, SDI Technology Corporation, ASE, Inc. and Booz Allen Hamilton International,</w:t>
              </w:r>
            </w:hyperlink>
          </w:p>
        </w:tc>
        <w:tc>
          <w:tcPr>
            <w:tcW w:w="640" w:type="dxa"/>
            <w:vAlign w:val="bottom"/>
            <w:gridSpan w:val="18"/>
          </w:tcPr>
          <w:p>
            <w:pPr>
              <w:ind w:left="140"/>
              <w:spacing w:after="0" w:line="129"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Inc., as</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340" w:type="dxa"/>
            <w:vAlign w:val="bottom"/>
            <w:tcBorders>
              <w:top w:val="single" w:sz="8" w:color="0000FF"/>
            </w:tcBorders>
            <w:gridSpan w:val="34"/>
          </w:tcPr>
          <w:p>
            <w:pPr>
              <w:spacing w:after="0" w:line="118" w:lineRule="exact"/>
              <w:rPr>
                <w:rFonts w:ascii="Times New Roman" w:cs="Times New Roman" w:eastAsia="Times New Roman" w:hAnsi="Times New Roman"/>
                <w:sz w:val="13"/>
                <w:szCs w:val="13"/>
                <w:color w:val="0000FF"/>
              </w:rPr>
            </w:pPr>
            <w:hyperlink r:id="rId164">
              <w:r>
                <w:rPr>
                  <w:rFonts w:ascii="Times New Roman" w:cs="Times New Roman" w:eastAsia="Times New Roman" w:hAnsi="Times New Roman"/>
                  <w:sz w:val="13"/>
                  <w:szCs w:val="13"/>
                  <w:color w:val="0000FF"/>
                </w:rPr>
                <w:t>Guarantors, Bank of America, N.A., as Administrative Agent, Collateral Agent and Issuing Lender, and the other Lenders and financial institutions from time to time party thereto</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12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64">
              <w:r>
                <w:rPr>
                  <w:rFonts w:ascii="Times New Roman" w:cs="Times New Roman" w:eastAsia="Times New Roman" w:hAnsi="Times New Roman"/>
                  <w:sz w:val="13"/>
                  <w:szCs w:val="13"/>
                  <w:color w:val="0000FF"/>
                </w:rPr>
                <w:t>(Incorporated by reference to Exhibit 10.1 to the Company’s Current Report on Form 8-K filed on May 13, 2014 (File No. 001-34972))</w:t>
              </w:r>
            </w:hyperlink>
          </w:p>
        </w:tc>
        <w:tc>
          <w:tcPr>
            <w:tcW w:w="80" w:type="dxa"/>
            <w:vAlign w:val="bottom"/>
            <w:gridSpan w:val="4"/>
          </w:tcPr>
          <w:p>
            <w:pPr>
              <w:spacing w:after="0"/>
              <w:rPr>
                <w:sz w:val="10"/>
                <w:szCs w:val="10"/>
                <w:color w:val="auto"/>
              </w:rPr>
            </w:pPr>
          </w:p>
        </w:tc>
        <w:tc>
          <w:tcPr>
            <w:tcW w:w="120" w:type="dxa"/>
            <w:vAlign w:val="bottom"/>
            <w:gridSpan w:val="6"/>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660" w:type="dxa"/>
            <w:vAlign w:val="bottom"/>
            <w:gridSpan w:val="1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10.18</w:t>
            </w:r>
          </w:p>
        </w:tc>
        <w:tc>
          <w:tcPr>
            <w:tcW w:w="10360" w:type="dxa"/>
            <w:vAlign w:val="bottom"/>
            <w:gridSpan w:val="35"/>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Third Amendment to Credit Agreement, dated as of July 13, 2016, among Booz Allen Hamilton Inc., as Borrower, Booz Allen Hamilton Investor Corporation, Booz Allen Hamilton</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9700" w:type="dxa"/>
            <w:vAlign w:val="bottom"/>
            <w:tcBorders>
              <w:top w:val="single" w:sz="8" w:color="0000FF"/>
              <w:bottom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Engineering Holding Co., LLC, Booz Allen Hamilton Engineering Services, LLC, SDI Technology Corporation, ASE, Inc. and Booz Allen Hamilton International, Inc., as</w:t>
              </w:r>
            </w:hyperlink>
          </w:p>
        </w:tc>
        <w:tc>
          <w:tcPr>
            <w:tcW w:w="620" w:type="dxa"/>
            <w:vAlign w:val="bottom"/>
            <w:tcBorders>
              <w:top w:val="single" w:sz="8" w:color="0000FF"/>
            </w:tcBorders>
            <w:gridSpan w:val="17"/>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360" w:type="dxa"/>
            <w:vAlign w:val="bottom"/>
            <w:gridSpan w:val="35"/>
          </w:tcPr>
          <w:p>
            <w:pPr>
              <w:spacing w:after="0" w:line="118"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Guarantors, Bank of America, N.A., as Administrative Agent, Collateral Agent and New Refinancing Tranche B Term Lender, and the other Lenders and financial institutions from</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1020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time to time party thereto (Incorporated by reference to Exhibit 10.1 to the Company’s Current Report on Form 8-K filed on July 18, 2016 (File No. 001-34972))</w:t>
              </w:r>
            </w:hyperlink>
          </w:p>
        </w:tc>
        <w:tc>
          <w:tcPr>
            <w:tcW w:w="1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743"/>
        </w:trPr>
        <w:tc>
          <w:tcPr>
            <w:tcW w:w="1000" w:type="dxa"/>
            <w:vAlign w:val="bottom"/>
          </w:tcPr>
          <w:p>
            <w:pPr>
              <w:spacing w:after="0"/>
              <w:rPr>
                <w:sz w:val="24"/>
                <w:szCs w:val="24"/>
                <w:color w:val="auto"/>
              </w:rPr>
            </w:pPr>
          </w:p>
        </w:tc>
        <w:tc>
          <w:tcPr>
            <w:tcW w:w="7660" w:type="dxa"/>
            <w:vAlign w:val="bottom"/>
            <w:tcBorders>
              <w:top w:val="single" w:sz="8" w:color="0000FF"/>
            </w:tcBorders>
            <w:gridSpan w:val="12"/>
          </w:tcPr>
          <w:p>
            <w:pPr>
              <w:ind w:left="4580"/>
              <w:spacing w:after="0"/>
              <w:rPr>
                <w:sz w:val="20"/>
                <w:szCs w:val="20"/>
                <w:color w:val="auto"/>
              </w:rPr>
            </w:pPr>
            <w:r>
              <w:rPr>
                <w:rFonts w:ascii="Times New Roman" w:cs="Times New Roman" w:eastAsia="Times New Roman" w:hAnsi="Times New Roman"/>
                <w:sz w:val="14"/>
                <w:szCs w:val="14"/>
                <w:color w:val="auto"/>
              </w:rPr>
              <w:t>78</w:t>
            </w:r>
          </w:p>
        </w:tc>
        <w:tc>
          <w:tcPr>
            <w:tcW w:w="14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1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10.19</w:t>
            </w:r>
          </w:p>
        </w:tc>
        <w:tc>
          <w:tcPr>
            <w:tcW w:w="10340" w:type="dxa"/>
            <w:vAlign w:val="bottom"/>
            <w:gridSpan w:val="34"/>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Fourth Amendment to Credit Agreement, dated as of February 6, 2017, among Booz Allen Hamilton Inc., as Borrower, Booz Allen Hamilton Investor Corporation, Booz Allen</w:t>
              </w:r>
            </w:hyperlink>
          </w:p>
        </w:tc>
      </w:tr>
      <w:tr>
        <w:trPr>
          <w:trHeight w:val="129"/>
        </w:trPr>
        <w:tc>
          <w:tcPr>
            <w:tcW w:w="1000" w:type="dxa"/>
            <w:vAlign w:val="bottom"/>
          </w:tcPr>
          <w:p>
            <w:pPr>
              <w:spacing w:after="0"/>
              <w:rPr>
                <w:sz w:val="11"/>
                <w:szCs w:val="11"/>
                <w:color w:val="auto"/>
              </w:rPr>
            </w:pPr>
          </w:p>
        </w:tc>
        <w:tc>
          <w:tcPr>
            <w:tcW w:w="994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Hamilton Engineering Holding Co., LLC, Booz Allen Hamilton Engineering Services, LLC and SDI Technology Corporation, as Guarantors, Bank of America, N.A., as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000" w:type="dxa"/>
            <w:vAlign w:val="bottom"/>
          </w:tcPr>
          <w:p>
            <w:pPr>
              <w:spacing w:after="0"/>
              <w:rPr>
                <w:sz w:val="10"/>
                <w:szCs w:val="10"/>
                <w:color w:val="auto"/>
              </w:rPr>
            </w:pPr>
          </w:p>
        </w:tc>
        <w:tc>
          <w:tcPr>
            <w:tcW w:w="9540" w:type="dxa"/>
            <w:vAlign w:val="bottom"/>
            <w:tcBorders>
              <w:top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68">
              <w:r>
                <w:rPr>
                  <w:rFonts w:ascii="Times New Roman" w:cs="Times New Roman" w:eastAsia="Times New Roman" w:hAnsi="Times New Roman"/>
                  <w:sz w:val="13"/>
                  <w:szCs w:val="13"/>
                  <w:color w:val="0000FF"/>
                </w:rPr>
                <w:t>Administrative Agent, Collateral Agent and New Refinancing Tranche B Term Lender, and the other Lenders and financial institutions from time to time party thereto</w:t>
              </w:r>
            </w:hyperlink>
          </w:p>
        </w:tc>
        <w:tc>
          <w:tcPr>
            <w:tcW w:w="800" w:type="dxa"/>
            <w:vAlign w:val="bottom"/>
            <w:gridSpan w:val="23"/>
          </w:tcPr>
          <w:p>
            <w:pPr>
              <w:spacing w:after="0" w:line="118" w:lineRule="exact"/>
              <w:rPr>
                <w:rFonts w:ascii="Times New Roman" w:cs="Times New Roman" w:eastAsia="Times New Roman" w:hAnsi="Times New Roman"/>
                <w:sz w:val="13"/>
                <w:szCs w:val="13"/>
                <w:color w:val="0000FF"/>
              </w:rPr>
            </w:pPr>
            <w:hyperlink r:id="rId168">
              <w:r>
                <w:rPr>
                  <w:rFonts w:ascii="Times New Roman" w:cs="Times New Roman" w:eastAsia="Times New Roman" w:hAnsi="Times New Roman"/>
                  <w:sz w:val="13"/>
                  <w:szCs w:val="13"/>
                  <w:color w:val="0000FF"/>
                </w:rPr>
                <w:t>(Incorporated</w:t>
              </w:r>
            </w:hyperlink>
          </w:p>
        </w:tc>
      </w:tr>
      <w:tr>
        <w:trPr>
          <w:trHeight w:val="118"/>
        </w:trPr>
        <w:tc>
          <w:tcPr>
            <w:tcW w:w="1000" w:type="dxa"/>
            <w:vAlign w:val="bottom"/>
          </w:tcPr>
          <w:p>
            <w:pPr>
              <w:spacing w:after="0"/>
              <w:rPr>
                <w:sz w:val="10"/>
                <w:szCs w:val="10"/>
                <w:color w:val="auto"/>
              </w:rPr>
            </w:pPr>
          </w:p>
        </w:tc>
        <w:tc>
          <w:tcPr>
            <w:tcW w:w="704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68">
              <w:r>
                <w:rPr>
                  <w:rFonts w:ascii="Times New Roman" w:cs="Times New Roman" w:eastAsia="Times New Roman" w:hAnsi="Times New Roman"/>
                  <w:sz w:val="13"/>
                  <w:szCs w:val="13"/>
                  <w:color w:val="0000FF"/>
                </w:rPr>
                <w:t>by reference to Exhibit 10.1 to the Company’s Current Report on Form 8-K filed on February 7, 2017 (File No. 001-34972))</w:t>
              </w:r>
            </w:hyperlink>
          </w:p>
        </w:tc>
        <w:tc>
          <w:tcPr>
            <w:tcW w:w="316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10.20</w:t>
            </w:r>
          </w:p>
        </w:tc>
        <w:tc>
          <w:tcPr>
            <w:tcW w:w="10340" w:type="dxa"/>
            <w:vAlign w:val="bottom"/>
            <w:gridSpan w:val="34"/>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Fifth Amendment to Credit Agreement, dated as of March 7, 2018, among Booz Allen Hamilton Inc., as Borrower, Booz Allen Hamilton Investor Corporation, Booz Allen Hamilton</w:t>
              </w:r>
            </w:hyperlink>
          </w:p>
        </w:tc>
      </w:tr>
      <w:tr>
        <w:trPr>
          <w:trHeight w:val="129"/>
        </w:trPr>
        <w:tc>
          <w:tcPr>
            <w:tcW w:w="1000" w:type="dxa"/>
            <w:vAlign w:val="bottom"/>
          </w:tcPr>
          <w:p>
            <w:pPr>
              <w:spacing w:after="0"/>
              <w:rPr>
                <w:sz w:val="11"/>
                <w:szCs w:val="11"/>
                <w:color w:val="auto"/>
              </w:rPr>
            </w:pPr>
          </w:p>
        </w:tc>
        <w:tc>
          <w:tcPr>
            <w:tcW w:w="10000" w:type="dxa"/>
            <w:vAlign w:val="bottom"/>
            <w:tcBorders>
              <w:top w:val="single" w:sz="8" w:color="0000FF"/>
              <w:bottom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Engineering Holding Co., LLC, Booz Allen Hamilton Engineering Services, LLC, SDI Technology Corporation, eGov Holdings, Inc. and Aquilent, Inc., as Guarantors, Bank of</w:t>
              </w:r>
            </w:hyperlink>
          </w:p>
        </w:tc>
        <w:tc>
          <w:tcPr>
            <w:tcW w:w="32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000" w:type="dxa"/>
            <w:vAlign w:val="bottom"/>
          </w:tcPr>
          <w:p>
            <w:pPr>
              <w:spacing w:after="0"/>
              <w:rPr>
                <w:sz w:val="10"/>
                <w:szCs w:val="10"/>
                <w:color w:val="auto"/>
              </w:rPr>
            </w:pPr>
          </w:p>
        </w:tc>
        <w:tc>
          <w:tcPr>
            <w:tcW w:w="10340" w:type="dxa"/>
            <w:vAlign w:val="bottom"/>
            <w:gridSpan w:val="34"/>
          </w:tcPr>
          <w:p>
            <w:pPr>
              <w:spacing w:after="0" w:line="118" w:lineRule="exact"/>
              <w:rPr>
                <w:rFonts w:ascii="Times New Roman" w:cs="Times New Roman" w:eastAsia="Times New Roman" w:hAnsi="Times New Roman"/>
                <w:sz w:val="13"/>
                <w:szCs w:val="13"/>
                <w:color w:val="0000FF"/>
              </w:rPr>
            </w:pPr>
            <w:hyperlink r:id="rId169">
              <w:r>
                <w:rPr>
                  <w:rFonts w:ascii="Times New Roman" w:cs="Times New Roman" w:eastAsia="Times New Roman" w:hAnsi="Times New Roman"/>
                  <w:sz w:val="13"/>
                  <w:szCs w:val="13"/>
                  <w:color w:val="0000FF"/>
                </w:rPr>
                <w:t>America, N.A., as Administrative Agent, Collateral Agent, Exchanging Lender and New Refinancing Tranche B Term Lender, and the other Lenders and financial institutions from</w:t>
              </w:r>
            </w:hyperlink>
          </w:p>
        </w:tc>
      </w:tr>
      <w:tr>
        <w:trPr>
          <w:trHeight w:val="118"/>
        </w:trPr>
        <w:tc>
          <w:tcPr>
            <w:tcW w:w="1000" w:type="dxa"/>
            <w:vAlign w:val="bottom"/>
          </w:tcPr>
          <w:p>
            <w:pPr>
              <w:spacing w:after="0"/>
              <w:rPr>
                <w:sz w:val="10"/>
                <w:szCs w:val="10"/>
                <w:color w:val="auto"/>
              </w:rPr>
            </w:pPr>
          </w:p>
        </w:tc>
        <w:tc>
          <w:tcPr>
            <w:tcW w:w="918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69">
              <w:r>
                <w:rPr>
                  <w:rFonts w:ascii="Times New Roman" w:cs="Times New Roman" w:eastAsia="Times New Roman" w:hAnsi="Times New Roman"/>
                  <w:sz w:val="13"/>
                  <w:szCs w:val="13"/>
                  <w:color w:val="0000FF"/>
                </w:rPr>
                <w:t>time to time party thereto (Incorporated by reference to Exhibit 10.1 to the Company’s Current Report on Form 8-K filed on March 7, 2018 (File No. 001-34972))</w:t>
              </w:r>
            </w:hyperlink>
          </w:p>
        </w:tc>
        <w:tc>
          <w:tcPr>
            <w:tcW w:w="98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10.21</w:t>
            </w:r>
          </w:p>
        </w:tc>
        <w:tc>
          <w:tcPr>
            <w:tcW w:w="10340" w:type="dxa"/>
            <w:vAlign w:val="bottom"/>
            <w:gridSpan w:val="34"/>
          </w:tcPr>
          <w:p>
            <w:pPr>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Sixth Amendment to Credit Agreement, dated as of July 23, 2018, among Booz Allen Hamilton Inc., as Borrower, Booz Allen Hamilton Investor Corporation, Booz Allen Hamilton</w:t>
              </w:r>
            </w:hyperlink>
          </w:p>
        </w:tc>
      </w:tr>
      <w:tr>
        <w:trPr>
          <w:trHeight w:val="129"/>
        </w:trPr>
        <w:tc>
          <w:tcPr>
            <w:tcW w:w="1000" w:type="dxa"/>
            <w:vAlign w:val="bottom"/>
          </w:tcPr>
          <w:p>
            <w:pPr>
              <w:spacing w:after="0"/>
              <w:rPr>
                <w:sz w:val="11"/>
                <w:szCs w:val="11"/>
                <w:color w:val="auto"/>
              </w:rPr>
            </w:pPr>
          </w:p>
        </w:tc>
        <w:tc>
          <w:tcPr>
            <w:tcW w:w="9960" w:type="dxa"/>
            <w:vAlign w:val="bottom"/>
            <w:tcBorders>
              <w:top w:val="single" w:sz="8" w:color="0000FF"/>
              <w:bottom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Engineering Holding Co., LLC, Booz Allen Hamilton Engineering Services, LLC, SDI Technology Corporation, eGov Holdings, Inc. and Aquilent, Inc. as Guarantors, Bank of</w:t>
              </w:r>
            </w:hyperlink>
          </w:p>
        </w:tc>
        <w:tc>
          <w:tcPr>
            <w:tcW w:w="30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18"/>
        </w:trPr>
        <w:tc>
          <w:tcPr>
            <w:tcW w:w="1000" w:type="dxa"/>
            <w:vAlign w:val="bottom"/>
          </w:tcPr>
          <w:p>
            <w:pPr>
              <w:spacing w:after="0"/>
              <w:rPr>
                <w:sz w:val="10"/>
                <w:szCs w:val="10"/>
                <w:color w:val="auto"/>
              </w:rPr>
            </w:pPr>
          </w:p>
        </w:tc>
        <w:tc>
          <w:tcPr>
            <w:tcW w:w="10340" w:type="dxa"/>
            <w:vAlign w:val="bottom"/>
            <w:gridSpan w:val="34"/>
          </w:tcPr>
          <w:p>
            <w:pPr>
              <w:spacing w:after="0" w:line="118" w:lineRule="exact"/>
              <w:rPr>
                <w:rFonts w:ascii="Times New Roman" w:cs="Times New Roman" w:eastAsia="Times New Roman" w:hAnsi="Times New Roman"/>
                <w:sz w:val="13"/>
                <w:szCs w:val="13"/>
                <w:color w:val="0000FF"/>
              </w:rPr>
            </w:pPr>
            <w:hyperlink r:id="rId170">
              <w:r>
                <w:rPr>
                  <w:rFonts w:ascii="Times New Roman" w:cs="Times New Roman" w:eastAsia="Times New Roman" w:hAnsi="Times New Roman"/>
                  <w:sz w:val="13"/>
                  <w:szCs w:val="13"/>
                  <w:color w:val="0000FF"/>
                </w:rPr>
                <w:t>America, N.A., as Administrative Agent and Collateral Agent and the other Lenders and financial institutions from time to time party thereto (Incorporated by reference to Exhibit</w:t>
              </w:r>
            </w:hyperlink>
          </w:p>
        </w:tc>
      </w:tr>
      <w:tr>
        <w:trPr>
          <w:trHeight w:val="118"/>
        </w:trPr>
        <w:tc>
          <w:tcPr>
            <w:tcW w:w="1000" w:type="dxa"/>
            <w:vAlign w:val="bottom"/>
          </w:tcPr>
          <w:p>
            <w:pPr>
              <w:spacing w:after="0"/>
              <w:rPr>
                <w:sz w:val="10"/>
                <w:szCs w:val="10"/>
                <w:color w:val="auto"/>
              </w:rPr>
            </w:pPr>
          </w:p>
        </w:tc>
        <w:tc>
          <w:tcPr>
            <w:tcW w:w="1012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70">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w:t>
              </w:r>
              <w:r>
                <w:rPr>
                  <w:rFonts w:ascii="Times New Roman" w:cs="Times New Roman" w:eastAsia="Times New Roman" w:hAnsi="Times New Roman"/>
                  <w:sz w:val="13"/>
                  <w:szCs w:val="13"/>
                  <w:color w:val="0000FF"/>
                </w:rPr>
                <w:t xml:space="preserve"> to the Company's Current Report on Form 8-K filed on July 24, 2018 (File No. 001-34972))</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10.22</w:t>
            </w:r>
          </w:p>
        </w:tc>
        <w:tc>
          <w:tcPr>
            <w:tcW w:w="10340" w:type="dxa"/>
            <w:vAlign w:val="bottom"/>
            <w:gridSpan w:val="34"/>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Seventh Amendment to the Credit Agreement, dated as of November 26, 2019, among Booz Allen Hamilton Inc., as Borrower, Booz Allen Hamilton Investor Corporation, Booz</w:t>
              </w:r>
            </w:hyperlink>
          </w:p>
        </w:tc>
      </w:tr>
      <w:tr>
        <w:trPr>
          <w:trHeight w:val="129"/>
        </w:trPr>
        <w:tc>
          <w:tcPr>
            <w:tcW w:w="1000" w:type="dxa"/>
            <w:vAlign w:val="bottom"/>
          </w:tcPr>
          <w:p>
            <w:pPr>
              <w:spacing w:after="0"/>
              <w:rPr>
                <w:sz w:val="11"/>
                <w:szCs w:val="11"/>
                <w:color w:val="auto"/>
              </w:rPr>
            </w:pPr>
          </w:p>
        </w:tc>
        <w:tc>
          <w:tcPr>
            <w:tcW w:w="1004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Allen Hamilton Engineering Holding Co., LLC, Booz Allen Hamilton Engineering Services, LLC, SDI Technology Corporation, eGov Holdings, Inc. and Aquilent, Inc., as</w:t>
              </w:r>
            </w:hyperlink>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18"/>
        </w:trPr>
        <w:tc>
          <w:tcPr>
            <w:tcW w:w="1000" w:type="dxa"/>
            <w:vAlign w:val="bottom"/>
          </w:tcPr>
          <w:p>
            <w:pPr>
              <w:spacing w:after="0"/>
              <w:rPr>
                <w:sz w:val="10"/>
                <w:szCs w:val="10"/>
                <w:color w:val="auto"/>
              </w:rPr>
            </w:pPr>
          </w:p>
        </w:tc>
        <w:tc>
          <w:tcPr>
            <w:tcW w:w="10340" w:type="dxa"/>
            <w:vAlign w:val="bottom"/>
            <w:gridSpan w:val="34"/>
          </w:tcPr>
          <w:p>
            <w:pPr>
              <w:spacing w:after="0" w:line="118" w:lineRule="exact"/>
              <w:rPr>
                <w:rFonts w:ascii="Times New Roman" w:cs="Times New Roman" w:eastAsia="Times New Roman" w:hAnsi="Times New Roman"/>
                <w:sz w:val="13"/>
                <w:szCs w:val="13"/>
                <w:color w:val="0000FF"/>
              </w:rPr>
            </w:pPr>
            <w:hyperlink r:id="rId171">
              <w:r>
                <w:rPr>
                  <w:rFonts w:ascii="Times New Roman" w:cs="Times New Roman" w:eastAsia="Times New Roman" w:hAnsi="Times New Roman"/>
                  <w:sz w:val="13"/>
                  <w:szCs w:val="13"/>
                  <w:color w:val="0000FF"/>
                </w:rPr>
                <w:t>Guarantors, Bank of America, N.A., as Administrative Agent, Collateral Agent, Exchanging Lender and New Refinancing Tranche B Term Lender and the other Lenders and</w:t>
              </w:r>
            </w:hyperlink>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18"/>
        </w:trPr>
        <w:tc>
          <w:tcPr>
            <w:tcW w:w="1000" w:type="dxa"/>
            <w:vAlign w:val="bottom"/>
          </w:tcPr>
          <w:p>
            <w:pPr>
              <w:spacing w:after="0"/>
              <w:rPr>
                <w:sz w:val="10"/>
                <w:szCs w:val="10"/>
                <w:color w:val="auto"/>
              </w:rPr>
            </w:pPr>
          </w:p>
        </w:tc>
        <w:tc>
          <w:tcPr>
            <w:tcW w:w="10340" w:type="dxa"/>
            <w:vAlign w:val="bottom"/>
            <w:gridSpan w:val="34"/>
          </w:tcPr>
          <w:p>
            <w:pPr>
              <w:spacing w:after="0" w:line="118" w:lineRule="exact"/>
              <w:rPr>
                <w:rFonts w:ascii="Times New Roman" w:cs="Times New Roman" w:eastAsia="Times New Roman" w:hAnsi="Times New Roman"/>
                <w:sz w:val="13"/>
                <w:szCs w:val="13"/>
                <w:color w:val="0000FF"/>
              </w:rPr>
            </w:pPr>
            <w:hyperlink r:id="rId171">
              <w:r>
                <w:rPr>
                  <w:rFonts w:ascii="Times New Roman" w:cs="Times New Roman" w:eastAsia="Times New Roman" w:hAnsi="Times New Roman"/>
                  <w:sz w:val="13"/>
                  <w:szCs w:val="13"/>
                  <w:color w:val="0000FF"/>
                </w:rPr>
                <w:t>financial institutions from time to time party thereto (Incorporated by reference to Exhibit 10.1 to the Company’s Current Report on Form 8-K filed on November 26, 2019 (File No.</w:t>
              </w:r>
            </w:hyperlink>
          </w:p>
        </w:tc>
      </w:tr>
      <w:tr>
        <w:trPr>
          <w:trHeight w:val="129"/>
        </w:trPr>
        <w:tc>
          <w:tcPr>
            <w:tcW w:w="1000" w:type="dxa"/>
            <w:vAlign w:val="bottom"/>
          </w:tcPr>
          <w:p>
            <w:pPr>
              <w:spacing w:after="0"/>
              <w:rPr>
                <w:sz w:val="11"/>
                <w:szCs w:val="11"/>
                <w:color w:val="auto"/>
              </w:rPr>
            </w:pPr>
          </w:p>
        </w:tc>
        <w:tc>
          <w:tcPr>
            <w:tcW w:w="70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w w:val="97"/>
              </w:rPr>
            </w:pPr>
            <w:hyperlink r:id="rId171">
              <w:r>
                <w:rPr>
                  <w:rFonts w:ascii="Times New Roman" w:cs="Times New Roman" w:eastAsia="Times New Roman" w:hAnsi="Times New Roman"/>
                  <w:sz w:val="14"/>
                  <w:szCs w:val="14"/>
                  <w:color w:val="0000FF"/>
                  <w:w w:val="97"/>
                </w:rPr>
                <w:t>001-34972))</w:t>
              </w:r>
            </w:hyperlink>
          </w:p>
        </w:tc>
        <w:tc>
          <w:tcPr>
            <w:tcW w:w="240" w:type="dxa"/>
            <w:vAlign w:val="bottom"/>
            <w:tcBorders>
              <w:top w:val="single" w:sz="8" w:color="0000FF"/>
            </w:tcBorders>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860" w:type="dxa"/>
            <w:vAlign w:val="bottom"/>
            <w:tcBorders>
              <w:top w:val="single" w:sz="8" w:color="0000FF"/>
            </w:tcBorders>
          </w:tcPr>
          <w:p>
            <w:pPr>
              <w:spacing w:after="0"/>
              <w:rPr>
                <w:sz w:val="11"/>
                <w:szCs w:val="11"/>
                <w:color w:val="auto"/>
              </w:rPr>
            </w:pPr>
          </w:p>
        </w:tc>
        <w:tc>
          <w:tcPr>
            <w:tcW w:w="13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040" w:type="dxa"/>
            <w:vAlign w:val="bottom"/>
            <w:tcBorders>
              <w:top w:val="single" w:sz="8" w:color="0000FF"/>
            </w:tcBorders>
          </w:tcPr>
          <w:p>
            <w:pPr>
              <w:spacing w:after="0"/>
              <w:rPr>
                <w:sz w:val="11"/>
                <w:szCs w:val="11"/>
                <w:color w:val="auto"/>
              </w:rPr>
            </w:pPr>
          </w:p>
        </w:tc>
        <w:tc>
          <w:tcPr>
            <w:tcW w:w="110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10.23</w:t>
            </w:r>
          </w:p>
        </w:tc>
        <w:tc>
          <w:tcPr>
            <w:tcW w:w="10340" w:type="dxa"/>
            <w:vAlign w:val="bottom"/>
            <w:gridSpan w:val="34"/>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Eighth Amendment to Credit Agreement, dated as of June 24, 2021, among Booz Allen Hamilton Inc., as Borrower, Booz Allen Hamilton Investor Corporation, eGov Holdings, Inc.</w:t>
              </w:r>
            </w:hyperlink>
          </w:p>
        </w:tc>
      </w:tr>
      <w:tr>
        <w:trPr>
          <w:trHeight w:val="129"/>
        </w:trPr>
        <w:tc>
          <w:tcPr>
            <w:tcW w:w="1000" w:type="dxa"/>
            <w:vAlign w:val="bottom"/>
          </w:tcPr>
          <w:p>
            <w:pPr>
              <w:spacing w:after="0"/>
              <w:rPr>
                <w:sz w:val="11"/>
                <w:szCs w:val="11"/>
                <w:color w:val="auto"/>
              </w:rPr>
            </w:pPr>
          </w:p>
        </w:tc>
        <w:tc>
          <w:tcPr>
            <w:tcW w:w="10300" w:type="dxa"/>
            <w:vAlign w:val="bottom"/>
            <w:tcBorders>
              <w:top w:val="single" w:sz="8" w:color="0000FF"/>
            </w:tcBorders>
            <w:gridSpan w:val="32"/>
          </w:tcPr>
          <w:p>
            <w:pPr>
              <w:spacing w:after="0" w:line="129"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and Aquilent, Inc., as Guarantors, Bank of America, N.A., as Administrative Agent and Collateral Agent and the other Lenders and financial institutions from time to time party</w:t>
              </w:r>
            </w:hyperlink>
          </w:p>
        </w:tc>
        <w:tc>
          <w:tcPr>
            <w:tcW w:w="40" w:type="dxa"/>
            <w:vAlign w:val="bottom"/>
            <w:gridSpan w:val="2"/>
          </w:tcPr>
          <w:p>
            <w:pPr>
              <w:spacing w:after="0"/>
              <w:rPr>
                <w:sz w:val="11"/>
                <w:szCs w:val="11"/>
                <w:color w:val="auto"/>
              </w:rPr>
            </w:pPr>
          </w:p>
        </w:tc>
      </w:tr>
      <w:tr>
        <w:trPr>
          <w:trHeight w:val="118"/>
        </w:trPr>
        <w:tc>
          <w:tcPr>
            <w:tcW w:w="1000" w:type="dxa"/>
            <w:vAlign w:val="bottom"/>
          </w:tcPr>
          <w:p>
            <w:pPr>
              <w:spacing w:after="0"/>
              <w:rPr>
                <w:sz w:val="10"/>
                <w:szCs w:val="10"/>
                <w:color w:val="auto"/>
              </w:rPr>
            </w:pPr>
          </w:p>
        </w:tc>
        <w:tc>
          <w:tcPr>
            <w:tcW w:w="998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72">
              <w:r>
                <w:rPr>
                  <w:rFonts w:ascii="Times New Roman" w:cs="Times New Roman" w:eastAsia="Times New Roman" w:hAnsi="Times New Roman"/>
                  <w:sz w:val="13"/>
                  <w:szCs w:val="13"/>
                  <w:color w:val="0000FF"/>
                </w:rPr>
                <w:t>thereto (Incorporated by reference to Exhibit 10.1 to the Company’s Current Report on Form 8-K filed on June 25, 2021 (File No. 001-34972))</w:t>
              </w:r>
            </w:hyperlink>
          </w:p>
        </w:tc>
        <w:tc>
          <w:tcPr>
            <w:tcW w:w="10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10.24</w:t>
            </w:r>
          </w:p>
        </w:tc>
        <w:tc>
          <w:tcPr>
            <w:tcW w:w="10340" w:type="dxa"/>
            <w:vAlign w:val="bottom"/>
            <w:gridSpan w:val="34"/>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Ninth Amendment to Credit Agreement, dated as of September 7, 2022, among Booz Allen Hamilton Inc., as Borrower, Booz Allen Hamilton Investor Corporation, eGov Holdings,</w:t>
              </w:r>
            </w:hyperlink>
          </w:p>
        </w:tc>
      </w:tr>
      <w:tr>
        <w:trPr>
          <w:trHeight w:val="129"/>
        </w:trPr>
        <w:tc>
          <w:tcPr>
            <w:tcW w:w="1000" w:type="dxa"/>
            <w:vAlign w:val="bottom"/>
          </w:tcPr>
          <w:p>
            <w:pPr>
              <w:spacing w:after="0"/>
              <w:rPr>
                <w:sz w:val="11"/>
                <w:szCs w:val="11"/>
                <w:color w:val="auto"/>
              </w:rPr>
            </w:pPr>
          </w:p>
        </w:tc>
        <w:tc>
          <w:tcPr>
            <w:tcW w:w="9820" w:type="dxa"/>
            <w:vAlign w:val="bottom"/>
            <w:tcBorders>
              <w:top w:val="single" w:sz="8" w:color="0000FF"/>
              <w:bottom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Inc., Aquilent, Inc. and Liberty IT Solutions, LLC, as Guarantors, Bank of America, N.A., as Administrative Agent and Collateral Agent and the other Lenders and financial</w:t>
              </w:r>
            </w:hyperlink>
          </w:p>
        </w:tc>
        <w:tc>
          <w:tcPr>
            <w:tcW w:w="420" w:type="dxa"/>
            <w:vAlign w:val="bottom"/>
            <w:tcBorders>
              <w:top w:val="single" w:sz="8" w:color="0000FF"/>
            </w:tcBorders>
            <w:gridSpan w:val="15"/>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18"/>
        </w:trPr>
        <w:tc>
          <w:tcPr>
            <w:tcW w:w="1000" w:type="dxa"/>
            <w:vAlign w:val="bottom"/>
          </w:tcPr>
          <w:p>
            <w:pPr>
              <w:spacing w:after="0"/>
              <w:rPr>
                <w:sz w:val="10"/>
                <w:szCs w:val="10"/>
                <w:color w:val="auto"/>
              </w:rPr>
            </w:pPr>
          </w:p>
        </w:tc>
        <w:tc>
          <w:tcPr>
            <w:tcW w:w="10340" w:type="dxa"/>
            <w:vAlign w:val="bottom"/>
            <w:gridSpan w:val="34"/>
          </w:tcPr>
          <w:p>
            <w:pPr>
              <w:spacing w:after="0" w:line="118" w:lineRule="exact"/>
              <w:rPr>
                <w:rFonts w:ascii="Times New Roman" w:cs="Times New Roman" w:eastAsia="Times New Roman" w:hAnsi="Times New Roman"/>
                <w:sz w:val="13"/>
                <w:szCs w:val="13"/>
                <w:color w:val="0000FF"/>
              </w:rPr>
            </w:pPr>
            <w:hyperlink r:id="rId173">
              <w:r>
                <w:rPr>
                  <w:rFonts w:ascii="Times New Roman" w:cs="Times New Roman" w:eastAsia="Times New Roman" w:hAnsi="Times New Roman"/>
                  <w:sz w:val="13"/>
                  <w:szCs w:val="13"/>
                  <w:color w:val="0000FF"/>
                </w:rPr>
                <w:t>institutions from time to time party thereto (Incorporated by reference to Exhibit 10.1 to the Company’s Current Report on Form 8-K filed on September 7, 2022 (File No. 001-</w:t>
              </w:r>
            </w:hyperlink>
          </w:p>
        </w:tc>
      </w:tr>
      <w:tr>
        <w:trPr>
          <w:trHeight w:val="118"/>
        </w:trPr>
        <w:tc>
          <w:tcPr>
            <w:tcW w:w="1000" w:type="dxa"/>
            <w:vAlign w:val="bottom"/>
          </w:tcPr>
          <w:p>
            <w:pPr>
              <w:spacing w:after="0"/>
              <w:rPr>
                <w:sz w:val="10"/>
                <w:szCs w:val="10"/>
                <w:color w:val="auto"/>
              </w:rPr>
            </w:pPr>
          </w:p>
        </w:tc>
        <w:tc>
          <w:tcPr>
            <w:tcW w:w="44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73">
              <w:r>
                <w:rPr>
                  <w:rFonts w:ascii="Times New Roman" w:cs="Times New Roman" w:eastAsia="Times New Roman" w:hAnsi="Times New Roman"/>
                  <w:sz w:val="13"/>
                  <w:szCs w:val="13"/>
                  <w:color w:val="0000FF"/>
                </w:rPr>
                <w:t>34972)</w:t>
              </w:r>
              <w:r>
                <w:rPr>
                  <w:rFonts w:ascii="Times New Roman" w:cs="Times New Roman" w:eastAsia="Times New Roman" w:hAnsi="Times New Roman"/>
                  <w:sz w:val="13"/>
                  <w:szCs w:val="13"/>
                  <w:u w:val="single" w:color="auto"/>
                  <w:color w:val="0000FF"/>
                </w:rPr>
                <w:t>)</w:t>
              </w:r>
            </w:hyperlink>
          </w:p>
        </w:tc>
        <w:tc>
          <w:tcPr>
            <w:tcW w:w="26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14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860" w:type="dxa"/>
            <w:vAlign w:val="bottom"/>
            <w:tcBorders>
              <w:top w:val="single" w:sz="8" w:color="0000FF"/>
            </w:tcBorders>
          </w:tcPr>
          <w:p>
            <w:pPr>
              <w:spacing w:after="0"/>
              <w:rPr>
                <w:sz w:val="10"/>
                <w:szCs w:val="10"/>
                <w:color w:val="auto"/>
              </w:rPr>
            </w:pPr>
          </w:p>
        </w:tc>
        <w:tc>
          <w:tcPr>
            <w:tcW w:w="13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1040" w:type="dxa"/>
            <w:vAlign w:val="bottom"/>
            <w:tcBorders>
              <w:top w:val="single" w:sz="8" w:color="0000FF"/>
            </w:tcBorders>
          </w:tcPr>
          <w:p>
            <w:pPr>
              <w:spacing w:after="0"/>
              <w:rPr>
                <w:sz w:val="10"/>
                <w:szCs w:val="10"/>
                <w:color w:val="auto"/>
              </w:rPr>
            </w:pPr>
          </w:p>
        </w:tc>
        <w:tc>
          <w:tcPr>
            <w:tcW w:w="110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10.25</w:t>
            </w:r>
          </w:p>
        </w:tc>
        <w:tc>
          <w:tcPr>
            <w:tcW w:w="10340" w:type="dxa"/>
            <w:vAlign w:val="bottom"/>
            <w:gridSpan w:val="34"/>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Tenth Amendment to Credit Agreement, dated as of July 27, 2023, among Booz Allen Hamilton Inc., as borrower, Bank of America, N.A., as administrative agent and the other</w:t>
              </w:r>
            </w:hyperlink>
          </w:p>
        </w:tc>
      </w:tr>
      <w:tr>
        <w:trPr>
          <w:trHeight w:val="129"/>
        </w:trPr>
        <w:tc>
          <w:tcPr>
            <w:tcW w:w="1000" w:type="dxa"/>
            <w:vAlign w:val="bottom"/>
          </w:tcPr>
          <w:p>
            <w:pPr>
              <w:spacing w:after="0"/>
              <w:rPr>
                <w:sz w:val="11"/>
                <w:szCs w:val="11"/>
                <w:color w:val="auto"/>
              </w:rPr>
            </w:pPr>
          </w:p>
        </w:tc>
        <w:tc>
          <w:tcPr>
            <w:tcW w:w="996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lenders and financial institutions party thereto. (Incorporated by reference to Exhibit 10.1 to the Company’s Quarterly Report for the period ended June 30, 2023 on Form 10-Q</w:t>
              </w:r>
            </w:hyperlink>
          </w:p>
        </w:tc>
        <w:tc>
          <w:tcPr>
            <w:tcW w:w="380" w:type="dxa"/>
            <w:vAlign w:val="bottom"/>
            <w:gridSpan w:val="16"/>
          </w:tcPr>
          <w:p>
            <w:pPr>
              <w:spacing w:after="0" w:line="129"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(File</w:t>
              </w:r>
            </w:hyperlink>
          </w:p>
        </w:tc>
      </w:tr>
      <w:tr>
        <w:trPr>
          <w:trHeight w:val="118"/>
        </w:trPr>
        <w:tc>
          <w:tcPr>
            <w:tcW w:w="1000" w:type="dxa"/>
            <w:vAlign w:val="bottom"/>
          </w:tcPr>
          <w:p>
            <w:pPr>
              <w:spacing w:after="0"/>
              <w:rPr>
                <w:sz w:val="10"/>
                <w:szCs w:val="10"/>
                <w:color w:val="auto"/>
              </w:rPr>
            </w:pPr>
          </w:p>
        </w:tc>
        <w:tc>
          <w:tcPr>
            <w:tcW w:w="1028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74">
              <w:r>
                <w:rPr>
                  <w:rFonts w:ascii="Times New Roman" w:cs="Times New Roman" w:eastAsia="Times New Roman" w:hAnsi="Times New Roman"/>
                  <w:sz w:val="13"/>
                  <w:szCs w:val="13"/>
                  <w:color w:val="0000FF"/>
                </w:rPr>
                <w:t>No. 001-34972))</w:t>
              </w:r>
            </w:hyperlink>
          </w:p>
        </w:tc>
        <w:tc>
          <w:tcPr>
            <w:tcW w:w="60" w:type="dxa"/>
            <w:vAlign w:val="bottom"/>
            <w:gridSpan w:val="3"/>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10.26</w:t>
            </w:r>
          </w:p>
        </w:tc>
        <w:tc>
          <w:tcPr>
            <w:tcW w:w="976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Assumption Agreement, dated as of April 14, 2017, by eGov Holdings, Inc. and Aquilent, Inc. in favor of Bank of America, N.A., as collateral agent for the banks and other</w:t>
              </w:r>
            </w:hyperlink>
          </w:p>
        </w:tc>
        <w:tc>
          <w:tcPr>
            <w:tcW w:w="580" w:type="dxa"/>
            <w:vAlign w:val="bottom"/>
            <w:gridSpan w:val="21"/>
          </w:tcPr>
          <w:p>
            <w:pPr>
              <w:spacing w:after="0"/>
              <w:rPr>
                <w:sz w:val="20"/>
                <w:szCs w:val="20"/>
                <w:color w:val="auto"/>
              </w:rPr>
            </w:pPr>
          </w:p>
        </w:tc>
      </w:tr>
      <w:tr>
        <w:trPr>
          <w:trHeight w:val="129"/>
        </w:trPr>
        <w:tc>
          <w:tcPr>
            <w:tcW w:w="1000" w:type="dxa"/>
            <w:vAlign w:val="bottom"/>
          </w:tcPr>
          <w:p>
            <w:pPr>
              <w:spacing w:after="0"/>
              <w:rPr>
                <w:sz w:val="11"/>
                <w:szCs w:val="11"/>
                <w:color w:val="auto"/>
              </w:rPr>
            </w:pPr>
          </w:p>
        </w:tc>
        <w:tc>
          <w:tcPr>
            <w:tcW w:w="10340" w:type="dxa"/>
            <w:vAlign w:val="bottom"/>
            <w:gridSpan w:val="34"/>
          </w:tcPr>
          <w:p>
            <w:pPr>
              <w:spacing w:after="0" w:line="129"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financial institutions or entities party to the Credit Agreement, as amended (Incorporated by reference to Exhibit 10.10 to the Company’s Quarterly Report for the period ended June</w:t>
              </w:r>
            </w:hyperlink>
          </w:p>
        </w:tc>
      </w:tr>
      <w:tr>
        <w:trPr>
          <w:trHeight w:val="118"/>
        </w:trPr>
        <w:tc>
          <w:tcPr>
            <w:tcW w:w="1000" w:type="dxa"/>
            <w:vAlign w:val="bottom"/>
          </w:tcPr>
          <w:p>
            <w:pPr>
              <w:spacing w:after="0"/>
              <w:rPr>
                <w:sz w:val="10"/>
                <w:szCs w:val="10"/>
                <w:color w:val="auto"/>
              </w:rPr>
            </w:pPr>
          </w:p>
        </w:tc>
        <w:tc>
          <w:tcPr>
            <w:tcW w:w="1022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75">
              <w:r>
                <w:rPr>
                  <w:rFonts w:ascii="Times New Roman" w:cs="Times New Roman" w:eastAsia="Times New Roman" w:hAnsi="Times New Roman"/>
                  <w:sz w:val="13"/>
                  <w:szCs w:val="13"/>
                  <w:color w:val="0000FF"/>
                </w:rPr>
                <w:t>30, 2017 on Form 10-Q (File No. 001-34972))</w:t>
              </w:r>
            </w:hyperlink>
          </w:p>
        </w:tc>
        <w:tc>
          <w:tcPr>
            <w:tcW w:w="120" w:type="dxa"/>
            <w:vAlign w:val="bottom"/>
            <w:gridSpan w:val="6"/>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10.27</w:t>
            </w:r>
          </w:p>
        </w:tc>
        <w:tc>
          <w:tcPr>
            <w:tcW w:w="10340" w:type="dxa"/>
            <w:vAlign w:val="bottom"/>
            <w:gridSpan w:val="34"/>
          </w:tcPr>
          <w:p>
            <w:pPr>
              <w:spacing w:after="0"/>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Assumption Agreement, dated as of November 5, 2021, by Liberty IT Solutions, LLC, in favor of Bank of America, N.A., as collateral agent for the banks and other financial</w:t>
              </w:r>
            </w:hyperlink>
          </w:p>
        </w:tc>
      </w:tr>
      <w:tr>
        <w:trPr>
          <w:trHeight w:val="129"/>
        </w:trPr>
        <w:tc>
          <w:tcPr>
            <w:tcW w:w="1000" w:type="dxa"/>
            <w:vAlign w:val="bottom"/>
          </w:tcPr>
          <w:p>
            <w:pPr>
              <w:spacing w:after="0"/>
              <w:rPr>
                <w:sz w:val="11"/>
                <w:szCs w:val="11"/>
                <w:color w:val="auto"/>
              </w:rPr>
            </w:pPr>
          </w:p>
        </w:tc>
        <w:tc>
          <w:tcPr>
            <w:tcW w:w="9860" w:type="dxa"/>
            <w:vAlign w:val="bottom"/>
            <w:tcBorders>
              <w:top w:val="single" w:sz="8" w:color="0000FF"/>
            </w:tcBorders>
            <w:gridSpan w:val="16"/>
          </w:tcPr>
          <w:p>
            <w:pPr>
              <w:spacing w:after="0" w:line="129" w:lineRule="exact"/>
              <w:rPr>
                <w:rFonts w:ascii="Times New Roman" w:cs="Times New Roman" w:eastAsia="Times New Roman" w:hAnsi="Times New Roman"/>
                <w:sz w:val="14"/>
                <w:szCs w:val="14"/>
                <w:color w:val="0000FF"/>
                <w:w w:val="99"/>
              </w:rPr>
            </w:pPr>
            <w:hyperlink r:id="rId176">
              <w:r>
                <w:rPr>
                  <w:rFonts w:ascii="Times New Roman" w:cs="Times New Roman" w:eastAsia="Times New Roman" w:hAnsi="Times New Roman"/>
                  <w:sz w:val="14"/>
                  <w:szCs w:val="14"/>
                  <w:color w:val="0000FF"/>
                  <w:w w:val="99"/>
                </w:rPr>
                <w:t>institutions or entities party to the Credit Agreement, as amended (Incorporated by reference to Exhibit 10.1 to the Company’s Quarterly Report for the period ended December</w:t>
              </w:r>
            </w:hyperlink>
          </w:p>
        </w:tc>
        <w:tc>
          <w:tcPr>
            <w:tcW w:w="320" w:type="dxa"/>
            <w:vAlign w:val="bottom"/>
            <w:gridSpan w:val="10"/>
          </w:tcPr>
          <w:p>
            <w:pPr>
              <w:ind w:left="100"/>
              <w:spacing w:after="0" w:line="12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31,</w:t>
              </w:r>
            </w:hyperlink>
          </w:p>
        </w:tc>
        <w:tc>
          <w:tcPr>
            <w:tcW w:w="160" w:type="dxa"/>
            <w:vAlign w:val="bottom"/>
            <w:gridSpan w:val="8"/>
          </w:tcPr>
          <w:p>
            <w:pPr>
              <w:spacing w:after="0"/>
              <w:rPr>
                <w:sz w:val="11"/>
                <w:szCs w:val="11"/>
                <w:color w:val="auto"/>
              </w:rPr>
            </w:pPr>
          </w:p>
        </w:tc>
      </w:tr>
      <w:tr>
        <w:trPr>
          <w:trHeight w:val="118"/>
        </w:trPr>
        <w:tc>
          <w:tcPr>
            <w:tcW w:w="1000" w:type="dxa"/>
            <w:vAlign w:val="bottom"/>
          </w:tcPr>
          <w:p>
            <w:pPr>
              <w:spacing w:after="0"/>
              <w:rPr>
                <w:sz w:val="10"/>
                <w:szCs w:val="10"/>
                <w:color w:val="auto"/>
              </w:rPr>
            </w:pPr>
          </w:p>
        </w:tc>
        <w:tc>
          <w:tcPr>
            <w:tcW w:w="242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76">
              <w:r>
                <w:rPr>
                  <w:rFonts w:ascii="Times New Roman" w:cs="Times New Roman" w:eastAsia="Times New Roman" w:hAnsi="Times New Roman"/>
                  <w:sz w:val="13"/>
                  <w:szCs w:val="13"/>
                  <w:color w:val="0000FF"/>
                </w:rPr>
                <w:t>2021 on Form 10-Q (File No. 001-34972))</w:t>
              </w:r>
            </w:hyperlink>
          </w:p>
        </w:tc>
        <w:tc>
          <w:tcPr>
            <w:tcW w:w="7720" w:type="dxa"/>
            <w:vAlign w:val="bottom"/>
            <w:tcBorders>
              <w:top w:val="single" w:sz="8" w:color="0000FF"/>
            </w:tcBorders>
            <w:gridSpan w:val="20"/>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gridSpan w:val="8"/>
          </w:tcPr>
          <w:p>
            <w:pPr>
              <w:spacing w:after="0"/>
              <w:rPr>
                <w:sz w:val="10"/>
                <w:szCs w:val="10"/>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10.28†</w:t>
            </w:r>
          </w:p>
        </w:tc>
        <w:tc>
          <w:tcPr>
            <w:tcW w:w="10340" w:type="dxa"/>
            <w:vAlign w:val="bottom"/>
            <w:gridSpan w:val="34"/>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Booz Allen Hamilton Inc. Nonqualified Deferred Compensation Plan (Incorporated by reference to Exhibit 10.7 to the Company’s Quarterly Report for the period ended December</w:t>
              </w:r>
            </w:hyperlink>
          </w:p>
        </w:tc>
      </w:tr>
      <w:tr>
        <w:trPr>
          <w:trHeight w:val="129"/>
        </w:trPr>
        <w:tc>
          <w:tcPr>
            <w:tcW w:w="1000" w:type="dxa"/>
            <w:vAlign w:val="bottom"/>
          </w:tcPr>
          <w:p>
            <w:pPr>
              <w:spacing w:after="0"/>
              <w:rPr>
                <w:sz w:val="11"/>
                <w:szCs w:val="11"/>
                <w:color w:val="auto"/>
              </w:rPr>
            </w:pPr>
          </w:p>
        </w:tc>
        <w:tc>
          <w:tcPr>
            <w:tcW w:w="1018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31, 2018 on Form 10-Q (File No. 001-34972))</w:t>
              </w:r>
            </w:hyperlink>
          </w:p>
        </w:tc>
        <w:tc>
          <w:tcPr>
            <w:tcW w:w="160" w:type="dxa"/>
            <w:vAlign w:val="bottom"/>
            <w:gridSpan w:val="8"/>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60" w:type="dxa"/>
            <w:vAlign w:val="bottom"/>
            <w:gridSpan w:val="12"/>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10.29†</w:t>
            </w:r>
          </w:p>
        </w:tc>
        <w:tc>
          <w:tcPr>
            <w:tcW w:w="10340" w:type="dxa"/>
            <w:vAlign w:val="bottom"/>
            <w:gridSpan w:val="34"/>
          </w:tcPr>
          <w:p>
            <w:pPr>
              <w:spacing w:after="0"/>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First Amendment to the Nonqualified Deferred Compensation Plan (Incorporated by reference to Exhibit 10.1 to the Company’s Quarterly Report for the period ended September</w:t>
              </w:r>
            </w:hyperlink>
          </w:p>
        </w:tc>
      </w:tr>
      <w:tr>
        <w:trPr>
          <w:trHeight w:val="129"/>
        </w:trPr>
        <w:tc>
          <w:tcPr>
            <w:tcW w:w="1000" w:type="dxa"/>
            <w:vAlign w:val="bottom"/>
          </w:tcPr>
          <w:p>
            <w:pPr>
              <w:spacing w:after="0"/>
              <w:rPr>
                <w:sz w:val="11"/>
                <w:szCs w:val="11"/>
                <w:color w:val="auto"/>
              </w:rPr>
            </w:pPr>
          </w:p>
        </w:tc>
        <w:tc>
          <w:tcPr>
            <w:tcW w:w="1008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30, 2019 on Form 10-Q (File No. 001-34972))</w:t>
              </w:r>
            </w:hyperlink>
          </w:p>
        </w:tc>
        <w:tc>
          <w:tcPr>
            <w:tcW w:w="260" w:type="dxa"/>
            <w:vAlign w:val="bottom"/>
            <w:gridSpan w:val="12"/>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500" w:type="dxa"/>
            <w:vAlign w:val="bottom"/>
            <w:gridSpan w:val="19"/>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10.30†</w:t>
            </w:r>
          </w:p>
        </w:tc>
        <w:tc>
          <w:tcPr>
            <w:tcW w:w="10340" w:type="dxa"/>
            <w:vAlign w:val="bottom"/>
            <w:gridSpan w:val="34"/>
          </w:tcPr>
          <w:p>
            <w:pPr>
              <w:spacing w:after="0"/>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Form of Stock Option Agreement under the Second Amended and Restated Equity Incentive Plan of Booz Allen Hamilton Holding Corporation (Incorporated by reference to</w:t>
              </w:r>
            </w:hyperlink>
          </w:p>
        </w:tc>
      </w:tr>
      <w:tr>
        <w:trPr>
          <w:trHeight w:val="129"/>
        </w:trPr>
        <w:tc>
          <w:tcPr>
            <w:tcW w:w="1000" w:type="dxa"/>
            <w:vAlign w:val="bottom"/>
          </w:tcPr>
          <w:p>
            <w:pPr>
              <w:spacing w:after="0"/>
              <w:rPr>
                <w:sz w:val="11"/>
                <w:szCs w:val="11"/>
                <w:color w:val="auto"/>
              </w:rPr>
            </w:pPr>
          </w:p>
        </w:tc>
        <w:tc>
          <w:tcPr>
            <w:tcW w:w="680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Exhibit 10.36 to the Company’s Annual Report for the year ended March 31, 2017 on Form 10-K (File No. 001-34972))</w:t>
              </w:r>
            </w:hyperlink>
          </w:p>
        </w:tc>
        <w:tc>
          <w:tcPr>
            <w:tcW w:w="3040" w:type="dxa"/>
            <w:vAlign w:val="bottom"/>
            <w:tcBorders>
              <w:top w:val="single" w:sz="8" w:color="0000FF"/>
            </w:tcBorders>
            <w:gridSpan w:val="8"/>
          </w:tcPr>
          <w:p>
            <w:pPr>
              <w:spacing w:after="0"/>
              <w:rPr>
                <w:sz w:val="11"/>
                <w:szCs w:val="11"/>
                <w:color w:val="auto"/>
              </w:rPr>
            </w:pPr>
          </w:p>
        </w:tc>
        <w:tc>
          <w:tcPr>
            <w:tcW w:w="500" w:type="dxa"/>
            <w:vAlign w:val="bottom"/>
            <w:gridSpan w:val="19"/>
          </w:tcPr>
          <w:p>
            <w:pPr>
              <w:spacing w:after="0"/>
              <w:rPr>
                <w:sz w:val="11"/>
                <w:szCs w:val="1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10.31†</w:t>
            </w:r>
          </w:p>
        </w:tc>
        <w:tc>
          <w:tcPr>
            <w:tcW w:w="10340" w:type="dxa"/>
            <w:vAlign w:val="bottom"/>
            <w:gridSpan w:val="34"/>
          </w:tcPr>
          <w:p>
            <w:pPr>
              <w:spacing w:after="0"/>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Form of Stock Option Agreement under the Second Amended and Restated Equity Incentive Plan of Booz Allen Hamilton Holding Corporation (Incorporated by reference to</w:t>
              </w:r>
            </w:hyperlink>
          </w:p>
        </w:tc>
      </w:tr>
      <w:tr>
        <w:trPr>
          <w:trHeight w:val="129"/>
        </w:trPr>
        <w:tc>
          <w:tcPr>
            <w:tcW w:w="1000" w:type="dxa"/>
            <w:vAlign w:val="bottom"/>
          </w:tcPr>
          <w:p>
            <w:pPr>
              <w:spacing w:after="0"/>
              <w:rPr>
                <w:sz w:val="11"/>
                <w:szCs w:val="11"/>
                <w:color w:val="auto"/>
              </w:rPr>
            </w:pPr>
          </w:p>
        </w:tc>
        <w:tc>
          <w:tcPr>
            <w:tcW w:w="984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Exhibit 10.59 to the Company’s Annual Report for the year ended March 31, 2019 on Form 10-K (File No. 001-34972))</w:t>
              </w:r>
            </w:hyperlink>
          </w:p>
        </w:tc>
        <w:tc>
          <w:tcPr>
            <w:tcW w:w="500" w:type="dxa"/>
            <w:vAlign w:val="bottom"/>
            <w:gridSpan w:val="19"/>
          </w:tcPr>
          <w:p>
            <w:pPr>
              <w:spacing w:after="0"/>
              <w:rPr>
                <w:sz w:val="11"/>
                <w:szCs w:val="11"/>
                <w:color w:val="auto"/>
              </w:rPr>
            </w:pPr>
          </w:p>
        </w:tc>
      </w:tr>
      <w:tr>
        <w:trPr>
          <w:trHeight w:val="743"/>
        </w:trPr>
        <w:tc>
          <w:tcPr>
            <w:tcW w:w="1000" w:type="dxa"/>
            <w:vAlign w:val="bottom"/>
          </w:tcPr>
          <w:p>
            <w:pPr>
              <w:spacing w:after="0"/>
              <w:rPr>
                <w:sz w:val="24"/>
                <w:szCs w:val="24"/>
                <w:color w:val="auto"/>
              </w:rPr>
            </w:pPr>
          </w:p>
        </w:tc>
        <w:tc>
          <w:tcPr>
            <w:tcW w:w="5480" w:type="dxa"/>
            <w:vAlign w:val="bottom"/>
            <w:tcBorders>
              <w:top w:val="single" w:sz="8" w:color="0000FF"/>
            </w:tcBorders>
            <w:gridSpan w:val="6"/>
          </w:tcPr>
          <w:p>
            <w:pPr>
              <w:ind w:left="4580"/>
              <w:spacing w:after="0"/>
              <w:rPr>
                <w:sz w:val="20"/>
                <w:szCs w:val="20"/>
                <w:color w:val="auto"/>
              </w:rPr>
            </w:pPr>
            <w:r>
              <w:rPr>
                <w:rFonts w:ascii="Times New Roman" w:cs="Times New Roman" w:eastAsia="Times New Roman" w:hAnsi="Times New Roman"/>
                <w:sz w:val="14"/>
                <w:szCs w:val="14"/>
                <w:color w:val="auto"/>
              </w:rPr>
              <w:t>79</w:t>
            </w:r>
          </w:p>
        </w:tc>
        <w:tc>
          <w:tcPr>
            <w:tcW w:w="13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8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121" w:name="page122"/>
    <w:bookmarkEnd w:id="121"/>
    <w:tbl>
      <w:tblPr>
        <w:tblLayout w:type="fixed"/>
        <w:tblInd w:w="2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10.32†</w:t>
            </w:r>
          </w:p>
        </w:tc>
        <w:tc>
          <w:tcPr>
            <w:tcW w:w="10280" w:type="dxa"/>
            <w:vAlign w:val="bottom"/>
            <w:gridSpan w:val="22"/>
          </w:tcPr>
          <w:p>
            <w:pPr>
              <w:spacing w:after="0"/>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Form of Stock Option Agreement under the Third Amended and Restated Equity Incentive Plan of Booz Allen Hamilton Holding Corporation (Incorporated by reference to Exhibit</w:t>
              </w:r>
            </w:hyperlink>
          </w:p>
        </w:tc>
      </w:tr>
      <w:tr>
        <w:trPr>
          <w:trHeight w:val="129"/>
        </w:trPr>
        <w:tc>
          <w:tcPr>
            <w:tcW w:w="980" w:type="dxa"/>
            <w:vAlign w:val="bottom"/>
          </w:tcPr>
          <w:p>
            <w:pPr>
              <w:spacing w:after="0"/>
              <w:rPr>
                <w:sz w:val="11"/>
                <w:szCs w:val="11"/>
                <w:color w:val="auto"/>
              </w:rPr>
            </w:pPr>
          </w:p>
        </w:tc>
        <w:tc>
          <w:tcPr>
            <w:tcW w:w="626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61</w:t>
              </w:r>
              <w:r>
                <w:rPr>
                  <w:rFonts w:ascii="Times New Roman" w:cs="Times New Roman" w:eastAsia="Times New Roman" w:hAnsi="Times New Roman"/>
                  <w:sz w:val="14"/>
                  <w:szCs w:val="14"/>
                  <w:color w:val="0000FF"/>
                </w:rPr>
                <w:t xml:space="preserve"> to the Company's Annual Report for the year ended March 31, 2020 on Form 10-K (file No. 001-34972)</w:t>
              </w:r>
            </w:hyperlink>
          </w:p>
        </w:tc>
        <w:tc>
          <w:tcPr>
            <w:tcW w:w="3940" w:type="dxa"/>
            <w:vAlign w:val="bottom"/>
            <w:tcBorders>
              <w:top w:val="single" w:sz="8" w:color="0000FF"/>
            </w:tcBorders>
            <w:gridSpan w:val="15"/>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10.33†</w:t>
            </w:r>
          </w:p>
        </w:tc>
        <w:tc>
          <w:tcPr>
            <w:tcW w:w="998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Officer Perquisites Policy (Incorporated by reference to Exhibit 10.45 to the Company’s Annual Report for the year ended March 31, 2018 on Form 10-K (File No. 001-34972))</w:t>
              </w:r>
            </w:hyperlink>
          </w:p>
        </w:tc>
        <w:tc>
          <w:tcPr>
            <w:tcW w:w="300" w:type="dxa"/>
            <w:vAlign w:val="bottom"/>
            <w:gridSpan w:val="7"/>
          </w:tcPr>
          <w:p>
            <w:pPr>
              <w:spacing w:after="0"/>
              <w:rPr>
                <w:sz w:val="17"/>
                <w:szCs w:val="17"/>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10.34†</w:t>
            </w:r>
          </w:p>
        </w:tc>
        <w:tc>
          <w:tcPr>
            <w:tcW w:w="10280" w:type="dxa"/>
            <w:vAlign w:val="bottom"/>
            <w:gridSpan w:val="22"/>
          </w:tcPr>
          <w:p>
            <w:pPr>
              <w:spacing w:after="0"/>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Form of Stock Option Agreement under the Third Amended and Restated Equity Incentive Plan of Booz Allen Hamilton Holding Corporation (Incorporated by reference to Exhibit</w:t>
              </w:r>
            </w:hyperlink>
          </w:p>
        </w:tc>
      </w:tr>
      <w:tr>
        <w:trPr>
          <w:trHeight w:val="129"/>
        </w:trPr>
        <w:tc>
          <w:tcPr>
            <w:tcW w:w="980" w:type="dxa"/>
            <w:vAlign w:val="bottom"/>
          </w:tcPr>
          <w:p>
            <w:pPr>
              <w:spacing w:after="0"/>
              <w:rPr>
                <w:sz w:val="11"/>
                <w:szCs w:val="11"/>
                <w:color w:val="auto"/>
              </w:rPr>
            </w:pPr>
          </w:p>
        </w:tc>
        <w:tc>
          <w:tcPr>
            <w:tcW w:w="1020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65</w:t>
              </w:r>
              <w:r>
                <w:rPr>
                  <w:rFonts w:ascii="Times New Roman" w:cs="Times New Roman" w:eastAsia="Times New Roman" w:hAnsi="Times New Roman"/>
                  <w:sz w:val="14"/>
                  <w:szCs w:val="14"/>
                  <w:color w:val="0000FF"/>
                </w:rPr>
                <w:t xml:space="preserve"> to the Company’s Annual Report for the period ended March 31, 2022 on Form 10-K (File No. 001-34972))</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8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10.35†</w:t>
            </w:r>
          </w:p>
        </w:tc>
        <w:tc>
          <w:tcPr>
            <w:tcW w:w="10280" w:type="dxa"/>
            <w:vAlign w:val="bottom"/>
            <w:gridSpan w:val="22"/>
          </w:tcPr>
          <w:p>
            <w:pPr>
              <w:spacing w:after="0"/>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Form of Restricted Stock Unit Agreement under the Third Amended and Restated Equity Incentive Plan of Booz Allen Hamilton Holding Corporation (Incorporated by reference to</w:t>
              </w:r>
            </w:hyperlink>
          </w:p>
        </w:tc>
      </w:tr>
      <w:tr>
        <w:trPr>
          <w:trHeight w:val="129"/>
        </w:trPr>
        <w:tc>
          <w:tcPr>
            <w:tcW w:w="980" w:type="dxa"/>
            <w:vAlign w:val="bottom"/>
          </w:tcPr>
          <w:p>
            <w:pPr>
              <w:spacing w:after="0"/>
              <w:rPr>
                <w:sz w:val="11"/>
                <w:szCs w:val="11"/>
                <w:color w:val="auto"/>
              </w:rPr>
            </w:pPr>
          </w:p>
        </w:tc>
        <w:tc>
          <w:tcPr>
            <w:tcW w:w="692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Exhibit 10.66 to the Company’s Annual Report for the period ended March 31, 2022 on Form 10-K (File No. 001-34972))</w:t>
              </w:r>
            </w:hyperlink>
          </w:p>
        </w:tc>
        <w:tc>
          <w:tcPr>
            <w:tcW w:w="3300" w:type="dxa"/>
            <w:vAlign w:val="bottom"/>
            <w:tcBorders>
              <w:top w:val="single" w:sz="8" w:color="0000FF"/>
            </w:tcBorders>
            <w:gridSpan w:val="11"/>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10.36†</w:t>
            </w:r>
          </w:p>
        </w:tc>
        <w:tc>
          <w:tcPr>
            <w:tcW w:w="10280" w:type="dxa"/>
            <w:vAlign w:val="bottom"/>
            <w:gridSpan w:val="22"/>
          </w:tcPr>
          <w:p>
            <w:pPr>
              <w:spacing w:after="0"/>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Form of Performance Restricted Stock Unit Agreement under the Third Amended and Restated Equity Incentive Plan of Booz Allen Hamilton Holding Corporation (Incorporated by</w:t>
              </w:r>
            </w:hyperlink>
          </w:p>
        </w:tc>
      </w:tr>
      <w:tr>
        <w:trPr>
          <w:trHeight w:val="129"/>
        </w:trPr>
        <w:tc>
          <w:tcPr>
            <w:tcW w:w="980" w:type="dxa"/>
            <w:vAlign w:val="bottom"/>
          </w:tcPr>
          <w:p>
            <w:pPr>
              <w:spacing w:after="0"/>
              <w:rPr>
                <w:sz w:val="11"/>
                <w:szCs w:val="11"/>
                <w:color w:val="auto"/>
              </w:rPr>
            </w:pPr>
          </w:p>
        </w:tc>
        <w:tc>
          <w:tcPr>
            <w:tcW w:w="1026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reference to Exhibit 10.67 to the Company’s Annual Report for the period ended March 31, 2022 on Form 10-K (File No. 001-34972))</w:t>
              </w:r>
            </w:hyperlink>
          </w:p>
        </w:tc>
        <w:tc>
          <w:tcPr>
            <w:tcW w:w="20" w:type="dxa"/>
            <w:vAlign w:val="bottom"/>
          </w:tcPr>
          <w:p>
            <w:pPr>
              <w:spacing w:after="0"/>
              <w:rPr>
                <w:sz w:val="11"/>
                <w:szCs w:val="11"/>
                <w:color w:val="auto"/>
              </w:rPr>
            </w:pPr>
          </w:p>
        </w:tc>
      </w:tr>
      <w:tr>
        <w:trPr>
          <w:trHeight w:val="20"/>
        </w:trPr>
        <w:tc>
          <w:tcPr>
            <w:tcW w:w="98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10.37†</w:t>
            </w:r>
          </w:p>
        </w:tc>
        <w:tc>
          <w:tcPr>
            <w:tcW w:w="10280" w:type="dxa"/>
            <w:vAlign w:val="bottom"/>
            <w:gridSpan w:val="22"/>
          </w:tcPr>
          <w:p>
            <w:pPr>
              <w:spacing w:after="0"/>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Form of Stock Option Agreement under the Third Amended and Restated Equity Incentive Plan of Booz Allen Hamilton Holding Corporation (Incorporated by reference to Exhibit</w:t>
              </w:r>
            </w:hyperlink>
          </w:p>
        </w:tc>
      </w:tr>
      <w:tr>
        <w:trPr>
          <w:trHeight w:val="129"/>
        </w:trPr>
        <w:tc>
          <w:tcPr>
            <w:tcW w:w="980" w:type="dxa"/>
            <w:vAlign w:val="bottom"/>
          </w:tcPr>
          <w:p>
            <w:pPr>
              <w:spacing w:after="0"/>
              <w:rPr>
                <w:sz w:val="11"/>
                <w:szCs w:val="11"/>
                <w:color w:val="auto"/>
              </w:rPr>
            </w:pPr>
          </w:p>
        </w:tc>
        <w:tc>
          <w:tcPr>
            <w:tcW w:w="1020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39</w:t>
              </w:r>
              <w:r>
                <w:rPr>
                  <w:rFonts w:ascii="Times New Roman" w:cs="Times New Roman" w:eastAsia="Times New Roman" w:hAnsi="Times New Roman"/>
                  <w:sz w:val="14"/>
                  <w:szCs w:val="14"/>
                  <w:color w:val="0000FF"/>
                </w:rPr>
                <w:t xml:space="preserve"> to the Company’s Annual Report for the period ended March 31, 2023 on Form 10-K (File No. 001-34972))</w:t>
              </w:r>
            </w:hyperlink>
          </w:p>
        </w:tc>
        <w:tc>
          <w:tcPr>
            <w:tcW w:w="80" w:type="dxa"/>
            <w:vAlign w:val="bottom"/>
            <w:gridSpan w:val="3"/>
          </w:tcPr>
          <w:p>
            <w:pPr>
              <w:spacing w:after="0"/>
              <w:rPr>
                <w:sz w:val="11"/>
                <w:szCs w:val="11"/>
                <w:color w:val="auto"/>
              </w:rPr>
            </w:pPr>
          </w:p>
        </w:tc>
      </w:tr>
      <w:tr>
        <w:trPr>
          <w:trHeight w:val="20"/>
        </w:trPr>
        <w:tc>
          <w:tcPr>
            <w:tcW w:w="98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35"/>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10.38†</w:t>
            </w:r>
          </w:p>
        </w:tc>
        <w:tc>
          <w:tcPr>
            <w:tcW w:w="10280" w:type="dxa"/>
            <w:vAlign w:val="bottom"/>
            <w:gridSpan w:val="22"/>
          </w:tcPr>
          <w:p>
            <w:pPr>
              <w:spacing w:after="0"/>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Form of Restricted Stock Unit Agreement under the Third Amended and Restated Equity Incentive Plan of Booz Allen Hamilton Holding Corporation (Incorporated by reference to</w:t>
              </w:r>
            </w:hyperlink>
          </w:p>
        </w:tc>
      </w:tr>
      <w:tr>
        <w:trPr>
          <w:trHeight w:val="129"/>
        </w:trPr>
        <w:tc>
          <w:tcPr>
            <w:tcW w:w="980" w:type="dxa"/>
            <w:vAlign w:val="bottom"/>
          </w:tcPr>
          <w:p>
            <w:pPr>
              <w:spacing w:after="0"/>
              <w:rPr>
                <w:sz w:val="11"/>
                <w:szCs w:val="11"/>
                <w:color w:val="auto"/>
              </w:rPr>
            </w:pPr>
          </w:p>
        </w:tc>
        <w:tc>
          <w:tcPr>
            <w:tcW w:w="692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Exhibit 10.38 to the Company’s Annual Report for the period ended March 31, 2023 on Form 10-K (File No. 001-34972))</w:t>
              </w:r>
            </w:hyperlink>
          </w:p>
        </w:tc>
        <w:tc>
          <w:tcPr>
            <w:tcW w:w="3300" w:type="dxa"/>
            <w:vAlign w:val="bottom"/>
            <w:tcBorders>
              <w:top w:val="single" w:sz="8" w:color="0000FF"/>
            </w:tcBorders>
            <w:gridSpan w:val="11"/>
          </w:tcPr>
          <w:p>
            <w:pPr>
              <w:spacing w:after="0"/>
              <w:rPr>
                <w:sz w:val="11"/>
                <w:szCs w:val="11"/>
                <w:color w:val="auto"/>
              </w:rPr>
            </w:pPr>
          </w:p>
        </w:tc>
        <w:tc>
          <w:tcPr>
            <w:tcW w:w="60" w:type="dxa"/>
            <w:vAlign w:val="bottom"/>
            <w:gridSpan w:val="2"/>
          </w:tcPr>
          <w:p>
            <w:pPr>
              <w:spacing w:after="0"/>
              <w:rPr>
                <w:sz w:val="11"/>
                <w:szCs w:val="1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10.39†</w:t>
            </w:r>
          </w:p>
        </w:tc>
        <w:tc>
          <w:tcPr>
            <w:tcW w:w="10280" w:type="dxa"/>
            <w:vAlign w:val="bottom"/>
            <w:gridSpan w:val="22"/>
          </w:tcPr>
          <w:p>
            <w:pPr>
              <w:spacing w:after="0"/>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Form of Performance Restricted Stock Unit Agreement under the Third Amended and Restated Equity Incentive Plan of Booz Allen Hamilton Holding Corporation (Incorporated by</w:t>
              </w:r>
            </w:hyperlink>
          </w:p>
        </w:tc>
      </w:tr>
      <w:tr>
        <w:trPr>
          <w:trHeight w:val="129"/>
        </w:trPr>
        <w:tc>
          <w:tcPr>
            <w:tcW w:w="980" w:type="dxa"/>
            <w:vAlign w:val="bottom"/>
          </w:tcPr>
          <w:p>
            <w:pPr>
              <w:spacing w:after="0"/>
              <w:rPr>
                <w:sz w:val="11"/>
                <w:szCs w:val="11"/>
                <w:color w:val="auto"/>
              </w:rPr>
            </w:pPr>
          </w:p>
        </w:tc>
        <w:tc>
          <w:tcPr>
            <w:tcW w:w="1026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reference to Exhibit 10.40 to the Company’s Annual Report for the period ended March 31, 2023 on Form 10-K (File No. 001-34972))</w:t>
              </w:r>
            </w:hyperlink>
          </w:p>
        </w:tc>
        <w:tc>
          <w:tcPr>
            <w:tcW w:w="20" w:type="dxa"/>
            <w:vAlign w:val="bottom"/>
          </w:tcPr>
          <w:p>
            <w:pPr>
              <w:spacing w:after="0"/>
              <w:rPr>
                <w:sz w:val="11"/>
                <w:szCs w:val="11"/>
                <w:color w:val="auto"/>
              </w:rPr>
            </w:pPr>
          </w:p>
        </w:tc>
      </w:tr>
      <w:tr>
        <w:trPr>
          <w:trHeight w:val="20"/>
        </w:trPr>
        <w:tc>
          <w:tcPr>
            <w:tcW w:w="98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10.40†</w:t>
            </w:r>
          </w:p>
        </w:tc>
        <w:tc>
          <w:tcPr>
            <w:tcW w:w="10280" w:type="dxa"/>
            <w:vAlign w:val="bottom"/>
            <w:gridSpan w:val="22"/>
          </w:tcPr>
          <w:p>
            <w:pPr>
              <w:spacing w:after="0"/>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Form of Stock Option Agreement under the 2023 Equity Incentive Plan of Booz Allen Hamilton Holding Corporation (Incorporated by reference to Exhibit 10.8 to the Company’s</w:t>
              </w:r>
            </w:hyperlink>
          </w:p>
        </w:tc>
      </w:tr>
      <w:tr>
        <w:trPr>
          <w:trHeight w:val="129"/>
        </w:trPr>
        <w:tc>
          <w:tcPr>
            <w:tcW w:w="980" w:type="dxa"/>
            <w:vAlign w:val="bottom"/>
          </w:tcPr>
          <w:p>
            <w:pPr>
              <w:spacing w:after="0"/>
              <w:rPr>
                <w:sz w:val="11"/>
                <w:szCs w:val="11"/>
                <w:color w:val="auto"/>
              </w:rPr>
            </w:pPr>
          </w:p>
        </w:tc>
        <w:tc>
          <w:tcPr>
            <w:tcW w:w="544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Quarterly Report for the period ended September 30, 2023 on Form 10-Q (File No. 001-34972))</w:t>
              </w:r>
            </w:hyperlink>
          </w:p>
        </w:tc>
        <w:tc>
          <w:tcPr>
            <w:tcW w:w="4680" w:type="dxa"/>
            <w:vAlign w:val="bottom"/>
            <w:tcBorders>
              <w:top w:val="single" w:sz="8" w:color="0000FF"/>
            </w:tcBorders>
            <w:gridSpan w:val="15"/>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gridSpan w:val="4"/>
          </w:tcPr>
          <w:p>
            <w:pPr>
              <w:spacing w:after="0"/>
              <w:rPr>
                <w:sz w:val="11"/>
                <w:szCs w:val="11"/>
                <w:color w:val="auto"/>
              </w:rPr>
            </w:pPr>
          </w:p>
        </w:tc>
      </w:tr>
      <w:tr>
        <w:trPr>
          <w:trHeight w:val="235"/>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10.41†</w:t>
            </w:r>
          </w:p>
        </w:tc>
        <w:tc>
          <w:tcPr>
            <w:tcW w:w="10280" w:type="dxa"/>
            <w:vAlign w:val="bottom"/>
            <w:gridSpan w:val="22"/>
          </w:tcPr>
          <w:p>
            <w:pPr>
              <w:spacing w:after="0"/>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Form of Restricted Stock Unit Agreement under the 2023 Equity Incentive Plan of Booz Allen Hamilton Holding Corporation (Incorporated by reference to Exhibit 10.5 to the</w:t>
              </w:r>
            </w:hyperlink>
          </w:p>
        </w:tc>
      </w:tr>
      <w:tr>
        <w:trPr>
          <w:trHeight w:val="129"/>
        </w:trPr>
        <w:tc>
          <w:tcPr>
            <w:tcW w:w="980" w:type="dxa"/>
            <w:vAlign w:val="bottom"/>
          </w:tcPr>
          <w:p>
            <w:pPr>
              <w:spacing w:after="0"/>
              <w:rPr>
                <w:sz w:val="11"/>
                <w:szCs w:val="11"/>
                <w:color w:val="auto"/>
              </w:rPr>
            </w:pPr>
          </w:p>
        </w:tc>
        <w:tc>
          <w:tcPr>
            <w:tcW w:w="612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Company’s Quarterly Report for the period ended September 30, 2023 on Form 10-Q (File No. 001-34972))</w:t>
              </w:r>
            </w:hyperlink>
          </w:p>
        </w:tc>
        <w:tc>
          <w:tcPr>
            <w:tcW w:w="3800" w:type="dxa"/>
            <w:vAlign w:val="bottom"/>
            <w:tcBorders>
              <w:top w:val="single" w:sz="8" w:color="0000FF"/>
            </w:tcBorders>
            <w:gridSpan w:val="11"/>
          </w:tcPr>
          <w:p>
            <w:pPr>
              <w:spacing w:after="0"/>
              <w:rPr>
                <w:sz w:val="11"/>
                <w:szCs w:val="11"/>
                <w:color w:val="auto"/>
              </w:rPr>
            </w:pPr>
          </w:p>
        </w:tc>
        <w:tc>
          <w:tcPr>
            <w:tcW w:w="120" w:type="dxa"/>
            <w:vAlign w:val="bottom"/>
            <w:gridSpan w:val="2"/>
          </w:tcPr>
          <w:p>
            <w:pPr>
              <w:spacing w:after="0"/>
              <w:rPr>
                <w:sz w:val="11"/>
                <w:szCs w:val="11"/>
                <w:color w:val="auto"/>
              </w:rPr>
            </w:pPr>
          </w:p>
        </w:tc>
        <w:tc>
          <w:tcPr>
            <w:tcW w:w="140" w:type="dxa"/>
            <w:vAlign w:val="bottom"/>
            <w:gridSpan w:val="2"/>
          </w:tcPr>
          <w:p>
            <w:pPr>
              <w:spacing w:after="0"/>
              <w:rPr>
                <w:sz w:val="11"/>
                <w:szCs w:val="11"/>
                <w:color w:val="auto"/>
              </w:rPr>
            </w:pPr>
          </w:p>
        </w:tc>
        <w:tc>
          <w:tcPr>
            <w:tcW w:w="100" w:type="dxa"/>
            <w:vAlign w:val="bottom"/>
            <w:gridSpan w:val="4"/>
          </w:tcPr>
          <w:p>
            <w:pPr>
              <w:spacing w:after="0"/>
              <w:rPr>
                <w:sz w:val="11"/>
                <w:szCs w:val="1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10.42†</w:t>
            </w:r>
          </w:p>
        </w:tc>
        <w:tc>
          <w:tcPr>
            <w:tcW w:w="10280" w:type="dxa"/>
            <w:vAlign w:val="bottom"/>
            <w:gridSpan w:val="22"/>
          </w:tcPr>
          <w:p>
            <w:pPr>
              <w:spacing w:after="0"/>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Form of Performance Restricted Stock Unit Agreement under the 2023 Equity Incentive Plan of Booz Allen Hamilton Holding Corporation (Incorporated by reference to Exhibit</w:t>
              </w:r>
            </w:hyperlink>
          </w:p>
        </w:tc>
      </w:tr>
      <w:tr>
        <w:trPr>
          <w:trHeight w:val="129"/>
        </w:trPr>
        <w:tc>
          <w:tcPr>
            <w:tcW w:w="980" w:type="dxa"/>
            <w:vAlign w:val="bottom"/>
          </w:tcPr>
          <w:p>
            <w:pPr>
              <w:spacing w:after="0"/>
              <w:rPr>
                <w:sz w:val="11"/>
                <w:szCs w:val="11"/>
                <w:color w:val="auto"/>
              </w:rPr>
            </w:pPr>
          </w:p>
        </w:tc>
        <w:tc>
          <w:tcPr>
            <w:tcW w:w="676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7</w:t>
              </w:r>
              <w:r>
                <w:rPr>
                  <w:rFonts w:ascii="Times New Roman" w:cs="Times New Roman" w:eastAsia="Times New Roman" w:hAnsi="Times New Roman"/>
                  <w:sz w:val="14"/>
                  <w:szCs w:val="14"/>
                  <w:color w:val="0000FF"/>
                </w:rPr>
                <w:t xml:space="preserve"> to the Company’s Quarterly Report for the period ended September 30, 2023 on Form 10-Q (File No. 001-34972))</w:t>
              </w:r>
            </w:hyperlink>
          </w:p>
        </w:tc>
        <w:tc>
          <w:tcPr>
            <w:tcW w:w="3280" w:type="dxa"/>
            <w:vAlign w:val="bottom"/>
            <w:tcBorders>
              <w:top w:val="single" w:sz="8" w:color="0000FF"/>
            </w:tcBorders>
            <w:gridSpan w:val="8"/>
          </w:tcPr>
          <w:p>
            <w:pPr>
              <w:spacing w:after="0"/>
              <w:rPr>
                <w:sz w:val="11"/>
                <w:szCs w:val="11"/>
                <w:color w:val="auto"/>
              </w:rPr>
            </w:pPr>
          </w:p>
        </w:tc>
        <w:tc>
          <w:tcPr>
            <w:tcW w:w="140" w:type="dxa"/>
            <w:vAlign w:val="bottom"/>
            <w:gridSpan w:val="2"/>
          </w:tcPr>
          <w:p>
            <w:pPr>
              <w:spacing w:after="0"/>
              <w:rPr>
                <w:sz w:val="11"/>
                <w:szCs w:val="11"/>
                <w:color w:val="auto"/>
              </w:rPr>
            </w:pPr>
          </w:p>
        </w:tc>
        <w:tc>
          <w:tcPr>
            <w:tcW w:w="100" w:type="dxa"/>
            <w:vAlign w:val="bottom"/>
            <w:gridSpan w:val="4"/>
          </w:tcPr>
          <w:p>
            <w:pPr>
              <w:spacing w:after="0"/>
              <w:rPr>
                <w:sz w:val="11"/>
                <w:szCs w:val="11"/>
                <w:color w:val="auto"/>
              </w:rPr>
            </w:pPr>
          </w:p>
        </w:tc>
      </w:tr>
      <w:tr>
        <w:trPr>
          <w:trHeight w:val="235"/>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10.43†</w:t>
            </w:r>
          </w:p>
        </w:tc>
        <w:tc>
          <w:tcPr>
            <w:tcW w:w="10280" w:type="dxa"/>
            <w:vAlign w:val="bottom"/>
            <w:gridSpan w:val="22"/>
          </w:tcPr>
          <w:p>
            <w:pPr>
              <w:spacing w:after="0"/>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Form of Restricted Stock Agreement for Directors under the 2023 Equity Incentive Plan of Booz Allen Hamilton Holding Corporation (Incorporated by reference to Exhibit 10.6 to</w:t>
              </w:r>
            </w:hyperlink>
          </w:p>
        </w:tc>
      </w:tr>
      <w:tr>
        <w:trPr>
          <w:trHeight w:val="129"/>
        </w:trPr>
        <w:tc>
          <w:tcPr>
            <w:tcW w:w="980" w:type="dxa"/>
            <w:vAlign w:val="bottom"/>
          </w:tcPr>
          <w:p>
            <w:pPr>
              <w:spacing w:after="0"/>
              <w:rPr>
                <w:sz w:val="11"/>
                <w:szCs w:val="11"/>
                <w:color w:val="auto"/>
              </w:rPr>
            </w:pPr>
          </w:p>
        </w:tc>
        <w:tc>
          <w:tcPr>
            <w:tcW w:w="632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the Company's Quarterly Report for the period ended September 30, 2023 on Form 10-Q (File No. 001-34972))</w:t>
              </w:r>
            </w:hyperlink>
          </w:p>
        </w:tc>
        <w:tc>
          <w:tcPr>
            <w:tcW w:w="3860" w:type="dxa"/>
            <w:vAlign w:val="bottom"/>
            <w:tcBorders>
              <w:top w:val="single" w:sz="8" w:color="0000FF"/>
            </w:tcBorders>
            <w:gridSpan w:val="13"/>
          </w:tcPr>
          <w:p>
            <w:pPr>
              <w:spacing w:after="0"/>
              <w:rPr>
                <w:sz w:val="11"/>
                <w:szCs w:val="11"/>
                <w:color w:val="auto"/>
              </w:rPr>
            </w:pPr>
          </w:p>
        </w:tc>
        <w:tc>
          <w:tcPr>
            <w:tcW w:w="100" w:type="dxa"/>
            <w:vAlign w:val="bottom"/>
            <w:gridSpan w:val="4"/>
          </w:tcPr>
          <w:p>
            <w:pPr>
              <w:spacing w:after="0"/>
              <w:rPr>
                <w:sz w:val="11"/>
                <w:szCs w:val="11"/>
                <w:color w:val="auto"/>
              </w:rPr>
            </w:pPr>
          </w:p>
        </w:tc>
      </w:tr>
      <w:tr>
        <w:trPr>
          <w:trHeight w:val="235"/>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10.44†</w:t>
            </w:r>
          </w:p>
        </w:tc>
        <w:tc>
          <w:tcPr>
            <w:tcW w:w="102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Form of Stock Option Agreement under the 2023 Equity Incentive Plan of Booz Allen Hamilton Holding Corporation*</w:t>
            </w:r>
          </w:p>
        </w:tc>
      </w:tr>
      <w:tr>
        <w:trPr>
          <w:trHeight w:val="20"/>
        </w:trPr>
        <w:tc>
          <w:tcPr>
            <w:tcW w:w="98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10.45†</w:t>
            </w:r>
          </w:p>
        </w:tc>
        <w:tc>
          <w:tcPr>
            <w:tcW w:w="102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Form of Restricted Stock Unit Agreement under the 2023 Equity Incentive Plan of Booz Allen Hamilton Holding Corporation*</w:t>
            </w:r>
          </w:p>
        </w:tc>
      </w:tr>
      <w:tr>
        <w:trPr>
          <w:trHeight w:val="20"/>
        </w:trPr>
        <w:tc>
          <w:tcPr>
            <w:tcW w:w="98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3400" w:type="dxa"/>
            <w:vAlign w:val="bottom"/>
            <w:gridSpan w:val="9"/>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10.46†</w:t>
            </w:r>
          </w:p>
        </w:tc>
        <w:tc>
          <w:tcPr>
            <w:tcW w:w="102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Form of Performance Restricted Stock Unit Agreement under the 2023 Equity Incentive Plan of Booz Allen Hamilton Holding Corporation*</w:t>
            </w:r>
          </w:p>
        </w:tc>
      </w:tr>
      <w:tr>
        <w:trPr>
          <w:trHeight w:val="20"/>
        </w:trPr>
        <w:tc>
          <w:tcPr>
            <w:tcW w:w="98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4160" w:type="dxa"/>
            <w:vAlign w:val="bottom"/>
            <w:gridSpan w:val="11"/>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r>
      <w:tr>
        <w:trPr>
          <w:trHeight w:val="235"/>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10.47†</w:t>
            </w:r>
          </w:p>
        </w:tc>
        <w:tc>
          <w:tcPr>
            <w:tcW w:w="84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Form of Special Performance Restricted Stock Unit Agreement under the 2023 Equity Incentive Plan of Booz Allen Hamilton Holding Corporation*</w:t>
            </w:r>
          </w:p>
        </w:tc>
        <w:tc>
          <w:tcPr>
            <w:tcW w:w="1860" w:type="dxa"/>
            <w:vAlign w:val="bottom"/>
            <w:gridSpan w:val="9"/>
          </w:tcPr>
          <w:p>
            <w:pPr>
              <w:spacing w:after="0"/>
              <w:rPr>
                <w:sz w:val="20"/>
                <w:szCs w:val="20"/>
                <w:color w:val="auto"/>
              </w:rPr>
            </w:pPr>
          </w:p>
        </w:tc>
      </w:tr>
      <w:tr>
        <w:trPr>
          <w:trHeight w:val="235"/>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10.48</w:t>
            </w:r>
          </w:p>
        </w:tc>
        <w:tc>
          <w:tcPr>
            <w:tcW w:w="102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Booz Allen Hamilton Holding Corporation Insider Trading Policy*</w:t>
            </w:r>
          </w:p>
        </w:tc>
      </w:tr>
      <w:tr>
        <w:trPr>
          <w:trHeight w:val="20"/>
        </w:trPr>
        <w:tc>
          <w:tcPr>
            <w:tcW w:w="98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 w:lineRule="exact"/>
        <w:rPr>
          <w:sz w:val="20"/>
          <w:szCs w:val="20"/>
          <w:color w:val="auto"/>
        </w:rPr>
      </w:pPr>
    </w:p>
    <w:p>
      <w:pPr>
        <w:ind w:left="1000" w:hanging="981"/>
        <w:spacing w:after="0"/>
        <w:tabs>
          <w:tab w:leader="none" w:pos="10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Subsidiaries of the registrant*</w:t>
      </w:r>
    </w:p>
    <w:p>
      <w:pPr>
        <w:spacing w:after="0" w:line="61" w:lineRule="exact"/>
        <w:rPr>
          <w:rFonts w:ascii="Times New Roman" w:cs="Times New Roman" w:eastAsia="Times New Roman" w:hAnsi="Times New Roman"/>
          <w:sz w:val="14"/>
          <w:szCs w:val="14"/>
          <w:color w:val="auto"/>
        </w:rPr>
      </w:pPr>
    </w:p>
    <w:p>
      <w:pPr>
        <w:ind w:left="1000" w:hanging="981"/>
        <w:spacing w:after="0"/>
        <w:tabs>
          <w:tab w:leader="none" w:pos="10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List of Guarantors and Subsidiary Issuers of Guaranteed Securities*</w:t>
      </w:r>
    </w:p>
    <w:p>
      <w:pPr>
        <w:spacing w:after="0" w:line="93" w:lineRule="exact"/>
        <w:rPr>
          <w:rFonts w:ascii="Times New Roman" w:cs="Times New Roman" w:eastAsia="Times New Roman" w:hAnsi="Times New Roman"/>
          <w:sz w:val="14"/>
          <w:szCs w:val="14"/>
          <w:color w:val="auto"/>
        </w:rPr>
      </w:pPr>
    </w:p>
    <w:p>
      <w:pPr>
        <w:ind w:left="1000" w:hanging="981"/>
        <w:spacing w:after="0"/>
        <w:tabs>
          <w:tab w:leader="none" w:pos="10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Consent of Independent Registered Public Accounting Firm*</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97"/>
              </w:rPr>
              <w:t>31.1</w:t>
            </w:r>
          </w:p>
        </w:tc>
        <w:tc>
          <w:tcPr>
            <w:tcW w:w="4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Rule 13a-14(a)/15d-14(a) Certification of the Chief Executive Officer*</w:t>
            </w:r>
          </w:p>
        </w:tc>
        <w:tc>
          <w:tcPr>
            <w:tcW w:w="6260" w:type="dxa"/>
            <w:vAlign w:val="bottom"/>
            <w:gridSpan w:val="2"/>
          </w:tcPr>
          <w:p>
            <w:pPr>
              <w:spacing w:after="0"/>
              <w:rPr>
                <w:sz w:val="13"/>
                <w:szCs w:val="13"/>
                <w:color w:val="auto"/>
              </w:rPr>
            </w:pPr>
          </w:p>
        </w:tc>
      </w:tr>
      <w:tr>
        <w:trPr>
          <w:trHeight w:val="203"/>
        </w:trPr>
        <w:tc>
          <w:tcPr>
            <w:tcW w:w="100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97"/>
              </w:rPr>
              <w:t>31.2</w:t>
            </w:r>
          </w:p>
        </w:tc>
        <w:tc>
          <w:tcPr>
            <w:tcW w:w="3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Rule 13a-14(a)/15d-14(a) Certification of the Chief Financial Officer*</w:t>
            </w:r>
          </w:p>
        </w:tc>
        <w:tc>
          <w:tcPr>
            <w:tcW w:w="6300" w:type="dxa"/>
            <w:vAlign w:val="bottom"/>
            <w:gridSpan w:val="3"/>
          </w:tcPr>
          <w:p>
            <w:pPr>
              <w:spacing w:after="0"/>
              <w:rPr>
                <w:sz w:val="17"/>
                <w:szCs w:val="17"/>
                <w:color w:val="auto"/>
              </w:rPr>
            </w:pPr>
          </w:p>
        </w:tc>
      </w:tr>
      <w:tr>
        <w:trPr>
          <w:trHeight w:val="203"/>
        </w:trPr>
        <w:tc>
          <w:tcPr>
            <w:tcW w:w="100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97"/>
              </w:rPr>
              <w:t>32.1</w:t>
            </w:r>
          </w:p>
        </w:tc>
        <w:tc>
          <w:tcPr>
            <w:tcW w:w="10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required by Rule 13a-14(b) or Rule 15d-14(b) and Section 1350 of Chapter 63 of Title 18 of the United States Code (18 U.S.C. 1350)*</w:t>
            </w:r>
          </w:p>
        </w:tc>
      </w:tr>
      <w:tr>
        <w:trPr>
          <w:trHeight w:val="743"/>
        </w:trPr>
        <w:tc>
          <w:tcPr>
            <w:tcW w:w="1000" w:type="dxa"/>
            <w:vAlign w:val="bottom"/>
          </w:tcPr>
          <w:p>
            <w:pPr>
              <w:spacing w:after="0"/>
              <w:rPr>
                <w:sz w:val="24"/>
                <w:szCs w:val="24"/>
                <w:color w:val="auto"/>
              </w:rPr>
            </w:pPr>
          </w:p>
        </w:tc>
        <w:tc>
          <w:tcPr>
            <w:tcW w:w="10120" w:type="dxa"/>
            <w:vAlign w:val="bottom"/>
            <w:tcBorders>
              <w:top w:val="single" w:sz="8" w:color="0000FF"/>
            </w:tcBorders>
            <w:gridSpan w:val="3"/>
          </w:tcPr>
          <w:p>
            <w:pPr>
              <w:jc w:val="right"/>
              <w:ind w:right="5400"/>
              <w:spacing w:after="0"/>
              <w:rPr>
                <w:sz w:val="20"/>
                <w:szCs w:val="20"/>
                <w:color w:val="auto"/>
              </w:rPr>
            </w:pPr>
            <w:r>
              <w:rPr>
                <w:rFonts w:ascii="Times New Roman" w:cs="Times New Roman" w:eastAsia="Times New Roman" w:hAnsi="Times New Roman"/>
                <w:sz w:val="14"/>
                <w:szCs w:val="14"/>
                <w:color w:val="auto"/>
              </w:rPr>
              <w:t>80</w:t>
            </w:r>
          </w:p>
        </w:tc>
        <w:tc>
          <w:tcPr>
            <w:tcW w:w="160" w:type="dxa"/>
            <w:vAlign w:val="bottom"/>
          </w:tcPr>
          <w:p>
            <w:pPr>
              <w:spacing w:after="0"/>
              <w:rPr>
                <w:sz w:val="24"/>
                <w:szCs w:val="24"/>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39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70" w:right="319" w:bottom="1440" w:gutter="0" w:footer="0" w:header="0"/>
        </w:sectPr>
      </w:pPr>
    </w:p>
    <w:bookmarkStart w:id="122" w:name="page123"/>
    <w:bookmarkEnd w:id="122"/>
    <w:p>
      <w:pPr>
        <w:ind w:left="20"/>
        <w:spacing w:after="0"/>
        <w:tabs>
          <w:tab w:leader="none" w:pos="980" w:val="left"/>
        </w:tabs>
        <w:rPr>
          <w:sz w:val="20"/>
          <w:szCs w:val="20"/>
          <w:color w:val="auto"/>
        </w:rPr>
      </w:pPr>
      <w:r>
        <w:rPr>
          <w:rFonts w:ascii="Times New Roman" w:cs="Times New Roman" w:eastAsia="Times New Roman" w:hAnsi="Times New Roman"/>
          <w:sz w:val="14"/>
          <w:szCs w:val="14"/>
          <w:color w:val="auto"/>
        </w:rPr>
        <w:t>32.2</w:t>
      </w:r>
      <w:r>
        <w:rPr>
          <w:sz w:val="20"/>
          <w:szCs w:val="20"/>
          <w:color w:val="auto"/>
        </w:rPr>
        <w:tab/>
      </w:r>
      <w:r>
        <w:rPr>
          <w:rFonts w:ascii="Times New Roman" w:cs="Times New Roman" w:eastAsia="Times New Roman" w:hAnsi="Times New Roman"/>
          <w:sz w:val="14"/>
          <w:szCs w:val="14"/>
          <w:u w:val="single" w:color="auto"/>
          <w:color w:val="0000FF"/>
        </w:rPr>
        <w:t>Certification of the Chief Financial Officer required by Rule 13a-14(b) or Rule 15d-14(b) and Section 1350 of Chapter 63 of Title 18 of the United States Code (18 U.S.C. 1350)*</w:t>
      </w:r>
    </w:p>
    <w:p>
      <w:pPr>
        <w:spacing w:after="0" w:line="62" w:lineRule="exact"/>
        <w:rPr>
          <w:sz w:val="20"/>
          <w:szCs w:val="20"/>
          <w:color w:val="auto"/>
        </w:rPr>
      </w:pPr>
    </w:p>
    <w:p>
      <w:pPr>
        <w:ind w:left="1000" w:hanging="981"/>
        <w:spacing w:after="0"/>
        <w:tabs>
          <w:tab w:leader="none" w:pos="10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Booz Allen Hamilton Holding Corporation Rule 10D-1 Clawback Policy*</w:t>
      </w:r>
    </w:p>
    <w:p>
      <w:pPr>
        <w:spacing w:after="0" w:line="104" w:lineRule="exact"/>
        <w:rPr>
          <w:sz w:val="20"/>
          <w:szCs w:val="20"/>
          <w:color w:val="auto"/>
        </w:rPr>
      </w:pPr>
    </w:p>
    <w:p>
      <w:pPr>
        <w:ind w:left="1000" w:hanging="981"/>
        <w:spacing w:after="0" w:line="225" w:lineRule="auto"/>
        <w:tabs>
          <w:tab w:leader="none" w:pos="10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materials from Booz Allen Hamilton Holding Corporation’s Annual Report on Form 10-K for the fiscal year ended March 31, 2024, formatted in Inline XBRL (eXtensible Business Reporting Language): (i) Consolidated Balance Sheets as of March 31, 2024 and 2023; (ii) Consolidated Statements of Operations for the fiscal years ended March 31, 2024, 2023 and 2022; (iii) Consolidated Statements of Comprehensive Income for the fiscal years ended March 31, 2024, 2023 and 2022; (iv) Consolidated Statements of Cash Flows for the fiscal years ended March 31, 2024, 2023 and 2022; (v) Consolidated Statements of Stockholders' Equity for the fiscal years ended March 31, 2024, 2023 and 2022; and (vi) Notes to Consolidated Financial Statements.</w:t>
      </w:r>
    </w:p>
    <w:p>
      <w:pPr>
        <w:spacing w:after="0" w:line="41"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as Inline XBRL and contained in Exhibit 101)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w:t>
      </w:r>
    </w:p>
    <w:p>
      <w:pPr>
        <w:spacing w:after="0" w:line="5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electronically herewith.</w:t>
      </w:r>
    </w:p>
    <w:p>
      <w:pPr>
        <w:spacing w:after="0" w:line="5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Management contract or compensatory arrangement.</w:t>
      </w:r>
    </w:p>
    <w:p>
      <w:pPr>
        <w:spacing w:after="0" w:line="13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16</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Form 10-K Summary.</w:t>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78" w:right="359" w:bottom="1440" w:gutter="0" w:footer="0" w:header="0"/>
        </w:sectPr>
      </w:pPr>
    </w:p>
    <w:bookmarkStart w:id="123" w:name="page124"/>
    <w:bookmarkEnd w:id="123"/>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spacing w:after="0" w:line="366"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 on this 24th day of May, 2024.</w:t>
      </w:r>
    </w:p>
    <w:p>
      <w:pPr>
        <w:spacing w:after="0" w:line="1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BOOZ ALLEN HAMILTON HOLDING CORPORATION</w:t>
      </w:r>
    </w:p>
    <w:p>
      <w:pPr>
        <w:jc w:val="center"/>
        <w:ind w:right="160"/>
        <w:spacing w:after="0"/>
        <w:rPr>
          <w:sz w:val="20"/>
          <w:szCs w:val="20"/>
          <w:color w:val="auto"/>
        </w:rPr>
      </w:pPr>
      <w:r>
        <w:rPr>
          <w:rFonts w:ascii="Times New Roman" w:cs="Times New Roman" w:eastAsia="Times New Roman" w:hAnsi="Times New Roman"/>
          <w:sz w:val="14"/>
          <w:szCs w:val="14"/>
          <w:color w:val="auto"/>
        </w:rPr>
        <w:t>(Registrant)</w:t>
      </w:r>
    </w:p>
    <w:p>
      <w:pPr>
        <w:spacing w:after="0" w:line="131" w:lineRule="exact"/>
        <w:rPr>
          <w:sz w:val="20"/>
          <w:szCs w:val="20"/>
          <w:color w:val="auto"/>
        </w:rPr>
      </w:pPr>
    </w:p>
    <w:tbl>
      <w:tblPr>
        <w:tblLayout w:type="fixed"/>
        <w:tblInd w:w="3580" w:type="dxa"/>
        <w:tblCellMar>
          <w:top w:w="0" w:type="dxa"/>
          <w:left w:w="0" w:type="dxa"/>
          <w:bottom w:w="0" w:type="dxa"/>
          <w:right w:w="0" w:type="dxa"/>
        </w:tblCellMar>
      </w:tblPr>
      <w:tr>
        <w:trPr>
          <w:trHeight w:val="18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Horacio D. Rozanski</w:t>
            </w:r>
          </w:p>
        </w:tc>
      </w:tr>
      <w:tr>
        <w:trPr>
          <w:trHeight w:val="167"/>
        </w:trPr>
        <w:tc>
          <w:tcPr>
            <w:tcW w:w="78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Horacio D. Rozanski</w:t>
            </w:r>
          </w:p>
        </w:tc>
      </w:tr>
      <w:tr>
        <w:trPr>
          <w:trHeight w:val="184"/>
        </w:trPr>
        <w:tc>
          <w:tcPr>
            <w:tcW w:w="780" w:type="dxa"/>
            <w:vAlign w:val="bottom"/>
          </w:tcPr>
          <w:p>
            <w:pPr>
              <w:spacing w:after="0"/>
              <w:rPr>
                <w:sz w:val="16"/>
                <w:szCs w:val="16"/>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President and Chief Executive Officer</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by the following persons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ind w:left="186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263"/>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Horacio D. Rozanski</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President, Chief Executive Officer and Director (Principal Executive</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24, 2024</w:t>
            </w:r>
          </w:p>
        </w:tc>
        <w:tc>
          <w:tcPr>
            <w:tcW w:w="0" w:type="dxa"/>
            <w:vAlign w:val="bottom"/>
          </w:tcPr>
          <w:p>
            <w:pPr>
              <w:spacing w:after="0"/>
              <w:rPr>
                <w:sz w:val="1"/>
                <w:szCs w:val="1"/>
                <w:color w:val="auto"/>
              </w:rPr>
            </w:pPr>
          </w:p>
        </w:tc>
      </w:tr>
      <w:tr>
        <w:trPr>
          <w:trHeight w:val="42"/>
        </w:trPr>
        <w:tc>
          <w:tcPr>
            <w:tcW w:w="4180" w:type="dxa"/>
            <w:vAlign w:val="bottom"/>
            <w:tcBorders>
              <w:bottom w:val="single" w:sz="8" w:color="auto"/>
            </w:tcBorders>
          </w:tcPr>
          <w:p>
            <w:pPr>
              <w:spacing w:after="0"/>
              <w:rPr>
                <w:sz w:val="3"/>
                <w:szCs w:val="3"/>
                <w:color w:val="auto"/>
              </w:rPr>
            </w:pPr>
          </w:p>
        </w:tc>
        <w:tc>
          <w:tcPr>
            <w:tcW w:w="512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color w:val="auto"/>
              </w:rPr>
              <w:t>Officer)</w:t>
            </w: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Horacio D. Rozanski</w:t>
            </w:r>
          </w:p>
        </w:tc>
        <w:tc>
          <w:tcPr>
            <w:tcW w:w="512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180" w:type="dxa"/>
            <w:vAlign w:val="bottom"/>
            <w:vMerge w:val="continue"/>
          </w:tcPr>
          <w:p>
            <w:pPr>
              <w:spacing w:after="0"/>
              <w:rPr>
                <w:sz w:val="4"/>
                <w:szCs w:val="4"/>
                <w:color w:val="auto"/>
              </w:rPr>
            </w:pPr>
          </w:p>
        </w:tc>
        <w:tc>
          <w:tcPr>
            <w:tcW w:w="5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Matthew A. Calderone</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Executive Vice President and Chief Financial Officer (Principal Financial</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24, 2024</w:t>
            </w:r>
          </w:p>
        </w:tc>
        <w:tc>
          <w:tcPr>
            <w:tcW w:w="0" w:type="dxa"/>
            <w:vAlign w:val="bottom"/>
          </w:tcPr>
          <w:p>
            <w:pPr>
              <w:spacing w:after="0"/>
              <w:rPr>
                <w:sz w:val="1"/>
                <w:szCs w:val="1"/>
                <w:color w:val="auto"/>
              </w:rPr>
            </w:pPr>
          </w:p>
        </w:tc>
      </w:tr>
      <w:tr>
        <w:trPr>
          <w:trHeight w:val="52"/>
        </w:trPr>
        <w:tc>
          <w:tcPr>
            <w:tcW w:w="4180" w:type="dxa"/>
            <w:vAlign w:val="bottom"/>
            <w:tcBorders>
              <w:bottom w:val="single" w:sz="8" w:color="auto"/>
            </w:tcBorders>
          </w:tcPr>
          <w:p>
            <w:pPr>
              <w:spacing w:after="0"/>
              <w:rPr>
                <w:sz w:val="4"/>
                <w:szCs w:val="4"/>
                <w:color w:val="auto"/>
              </w:rPr>
            </w:pPr>
          </w:p>
        </w:tc>
        <w:tc>
          <w:tcPr>
            <w:tcW w:w="512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color w:val="auto"/>
              </w:rPr>
              <w:t>Officer)</w:t>
            </w: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Matthew A. Calderone</w:t>
            </w:r>
          </w:p>
        </w:tc>
        <w:tc>
          <w:tcPr>
            <w:tcW w:w="51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180" w:type="dxa"/>
            <w:vAlign w:val="bottom"/>
            <w:vMerge w:val="continue"/>
          </w:tcPr>
          <w:p>
            <w:pPr>
              <w:spacing w:after="0"/>
              <w:rPr>
                <w:sz w:val="5"/>
                <w:szCs w:val="5"/>
                <w:color w:val="auto"/>
              </w:rPr>
            </w:pPr>
          </w:p>
        </w:tc>
        <w:tc>
          <w:tcPr>
            <w:tcW w:w="5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Ralph W. Shrader</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Chairman of the Board</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24, 2024</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Ralph W. Shrader</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Joan Lordi C. Amble</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24, 2024</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Joan Lordi C. Amble</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Melody C. Barnes</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24, 2024</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Melody C. Barnes</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Michèle A. Flournoy</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24, 2024</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Michèle A. Flournoy</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Mark E. Gaumond</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24, 2024</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 E. Gaumond</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Ellen Jewett</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24, 2024</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Ellen Jewett</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Arthur E. Johnson</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24, 2024</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Arthur E. Johnson</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Gretchen W. McClain</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24, 2024</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Gretchen W. McClain</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Rory P. Read</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24, 2024</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Rory P. Read</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Charles O. Rossotti</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24, 2024</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Charles O. Rossotti</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William M. Thornberry</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24, 2024</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William M. Thornberry</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4"/>
        </w:trPr>
        <w:tc>
          <w:tcPr>
            <w:tcW w:w="4180" w:type="dxa"/>
            <w:vAlign w:val="bottom"/>
          </w:tcPr>
          <w:p>
            <w:pPr>
              <w:spacing w:after="0"/>
              <w:rPr>
                <w:sz w:val="24"/>
                <w:szCs w:val="24"/>
                <w:color w:val="auto"/>
              </w:rPr>
            </w:pPr>
          </w:p>
        </w:tc>
        <w:tc>
          <w:tcPr>
            <w:tcW w:w="5120" w:type="dxa"/>
            <w:vAlign w:val="bottom"/>
          </w:tcPr>
          <w:p>
            <w:pPr>
              <w:jc w:val="right"/>
              <w:ind w:right="3510"/>
              <w:spacing w:after="0"/>
              <w:rPr>
                <w:sz w:val="20"/>
                <w:szCs w:val="20"/>
                <w:color w:val="auto"/>
              </w:rPr>
            </w:pPr>
            <w:r>
              <w:rPr>
                <w:rFonts w:ascii="Times New Roman" w:cs="Times New Roman" w:eastAsia="Times New Roman" w:hAnsi="Times New Roman"/>
                <w:sz w:val="14"/>
                <w:szCs w:val="14"/>
                <w:color w:val="auto"/>
              </w:rPr>
              <w:t>82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00" w:top="897" w:right="6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4"/>
          <w:szCs w:val="14"/>
          <w:b w:val="1"/>
          <w:bCs w:val="1"/>
          <w:color w:val="auto"/>
        </w:rPr>
        <w:t>Exhibit 4.13</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85"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4"/>
          <w:szCs w:val="14"/>
          <w:color w:val="auto"/>
        </w:rPr>
        <w:t>The following descriptions of our capital stock and provisions of our seventh amended and restated certificate of incorporation, which we refer to as our amended and restated certificate of incorporation, and amended and restated bylaws, are summaries of their material terms and provisions. For a complete description of our capital stock, amended and restated certificate of incorporation and amended and restated bylaws, please refer to our amended and restated certificate of incorporation, amended and restated bylaws and the applicable provisions of the General Corporation Law of the State of Delaware (the “DGCL”).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references to “Company”, “we”, “us”, and “our” refer to Booz Allen Hamilton Holding Corporation.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amended and restated certificate of incorporation authorizes the issuance of 600,000,000 shares of Class A common stock, par value $0.01 per share. The rights and privileges of holders of our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Class A common stock are subject to any series of preferred stock that we may issue in the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Class A common stock is registered on the New York Stock Exchange under the symbol “BAH”.</w:t>
      </w:r>
    </w:p>
    <w:p>
      <w:pPr>
        <w:spacing w:after="0" w:line="183"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Voting Rights</w:t>
      </w:r>
      <w:r>
        <w:rPr>
          <w:rFonts w:ascii="Times New Roman" w:cs="Times New Roman" w:eastAsia="Times New Roman" w:hAnsi="Times New Roman"/>
          <w:sz w:val="14"/>
          <w:szCs w:val="14"/>
          <w:color w:val="auto"/>
        </w:rPr>
        <w:t>. Holders of Class A common stock are entitled to one vote for each share on all matters to be voted on by stockholders. Except as otherwise provided by the DGCL, the entire voting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power of the shares of the Company for the election of directors and for all other purposes is vested exclusively in the Class A common stock.</w:t>
      </w:r>
    </w:p>
    <w:p>
      <w:pPr>
        <w:spacing w:after="0" w:line="1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Election of Directors</w:t>
      </w:r>
      <w:r>
        <w:rPr>
          <w:rFonts w:ascii="Times New Roman" w:cs="Times New Roman" w:eastAsia="Times New Roman" w:hAnsi="Times New Roman"/>
          <w:sz w:val="14"/>
          <w:szCs w:val="14"/>
          <w:color w:val="auto"/>
        </w:rPr>
        <w:t>. Directors are elected by the vote of the majority of the votes cast (as defined in Section 2.02 of the amended and restated bylaws) with respect to such director’s election; unless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director has been duly nominated by a stockholder in accordance with the amended and restated bylaws. Where a director has been duly nominated by a stockholder in accordance with the amended and restated bylaws, such director shall be elected by the vote of a plurality of votes cast in connection with the election of directors at any meeting of stockholders. Any nominee who is an incumbent director and does not receive a majority of the votes cast in an election where the director was not duly nominated by a stockholder in accordance with the amended and restated bylaws must promptly tender his or her resignation contingent on the acceptance of that resignation by the Board of Directors (the “Board”) pursuant to the procedure established in the amended and restated bylaws.</w:t>
      </w:r>
    </w:p>
    <w:p>
      <w:pPr>
        <w:spacing w:after="0" w:line="33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Dividend Rights</w:t>
      </w:r>
      <w:r>
        <w:rPr>
          <w:rFonts w:ascii="Times New Roman" w:cs="Times New Roman" w:eastAsia="Times New Roman" w:hAnsi="Times New Roman"/>
          <w:sz w:val="14"/>
          <w:szCs w:val="14"/>
          <w:color w:val="auto"/>
        </w:rPr>
        <w:t>. Each share of Class A common stock is entitled to participate equally, when and if declared by the Board from time to time, in such dividends and other distributions in cash, stock,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property from the Company’s assets or funds as may become legally available for such purposes subject to any dividend preferences that may be attributable to preferred stock that may be authorized and outstanding.</w:t>
      </w:r>
    </w:p>
    <w:p>
      <w:pPr>
        <w:spacing w:after="0" w:line="155" w:lineRule="exact"/>
        <w:rPr>
          <w:sz w:val="20"/>
          <w:szCs w:val="20"/>
          <w:color w:val="auto"/>
        </w:rPr>
      </w:pPr>
    </w:p>
    <w:p>
      <w:pPr>
        <w:jc w:val="both"/>
        <w:ind w:right="30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Right to Receive Liquidation Distributions</w:t>
      </w:r>
      <w:r>
        <w:rPr>
          <w:rFonts w:ascii="Times New Roman" w:cs="Times New Roman" w:eastAsia="Times New Roman" w:hAnsi="Times New Roman"/>
          <w:sz w:val="14"/>
          <w:szCs w:val="14"/>
          <w:color w:val="auto"/>
        </w:rPr>
        <w:t>. In the event of our liquidation, dissolution or winding up, holders of our Class A common stock will be entitled to receive proportionately any of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assets remaining after the payment of liabilities and subject to the prior rights of any outstanding preferred stock. Because we are a holding company, our ability to pay dividends is subject to our subsidiaries’ ability to pay dividends to us, which is in turn subject to the restrictions set forth in our debt agreements.</w:t>
      </w:r>
    </w:p>
    <w:p>
      <w:pPr>
        <w:spacing w:after="0" w:line="155"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Other Rights</w:t>
      </w:r>
      <w:r>
        <w:rPr>
          <w:rFonts w:ascii="Times New Roman" w:cs="Times New Roman" w:eastAsia="Times New Roman" w:hAnsi="Times New Roman"/>
          <w:sz w:val="14"/>
          <w:szCs w:val="14"/>
          <w:color w:val="auto"/>
        </w:rPr>
        <w:t>. Holders of Class A common stock have no preemptive, subscription, redemption, sinking fund, or conversion rights. All outstanding shares of Class A common stock are fully paid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non-assessable.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Our amended and restated certificate of incorporation authorizes the issuance of 54,000,000 shares of preferred stock, par value $0.01 per share, the terms and conditions of which are determined by the Board upon issuance. The rights, preferences and privileges of holders of common stock are subject to, and may be adversely affected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258" w:right="319" w:bottom="1440" w:gutter="0" w:footer="0" w:header="0"/>
        </w:sectPr>
      </w:pPr>
    </w:p>
    <w:bookmarkStart w:id="125" w:name="page126"/>
    <w:bookmarkEnd w:id="125"/>
    <w:p>
      <w:pPr>
        <w:ind w:right="120"/>
        <w:spacing w:after="0" w:line="287" w:lineRule="auto"/>
        <w:rPr>
          <w:sz w:val="20"/>
          <w:szCs w:val="20"/>
          <w:color w:val="auto"/>
        </w:rPr>
      </w:pPr>
      <w:r>
        <w:rPr>
          <w:rFonts w:ascii="Times New Roman" w:cs="Times New Roman" w:eastAsia="Times New Roman" w:hAnsi="Times New Roman"/>
          <w:sz w:val="14"/>
          <w:szCs w:val="14"/>
          <w:color w:val="auto"/>
        </w:rPr>
        <w:t>rights of holders of any shares of preferred stock that we may designate and issue in the future. As of May 17, 2024, there were no shares of preferred stock outstanding. We have no present plans to issue any shares of preferred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 of Control Related Provisions of Our Amended and Restated Certificate of Incorporation, Amended and Restated Bylaws and Delaware Law</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Provisions in our amended and restated certificate of incorporation and amended and restated bylaws, and in the DGCL, may make it difficult, expensive, and time-consuming for a third party to pursue a takeover attempt even if a change in control of the Company would be beneficial to the interests of our stockholders. 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These provisions are intended to:</w:t>
      </w:r>
    </w:p>
    <w:p>
      <w:pPr>
        <w:spacing w:after="0" w:line="182" w:lineRule="exact"/>
        <w:rPr>
          <w:sz w:val="20"/>
          <w:szCs w:val="20"/>
          <w:color w:val="auto"/>
        </w:rPr>
      </w:pPr>
    </w:p>
    <w:p>
      <w:pPr>
        <w:ind w:left="500" w:hanging="240"/>
        <w:spacing w:after="0"/>
        <w:tabs>
          <w:tab w:leader="none" w:pos="5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enhance the likelihood of continuity and stability in the composition of our Board;</w:t>
      </w:r>
    </w:p>
    <w:p>
      <w:pPr>
        <w:spacing w:after="0" w:line="8" w:lineRule="exact"/>
        <w:rPr>
          <w:rFonts w:ascii="Times New Roman" w:cs="Times New Roman" w:eastAsia="Times New Roman" w:hAnsi="Times New Roman"/>
          <w:sz w:val="17"/>
          <w:szCs w:val="17"/>
          <w:color w:val="auto"/>
        </w:rPr>
      </w:pPr>
    </w:p>
    <w:p>
      <w:pPr>
        <w:ind w:left="500" w:hanging="240"/>
        <w:spacing w:after="0" w:line="237" w:lineRule="auto"/>
        <w:tabs>
          <w:tab w:leader="none" w:pos="5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discourage some types of transactions that may involve an actual or threatened change in control of the Company;</w:t>
      </w:r>
    </w:p>
    <w:p>
      <w:pPr>
        <w:spacing w:after="0" w:line="8" w:lineRule="exact"/>
        <w:rPr>
          <w:rFonts w:ascii="Times New Roman" w:cs="Times New Roman" w:eastAsia="Times New Roman" w:hAnsi="Times New Roman"/>
          <w:sz w:val="17"/>
          <w:szCs w:val="17"/>
          <w:color w:val="auto"/>
        </w:rPr>
      </w:pPr>
    </w:p>
    <w:p>
      <w:pPr>
        <w:ind w:left="500" w:hanging="240"/>
        <w:spacing w:after="0" w:line="237" w:lineRule="auto"/>
        <w:tabs>
          <w:tab w:leader="none" w:pos="5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discourage certain tactics that may be used in proxy fights;</w:t>
      </w:r>
    </w:p>
    <w:p>
      <w:pPr>
        <w:spacing w:after="0" w:line="8" w:lineRule="exact"/>
        <w:rPr>
          <w:rFonts w:ascii="Times New Roman" w:cs="Times New Roman" w:eastAsia="Times New Roman" w:hAnsi="Times New Roman"/>
          <w:sz w:val="17"/>
          <w:szCs w:val="17"/>
          <w:color w:val="auto"/>
        </w:rPr>
      </w:pPr>
    </w:p>
    <w:p>
      <w:pPr>
        <w:ind w:left="500" w:hanging="240"/>
        <w:spacing w:after="0" w:line="237" w:lineRule="auto"/>
        <w:tabs>
          <w:tab w:leader="none" w:pos="5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ensure that our Board will have sufficient time to act in what our Board believes to be the best interests of us and our stockholders; and</w:t>
      </w:r>
    </w:p>
    <w:p>
      <w:pPr>
        <w:spacing w:after="0" w:line="8" w:lineRule="exact"/>
        <w:rPr>
          <w:rFonts w:ascii="Times New Roman" w:cs="Times New Roman" w:eastAsia="Times New Roman" w:hAnsi="Times New Roman"/>
          <w:sz w:val="17"/>
          <w:szCs w:val="17"/>
          <w:color w:val="auto"/>
        </w:rPr>
      </w:pPr>
    </w:p>
    <w:p>
      <w:pPr>
        <w:ind w:left="500" w:hanging="240"/>
        <w:spacing w:after="0" w:line="237" w:lineRule="auto"/>
        <w:tabs>
          <w:tab w:leader="none" w:pos="5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encourage persons seeking to acquire control of our company to first consult with our Board to negotiate the terms of any proposed business combination or offer.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Unissued Shares of Capital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May 17, 2024, 129,320,488 shares of our Class A common stock were issued and outstanding. The remaining shares of authorized and unissued Class A common stock are available for future</w:t>
      </w:r>
    </w:p>
    <w:p>
      <w:pPr>
        <w:spacing w:after="0" w:line="4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issuance without additional stockholder approval, subject to the requirements of applicable law or regulation, including any listing requirement of the principal stock exchange on which our Class A common stock is then listed. While the additional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in opposing a hostile takeover bid.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 addition, our amended and restated certificate of incorporation provides our Board with the authority, without any further vote or action by our stockholders, to designate and issue one or more series of preferred stock at their sole discretion and to fix the number of shares and the preferences, limitations and relative rights of the shares constituting any series. This provision makes it possible for our Board to issue preferred stock with super voting, special approval, dividend or other rights or preferences which could impede any attempt to acquire us. These and other provisions may have the effect of deferring, delaying or discouraging hostile takeovers or changes in control or management of our company, discouraging bids for the Class A common stock at a premium over the market price of the common stock and may adversely affect the market price of, and the voting and other rights of the holder of, Class A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Vacancies and Removal of Directors</w:t>
      </w:r>
    </w:p>
    <w:p>
      <w:pPr>
        <w:spacing w:after="0" w:line="20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Directors are elected for one-year terms expiring at the next succeeding annual meeting of stockholders. Each director shall hold office until his or her term expires and his or her successor is duly elected and qualified, or until such director’s earlier death, resignation, retirement, disqualification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260" w:right="319" w:bottom="1440" w:gutter="0" w:footer="0" w:header="0"/>
        </w:sectPr>
      </w:pPr>
    </w:p>
    <w:bookmarkStart w:id="126" w:name="page127"/>
    <w:bookmarkEnd w:id="126"/>
    <w:p>
      <w:pPr>
        <w:ind w:right="40"/>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provide that a director may be removed from office at any time, either for or without cause, by the affirmative vote of holders of at least a majority of the votes to which all the stockholders of the Company would be entitled to cast in any election of directors. Our amended and restated certificate of incorporation and amended and restated bylaws also provide that vacancies in our Board may be filled only by our Board.</w:t>
      </w:r>
    </w:p>
    <w:p>
      <w:pPr>
        <w:spacing w:after="0" w:line="157"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Any director elected to fill a vacancy will hold office until the next succeeding annual meeting of stockholders (including a vacancy created by increasing the size of the Board) and until such director’s successor shall have been duly elected and qualified.</w:t>
      </w:r>
    </w:p>
    <w:p>
      <w:pPr>
        <w:spacing w:after="0" w:line="14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No decrease in the number of directors will shorten the term of any incumbent director. The number of directors shall be fixed and modified, but not reduced to less than three, from time to time by resolution of our Board.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Advance Notice Provisions for Stockholder Nominations of Directors and Stockholder Proposals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Our amended and restated bylaws establish an advance notice procedure for stockholders to make nominations of candidates for election as director or to bring other business before an annual meeting of our stockholders. This procedure provides that, except as otherwise required by applicable law, only persons who are nominated by the Board, a committee appointed by the Board, or by a stockholder who (i) is entitled to vote at the meeting, (ii) has given timely written notice to our secretary prior to the meeting and (iii) is a stockholder of record when the required notice is delivered and at the date of the meeting, will be eligible for election as directors, and only business that has been brought before an annual meeting by the Board, any committee appointed by the Board, or by a stockholder who has given timely written notice to our secretary prior to the meeting, may be conducted. Under the procedure, to be timely, notice must be received by the secretary at our principal executive offices not less than 90 days and not more than 120 days prior to the first anniversary date of the annual meeting of the preceding year. In addition, a stockholder’s notice proposing to nominate a person for election as director must, among other things, contain specific information about the nominating stockholder and the proposed nominee as well as the proposed nominee’s written consent to be named in the proxy statement as a nominee and to serving as a director if elected. A stockholder’s notice relating to the conduct of business other than the nomination of directors must contain, among other things, specific information about the proposing stockholder, the text of the proposal, the reasons for conducting such business at the meeting and any material interest in such business of such stockholder and beneficial owner, if any, on whose behalf the proposal is made.</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Requiring advance notice of nominations by stockholders allows our Board an opportunity to consider the qualifications of the proposed nominees and also provides a more orderly procedure for conducting annual meetings of stockholders. It also provides the Board with the opportunity to inform stockholders of proposed business prior to the meeting, so that stockholders can better decide whether to attend the meeting or to grant a proxy regarding the disposition of the business. These provisions may also have the effect of precluding a contest for the election of directors or the consideration of stockholder proposals and of discouraging or deterring a third party from conducting a solicitation of proxies to elect its own slate of directors or to approve its own proposal without regard to whether consideration of the nominees or proposals might be harmful or beneficial to us or our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 of Liability of Directors and Officers; Indemnification of Directors and Officers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Our amended and restated certificate of incorporation contains provisions permitted under the DGCL relating to the liability of directors. These provisions eliminate a director’s or officer’s personal liability for monetary damages resulting from a breach of fiduciary duty, except in circumstances involving or related to:</w:t>
      </w:r>
    </w:p>
    <w:p>
      <w:pPr>
        <w:spacing w:after="0" w:line="166" w:lineRule="exact"/>
        <w:rPr>
          <w:sz w:val="20"/>
          <w:szCs w:val="20"/>
          <w:color w:val="auto"/>
        </w:rPr>
      </w:pPr>
    </w:p>
    <w:p>
      <w:pPr>
        <w:ind w:left="260" w:hanging="255"/>
        <w:spacing w:after="0"/>
        <w:tabs>
          <w:tab w:leader="none" w:pos="2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any breach of the director’s or officer’s duty of loyalty;</w:t>
      </w:r>
    </w:p>
    <w:p>
      <w:pPr>
        <w:spacing w:after="0" w:line="7" w:lineRule="exact"/>
        <w:rPr>
          <w:rFonts w:ascii="Times New Roman" w:cs="Times New Roman" w:eastAsia="Times New Roman" w:hAnsi="Times New Roman"/>
          <w:sz w:val="17"/>
          <w:szCs w:val="17"/>
          <w:color w:val="auto"/>
        </w:rPr>
      </w:pPr>
    </w:p>
    <w:p>
      <w:pPr>
        <w:ind w:left="260" w:hanging="255"/>
        <w:spacing w:after="0" w:line="237" w:lineRule="auto"/>
        <w:tabs>
          <w:tab w:leader="none" w:pos="2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acts or omissions by a director or officer not in good faith or which involve intentional misconduct or a knowing violation of the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60"/>
          </w:cols>
          <w:pgMar w:left="300" w:top="1260" w:right="339" w:bottom="1440" w:gutter="0" w:footer="0" w:header="0"/>
        </w:sectPr>
      </w:pPr>
    </w:p>
    <w:bookmarkStart w:id="127" w:name="page128"/>
    <w:bookmarkEnd w:id="127"/>
    <w:p>
      <w:pPr>
        <w:ind w:left="260" w:hanging="255"/>
        <w:spacing w:after="0"/>
        <w:tabs>
          <w:tab w:leader="none" w:pos="2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any violation of a director of Section 174 of the DGCL (including, among other things, unlawful payment of dividends);</w:t>
      </w:r>
    </w:p>
    <w:p>
      <w:pPr>
        <w:spacing w:after="0" w:line="8" w:lineRule="exact"/>
        <w:rPr>
          <w:rFonts w:ascii="Times New Roman" w:cs="Times New Roman" w:eastAsia="Times New Roman" w:hAnsi="Times New Roman"/>
          <w:sz w:val="17"/>
          <w:szCs w:val="17"/>
          <w:color w:val="auto"/>
        </w:rPr>
      </w:pPr>
    </w:p>
    <w:p>
      <w:pPr>
        <w:ind w:left="260" w:hanging="255"/>
        <w:spacing w:after="0" w:line="237" w:lineRule="auto"/>
        <w:tabs>
          <w:tab w:leader="none" w:pos="2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any transaction from which the director or officer derives an improper personal benefit; or</w:t>
      </w:r>
    </w:p>
    <w:p>
      <w:pPr>
        <w:spacing w:after="0" w:line="8" w:lineRule="exact"/>
        <w:rPr>
          <w:rFonts w:ascii="Times New Roman" w:cs="Times New Roman" w:eastAsia="Times New Roman" w:hAnsi="Times New Roman"/>
          <w:sz w:val="17"/>
          <w:szCs w:val="17"/>
          <w:color w:val="auto"/>
        </w:rPr>
      </w:pPr>
    </w:p>
    <w:p>
      <w:pPr>
        <w:ind w:left="260" w:hanging="255"/>
        <w:spacing w:after="0" w:line="237" w:lineRule="auto"/>
        <w:tabs>
          <w:tab w:leader="none" w:pos="2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liability of an officer in any action by or in right of the Company.</w:t>
      </w:r>
    </w:p>
    <w:p>
      <w:pPr>
        <w:spacing w:after="0" w:line="17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The principal effect of the limitation on liability provision is that a stockholder will be unable to prosecute an action for monetary damages against a director or officer unless the stockholder can demonstrate a basis for liability for which indemnification is not available under the DGCL. These provisions, however, should not limit or eliminate our rights or any stockholder’s rights to seek non-monetary relief, such as an injunction or rescission, in the event of a breach of a director’s or officer’s fiduciary duty. These provisions will not alter a director’s or officer’s liability under federal</w:t>
      </w:r>
    </w:p>
    <w:p>
      <w:pPr>
        <w:spacing w:after="0" w:line="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securities laws. The inclusion of this provision in our certificate of incorporation may discourage or deter stockholders or management from bringing a lawsuit against directors for a breach of their fiduciary duties, even though such an action, if successful, might otherwise have benefited us and our stockholders.</w:t>
      </w:r>
    </w:p>
    <w:p>
      <w:pPr>
        <w:spacing w:after="0" w:line="14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amended and restated bylaws require us to indemnify and advance expenses to our directors and officers to the fullest extent not prohibited by the DGCL and other applicable law, except in the case of a proceeding instituted by the director without the approval of our Board. Our amended and restated bylaws also provide that we are required to indemnify our directors and officers, to the fullest extent permitted by law, for all judgments, fines, settlements, legal fees and other expenses incurred in connection with pending or threatened legal proceedings because of the director’s or officer’s positions with us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our best interest and, with respect to any criminal proceeding, had no reasonable cause to believe his or her conduct was unlawful.</w:t>
      </w:r>
    </w:p>
    <w:p>
      <w:pPr>
        <w:spacing w:after="0" w:line="16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have entered into an indemnification agreement with each of our directors and certain of our officers. The indemnification agreements provide our directors and certain of our officers with contractual rights to the indemnification and expense advancement rights provided under our amended and restated bylaws, as well as contractual rights to additional indemnification as provided in the indemnification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Computershare serves as transfer agent and registrar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00" w:top="1280" w:right="359" w:bottom="1440" w:gutter="0" w:footer="0" w:header="0"/>
        </w:sectPr>
      </w:pPr>
    </w:p>
    <w:bookmarkStart w:id="128" w:name="page129"/>
    <w:bookmarkEnd w:id="128"/>
    <w:p>
      <w:pPr>
        <w:ind w:left="20"/>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193675</wp:posOffset>
            </wp:positionH>
            <wp:positionV relativeFrom="page">
              <wp:posOffset>452755</wp:posOffset>
            </wp:positionV>
            <wp:extent cx="1293495" cy="141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293495" cy="141605"/>
                    </a:xfrm>
                    <a:prstGeom prst="rect">
                      <a:avLst/>
                    </a:prstGeom>
                    <a:noFill/>
                  </pic:spPr>
                </pic:pic>
              </a:graphicData>
            </a:graphic>
          </wp:anchor>
        </w:drawing>
        <w:t>Officer Retirement</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25"/>
          <w:szCs w:val="25"/>
          <w:color w:val="auto"/>
        </w:rPr>
        <w:t>SPONSORING ORGANIZATION: People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91896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extLst>
                        <a:ext uri="{28A0092B-C50C-407E-A947-70E740481C1C}"/>
                      </a:extLst>
                    </a:blip>
                    <a:srcRect/>
                    <a:stretch>
                      <a:fillRect/>
                    </a:stretch>
                  </pic:blipFill>
                  <pic:spPr bwMode="auto">
                    <a:xfrm>
                      <a:off x="0" y="0"/>
                      <a:ext cx="6918960" cy="698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00A6B7"/>
        </w:rPr>
        <w:t>PURPOSE</w:t>
      </w:r>
    </w:p>
    <w:p>
      <w:pPr>
        <w:spacing w:after="0" w:line="91"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auto"/>
        </w:rPr>
        <w:t>Retrement for an Ofcer implies signifcant change in a relatonship and a career milestone. To be most efectve, the retrement process should be characterized by openness, honesty, clarity, and equitability. Both the process and post-retrement programs should help prepare the Ofcer and foster close contnuing relatons between the retred Ofcer and the frm.</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00A6B7"/>
        </w:rPr>
        <w:t>SCOPE</w:t>
      </w:r>
    </w:p>
    <w:p>
      <w:pPr>
        <w:spacing w:after="0" w:line="88" w:lineRule="exact"/>
        <w:rPr>
          <w:sz w:val="20"/>
          <w:szCs w:val="20"/>
          <w:color w:val="auto"/>
        </w:rPr>
      </w:pPr>
    </w:p>
    <w:p>
      <w:pPr>
        <w:spacing w:after="0"/>
        <w:rPr>
          <w:sz w:val="20"/>
          <w:szCs w:val="20"/>
          <w:color w:val="auto"/>
        </w:rPr>
      </w:pPr>
      <w:r>
        <w:rPr>
          <w:rFonts w:ascii="Calibri" w:cs="Calibri" w:eastAsia="Calibri" w:hAnsi="Calibri"/>
          <w:sz w:val="14"/>
          <w:szCs w:val="14"/>
          <w:color w:val="auto"/>
        </w:rPr>
        <w:t>This policy applies to all Senior Vice Presidents and above (“Ofcers”) of the frm.</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00A6B7"/>
        </w:rPr>
        <w:t>POLICY</w:t>
      </w:r>
    </w:p>
    <w:p>
      <w:pPr>
        <w:spacing w:after="0" w:line="8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Eligibility</w:t>
      </w:r>
    </w:p>
    <w:p>
      <w:pPr>
        <w:spacing w:after="0" w:line="94" w:lineRule="exact"/>
        <w:rPr>
          <w:sz w:val="20"/>
          <w:szCs w:val="20"/>
          <w:color w:val="auto"/>
        </w:rPr>
      </w:pPr>
    </w:p>
    <w:p>
      <w:pPr>
        <w:spacing w:after="0"/>
        <w:rPr>
          <w:sz w:val="20"/>
          <w:szCs w:val="20"/>
          <w:color w:val="auto"/>
        </w:rPr>
      </w:pPr>
      <w:r>
        <w:rPr>
          <w:rFonts w:ascii="Calibri" w:cs="Calibri" w:eastAsia="Calibri" w:hAnsi="Calibri"/>
          <w:sz w:val="14"/>
          <w:szCs w:val="14"/>
          <w:color w:val="auto"/>
        </w:rPr>
        <w:t>An Ofcer may be eligible to retre, with full retrement benefts, if such retrement occurs on or afer either:</w:t>
      </w:r>
    </w:p>
    <w:p>
      <w:pPr>
        <w:spacing w:after="0" w:line="87" w:lineRule="exact"/>
        <w:rPr>
          <w:sz w:val="20"/>
          <w:szCs w:val="20"/>
          <w:color w:val="auto"/>
        </w:rPr>
      </w:pPr>
    </w:p>
    <w:p>
      <w:pPr>
        <w:ind w:right="7520" w:firstLine="5"/>
        <w:spacing w:after="0" w:line="353" w:lineRule="auto"/>
        <w:tabs>
          <w:tab w:leader="none" w:pos="100" w:val="left"/>
        </w:tabs>
        <w:numPr>
          <w:ilvl w:val="0"/>
          <w:numId w:val="89"/>
        </w:numPr>
        <w:rPr>
          <w:rFonts w:ascii="Calibri" w:cs="Calibri" w:eastAsia="Calibri" w:hAnsi="Calibri"/>
          <w:sz w:val="14"/>
          <w:szCs w:val="14"/>
          <w:color w:val="auto"/>
        </w:rPr>
      </w:pPr>
      <w:r>
        <w:rPr>
          <w:rFonts w:ascii="Calibri" w:cs="Calibri" w:eastAsia="Calibri" w:hAnsi="Calibri"/>
          <w:sz w:val="14"/>
          <w:szCs w:val="14"/>
          <w:color w:val="auto"/>
        </w:rPr>
        <w:t>Seven (7) years of service as an Ofcer and upon reaching age 60; or</w:t>
      </w:r>
    </w:p>
    <w:p>
      <w:pPr>
        <w:spacing w:after="0" w:line="112" w:lineRule="exact"/>
        <w:rPr>
          <w:rFonts w:ascii="Calibri" w:cs="Calibri" w:eastAsia="Calibri" w:hAnsi="Calibri"/>
          <w:sz w:val="14"/>
          <w:szCs w:val="14"/>
          <w:color w:val="auto"/>
        </w:rPr>
      </w:pPr>
    </w:p>
    <w:p>
      <w:pPr>
        <w:ind w:right="7620" w:firstLine="5"/>
        <w:spacing w:after="0" w:line="353" w:lineRule="auto"/>
        <w:tabs>
          <w:tab w:leader="none" w:pos="100" w:val="left"/>
        </w:tabs>
        <w:numPr>
          <w:ilvl w:val="0"/>
          <w:numId w:val="89"/>
        </w:numPr>
        <w:rPr>
          <w:rFonts w:ascii="Calibri" w:cs="Calibri" w:eastAsia="Calibri" w:hAnsi="Calibri"/>
          <w:sz w:val="14"/>
          <w:szCs w:val="14"/>
          <w:color w:val="auto"/>
        </w:rPr>
      </w:pPr>
      <w:r>
        <w:rPr>
          <w:rFonts w:ascii="Calibri" w:cs="Calibri" w:eastAsia="Calibri" w:hAnsi="Calibri"/>
          <w:sz w:val="14"/>
          <w:szCs w:val="14"/>
          <w:color w:val="auto"/>
        </w:rPr>
        <w:t>Ten (10) years of service as an Ofcer and upon reaching age 55 or</w:t>
      </w:r>
    </w:p>
    <w:p>
      <w:pPr>
        <w:spacing w:after="0" w:line="4" w:lineRule="exact"/>
        <w:rPr>
          <w:sz w:val="20"/>
          <w:szCs w:val="20"/>
          <w:color w:val="auto"/>
        </w:rPr>
      </w:pPr>
    </w:p>
    <w:p>
      <w:pPr>
        <w:spacing w:after="0"/>
        <w:rPr>
          <w:sz w:val="20"/>
          <w:szCs w:val="20"/>
          <w:color w:val="auto"/>
        </w:rPr>
      </w:pPr>
      <w:r>
        <w:rPr>
          <w:rFonts w:ascii="Calibri" w:cs="Calibri" w:eastAsia="Calibri" w:hAnsi="Calibri"/>
          <w:sz w:val="14"/>
          <w:szCs w:val="14"/>
          <w:b w:val="1"/>
          <w:bCs w:val="1"/>
          <w:i w:val="1"/>
          <w:iCs w:val="1"/>
          <w:color w:val="auto"/>
        </w:rPr>
        <w:t>Special Eligibility Rules for existng actve Ofcers as of January 1, 2024</w:t>
      </w:r>
    </w:p>
    <w:p>
      <w:pPr>
        <w:spacing w:after="0" w:line="2" w:lineRule="exact"/>
        <w:rPr>
          <w:sz w:val="20"/>
          <w:szCs w:val="20"/>
          <w:color w:val="auto"/>
        </w:rPr>
      </w:pPr>
    </w:p>
    <w:p>
      <w:pPr>
        <w:spacing w:after="0" w:line="237" w:lineRule="auto"/>
        <w:rPr>
          <w:sz w:val="20"/>
          <w:szCs w:val="20"/>
          <w:color w:val="auto"/>
        </w:rPr>
      </w:pPr>
      <w:r>
        <w:rPr>
          <w:rFonts w:ascii="Calibri" w:cs="Calibri" w:eastAsia="Calibri" w:hAnsi="Calibri"/>
          <w:sz w:val="14"/>
          <w:szCs w:val="14"/>
          <w:i w:val="1"/>
          <w:iCs w:val="1"/>
          <w:color w:val="auto"/>
        </w:rPr>
        <w:t>Individuals who were hired or promoted to Ofcer prior to January 1, 2024 (the “</w:t>
      </w:r>
      <w:r>
        <w:rPr>
          <w:rFonts w:ascii="Calibri" w:cs="Calibri" w:eastAsia="Calibri" w:hAnsi="Calibri"/>
          <w:sz w:val="14"/>
          <w:szCs w:val="14"/>
          <w:i w:val="1"/>
          <w:iCs w:val="1"/>
          <w:u w:val="single" w:color="auto"/>
          <w:color w:val="auto"/>
        </w:rPr>
        <w:t>Grandfathered Ofcers</w:t>
      </w:r>
      <w:r>
        <w:rPr>
          <w:rFonts w:ascii="Calibri" w:cs="Calibri" w:eastAsia="Calibri" w:hAnsi="Calibri"/>
          <w:sz w:val="14"/>
          <w:szCs w:val="14"/>
          <w:i w:val="1"/>
          <w:iCs w:val="1"/>
          <w:color w:val="auto"/>
        </w:rPr>
        <w:t>”) may contnue to be eligible to retre, with retrement benefts as outlined in this policy, if such individual remains contnuously employed with the frm from the date the individual became an Ofcer through the date of retrement and such retrement occurs on or afer either:</w:t>
      </w:r>
    </w:p>
    <w:p>
      <w:pPr>
        <w:spacing w:after="0" w:line="190" w:lineRule="exact"/>
        <w:rPr>
          <w:sz w:val="20"/>
          <w:szCs w:val="20"/>
          <w:color w:val="auto"/>
        </w:rPr>
      </w:pPr>
    </w:p>
    <w:p>
      <w:pPr>
        <w:ind w:left="620" w:hanging="106"/>
        <w:spacing w:after="0"/>
        <w:tabs>
          <w:tab w:leader="none" w:pos="620" w:val="left"/>
        </w:tabs>
        <w:numPr>
          <w:ilvl w:val="0"/>
          <w:numId w:val="90"/>
        </w:numPr>
        <w:rPr>
          <w:rFonts w:ascii="Calibri" w:cs="Calibri" w:eastAsia="Calibri" w:hAnsi="Calibri"/>
          <w:sz w:val="14"/>
          <w:szCs w:val="14"/>
          <w:i w:val="1"/>
          <w:iCs w:val="1"/>
          <w:color w:val="auto"/>
        </w:rPr>
      </w:pPr>
      <w:r>
        <w:rPr>
          <w:rFonts w:ascii="Calibri" w:cs="Calibri" w:eastAsia="Calibri" w:hAnsi="Calibri"/>
          <w:sz w:val="14"/>
          <w:szCs w:val="14"/>
          <w:i w:val="1"/>
          <w:iCs w:val="1"/>
          <w:color w:val="auto"/>
        </w:rPr>
        <w:t>fve (5) years of service as an Ofcer and upon reaching age 60; or</w:t>
      </w:r>
    </w:p>
    <w:p>
      <w:pPr>
        <w:ind w:left="620" w:hanging="106"/>
        <w:spacing w:after="0" w:line="238" w:lineRule="auto"/>
        <w:tabs>
          <w:tab w:leader="none" w:pos="620" w:val="left"/>
        </w:tabs>
        <w:numPr>
          <w:ilvl w:val="0"/>
          <w:numId w:val="90"/>
        </w:numPr>
        <w:rPr>
          <w:rFonts w:ascii="Calibri" w:cs="Calibri" w:eastAsia="Calibri" w:hAnsi="Calibri"/>
          <w:sz w:val="14"/>
          <w:szCs w:val="14"/>
          <w:i w:val="1"/>
          <w:iCs w:val="1"/>
          <w:color w:val="auto"/>
        </w:rPr>
      </w:pPr>
      <w:r>
        <w:rPr>
          <w:rFonts w:ascii="Calibri" w:cs="Calibri" w:eastAsia="Calibri" w:hAnsi="Calibri"/>
          <w:sz w:val="14"/>
          <w:szCs w:val="14"/>
          <w:i w:val="1"/>
          <w:iCs w:val="1"/>
          <w:color w:val="auto"/>
        </w:rPr>
        <w:t>ten (10) years of service as an Ofcer and upon reaching age 50.</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This special eligibility rule shall not apply to any Ofcers who are reemployed following a terminaton of employment with the frm if such reemployment occurs afer January 1, 2024</w:t>
      </w:r>
    </w:p>
    <w:p>
      <w:pPr>
        <w:spacing w:after="0" w:line="193"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auto"/>
        </w:rPr>
        <w:t>If an Ofcer terminates employment with the frm but is rehired within fve (5) years following the date of such terminaton, the Ofcer will be granted credit for any prior years of employment with the frm in determining whether the seven or ten years of service requirement described above is satsfed. Ofcers re-hired more than a fve (5) years afer the date of retrement will not be given credit for prior years of service.</w:t>
      </w:r>
    </w:p>
    <w:p>
      <w:pPr>
        <w:spacing w:after="0" w:line="173"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auto"/>
        </w:rPr>
        <w:t>For retrement beneft eligibility, business contnuity, and succession planning, an Ofcer is required to provide writen notfcaton of intenton to retre at least three (3) months prior to the Ofcer’s antcipated retrement date to the Chief People Ofcer (CPO). For notce periods less than three (3) months, approval by the CPO is required.</w:t>
      </w:r>
    </w:p>
    <w:p>
      <w:pPr>
        <w:spacing w:after="0"/>
        <w:rPr>
          <w:sz w:val="20"/>
          <w:szCs w:val="20"/>
          <w:color w:val="auto"/>
        </w:rPr>
      </w:pPr>
      <w:r>
        <w:rPr>
          <w:rFonts w:ascii="Calibri" w:cs="Calibri" w:eastAsia="Calibri" w:hAnsi="Calibri"/>
          <w:sz w:val="14"/>
          <w:szCs w:val="14"/>
          <w:color w:val="auto"/>
        </w:rPr>
        <w:t>for eligibility to the benefts described in this Policy. During this notfcaton period, the Ofcer shall retain the Ofcer’s current benefts and compensaton.</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Version No. 3.0 | Effective Date: 01.01.2024</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 of 4</w:t>
      </w:r>
    </w:p>
    <w:p>
      <w:pPr>
        <w:sectPr>
          <w:pgSz w:w="11900" w:h="16838" w:orient="portrait"/>
          <w:cols w:equalWidth="0" w:num="1">
            <w:col w:w="11280"/>
          </w:cols>
          <w:pgMar w:left="300" w:top="1370" w:right="319" w:bottom="1440" w:gutter="0" w:footer="0" w:header="0"/>
        </w:sectPr>
      </w:pPr>
    </w:p>
    <w:bookmarkStart w:id="129" w:name="page130"/>
    <w:bookmarkEnd w:id="129"/>
    <w:p>
      <w:pPr>
        <w:jc w:val="both"/>
        <w:spacing w:after="0" w:line="237"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193675</wp:posOffset>
            </wp:positionH>
            <wp:positionV relativeFrom="page">
              <wp:posOffset>452755</wp:posOffset>
            </wp:positionV>
            <wp:extent cx="1293495" cy="141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1293495" cy="141605"/>
                    </a:xfrm>
                    <a:prstGeom prst="rect">
                      <a:avLst/>
                    </a:prstGeom>
                    <a:noFill/>
                  </pic:spPr>
                </pic:pic>
              </a:graphicData>
            </a:graphic>
          </wp:anchor>
        </w:drawing>
        <w:t>U.S. Ofcers departng the frm who do not meet the eligibility criteria to retre as an Ofcer but have at least 25 years of service with the frm, in either an Ofcer or staf positon, may be ofered contnued health and dental coverage under a frm group health plan following retrement in the frm’s sole discreton. This ofer must be made in writng and approved by the CPO.</w:t>
      </w:r>
    </w:p>
    <w:p>
      <w:pPr>
        <w:spacing w:after="0" w:line="201"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Compensaton and Retrement Payments</w:t>
      </w:r>
    </w:p>
    <w:p>
      <w:pPr>
        <w:spacing w:after="0" w:line="211"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Annual Bonus</w:t>
      </w:r>
    </w:p>
    <w:p>
      <w:pPr>
        <w:spacing w:after="0" w:line="2"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auto"/>
        </w:rPr>
        <w:t>Upon recommendaton of management, and with the approval of the Compensaton, Culture and People Commitee of the Board of Directors in the case of retring Secton 16 Ofcers, a prorated annual bonus payment for the fscal year in which retrement occurs may be awarded to a retring Ofcer based on the Ofcer’s performance and tme in level during the fscal year in which the retrement occurred. Retring Ofcers who qualify for bonuses during any fscal year will receive any such bonus payment when that fscal year's bonuses are paid to actve Ofcers within two-and-one-half months from fscal year end; provided, however, that a Retring Ofcer who previously elected to defer a porton of such bonus under the Booz Allen Hamilton Inc. the Nonqualifed Deferred Compensaton Plan will receive payment in accordance with the terms of such plan.</w:t>
      </w:r>
    </w:p>
    <w:p>
      <w:pPr>
        <w:spacing w:after="0" w:line="193"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Equity</w:t>
      </w:r>
    </w:p>
    <w:p>
      <w:pPr>
        <w:spacing w:after="0" w:line="2" w:lineRule="exact"/>
        <w:rPr>
          <w:sz w:val="20"/>
          <w:szCs w:val="20"/>
          <w:color w:val="auto"/>
        </w:rPr>
      </w:pPr>
    </w:p>
    <w:p>
      <w:pPr>
        <w:spacing w:after="0"/>
        <w:rPr>
          <w:sz w:val="20"/>
          <w:szCs w:val="20"/>
          <w:color w:val="auto"/>
        </w:rPr>
      </w:pPr>
      <w:r>
        <w:rPr>
          <w:rFonts w:ascii="Calibri" w:cs="Calibri" w:eastAsia="Calibri" w:hAnsi="Calibri"/>
          <w:sz w:val="13"/>
          <w:szCs w:val="13"/>
          <w:color w:val="auto"/>
        </w:rPr>
        <w:t>Maters related to equity in Booz Allen Hamilton Holding Corporaton shall be governed by the Equity Incentve Plan (EIP) as may be amended from tme to tme, and the applicable Award Agreement(s).</w:t>
      </w:r>
    </w:p>
    <w:p>
      <w:pPr>
        <w:spacing w:after="0" w:line="19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Retrement Payment</w:t>
      </w:r>
    </w:p>
    <w:p>
      <w:pPr>
        <w:spacing w:after="0" w:line="2"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auto"/>
        </w:rPr>
        <w:t>An Ofcer may be eligible to receive a gross lump sum cash retrement payment equal to $20,000 USD (or equivalent) for each year of service as an Ofcer (pro-rated as appropriate for partal years of service). This retrement payment is subject to applicable taxes and withholdings and will be paid within 90 days following the Ofcer’s last day of employment. This payment is based on current economics and subject to change. Income taxes payable with respect to payments made under this policy are subject to determinaton based on the tax residence of the retred Ofcer.</w:t>
      </w:r>
    </w:p>
    <w:p>
      <w:pPr>
        <w:spacing w:after="0" w:line="191"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Health Insurance</w:t>
      </w:r>
    </w:p>
    <w:p>
      <w:pPr>
        <w:spacing w:after="0" w:line="2"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auto"/>
        </w:rPr>
        <w:t>U.S.-based/U.S. Citzen Ofcers retring Ofcers (and any dependents of the Ofcer who are covered under the Firm’s medical plan for actve employees on the date of retrement) are eligible for comprehensive health insurance coverage under the U.S. Retred Ofcer Medical and Dental Insurance Plan or a successor plan (the “Retred Ofcer Medical Plan”); premiums are paid by the frm. Neither dependents who are not covered under the Firm’s medical plan for actve employees on the date of the Ofcer’s retrement nor dependents acquired by an Ofcer following the date of an Ofcer’s retrement are eligible for such coverage. If a retred Ofcer pre-deceases his/her spouse or domestc partner, the spouse/domestc partner may remain in the Retred Ofcer Medical Plan. Ofcers based outside the U. S. will be provided comparable coverage, as available. In the event of a confict between the terms of the Retred Ofcer Medical Plan and this policy, the terms of the Retred Ofcer Medical Plan will govern.</w:t>
      </w:r>
    </w:p>
    <w:p>
      <w:pPr>
        <w:spacing w:after="0" w:line="193"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auto"/>
        </w:rPr>
        <w:t>Should a retred Ofcer become employed by a new employer following retrement from Booz Allen, they must enroll in the medical/dental plan at their new employer at which point coverage under the Booz Allen Ofcer Medical Plan will be secondary to the new employer plan</w:t>
      </w:r>
      <w:r>
        <w:rPr>
          <w:rFonts w:ascii="Calibri" w:cs="Calibri" w:eastAsia="Calibri" w:hAnsi="Calibri"/>
          <w:sz w:val="15"/>
          <w:szCs w:val="15"/>
          <w:color w:val="auto"/>
        </w:rPr>
        <w:t>.</w:t>
      </w:r>
    </w:p>
    <w:p>
      <w:pPr>
        <w:spacing w:after="0" w:line="190" w:lineRule="exact"/>
        <w:rPr>
          <w:sz w:val="20"/>
          <w:szCs w:val="20"/>
          <w:color w:val="auto"/>
        </w:rPr>
      </w:pPr>
    </w:p>
    <w:p>
      <w:pPr>
        <w:jc w:val="both"/>
        <w:spacing w:after="0"/>
        <w:rPr>
          <w:sz w:val="20"/>
          <w:szCs w:val="20"/>
          <w:color w:val="auto"/>
        </w:rPr>
      </w:pPr>
      <w:r>
        <w:rPr>
          <w:rFonts w:ascii="Calibri" w:cs="Calibri" w:eastAsia="Calibri" w:hAnsi="Calibri"/>
          <w:sz w:val="14"/>
          <w:szCs w:val="14"/>
          <w:color w:val="auto"/>
        </w:rPr>
        <w:t>If during the fve-year period afer a “change in control” (as defned in the Equity Incentve Plan, as may be amended from tme to tme) the Retred Ofcer Medical Plan is terminated or modifed in a manner that is materially adverse to Ofcers who have met the requirements to receive retrement benefts under this policy on the date of the change in control or retred Ofcers who are covered by the Retred Ofcer Medical Plan, such Ofcers (and their eligible spouses/domestc partners) will be guaranteed contnued benefts under the Retred Ofcer Medical Plan through the ffh anniversary of the change in control. In additon, each such Ofcer (or their eligible spouse/domestc partner) shall be paid, during the 90-day period following the ffh anniversary of the change in control, an amount equal to the excess of the actuarial cost of such Ofcer’s (and their eligible spouse’s/domestc partner’s) benefts under the Retred Ofcer Medical Plan that would be accrued on the frm’s fnancial</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Version No. 3.0 | Effective Date: 01.01.2024</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2 of 4</w:t>
      </w:r>
    </w:p>
    <w:p>
      <w:pPr>
        <w:sectPr>
          <w:pgSz w:w="11900" w:h="16838" w:orient="portrait"/>
          <w:cols w:equalWidth="0" w:num="1">
            <w:col w:w="11280"/>
          </w:cols>
          <w:pgMar w:left="300" w:top="1141" w:right="319" w:bottom="1440" w:gutter="0" w:footer="0" w:header="0"/>
        </w:sectPr>
      </w:pPr>
    </w:p>
    <w:bookmarkStart w:id="130" w:name="page131"/>
    <w:bookmarkEnd w:id="130"/>
    <w:p>
      <w:pPr>
        <w:jc w:val="both"/>
        <w:spacing w:after="0" w:line="237"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193675</wp:posOffset>
            </wp:positionH>
            <wp:positionV relativeFrom="page">
              <wp:posOffset>452755</wp:posOffset>
            </wp:positionV>
            <wp:extent cx="1293495" cy="141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1293495" cy="141605"/>
                    </a:xfrm>
                    <a:prstGeom prst="rect">
                      <a:avLst/>
                    </a:prstGeom>
                    <a:noFill/>
                  </pic:spPr>
                </pic:pic>
              </a:graphicData>
            </a:graphic>
          </wp:anchor>
        </w:drawing>
        <w:t>statements on the ffh anniversary of the change in control in the absence of such terminaton or modifcaton of the Retred Ofcer Medical Plan over the amount that is accrued on the frm’s fnancial statements on the ffh anniversary of the change in control giving efect to the terminaton or modifcaton (but excluding any accrual for the payment itself). The actuarial and other assumptons used in calculatng the accruals will be the same assumptons as those used to calculate the accrual immediately prior to the change in control, with such changes as are required under generally accepted accountng principles or as otherwise approved by a majority of the members of the frm’s leadership team, as consttuted immediately prior to the change in control (the “CIC Team”).</w:t>
      </w:r>
    </w:p>
    <w:p>
      <w:pPr>
        <w:spacing w:after="0" w:line="195"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auto"/>
        </w:rPr>
        <w:t>The frm will notfy such Ofcers of any terminaton or modifcaton that will result in a payment under this policy within 30 days afer a decision to terminate or modify the Retred Ofcer Medical Plan is approved and, in any event, no later than 90 days prior to the ffh anniversary of the change in control. Within 30 days afer the ffh anniversary of the change in control, the frm will prepare and deliver to the CIC Team a statement setng forth the calculaton of the aggregate payments to such Ofcers. The CIC Team, actng by majority vote, will have 30 days following receipt of the calculaton to deliver a writen notce that the CIC Team disputes the calculaton of the payments, which notce will set forth in reasonable detail the basis for the dispute (e.g., mathematcal errors or a change in assumptons other than as required by generally accepted accountng principles). If the CIC Team does not submit a notce of dispute prior to the end of the 30-day period, the calculaton will be deemed fnal and binding. The frm and the CIC Team will work in good faith to resolve any dispute as promptly as possible. Any porton of the accruals that are not in dispute (i.e., the payment as originally calculated by the frm) will be paid to the Ofcers on or before the 90th day following the ffh anniversary of the change in control.</w:t>
      </w:r>
    </w:p>
    <w:p>
      <w:pPr>
        <w:spacing w:after="0" w:line="204" w:lineRule="exact"/>
        <w:rPr>
          <w:sz w:val="20"/>
          <w:szCs w:val="20"/>
          <w:color w:val="auto"/>
        </w:rPr>
      </w:pPr>
    </w:p>
    <w:p>
      <w:pPr>
        <w:jc w:val="both"/>
        <w:spacing w:after="0" w:line="274" w:lineRule="auto"/>
        <w:rPr>
          <w:sz w:val="20"/>
          <w:szCs w:val="20"/>
          <w:color w:val="auto"/>
        </w:rPr>
      </w:pPr>
      <w:r>
        <w:rPr>
          <w:rFonts w:ascii="Calibri" w:cs="Calibri" w:eastAsia="Calibri" w:hAnsi="Calibri"/>
          <w:sz w:val="14"/>
          <w:szCs w:val="14"/>
          <w:color w:val="auto"/>
        </w:rPr>
        <w:t>If the frm and the CIC Team are unable to resolve a dispute on or before the 30th day following receipt by the frm of the notce of dispute, the frm will retain a natonally recognized independent public accountng frm (the “Accountng Firm”) selected by the CIC Team to resolve any remaining disputes contained in the notce of dispute. The Accountng Firm will return a determinaton to the frm and the CIC Team as soon as practcable and no later than 60 days afer being engaged to resolve the disputes. The determinaton of the Accountng Firm will be fnal and binding with respect to all disputes presented to it. The frm will pay any remaining amount within 30 days of the resoluton of the dispute and, in any event, no later than December 31 of the year in which the Accountng Firm delivers its fnal determinaton.</w:t>
      </w:r>
    </w:p>
    <w:p>
      <w:pPr>
        <w:spacing w:after="0" w:line="202" w:lineRule="exact"/>
        <w:rPr>
          <w:sz w:val="20"/>
          <w:szCs w:val="20"/>
          <w:color w:val="auto"/>
        </w:rPr>
      </w:pPr>
    </w:p>
    <w:p>
      <w:pPr>
        <w:jc w:val="both"/>
        <w:spacing w:after="0" w:line="264" w:lineRule="auto"/>
        <w:rPr>
          <w:sz w:val="20"/>
          <w:szCs w:val="20"/>
          <w:color w:val="auto"/>
        </w:rPr>
      </w:pPr>
      <w:r>
        <w:rPr>
          <w:rFonts w:ascii="Calibri" w:cs="Calibri" w:eastAsia="Calibri" w:hAnsi="Calibri"/>
          <w:sz w:val="14"/>
          <w:szCs w:val="14"/>
          <w:color w:val="auto"/>
        </w:rPr>
        <w:t>For purposes of the benefts described in this Health Insurance secton, including the change in control beneft but excluding for the avoidance of doubt, all of the other benefts described in this policy (i.e., Performance Bonus, Equity and Retrement Payment), “Ofcer” shall include those Vice Presidents of the frm who were Senior Directors as of 10/1/2009.</w:t>
      </w:r>
    </w:p>
    <w:p>
      <w:pPr>
        <w:spacing w:after="0" w:line="19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Release of Claims</w:t>
      </w:r>
    </w:p>
    <w:p>
      <w:pPr>
        <w:spacing w:after="0" w:line="12" w:lineRule="exact"/>
        <w:rPr>
          <w:sz w:val="20"/>
          <w:szCs w:val="20"/>
          <w:color w:val="auto"/>
        </w:rPr>
      </w:pPr>
    </w:p>
    <w:p>
      <w:pPr>
        <w:jc w:val="both"/>
        <w:spacing w:after="0" w:line="274" w:lineRule="auto"/>
        <w:rPr>
          <w:sz w:val="20"/>
          <w:szCs w:val="20"/>
          <w:color w:val="auto"/>
        </w:rPr>
      </w:pPr>
      <w:r>
        <w:rPr>
          <w:rFonts w:ascii="Calibri" w:cs="Calibri" w:eastAsia="Calibri" w:hAnsi="Calibri"/>
          <w:sz w:val="14"/>
          <w:szCs w:val="14"/>
          <w:color w:val="auto"/>
        </w:rPr>
        <w:t>Retrement payments and benefts shall be contngent upon the Ofcer’s executon and non-revocaton of a release of claims in the form provided by the frm, as well as any subsequent reafrmaton, as applicable. Any payment that would otherwise have been made during such executon and revocaton period shall be paid in a lump sum on the frst applicable payment date to occur afer the release becomes irrevocable, provided that, if such executon and revocaton period spans more than one calendar year, no such payments shall be made untl the frst payroll date in the second calendar year. Failure by an Ofcer to execute an irrevocable release of claims within the tme frame established by the frm will result in the Ofcer’s forfeiture of all payments and benefts otherwise due under this Policy.</w:t>
      </w:r>
    </w:p>
    <w:p>
      <w:pPr>
        <w:spacing w:after="0" w:line="18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Existng Agreements</w:t>
      </w:r>
    </w:p>
    <w:p>
      <w:pPr>
        <w:spacing w:after="0" w:line="34" w:lineRule="exact"/>
        <w:rPr>
          <w:sz w:val="20"/>
          <w:szCs w:val="20"/>
          <w:color w:val="auto"/>
        </w:rPr>
      </w:pPr>
    </w:p>
    <w:p>
      <w:pPr>
        <w:jc w:val="both"/>
        <w:spacing w:after="0" w:line="264" w:lineRule="auto"/>
        <w:rPr>
          <w:sz w:val="20"/>
          <w:szCs w:val="20"/>
          <w:color w:val="auto"/>
        </w:rPr>
      </w:pPr>
      <w:r>
        <w:rPr>
          <w:rFonts w:ascii="Calibri" w:cs="Calibri" w:eastAsia="Calibri" w:hAnsi="Calibri"/>
          <w:sz w:val="14"/>
          <w:szCs w:val="14"/>
          <w:color w:val="auto"/>
        </w:rPr>
        <w:t>An Ofcer’s retrement does not waive obligatons under the existng Agreement concerning Proprietary Informaton and Intellectual Property, Non-Solicit, Non-Recruitment and Non-Competton and the Equity Incentve Plan (EIP) as may be amended from tme to tme. These terms and conditons contain informaton relatve to potental restrictons on future employment opportunites.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Version No. 3.0 | Effective Date: 01.01.2024</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3 of 4</w:t>
      </w:r>
    </w:p>
    <w:p>
      <w:pPr>
        <w:sectPr>
          <w:pgSz w:w="11900" w:h="16838" w:orient="portrait"/>
          <w:cols w:equalWidth="0" w:num="1">
            <w:col w:w="11280"/>
          </w:cols>
          <w:pgMar w:left="300" w:top="1141" w:right="319" w:bottom="1440" w:gutter="0" w:footer="0" w:header="0"/>
        </w:sectPr>
      </w:pPr>
    </w:p>
    <w:bookmarkStart w:id="131" w:name="page132"/>
    <w:bookmarkEnd w:id="131"/>
    <w:p>
      <w:pPr>
        <w:jc w:val="both"/>
        <w:spacing w:after="0" w:line="237"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193675</wp:posOffset>
            </wp:positionH>
            <wp:positionV relativeFrom="page">
              <wp:posOffset>452755</wp:posOffset>
            </wp:positionV>
            <wp:extent cx="1293495" cy="141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293495" cy="141605"/>
                    </a:xfrm>
                    <a:prstGeom prst="rect">
                      <a:avLst/>
                    </a:prstGeom>
                    <a:noFill/>
                  </pic:spPr>
                </pic:pic>
              </a:graphicData>
            </a:graphic>
          </wp:anchor>
        </w:drawing>
        <w:t>The Benefts Plan Commitee (“BPC”), or its delegate, is responsible for administering the benefts described in this policy to the extent such benefts are subject to ERISA, including the lump sum retrement payment payable to each Ofcer. The lump sum retrement payment described in this policy is unfunded and provided by the frm primarily for the purpose of providing deferred compensaton for a select group of management or highly compensated employees. The lump sum retrement payment shall be made to an Ofcer only if the BPC, in its sole discreton, decides that the Ofcer is enttled to it. Ofcers who are denied a lump sum retrement payment, in part or in full, to which they believe they are enttled may fle a writen request for such payment with the BPC, or its delegate, and such request will be reviewed in accordance with applicable law, including the claims procedures under ERISA.</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00A6B7"/>
        </w:rPr>
        <w:t>RELATED POLICIES</w:t>
      </w:r>
    </w:p>
    <w:p>
      <w:pPr>
        <w:spacing w:after="0" w:line="105" w:lineRule="exact"/>
        <w:rPr>
          <w:sz w:val="20"/>
          <w:szCs w:val="20"/>
          <w:color w:val="auto"/>
        </w:rPr>
      </w:pPr>
    </w:p>
    <w:p>
      <w:pPr>
        <w:ind w:left="500" w:hanging="240"/>
        <w:spacing w:after="0"/>
        <w:tabs>
          <w:tab w:leader="none" w:pos="500" w:val="left"/>
        </w:tabs>
        <w:numPr>
          <w:ilvl w:val="0"/>
          <w:numId w:val="91"/>
        </w:numPr>
        <w:rPr>
          <w:rFonts w:ascii="Times New Roman" w:cs="Times New Roman" w:eastAsia="Times New Roman" w:hAnsi="Times New Roman"/>
          <w:sz w:val="17"/>
          <w:szCs w:val="17"/>
          <w:color w:val="auto"/>
        </w:rPr>
      </w:pPr>
      <w:r>
        <w:rPr>
          <w:rFonts w:ascii="Calibri" w:cs="Calibri" w:eastAsia="Calibri" w:hAnsi="Calibri"/>
          <w:sz w:val="14"/>
          <w:szCs w:val="14"/>
          <w:color w:val="auto"/>
        </w:rPr>
        <w:t>Ofcer Transiton Policy</w:t>
      </w:r>
    </w:p>
    <w:p>
      <w:pPr>
        <w:spacing w:after="0" w:line="1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91"/>
        </w:numPr>
        <w:rPr>
          <w:rFonts w:ascii="Times New Roman" w:cs="Times New Roman" w:eastAsia="Times New Roman" w:hAnsi="Times New Roman"/>
          <w:sz w:val="17"/>
          <w:szCs w:val="17"/>
          <w:color w:val="auto"/>
        </w:rPr>
      </w:pPr>
      <w:r>
        <w:rPr>
          <w:rFonts w:ascii="Calibri" w:cs="Calibri" w:eastAsia="Calibri" w:hAnsi="Calibri"/>
          <w:sz w:val="14"/>
          <w:szCs w:val="14"/>
          <w:color w:val="auto"/>
        </w:rPr>
        <w:t>Ofcer Annual Bonus Policy</w:t>
      </w:r>
    </w:p>
    <w:p>
      <w:pPr>
        <w:spacing w:after="0" w:line="1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91"/>
        </w:numPr>
        <w:rPr>
          <w:rFonts w:ascii="Times New Roman" w:cs="Times New Roman" w:eastAsia="Times New Roman" w:hAnsi="Times New Roman"/>
          <w:sz w:val="17"/>
          <w:szCs w:val="17"/>
          <w:color w:val="auto"/>
        </w:rPr>
      </w:pPr>
      <w:r>
        <w:rPr>
          <w:rFonts w:ascii="Calibri" w:cs="Calibri" w:eastAsia="Calibri" w:hAnsi="Calibri"/>
          <w:sz w:val="14"/>
          <w:szCs w:val="14"/>
          <w:color w:val="auto"/>
        </w:rPr>
        <w:t>Ofcer Perquisites</w:t>
      </w:r>
    </w:p>
    <w:p>
      <w:pPr>
        <w:spacing w:after="0" w:line="1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91"/>
        </w:numPr>
        <w:rPr>
          <w:rFonts w:ascii="Times New Roman" w:cs="Times New Roman" w:eastAsia="Times New Roman" w:hAnsi="Times New Roman"/>
          <w:sz w:val="17"/>
          <w:szCs w:val="17"/>
          <w:color w:val="auto"/>
        </w:rPr>
      </w:pPr>
      <w:r>
        <w:rPr>
          <w:rFonts w:ascii="Calibri" w:cs="Calibri" w:eastAsia="Calibri" w:hAnsi="Calibri"/>
          <w:sz w:val="14"/>
          <w:szCs w:val="14"/>
          <w:color w:val="auto"/>
        </w:rPr>
        <w:t>Ofcer Hire/Re-Hire Policy</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00A6B7"/>
        </w:rPr>
        <w:t>REPORTING CONCERNS</w:t>
      </w:r>
    </w:p>
    <w:p>
      <w:pPr>
        <w:spacing w:after="0" w:line="91" w:lineRule="exact"/>
        <w:rPr>
          <w:sz w:val="20"/>
          <w:szCs w:val="20"/>
          <w:color w:val="auto"/>
        </w:rPr>
      </w:pPr>
    </w:p>
    <w:p>
      <w:pPr>
        <w:ind w:right="4880"/>
        <w:spacing w:after="0" w:line="256" w:lineRule="auto"/>
        <w:rPr>
          <w:sz w:val="20"/>
          <w:szCs w:val="20"/>
          <w:color w:val="auto"/>
        </w:rPr>
      </w:pPr>
      <w:r>
        <w:rPr>
          <w:rFonts w:ascii="Calibri" w:cs="Calibri" w:eastAsia="Calibri" w:hAnsi="Calibri"/>
          <w:sz w:val="13"/>
          <w:szCs w:val="13"/>
          <w:color w:val="auto"/>
        </w:rPr>
        <w:t>We expect Booz Allen people to comply with our policies and Code of Ethics and Business Conduct. As outlined in the Mandatory Reportng and Non-Retaliaton Policy, if you observe or have reasonable suspicion that a Booz Allen</w:t>
      </w:r>
    </w:p>
    <w:p>
      <w:pPr>
        <w:spacing w:after="0" w:line="237" w:lineRule="auto"/>
        <w:rPr>
          <w:sz w:val="20"/>
          <w:szCs w:val="20"/>
          <w:color w:val="auto"/>
        </w:rPr>
      </w:pPr>
      <w:r>
        <w:rPr>
          <w:rFonts w:ascii="Calibri" w:cs="Calibri" w:eastAsia="Calibri" w:hAnsi="Calibri"/>
          <w:sz w:val="14"/>
          <w:szCs w:val="14"/>
          <w:color w:val="auto"/>
        </w:rPr>
        <w:t>policy or the Code has been violated, you have a responsibility as part of your employment to promptly report your concerns via one of our ofcial frm reportng channels:</w:t>
      </w:r>
    </w:p>
    <w:p>
      <w:pPr>
        <w:spacing w:after="0" w:line="201" w:lineRule="exact"/>
        <w:rPr>
          <w:sz w:val="20"/>
          <w:szCs w:val="20"/>
          <w:color w:val="auto"/>
        </w:rPr>
      </w:pPr>
    </w:p>
    <w:p>
      <w:pPr>
        <w:ind w:left="520" w:hanging="260"/>
        <w:spacing w:after="0"/>
        <w:tabs>
          <w:tab w:leader="none" w:pos="520" w:val="left"/>
        </w:tabs>
        <w:numPr>
          <w:ilvl w:val="0"/>
          <w:numId w:val="92"/>
        </w:numPr>
        <w:rPr>
          <w:rFonts w:ascii="Times New Roman" w:cs="Times New Roman" w:eastAsia="Times New Roman" w:hAnsi="Times New Roman"/>
          <w:sz w:val="14"/>
          <w:szCs w:val="14"/>
          <w:color w:val="auto"/>
        </w:rPr>
      </w:pPr>
      <w:r>
        <w:rPr>
          <w:rFonts w:ascii="Calibri" w:cs="Calibri" w:eastAsia="Calibri" w:hAnsi="Calibri"/>
          <w:sz w:val="14"/>
          <w:szCs w:val="14"/>
          <w:color w:val="auto"/>
        </w:rPr>
        <w:t>Your Job Leader or Career Manager</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2"/>
        </w:numPr>
        <w:rPr>
          <w:rFonts w:ascii="Times New Roman" w:cs="Times New Roman" w:eastAsia="Times New Roman" w:hAnsi="Times New Roman"/>
          <w:sz w:val="14"/>
          <w:szCs w:val="14"/>
          <w:color w:val="auto"/>
        </w:rPr>
      </w:pPr>
      <w:r>
        <w:rPr>
          <w:rFonts w:ascii="Calibri" w:cs="Calibri" w:eastAsia="Calibri" w:hAnsi="Calibri"/>
          <w:sz w:val="14"/>
          <w:szCs w:val="14"/>
          <w:color w:val="auto"/>
        </w:rPr>
        <w:t>An Ethics Advisor</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2"/>
        </w:numPr>
        <w:rPr>
          <w:rFonts w:ascii="Times New Roman" w:cs="Times New Roman" w:eastAsia="Times New Roman" w:hAnsi="Times New Roman"/>
          <w:sz w:val="14"/>
          <w:szCs w:val="14"/>
          <w:color w:val="auto"/>
        </w:rPr>
      </w:pPr>
      <w:r>
        <w:rPr>
          <w:rFonts w:ascii="Calibri" w:cs="Calibri" w:eastAsia="Calibri" w:hAnsi="Calibri"/>
          <w:sz w:val="14"/>
          <w:szCs w:val="14"/>
          <w:color w:val="auto"/>
        </w:rPr>
        <w:t>Employee Relatons</w:t>
      </w:r>
    </w:p>
    <w:p>
      <w:pPr>
        <w:spacing w:after="0" w:line="7" w:lineRule="exact"/>
        <w:rPr>
          <w:rFonts w:ascii="Times New Roman" w:cs="Times New Roman" w:eastAsia="Times New Roman" w:hAnsi="Times New Roman"/>
          <w:sz w:val="14"/>
          <w:szCs w:val="14"/>
          <w:color w:val="auto"/>
        </w:rPr>
      </w:pPr>
    </w:p>
    <w:p>
      <w:pPr>
        <w:ind w:left="520" w:hanging="260"/>
        <w:spacing w:after="0" w:line="231" w:lineRule="auto"/>
        <w:tabs>
          <w:tab w:leader="none" w:pos="520" w:val="left"/>
        </w:tabs>
        <w:numPr>
          <w:ilvl w:val="0"/>
          <w:numId w:val="92"/>
        </w:numPr>
        <w:rPr>
          <w:rFonts w:ascii="Times New Roman" w:cs="Times New Roman" w:eastAsia="Times New Roman" w:hAnsi="Times New Roman"/>
          <w:sz w:val="14"/>
          <w:szCs w:val="14"/>
          <w:color w:val="auto"/>
        </w:rPr>
      </w:pPr>
      <w:r>
        <w:rPr>
          <w:rFonts w:ascii="Calibri" w:cs="Calibri" w:eastAsia="Calibri" w:hAnsi="Calibri"/>
          <w:sz w:val="14"/>
          <w:szCs w:val="14"/>
          <w:color w:val="auto"/>
        </w:rPr>
        <w:t>The frm’s Ethics &amp; Compliance Team (ethics@bah.com</w:t>
      </w:r>
      <w:r>
        <w:rPr>
          <w:rFonts w:ascii="Calibri" w:cs="Calibri" w:eastAsia="Calibri" w:hAnsi="Calibri"/>
          <w:sz w:val="15"/>
          <w:szCs w:val="15"/>
          <w:color w:val="auto"/>
        </w:rPr>
        <w:t>)</w:t>
      </w:r>
    </w:p>
    <w:p>
      <w:pPr>
        <w:spacing w:after="0" w:line="1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2"/>
        </w:numPr>
        <w:rPr>
          <w:rFonts w:ascii="Times New Roman" w:cs="Times New Roman" w:eastAsia="Times New Roman" w:hAnsi="Times New Roman"/>
          <w:sz w:val="14"/>
          <w:szCs w:val="14"/>
          <w:color w:val="auto"/>
        </w:rPr>
      </w:pPr>
      <w:r>
        <w:rPr>
          <w:rFonts w:ascii="Calibri" w:cs="Calibri" w:eastAsia="Calibri" w:hAnsi="Calibri"/>
          <w:sz w:val="14"/>
          <w:szCs w:val="14"/>
          <w:color w:val="auto"/>
        </w:rPr>
        <w:t>The frm’s Chief Ethics and Compliance Ofcer</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2"/>
        </w:numPr>
        <w:rPr>
          <w:rFonts w:ascii="Times New Roman" w:cs="Times New Roman" w:eastAsia="Times New Roman" w:hAnsi="Times New Roman"/>
          <w:sz w:val="14"/>
          <w:szCs w:val="14"/>
          <w:color w:val="auto"/>
        </w:rPr>
      </w:pPr>
      <w:r>
        <w:rPr>
          <w:rFonts w:ascii="Calibri" w:cs="Calibri" w:eastAsia="Calibri" w:hAnsi="Calibri"/>
          <w:sz w:val="14"/>
          <w:szCs w:val="14"/>
          <w:color w:val="auto"/>
        </w:rPr>
        <w:t>The frm’s Ethics Hotline (at +1-800-501-8755 (US) or +1-888-475-0009 (internatonal) or (htp://speakup.bah.com), Concerns may be raised anonymously</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color w:val="auto"/>
        </w:rPr>
        <w:t>We take all allegatons of misconduct seriously, investgate them promptly and strictly prohibit retaliaton against any person who raises a good faith ethical or legal concern.</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00A6B7"/>
        </w:rPr>
        <w:t>POINTS OF CONTACT AND ADDITIONAL RESOURCES</w:t>
      </w:r>
    </w:p>
    <w:p>
      <w:pPr>
        <w:spacing w:after="0" w:line="88" w:lineRule="exact"/>
        <w:rPr>
          <w:sz w:val="20"/>
          <w:szCs w:val="20"/>
          <w:color w:val="auto"/>
        </w:rPr>
      </w:pPr>
    </w:p>
    <w:p>
      <w:pPr>
        <w:spacing w:after="0"/>
        <w:rPr>
          <w:sz w:val="20"/>
          <w:szCs w:val="20"/>
          <w:color w:val="auto"/>
        </w:rPr>
      </w:pPr>
      <w:r>
        <w:rPr>
          <w:rFonts w:ascii="Calibri" w:cs="Calibri" w:eastAsia="Calibri" w:hAnsi="Calibri"/>
          <w:sz w:val="14"/>
          <w:szCs w:val="14"/>
          <w:color w:val="auto"/>
        </w:rPr>
        <w:t>General questons or exceptons regarding this policy can be directed to the Chief People Ofcer or Talent Strategy Ofcer.</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Version No. 3.0 | Effective Date: 01.01.2024</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4 of 4</w:t>
      </w:r>
    </w:p>
    <w:p>
      <w:pPr>
        <w:sectPr>
          <w:pgSz w:w="11900" w:h="16838" w:orient="portrait"/>
          <w:cols w:equalWidth="0" w:num="1">
            <w:col w:w="11280"/>
          </w:cols>
          <w:pgMar w:left="300" w:top="1331" w:right="319" w:bottom="1440" w:gutter="0" w:footer="0" w:header="0"/>
        </w:sectPr>
      </w:pPr>
    </w:p>
    <w:bookmarkStart w:id="132" w:name="page133"/>
    <w:bookmarkEnd w:id="132"/>
    <w:p>
      <w:pPr>
        <w:ind w:left="4080"/>
        <w:spacing w:after="0"/>
        <w:rPr>
          <w:sz w:val="20"/>
          <w:szCs w:val="20"/>
          <w:color w:val="auto"/>
        </w:rPr>
      </w:pPr>
      <w:r>
        <w:rPr>
          <w:rFonts w:ascii="Calibri" w:cs="Calibri" w:eastAsia="Calibri" w:hAnsi="Calibri"/>
          <w:sz w:val="16"/>
          <w:szCs w:val="16"/>
          <w:color w:val="auto"/>
        </w:rPr>
        <w:t>Booz Allen Hamilton Inc.</w:t>
      </w:r>
    </w:p>
    <w:p>
      <w:pPr>
        <w:ind w:left="4080"/>
        <w:spacing w:after="0" w:line="221" w:lineRule="auto"/>
        <w:rPr>
          <w:sz w:val="20"/>
          <w:szCs w:val="20"/>
          <w:color w:val="auto"/>
        </w:rPr>
      </w:pPr>
      <w:r>
        <w:rPr>
          <w:rFonts w:ascii="Calibri" w:cs="Calibri" w:eastAsia="Calibri" w:hAnsi="Calibri"/>
          <w:sz w:val="16"/>
          <w:szCs w:val="16"/>
          <w:color w:val="auto"/>
        </w:rPr>
        <w:t>8283 Greensboro Drive</w:t>
      </w:r>
    </w:p>
    <w:p>
      <w:pPr>
        <w:ind w:left="4080"/>
        <w:spacing w:after="0" w:line="235" w:lineRule="auto"/>
        <w:rPr>
          <w:sz w:val="20"/>
          <w:szCs w:val="20"/>
          <w:color w:val="auto"/>
        </w:rPr>
      </w:pPr>
      <w:r>
        <w:rPr>
          <w:rFonts w:ascii="Calibri" w:cs="Calibri" w:eastAsia="Calibri" w:hAnsi="Calibri"/>
          <w:sz w:val="16"/>
          <w:szCs w:val="16"/>
          <w:color w:val="auto"/>
        </w:rPr>
        <w:t>McLean, VA 22102</w:t>
      </w:r>
    </w:p>
    <w:p>
      <w:pPr>
        <w:spacing w:after="0" w:line="176" w:lineRule="exact"/>
        <w:rPr>
          <w:sz w:val="20"/>
          <w:szCs w:val="20"/>
          <w:color w:val="auto"/>
        </w:rPr>
      </w:pPr>
    </w:p>
    <w:p>
      <w:pPr>
        <w:ind w:left="4120"/>
        <w:spacing w:after="0"/>
        <w:rPr>
          <w:sz w:val="20"/>
          <w:szCs w:val="20"/>
          <w:color w:val="auto"/>
        </w:rPr>
      </w:pPr>
      <w:r>
        <w:rPr>
          <w:rFonts w:ascii="Calibri" w:cs="Calibri" w:eastAsia="Calibri" w:hAnsi="Calibri"/>
          <w:sz w:val="16"/>
          <w:szCs w:val="16"/>
          <w:color w:val="auto"/>
        </w:rPr>
        <w:t>+1 703 902 5000 (tel)</w:t>
      </w:r>
    </w:p>
    <w:p>
      <w:pPr>
        <w:ind w:left="4080"/>
        <w:spacing w:after="0" w:line="234" w:lineRule="auto"/>
        <w:rPr>
          <w:sz w:val="20"/>
          <w:szCs w:val="20"/>
          <w:color w:val="auto"/>
        </w:rPr>
      </w:pPr>
      <w:r>
        <w:rPr>
          <w:rFonts w:ascii="Calibri" w:cs="Calibri" w:eastAsia="Calibri" w:hAnsi="Calibri"/>
          <w:sz w:val="16"/>
          <w:szCs w:val="16"/>
          <w:color w:val="auto"/>
        </w:rPr>
        <w:t>+1 703 902 3333 (fax)</w:t>
      </w:r>
    </w:p>
    <w:p>
      <w:pPr>
        <w:spacing w:after="0" w:line="368" w:lineRule="exact"/>
        <w:rPr>
          <w:sz w:val="20"/>
          <w:szCs w:val="20"/>
          <w:color w:val="auto"/>
        </w:rPr>
      </w:pPr>
    </w:p>
    <w:p>
      <w:pPr>
        <w:spacing w:after="0"/>
        <w:rPr>
          <w:sz w:val="20"/>
          <w:szCs w:val="20"/>
          <w:color w:val="auto"/>
        </w:rPr>
      </w:pPr>
      <w:r>
        <w:rPr>
          <w:rFonts w:ascii="Calibri" w:cs="Calibri" w:eastAsia="Calibri" w:hAnsi="Calibri"/>
          <w:sz w:val="16"/>
          <w:szCs w:val="16"/>
          <w:color w:val="auto"/>
        </w:rPr>
        <w:t>DATE</w:t>
      </w:r>
    </w:p>
    <w:p>
      <w:pPr>
        <w:spacing w:after="0" w:line="187" w:lineRule="exact"/>
        <w:rPr>
          <w:sz w:val="20"/>
          <w:szCs w:val="20"/>
          <w:color w:val="auto"/>
        </w:rPr>
      </w:pPr>
    </w:p>
    <w:p>
      <w:pPr>
        <w:spacing w:after="0"/>
        <w:rPr>
          <w:sz w:val="20"/>
          <w:szCs w:val="20"/>
          <w:color w:val="auto"/>
        </w:rPr>
      </w:pPr>
      <w:r>
        <w:rPr>
          <w:rFonts w:ascii="Calibri" w:cs="Calibri" w:eastAsia="Calibri" w:hAnsi="Calibri"/>
          <w:sz w:val="16"/>
          <w:szCs w:val="16"/>
          <w:color w:val="auto"/>
        </w:rPr>
        <w:t>NAME</w:t>
      </w:r>
    </w:p>
    <w:p>
      <w:pPr>
        <w:spacing w:after="0" w:line="221" w:lineRule="auto"/>
        <w:rPr>
          <w:sz w:val="20"/>
          <w:szCs w:val="20"/>
          <w:color w:val="auto"/>
        </w:rPr>
      </w:pPr>
      <w:r>
        <w:rPr>
          <w:rFonts w:ascii="Calibri" w:cs="Calibri" w:eastAsia="Calibri" w:hAnsi="Calibri"/>
          <w:sz w:val="16"/>
          <w:szCs w:val="16"/>
          <w:color w:val="auto"/>
        </w:rPr>
        <w:t>ADDRESS</w:t>
      </w:r>
    </w:p>
    <w:p>
      <w:pPr>
        <w:spacing w:after="0" w:line="187" w:lineRule="exact"/>
        <w:rPr>
          <w:sz w:val="20"/>
          <w:szCs w:val="20"/>
          <w:color w:val="auto"/>
        </w:rPr>
      </w:pPr>
    </w:p>
    <w:p>
      <w:pPr>
        <w:spacing w:after="0"/>
        <w:rPr>
          <w:sz w:val="20"/>
          <w:szCs w:val="20"/>
          <w:color w:val="auto"/>
        </w:rPr>
      </w:pPr>
      <w:r>
        <w:rPr>
          <w:rFonts w:ascii="Calibri" w:cs="Calibri" w:eastAsia="Calibri" w:hAnsi="Calibri"/>
          <w:sz w:val="16"/>
          <w:szCs w:val="16"/>
          <w:color w:val="auto"/>
        </w:rPr>
        <w:t>Dear NAME,</w:t>
      </w:r>
    </w:p>
    <w:p>
      <w:pPr>
        <w:spacing w:after="0" w:line="187" w:lineRule="exact"/>
        <w:rPr>
          <w:sz w:val="20"/>
          <w:szCs w:val="20"/>
          <w:color w:val="auto"/>
        </w:rPr>
      </w:pPr>
    </w:p>
    <w:p>
      <w:pPr>
        <w:ind w:left="400"/>
        <w:spacing w:after="0"/>
        <w:rPr>
          <w:sz w:val="20"/>
          <w:szCs w:val="20"/>
          <w:color w:val="auto"/>
        </w:rPr>
      </w:pPr>
      <w:r>
        <w:rPr>
          <w:rFonts w:ascii="Calibri" w:cs="Calibri" w:eastAsia="Calibri" w:hAnsi="Calibri"/>
          <w:sz w:val="16"/>
          <w:szCs w:val="16"/>
          <w:color w:val="auto"/>
        </w:rPr>
        <w:t>On behalf of the Leadership Team, all the partners and employees at Booz Allen Hamilton, thank you for your extensive contributons to our frm for over the</w:t>
      </w:r>
    </w:p>
    <w:p>
      <w:pPr>
        <w:ind w:right="80"/>
        <w:spacing w:after="0" w:line="228" w:lineRule="auto"/>
        <w:rPr>
          <w:sz w:val="20"/>
          <w:szCs w:val="20"/>
          <w:color w:val="auto"/>
        </w:rPr>
      </w:pPr>
      <w:r>
        <w:rPr>
          <w:rFonts w:ascii="Calibri" w:cs="Calibri" w:eastAsia="Calibri" w:hAnsi="Calibri"/>
          <w:sz w:val="16"/>
          <w:szCs w:val="16"/>
          <w:color w:val="auto"/>
        </w:rPr>
        <w:t xml:space="preserve">last </w:t>
      </w:r>
      <w:r>
        <w:rPr>
          <w:rFonts w:ascii="Calibri" w:cs="Calibri" w:eastAsia="Calibri" w:hAnsi="Calibri"/>
          <w:sz w:val="16"/>
          <w:szCs w:val="16"/>
          <w:color w:val="auto"/>
          <w:highlight w:val="yellow"/>
        </w:rPr>
        <w:t>XX</w:t>
      </w:r>
      <w:r>
        <w:rPr>
          <w:rFonts w:ascii="Calibri" w:cs="Calibri" w:eastAsia="Calibri" w:hAnsi="Calibri"/>
          <w:sz w:val="16"/>
          <w:szCs w:val="16"/>
          <w:color w:val="auto"/>
        </w:rPr>
        <w:t xml:space="preserve"> years. The number of individuals that you have infuenced during your tenure, including clients, employees, and other leaders, is an accomplishment and one that we will remember.</w:t>
      </w:r>
    </w:p>
    <w:p>
      <w:pPr>
        <w:spacing w:after="0" w:line="187" w:lineRule="exact"/>
        <w:rPr>
          <w:sz w:val="20"/>
          <w:szCs w:val="20"/>
          <w:color w:val="auto"/>
        </w:rPr>
      </w:pPr>
    </w:p>
    <w:p>
      <w:pPr>
        <w:jc w:val="both"/>
        <w:ind w:right="20" w:firstLine="387"/>
        <w:spacing w:after="0" w:line="232" w:lineRule="auto"/>
        <w:rPr>
          <w:sz w:val="20"/>
          <w:szCs w:val="20"/>
          <w:color w:val="auto"/>
        </w:rPr>
      </w:pPr>
      <w:r>
        <w:rPr>
          <w:rFonts w:ascii="Calibri" w:cs="Calibri" w:eastAsia="Calibri" w:hAnsi="Calibri"/>
          <w:sz w:val="16"/>
          <w:szCs w:val="16"/>
          <w:color w:val="auto"/>
        </w:rPr>
        <w:t xml:space="preserve">As you’ve decided to retre from the frm efectve </w:t>
      </w:r>
      <w:r>
        <w:rPr>
          <w:rFonts w:ascii="Calibri" w:cs="Calibri" w:eastAsia="Calibri" w:hAnsi="Calibri"/>
          <w:sz w:val="16"/>
          <w:szCs w:val="16"/>
          <w:color w:val="auto"/>
          <w:highlight w:val="yellow"/>
        </w:rPr>
        <w:t>DATE</w:t>
      </w:r>
      <w:r>
        <w:rPr>
          <w:rFonts w:ascii="Calibri" w:cs="Calibri" w:eastAsia="Calibri" w:hAnsi="Calibri"/>
          <w:sz w:val="16"/>
          <w:szCs w:val="16"/>
          <w:color w:val="auto"/>
        </w:rPr>
        <w:t xml:space="preserve"> (your “Retrement Date”), this leter outlines your benefts and other arrangements related to your retrement. In accordance with the Partner Retrement Policy, certain payments and benefts referenced in this leter are contngent upon your executon, non-revocaton, and adherence to the terms and conditons of the Agreement and General Release included with this leter as Atachment A. Please sign and return this agreement to </w:t>
      </w:r>
      <w:r>
        <w:rPr>
          <w:rFonts w:ascii="Calibri" w:cs="Calibri" w:eastAsia="Calibri" w:hAnsi="Calibri"/>
          <w:sz w:val="16"/>
          <w:szCs w:val="16"/>
          <w:color w:val="auto"/>
          <w:highlight w:val="yellow"/>
        </w:rPr>
        <w:t>NAME</w:t>
      </w:r>
      <w:r>
        <w:rPr>
          <w:rFonts w:ascii="Calibri" w:cs="Calibri" w:eastAsia="Calibri" w:hAnsi="Calibri"/>
          <w:sz w:val="16"/>
          <w:szCs w:val="16"/>
          <w:color w:val="auto"/>
        </w:rPr>
        <w:t xml:space="preserve"> by </w:t>
      </w:r>
      <w:r>
        <w:rPr>
          <w:rFonts w:ascii="Calibri" w:cs="Calibri" w:eastAsia="Calibri" w:hAnsi="Calibri"/>
          <w:sz w:val="16"/>
          <w:szCs w:val="16"/>
          <w:color w:val="auto"/>
          <w:highlight w:val="yellow"/>
        </w:rPr>
        <w:t>DATE.</w:t>
      </w:r>
    </w:p>
    <w:p>
      <w:pPr>
        <w:spacing w:after="0" w:line="176" w:lineRule="exact"/>
        <w:rPr>
          <w:sz w:val="20"/>
          <w:szCs w:val="20"/>
          <w:color w:val="auto"/>
        </w:rPr>
      </w:pPr>
    </w:p>
    <w:p>
      <w:pPr>
        <w:spacing w:after="0"/>
        <w:rPr>
          <w:sz w:val="20"/>
          <w:szCs w:val="20"/>
          <w:color w:val="auto"/>
        </w:rPr>
      </w:pPr>
      <w:r>
        <w:rPr>
          <w:rFonts w:ascii="Calibri" w:cs="Calibri" w:eastAsia="Calibri" w:hAnsi="Calibri"/>
          <w:sz w:val="16"/>
          <w:szCs w:val="16"/>
          <w:b w:val="1"/>
          <w:bCs w:val="1"/>
          <w:u w:val="single" w:color="auto"/>
          <w:color w:val="auto"/>
        </w:rPr>
        <w:t>Through your Retrement Date:</w:t>
      </w:r>
    </w:p>
    <w:p>
      <w:pPr>
        <w:spacing w:after="0" w:line="204" w:lineRule="exact"/>
        <w:rPr>
          <w:sz w:val="20"/>
          <w:szCs w:val="20"/>
          <w:color w:val="auto"/>
        </w:rPr>
      </w:pPr>
    </w:p>
    <w:p>
      <w:pPr>
        <w:ind w:left="500" w:hanging="240"/>
        <w:spacing w:after="0"/>
        <w:tabs>
          <w:tab w:leader="none" w:pos="500" w:val="left"/>
        </w:tabs>
        <w:numPr>
          <w:ilvl w:val="0"/>
          <w:numId w:val="93"/>
        </w:numPr>
        <w:rPr>
          <w:rFonts w:ascii="Times New Roman" w:cs="Times New Roman" w:eastAsia="Times New Roman" w:hAnsi="Times New Roman"/>
          <w:sz w:val="19"/>
          <w:szCs w:val="19"/>
          <w:color w:val="auto"/>
        </w:rPr>
      </w:pPr>
      <w:r>
        <w:rPr>
          <w:rFonts w:ascii="Calibri" w:cs="Calibri" w:eastAsia="Calibri" w:hAnsi="Calibri"/>
          <w:sz w:val="16"/>
          <w:szCs w:val="16"/>
          <w:color w:val="auto"/>
        </w:rPr>
        <w:t>You will contnue to receive your current base compensaton on the standard payroll cycles through your Retrement Date.</w:t>
      </w:r>
    </w:p>
    <w:p>
      <w:pPr>
        <w:spacing w:after="0" w:line="38" w:lineRule="exact"/>
        <w:rPr>
          <w:rFonts w:ascii="Times New Roman" w:cs="Times New Roman" w:eastAsia="Times New Roman" w:hAnsi="Times New Roman"/>
          <w:sz w:val="19"/>
          <w:szCs w:val="19"/>
          <w:color w:val="auto"/>
        </w:rPr>
      </w:pPr>
    </w:p>
    <w:p>
      <w:pPr>
        <w:ind w:left="520" w:hanging="260"/>
        <w:spacing w:after="0" w:line="216" w:lineRule="auto"/>
        <w:tabs>
          <w:tab w:leader="none" w:pos="512" w:val="left"/>
        </w:tabs>
        <w:numPr>
          <w:ilvl w:val="0"/>
          <w:numId w:val="93"/>
        </w:numPr>
        <w:rPr>
          <w:rFonts w:ascii="Times New Roman" w:cs="Times New Roman" w:eastAsia="Times New Roman" w:hAnsi="Times New Roman"/>
          <w:sz w:val="19"/>
          <w:szCs w:val="19"/>
          <w:color w:val="auto"/>
        </w:rPr>
      </w:pPr>
      <w:r>
        <w:rPr>
          <w:rFonts w:ascii="Calibri" w:cs="Calibri" w:eastAsia="Calibri" w:hAnsi="Calibri"/>
          <w:sz w:val="16"/>
          <w:szCs w:val="16"/>
          <w:color w:val="auto"/>
        </w:rPr>
        <w:t>You will contnue to be eligible for and covered by the frm’s medical and other insurance programs in which you are enrolled as of the date of this leter as well as the frm’s ECAP retrement funding programs.</w:t>
      </w:r>
    </w:p>
    <w:p>
      <w:pPr>
        <w:spacing w:after="0" w:line="26" w:lineRule="exact"/>
        <w:rPr>
          <w:rFonts w:ascii="Times New Roman" w:cs="Times New Roman" w:eastAsia="Times New Roman" w:hAnsi="Times New Roman"/>
          <w:sz w:val="19"/>
          <w:szCs w:val="19"/>
          <w:color w:val="auto"/>
        </w:rPr>
      </w:pPr>
    </w:p>
    <w:p>
      <w:pPr>
        <w:ind w:left="500" w:hanging="240"/>
        <w:spacing w:after="0"/>
        <w:tabs>
          <w:tab w:leader="none" w:pos="500" w:val="left"/>
        </w:tabs>
        <w:numPr>
          <w:ilvl w:val="0"/>
          <w:numId w:val="93"/>
        </w:numPr>
        <w:rPr>
          <w:rFonts w:ascii="Times New Roman" w:cs="Times New Roman" w:eastAsia="Times New Roman" w:hAnsi="Times New Roman"/>
          <w:sz w:val="19"/>
          <w:szCs w:val="19"/>
          <w:color w:val="auto"/>
        </w:rPr>
      </w:pPr>
      <w:r>
        <w:rPr>
          <w:rFonts w:ascii="Calibri" w:cs="Calibri" w:eastAsia="Calibri" w:hAnsi="Calibri"/>
          <w:sz w:val="16"/>
          <w:szCs w:val="16"/>
          <w:color w:val="auto"/>
        </w:rPr>
        <w:t>[You will remain eligible for reimbursement of approved perquisites such as fnancial and estate planning.]</w:t>
      </w:r>
      <w:r>
        <w:rPr>
          <w:rFonts w:ascii="Calibri" w:cs="Calibri" w:eastAsia="Calibri" w:hAnsi="Calibri"/>
          <w:sz w:val="20"/>
          <w:szCs w:val="20"/>
          <w:color w:val="auto"/>
          <w:vertAlign w:val="superscript"/>
        </w:rPr>
        <w:t>1</w:t>
      </w:r>
    </w:p>
    <w:p>
      <w:pPr>
        <w:spacing w:after="0" w:line="2" w:lineRule="exact"/>
        <w:rPr>
          <w:rFonts w:ascii="Times New Roman" w:cs="Times New Roman" w:eastAsia="Times New Roman" w:hAnsi="Times New Roman"/>
          <w:sz w:val="19"/>
          <w:szCs w:val="19"/>
          <w:color w:val="auto"/>
        </w:rPr>
      </w:pPr>
    </w:p>
    <w:p>
      <w:pPr>
        <w:ind w:left="520" w:right="260" w:hanging="260"/>
        <w:spacing w:after="0" w:line="216" w:lineRule="auto"/>
        <w:tabs>
          <w:tab w:leader="none" w:pos="512" w:val="left"/>
        </w:tabs>
        <w:numPr>
          <w:ilvl w:val="0"/>
          <w:numId w:val="93"/>
        </w:numPr>
        <w:rPr>
          <w:rFonts w:ascii="Times New Roman" w:cs="Times New Roman" w:eastAsia="Times New Roman" w:hAnsi="Times New Roman"/>
          <w:sz w:val="19"/>
          <w:szCs w:val="19"/>
          <w:color w:val="auto"/>
        </w:rPr>
      </w:pPr>
      <w:r>
        <w:rPr>
          <w:rFonts w:ascii="Calibri" w:cs="Calibri" w:eastAsia="Calibri" w:hAnsi="Calibri"/>
          <w:sz w:val="16"/>
          <w:szCs w:val="16"/>
          <w:color w:val="auto"/>
        </w:rPr>
        <w:t xml:space="preserve">[You will be eligible to receive a [prorated] </w:t>
      </w:r>
      <w:r>
        <w:rPr>
          <w:rFonts w:ascii="Calibri" w:cs="Calibri" w:eastAsia="Calibri" w:hAnsi="Calibri"/>
          <w:sz w:val="16"/>
          <w:szCs w:val="16"/>
          <w:color w:val="auto"/>
          <w:highlight w:val="yellow"/>
        </w:rPr>
        <w:t>FYXX</w:t>
      </w:r>
      <w:r>
        <w:rPr>
          <w:rFonts w:ascii="Calibri" w:cs="Calibri" w:eastAsia="Calibri" w:hAnsi="Calibri"/>
          <w:sz w:val="16"/>
          <w:szCs w:val="16"/>
          <w:color w:val="auto"/>
        </w:rPr>
        <w:t xml:space="preserve"> bonus for the period </w:t>
      </w:r>
      <w:r>
        <w:rPr>
          <w:rFonts w:ascii="Calibri" w:cs="Calibri" w:eastAsia="Calibri" w:hAnsi="Calibri"/>
          <w:sz w:val="16"/>
          <w:szCs w:val="16"/>
          <w:color w:val="auto"/>
          <w:highlight w:val="yellow"/>
        </w:rPr>
        <w:t>DATE,</w:t>
      </w:r>
      <w:r>
        <w:rPr>
          <w:rFonts w:ascii="Calibri" w:cs="Calibri" w:eastAsia="Calibri" w:hAnsi="Calibri"/>
          <w:sz w:val="16"/>
          <w:szCs w:val="16"/>
          <w:color w:val="auto"/>
        </w:rPr>
        <w:t xml:space="preserve"> to </w:t>
      </w:r>
      <w:r>
        <w:rPr>
          <w:rFonts w:ascii="Calibri" w:cs="Calibri" w:eastAsia="Calibri" w:hAnsi="Calibri"/>
          <w:sz w:val="16"/>
          <w:szCs w:val="16"/>
          <w:color w:val="auto"/>
          <w:highlight w:val="yellow"/>
        </w:rPr>
        <w:t>DATE.</w:t>
      </w:r>
      <w:r>
        <w:rPr>
          <w:rFonts w:ascii="Calibri" w:cs="Calibri" w:eastAsia="Calibri" w:hAnsi="Calibri"/>
          <w:sz w:val="16"/>
          <w:szCs w:val="16"/>
          <w:color w:val="auto"/>
        </w:rPr>
        <w:t xml:space="preserve"> This bonus will be paid on the normal payment date for </w:t>
      </w:r>
      <w:r>
        <w:rPr>
          <w:rFonts w:ascii="Calibri" w:cs="Calibri" w:eastAsia="Calibri" w:hAnsi="Calibri"/>
          <w:sz w:val="16"/>
          <w:szCs w:val="16"/>
          <w:color w:val="auto"/>
          <w:highlight w:val="yellow"/>
        </w:rPr>
        <w:t>FYXX</w:t>
      </w:r>
      <w:r>
        <w:rPr>
          <w:rFonts w:ascii="Calibri" w:cs="Calibri" w:eastAsia="Calibri" w:hAnsi="Calibri"/>
          <w:sz w:val="16"/>
          <w:szCs w:val="16"/>
          <w:color w:val="auto"/>
        </w:rPr>
        <w:t xml:space="preserve"> bonuses, within two-and-one half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134747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3">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61" w:lineRule="exact"/>
        <w:rPr>
          <w:sz w:val="20"/>
          <w:szCs w:val="20"/>
          <w:color w:val="auto"/>
        </w:rPr>
      </w:pPr>
    </w:p>
    <w:p>
      <w:pPr>
        <w:ind w:left="80" w:hanging="75"/>
        <w:spacing w:after="0"/>
        <w:tabs>
          <w:tab w:leader="none" w:pos="80" w:val="left"/>
        </w:tabs>
        <w:numPr>
          <w:ilvl w:val="0"/>
          <w:numId w:val="94"/>
        </w:numPr>
        <w:rPr>
          <w:rFonts w:ascii="Calibri" w:cs="Calibri" w:eastAsia="Calibri" w:hAnsi="Calibri"/>
          <w:sz w:val="18"/>
          <w:szCs w:val="18"/>
          <w:color w:val="auto"/>
          <w:vertAlign w:val="superscript"/>
        </w:rPr>
      </w:pPr>
      <w:r>
        <w:rPr>
          <w:rFonts w:ascii="Calibri" w:cs="Calibri" w:eastAsia="Calibri" w:hAnsi="Calibri"/>
          <w:sz w:val="14"/>
          <w:szCs w:val="14"/>
          <w:color w:val="auto"/>
        </w:rPr>
        <w:t>Provided pursuant to the Ofcer Perquisites Policy, fled as Exhibit 10.45 to Booz Allen Hamilton’s Annual Report on Form 10-K for the year ended March 31, 2018.</w:t>
      </w:r>
    </w:p>
    <w:p>
      <w:pPr>
        <w:sectPr>
          <w:pgSz w:w="11900" w:h="16838" w:orient="portrait"/>
          <w:cols w:equalWidth="0" w:num="1">
            <w:col w:w="11200"/>
          </w:cols>
          <w:pgMar w:left="300" w:top="1245" w:right="399" w:bottom="1440" w:gutter="0" w:footer="0" w:header="0"/>
        </w:sectPr>
      </w:pPr>
    </w:p>
    <w:bookmarkStart w:id="133" w:name="page134"/>
    <w:bookmarkEnd w:id="133"/>
    <w:p>
      <w:pPr>
        <w:ind w:left="520"/>
        <w:spacing w:after="0"/>
        <w:rPr>
          <w:sz w:val="20"/>
          <w:szCs w:val="20"/>
          <w:color w:val="auto"/>
        </w:rPr>
      </w:pPr>
      <w:r>
        <w:rPr>
          <w:rFonts w:ascii="Calibri" w:cs="Calibri" w:eastAsia="Calibri" w:hAnsi="Calibri"/>
          <w:sz w:val="16"/>
          <w:szCs w:val="16"/>
          <w:color w:val="auto"/>
        </w:rPr>
        <w:t>from fscal year end. All bonus payments are based on frm performance as approved by the Compensaton, Culture and People Commitee of the Board of Directors.]</w:t>
      </w:r>
      <w:r>
        <w:rPr>
          <w:rFonts w:ascii="Calibri" w:cs="Calibri" w:eastAsia="Calibri" w:hAnsi="Calibri"/>
          <w:sz w:val="20"/>
          <w:szCs w:val="20"/>
          <w:color w:val="auto"/>
          <w:vertAlign w:val="superscript"/>
        </w:rPr>
        <w:t>2</w:t>
      </w:r>
    </w:p>
    <w:p>
      <w:pPr>
        <w:spacing w:after="0" w:line="127" w:lineRule="exact"/>
        <w:rPr>
          <w:sz w:val="20"/>
          <w:szCs w:val="20"/>
          <w:color w:val="auto"/>
        </w:rPr>
      </w:pPr>
    </w:p>
    <w:p>
      <w:pPr>
        <w:spacing w:after="0"/>
        <w:rPr>
          <w:sz w:val="20"/>
          <w:szCs w:val="20"/>
          <w:color w:val="auto"/>
        </w:rPr>
      </w:pPr>
      <w:r>
        <w:rPr>
          <w:rFonts w:ascii="Calibri" w:cs="Calibri" w:eastAsia="Calibri" w:hAnsi="Calibri"/>
          <w:sz w:val="16"/>
          <w:szCs w:val="16"/>
          <w:b w:val="1"/>
          <w:bCs w:val="1"/>
          <w:u w:val="single" w:color="auto"/>
          <w:color w:val="auto"/>
        </w:rPr>
        <w:t>Afer your Retrement Date:</w:t>
      </w:r>
      <w:r>
        <w:rPr>
          <w:rFonts w:ascii="Calibri" w:cs="Calibri" w:eastAsia="Calibri" w:hAnsi="Calibri"/>
          <w:sz w:val="20"/>
          <w:szCs w:val="20"/>
          <w:color w:val="auto"/>
          <w:vertAlign w:val="superscript"/>
        </w:rPr>
        <w:t>3</w:t>
      </w:r>
    </w:p>
    <w:p>
      <w:pPr>
        <w:spacing w:after="0" w:line="193" w:lineRule="exact"/>
        <w:rPr>
          <w:sz w:val="20"/>
          <w:szCs w:val="20"/>
          <w:color w:val="auto"/>
        </w:rPr>
      </w:pPr>
    </w:p>
    <w:p>
      <w:pPr>
        <w:ind w:left="520" w:right="140" w:hanging="260"/>
        <w:spacing w:after="0" w:line="232" w:lineRule="auto"/>
        <w:tabs>
          <w:tab w:leader="none" w:pos="512" w:val="left"/>
        </w:tabs>
        <w:numPr>
          <w:ilvl w:val="0"/>
          <w:numId w:val="95"/>
        </w:numPr>
        <w:rPr>
          <w:rFonts w:ascii="Times New Roman" w:cs="Times New Roman" w:eastAsia="Times New Roman" w:hAnsi="Times New Roman"/>
          <w:sz w:val="18"/>
          <w:szCs w:val="18"/>
          <w:color w:val="auto"/>
        </w:rPr>
      </w:pPr>
      <w:r>
        <w:rPr>
          <w:rFonts w:ascii="Calibri" w:cs="Calibri" w:eastAsia="Calibri" w:hAnsi="Calibri"/>
          <w:sz w:val="15"/>
          <w:szCs w:val="15"/>
          <w:color w:val="auto"/>
        </w:rPr>
        <w:t xml:space="preserve">[Performance RSUs that were granted on </w:t>
      </w:r>
      <w:r>
        <w:rPr>
          <w:rFonts w:ascii="Calibri" w:cs="Calibri" w:eastAsia="Calibri" w:hAnsi="Calibri"/>
          <w:sz w:val="15"/>
          <w:szCs w:val="15"/>
          <w:color w:val="auto"/>
          <w:highlight w:val="yellow"/>
        </w:rPr>
        <w:t>DATE</w:t>
      </w:r>
      <w:r>
        <w:rPr>
          <w:rFonts w:ascii="Calibri" w:cs="Calibri" w:eastAsia="Calibri" w:hAnsi="Calibri"/>
          <w:sz w:val="15"/>
          <w:szCs w:val="15"/>
          <w:color w:val="auto"/>
        </w:rPr>
        <w:t xml:space="preserve"> will contnue to vest on schedule as permited under the “Qualifying Permanent Retrement” provision of the applicable Award Agreement. If a Qualifed Permanent Retrement, as defned in your applicable Performance RSU Award Agreement, shall cease to exist prior to the vestng of your Performance RSUs, the unvested Performance RSUs will be forfeited. All other unvested Performance RSUs will forfeit upon your Retrement Date.</w:t>
      </w:r>
    </w:p>
    <w:p>
      <w:pPr>
        <w:spacing w:after="0" w:line="49" w:lineRule="exact"/>
        <w:rPr>
          <w:rFonts w:ascii="Times New Roman" w:cs="Times New Roman" w:eastAsia="Times New Roman" w:hAnsi="Times New Roman"/>
          <w:sz w:val="18"/>
          <w:szCs w:val="18"/>
          <w:color w:val="auto"/>
        </w:rPr>
      </w:pPr>
    </w:p>
    <w:p>
      <w:pPr>
        <w:ind w:left="520" w:hanging="260"/>
        <w:spacing w:after="0" w:line="210" w:lineRule="auto"/>
        <w:tabs>
          <w:tab w:leader="none" w:pos="512" w:val="left"/>
        </w:tabs>
        <w:numPr>
          <w:ilvl w:val="0"/>
          <w:numId w:val="95"/>
        </w:numPr>
        <w:rPr>
          <w:rFonts w:ascii="Times New Roman" w:cs="Times New Roman" w:eastAsia="Times New Roman" w:hAnsi="Times New Roman"/>
          <w:sz w:val="19"/>
          <w:szCs w:val="19"/>
          <w:color w:val="auto"/>
        </w:rPr>
      </w:pPr>
      <w:r>
        <w:rPr>
          <w:rFonts w:ascii="Calibri" w:cs="Calibri" w:eastAsia="Calibri" w:hAnsi="Calibri"/>
          <w:sz w:val="16"/>
          <w:szCs w:val="16"/>
          <w:color w:val="auto"/>
        </w:rPr>
        <w:t>Any stock, units, or stock optons granted or issued to you pursuant to the Company’s Equity Incentve Plan, as amended (“EIP”) shall be governed by, as applicable, the terms of the EIP and any applicable Award Agreement.</w:t>
      </w:r>
    </w:p>
    <w:p>
      <w:pPr>
        <w:spacing w:after="0" w:line="14" w:lineRule="exact"/>
        <w:rPr>
          <w:rFonts w:ascii="Times New Roman" w:cs="Times New Roman" w:eastAsia="Times New Roman" w:hAnsi="Times New Roman"/>
          <w:sz w:val="19"/>
          <w:szCs w:val="19"/>
          <w:color w:val="auto"/>
        </w:rPr>
      </w:pPr>
    </w:p>
    <w:p>
      <w:pPr>
        <w:ind w:left="500" w:hanging="240"/>
        <w:spacing w:after="0"/>
        <w:tabs>
          <w:tab w:leader="none" w:pos="500" w:val="left"/>
        </w:tabs>
        <w:numPr>
          <w:ilvl w:val="0"/>
          <w:numId w:val="95"/>
        </w:numPr>
        <w:rPr>
          <w:rFonts w:ascii="Times New Roman" w:cs="Times New Roman" w:eastAsia="Times New Roman" w:hAnsi="Times New Roman"/>
          <w:sz w:val="19"/>
          <w:szCs w:val="19"/>
          <w:color w:val="auto"/>
        </w:rPr>
      </w:pPr>
      <w:r>
        <w:rPr>
          <w:rFonts w:ascii="Calibri" w:cs="Calibri" w:eastAsia="Calibri" w:hAnsi="Calibri"/>
          <w:sz w:val="16"/>
          <w:szCs w:val="16"/>
          <w:color w:val="auto"/>
        </w:rPr>
        <w:t>Any vested stock optons that you do not exercise within 90 days following your Retrement Date shall be forfeited.]</w:t>
      </w:r>
    </w:p>
    <w:p>
      <w:pPr>
        <w:spacing w:after="0" w:line="187" w:lineRule="exact"/>
        <w:rPr>
          <w:sz w:val="20"/>
          <w:szCs w:val="20"/>
          <w:color w:val="auto"/>
        </w:rPr>
      </w:pPr>
    </w:p>
    <w:p>
      <w:pPr>
        <w:ind w:right="440" w:firstLine="255"/>
        <w:spacing w:after="0" w:line="230" w:lineRule="auto"/>
        <w:rPr>
          <w:sz w:val="20"/>
          <w:szCs w:val="20"/>
          <w:color w:val="auto"/>
        </w:rPr>
      </w:pPr>
      <w:r>
        <w:rPr>
          <w:rFonts w:ascii="Calibri" w:cs="Calibri" w:eastAsia="Calibri" w:hAnsi="Calibri"/>
          <w:sz w:val="16"/>
          <w:szCs w:val="16"/>
          <w:color w:val="auto"/>
        </w:rPr>
        <w:t xml:space="preserve">Provided you execute and return the Agreement and General Release included with this leter as Atachment A by </w:t>
      </w:r>
      <w:r>
        <w:rPr>
          <w:rFonts w:ascii="Calibri" w:cs="Calibri" w:eastAsia="Calibri" w:hAnsi="Calibri"/>
          <w:sz w:val="16"/>
          <w:szCs w:val="16"/>
          <w:color w:val="auto"/>
          <w:highlight w:val="yellow"/>
        </w:rPr>
        <w:t>DATE,</w:t>
      </w:r>
      <w:r>
        <w:rPr>
          <w:rFonts w:ascii="Calibri" w:cs="Calibri" w:eastAsia="Calibri" w:hAnsi="Calibri"/>
          <w:sz w:val="16"/>
          <w:szCs w:val="16"/>
          <w:color w:val="auto"/>
        </w:rPr>
        <w:t xml:space="preserve"> do not revoke such Agreement and General Release, and otherwise comply with the requirements of that Agreement and this leter, the following arrangements will apply:</w:t>
      </w:r>
    </w:p>
    <w:p>
      <w:pPr>
        <w:spacing w:after="0" w:line="241" w:lineRule="exact"/>
        <w:rPr>
          <w:sz w:val="20"/>
          <w:szCs w:val="20"/>
          <w:color w:val="auto"/>
        </w:rPr>
      </w:pPr>
    </w:p>
    <w:p>
      <w:pPr>
        <w:ind w:left="520" w:right="80" w:hanging="260"/>
        <w:spacing w:after="0" w:line="218" w:lineRule="auto"/>
        <w:tabs>
          <w:tab w:leader="none" w:pos="512" w:val="left"/>
        </w:tabs>
        <w:numPr>
          <w:ilvl w:val="0"/>
          <w:numId w:val="96"/>
        </w:numPr>
        <w:rPr>
          <w:rFonts w:ascii="Times New Roman" w:cs="Times New Roman" w:eastAsia="Times New Roman" w:hAnsi="Times New Roman"/>
          <w:sz w:val="19"/>
          <w:szCs w:val="19"/>
          <w:color w:val="auto"/>
        </w:rPr>
      </w:pPr>
      <w:r>
        <w:rPr>
          <w:rFonts w:ascii="Calibri" w:cs="Calibri" w:eastAsia="Calibri" w:hAnsi="Calibri"/>
          <w:sz w:val="16"/>
          <w:szCs w:val="16"/>
          <w:color w:val="auto"/>
        </w:rPr>
        <w:t>The frm will provide you with contnued eligibility to receive health and dental insurance coverage under the US Retred Ofcer Medical and Dental Plan and such contnuaton/conversion rights as are provided under the terms of the Booz Allen sponsored welfare beneft plans. Only dependents of a retred Ofcer on the date of retrement are eligible for coverage under the Retred Ofcer Medical Plan. Should you become employed at a new employer following retrement from Booz Allen,</w:t>
      </w:r>
    </w:p>
    <w:p>
      <w:pPr>
        <w:spacing w:after="0" w:line="39" w:lineRule="exact"/>
        <w:rPr>
          <w:rFonts w:ascii="Times New Roman" w:cs="Times New Roman" w:eastAsia="Times New Roman" w:hAnsi="Times New Roman"/>
          <w:sz w:val="19"/>
          <w:szCs w:val="19"/>
          <w:color w:val="auto"/>
        </w:rPr>
      </w:pPr>
    </w:p>
    <w:p>
      <w:pPr>
        <w:ind w:left="520" w:right="240"/>
        <w:spacing w:after="0" w:line="230" w:lineRule="auto"/>
        <w:rPr>
          <w:rFonts w:ascii="Times New Roman" w:cs="Times New Roman" w:eastAsia="Times New Roman" w:hAnsi="Times New Roman"/>
          <w:sz w:val="19"/>
          <w:szCs w:val="19"/>
          <w:color w:val="auto"/>
        </w:rPr>
      </w:pPr>
      <w:r>
        <w:rPr>
          <w:rFonts w:ascii="Calibri" w:cs="Calibri" w:eastAsia="Calibri" w:hAnsi="Calibri"/>
          <w:sz w:val="16"/>
          <w:szCs w:val="16"/>
          <w:color w:val="auto"/>
        </w:rPr>
        <w:t>you must enroll in their medical/dental plan at which point coverage under the Booz Allen Medical Plan will be secondary to the plan in which you partcipate as an actve employee.</w:t>
      </w:r>
    </w:p>
    <w:p>
      <w:pPr>
        <w:spacing w:after="0" w:line="50" w:lineRule="exact"/>
        <w:rPr>
          <w:rFonts w:ascii="Times New Roman" w:cs="Times New Roman" w:eastAsia="Times New Roman" w:hAnsi="Times New Roman"/>
          <w:sz w:val="19"/>
          <w:szCs w:val="19"/>
          <w:color w:val="auto"/>
        </w:rPr>
      </w:pPr>
    </w:p>
    <w:p>
      <w:pPr>
        <w:ind w:left="520" w:right="200" w:hanging="260"/>
        <w:spacing w:after="0" w:line="210" w:lineRule="auto"/>
        <w:tabs>
          <w:tab w:leader="none" w:pos="512" w:val="left"/>
        </w:tabs>
        <w:numPr>
          <w:ilvl w:val="0"/>
          <w:numId w:val="96"/>
        </w:numPr>
        <w:rPr>
          <w:rFonts w:ascii="Times New Roman" w:cs="Times New Roman" w:eastAsia="Times New Roman" w:hAnsi="Times New Roman"/>
          <w:sz w:val="19"/>
          <w:szCs w:val="19"/>
          <w:color w:val="auto"/>
        </w:rPr>
      </w:pPr>
      <w:r>
        <w:rPr>
          <w:rFonts w:ascii="Calibri" w:cs="Calibri" w:eastAsia="Calibri" w:hAnsi="Calibri"/>
          <w:sz w:val="16"/>
          <w:szCs w:val="16"/>
          <w:color w:val="auto"/>
        </w:rPr>
        <w:t xml:space="preserve">The frm will provide you with a one-tme, lump sum Retrement Payment for each year of service as an Ofcer since </w:t>
      </w:r>
      <w:r>
        <w:rPr>
          <w:rFonts w:ascii="Calibri" w:cs="Calibri" w:eastAsia="Calibri" w:hAnsi="Calibri"/>
          <w:sz w:val="16"/>
          <w:szCs w:val="16"/>
          <w:color w:val="auto"/>
          <w:highlight w:val="yellow"/>
        </w:rPr>
        <w:t>DATE,</w:t>
      </w:r>
      <w:r>
        <w:rPr>
          <w:rFonts w:ascii="Calibri" w:cs="Calibri" w:eastAsia="Calibri" w:hAnsi="Calibri"/>
          <w:sz w:val="16"/>
          <w:szCs w:val="16"/>
          <w:color w:val="auto"/>
        </w:rPr>
        <w:t xml:space="preserve"> prorated accordingly. This gross payment will be made in the applicable payroll cycle following your Retrement Date.</w:t>
      </w:r>
    </w:p>
    <w:p>
      <w:pPr>
        <w:spacing w:after="0" w:line="50" w:lineRule="exact"/>
        <w:rPr>
          <w:rFonts w:ascii="Times New Roman" w:cs="Times New Roman" w:eastAsia="Times New Roman" w:hAnsi="Times New Roman"/>
          <w:sz w:val="19"/>
          <w:szCs w:val="19"/>
          <w:color w:val="auto"/>
        </w:rPr>
      </w:pPr>
    </w:p>
    <w:p>
      <w:pPr>
        <w:jc w:val="both"/>
        <w:ind w:left="520" w:right="180" w:hanging="260"/>
        <w:spacing w:after="0" w:line="218" w:lineRule="auto"/>
        <w:tabs>
          <w:tab w:leader="none" w:pos="512" w:val="left"/>
        </w:tabs>
        <w:numPr>
          <w:ilvl w:val="0"/>
          <w:numId w:val="96"/>
        </w:numPr>
        <w:rPr>
          <w:rFonts w:ascii="Times New Roman" w:cs="Times New Roman" w:eastAsia="Times New Roman" w:hAnsi="Times New Roman"/>
          <w:sz w:val="19"/>
          <w:szCs w:val="19"/>
          <w:color w:val="auto"/>
        </w:rPr>
      </w:pPr>
      <w:r>
        <w:rPr>
          <w:rFonts w:ascii="Calibri" w:cs="Calibri" w:eastAsia="Calibri" w:hAnsi="Calibri"/>
          <w:sz w:val="16"/>
          <w:szCs w:val="16"/>
          <w:color w:val="auto"/>
        </w:rPr>
        <w:t>You will not be eligible for any new equity grants as of the date of this leter; however, [Senior management will propose that the Compensaton, Culture and People Commitee of the Board of Directors of Booz Allen Hamilton Holding Corporaton waive the forfeiture provisions of certain outstanding tme-vested Restricted Stock Unit Agreements under the terms of the EIP,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134747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4">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60" w:lineRule="exact"/>
        <w:rPr>
          <w:sz w:val="20"/>
          <w:szCs w:val="20"/>
          <w:color w:val="auto"/>
        </w:rPr>
      </w:pPr>
    </w:p>
    <w:p>
      <w:pPr>
        <w:ind w:left="80" w:hanging="75"/>
        <w:spacing w:after="0"/>
        <w:tabs>
          <w:tab w:leader="none" w:pos="80" w:val="left"/>
        </w:tabs>
        <w:numPr>
          <w:ilvl w:val="0"/>
          <w:numId w:val="97"/>
        </w:numPr>
        <w:rPr>
          <w:rFonts w:ascii="Calibri" w:cs="Calibri" w:eastAsia="Calibri" w:hAnsi="Calibri"/>
          <w:sz w:val="18"/>
          <w:szCs w:val="18"/>
          <w:color w:val="auto"/>
          <w:vertAlign w:val="superscript"/>
        </w:rPr>
      </w:pPr>
      <w:r>
        <w:rPr>
          <w:rFonts w:ascii="Calibri" w:cs="Calibri" w:eastAsia="Calibri" w:hAnsi="Calibri"/>
          <w:sz w:val="14"/>
          <w:szCs w:val="14"/>
          <w:color w:val="auto"/>
        </w:rPr>
        <w:t>Provided in the discreton of the Compensaton, Culture and People Commitee of the Board of Directors pursuant to the Bonus Awards for Departng Ofcers Policy.</w:t>
      </w:r>
    </w:p>
    <w:p>
      <w:pPr>
        <w:spacing w:after="0" w:line="14" w:lineRule="exact"/>
        <w:rPr>
          <w:sz w:val="20"/>
          <w:szCs w:val="20"/>
          <w:color w:val="auto"/>
        </w:rPr>
      </w:pPr>
    </w:p>
    <w:p>
      <w:pPr>
        <w:ind w:right="120" w:firstLine="5"/>
        <w:spacing w:after="0" w:line="200" w:lineRule="auto"/>
        <w:tabs>
          <w:tab w:leader="none" w:pos="78" w:val="left"/>
        </w:tabs>
        <w:numPr>
          <w:ilvl w:val="0"/>
          <w:numId w:val="98"/>
        </w:numPr>
        <w:rPr>
          <w:rFonts w:ascii="Calibri" w:cs="Calibri" w:eastAsia="Calibri" w:hAnsi="Calibri"/>
          <w:sz w:val="18"/>
          <w:szCs w:val="18"/>
          <w:color w:val="auto"/>
          <w:vertAlign w:val="superscript"/>
        </w:rPr>
      </w:pPr>
      <w:r>
        <w:rPr>
          <w:rFonts w:ascii="Calibri" w:cs="Calibri" w:eastAsia="Calibri" w:hAnsi="Calibri"/>
          <w:sz w:val="14"/>
          <w:szCs w:val="14"/>
          <w:color w:val="auto"/>
        </w:rPr>
        <w:t>Unless otherwise stated herein, all payments and benefts set forth in this secton are provided pursuant to the Ofcer’s Retrement Policy, fled as Exhibit 10.4 to Booz Allen Hamilton’s Annual Report on Form 10-K for the year ended March 31, 2024.</w:t>
      </w:r>
    </w:p>
    <w:p>
      <w:pPr>
        <w:sectPr>
          <w:pgSz w:w="11900" w:h="16838" w:orient="portrait"/>
          <w:cols w:equalWidth="0" w:num="1">
            <w:col w:w="11280"/>
          </w:cols>
          <w:pgMar w:left="300" w:top="1242" w:right="319" w:bottom="1440" w:gutter="0" w:footer="0" w:header="0"/>
        </w:sectPr>
      </w:pPr>
    </w:p>
    <w:bookmarkStart w:id="134" w:name="page135"/>
    <w:bookmarkEnd w:id="134"/>
    <w:p>
      <w:pPr>
        <w:ind w:left="520" w:right="40"/>
        <w:spacing w:after="0" w:line="227" w:lineRule="auto"/>
        <w:rPr>
          <w:sz w:val="20"/>
          <w:szCs w:val="20"/>
          <w:color w:val="auto"/>
        </w:rPr>
      </w:pPr>
      <w:r>
        <w:rPr>
          <w:rFonts w:ascii="Calibri" w:cs="Calibri" w:eastAsia="Calibri" w:hAnsi="Calibri"/>
          <w:sz w:val="16"/>
          <w:szCs w:val="16"/>
          <w:color w:val="auto"/>
        </w:rPr>
        <w:t>which provide for forfeiture and/or disgorgement in certain circumstances. This waiver will permit your tme-vested Restricted Stock Units (RSUs) that are outstanding as of the date of this leter in which you have worked at least one year of the vestng period to contnue to vest afer your retrement so long as you do not engage in “Compettve Actvity” or take certain other actons described in the EIP. All other unvested Time RSUs will forfeit upon your Retrement Date.]</w:t>
      </w:r>
      <w:r>
        <w:rPr>
          <w:rFonts w:ascii="Calibri" w:cs="Calibri" w:eastAsia="Calibri" w:hAnsi="Calibri"/>
          <w:sz w:val="20"/>
          <w:szCs w:val="20"/>
          <w:color w:val="auto"/>
          <w:vertAlign w:val="superscript"/>
        </w:rPr>
        <w:t>4</w:t>
      </w:r>
    </w:p>
    <w:p>
      <w:pPr>
        <w:spacing w:after="0" w:line="142" w:lineRule="exact"/>
        <w:rPr>
          <w:sz w:val="20"/>
          <w:szCs w:val="20"/>
          <w:color w:val="auto"/>
        </w:rPr>
      </w:pPr>
    </w:p>
    <w:p>
      <w:pPr>
        <w:ind w:firstLine="255"/>
        <w:spacing w:after="0" w:line="230" w:lineRule="auto"/>
        <w:rPr>
          <w:sz w:val="20"/>
          <w:szCs w:val="20"/>
          <w:color w:val="auto"/>
        </w:rPr>
      </w:pPr>
      <w:r>
        <w:rPr>
          <w:rFonts w:ascii="Calibri" w:cs="Calibri" w:eastAsia="Calibri" w:hAnsi="Calibri"/>
          <w:sz w:val="16"/>
          <w:szCs w:val="16"/>
          <w:color w:val="auto"/>
        </w:rPr>
        <w:t>Please review the terms and conditons of the Non-Solicit, Non-Recruitment, and Non-Competton Agreement and the EIP, as applicable, both of which contain informaton relatve to potental restrictons on your future employment opportunites. This can include, but is not limited to, potental forfeiture, disgorgement, and clawback of vested shares or proceeds in the event you engage in a “Compettve Actvity” as defned in the EIP, and in certain other circumstances described in the EIP. Additonally, the Non-Solicit, Non-Recruitment, and Non-Competton Agreement includes a requirement to provide writen notce to the frm at least ten (10) business days prior to commencing employment at a Restricted Compettor, as such term is defned in the Non-Solicit, Non-Recruitment, and Non-Competton Agreement.</w:t>
      </w:r>
    </w:p>
    <w:p>
      <w:pPr>
        <w:spacing w:after="0" w:line="189" w:lineRule="exact"/>
        <w:rPr>
          <w:sz w:val="20"/>
          <w:szCs w:val="20"/>
          <w:color w:val="auto"/>
        </w:rPr>
      </w:pPr>
    </w:p>
    <w:p>
      <w:pPr>
        <w:ind w:right="320" w:firstLine="382"/>
        <w:spacing w:after="0" w:line="237" w:lineRule="auto"/>
        <w:rPr>
          <w:sz w:val="20"/>
          <w:szCs w:val="20"/>
          <w:color w:val="auto"/>
        </w:rPr>
      </w:pPr>
      <w:r>
        <w:rPr>
          <w:rFonts w:ascii="Calibri" w:cs="Calibri" w:eastAsia="Calibri" w:hAnsi="Calibri"/>
          <w:sz w:val="16"/>
          <w:szCs w:val="16"/>
          <w:color w:val="auto"/>
        </w:rPr>
        <w:t>Please note that the reimbursement of any expense referenced in this leter must be submited prior to your Retrement Date. Each payment made pursuant to this leter agreement shall be considered a separate payment within the meaning of Treas. Reg. Secton 1.409A2(b)(2)(iii).</w:t>
      </w:r>
    </w:p>
    <w:p>
      <w:pPr>
        <w:spacing w:after="0" w:line="124" w:lineRule="exact"/>
        <w:rPr>
          <w:sz w:val="20"/>
          <w:szCs w:val="20"/>
          <w:color w:val="auto"/>
        </w:rPr>
      </w:pPr>
    </w:p>
    <w:p>
      <w:pPr>
        <w:ind w:right="40" w:firstLine="382"/>
        <w:spacing w:after="0" w:line="227" w:lineRule="auto"/>
        <w:rPr>
          <w:sz w:val="20"/>
          <w:szCs w:val="20"/>
          <w:color w:val="auto"/>
        </w:rPr>
      </w:pPr>
      <w:r>
        <w:rPr>
          <w:rFonts w:ascii="Calibri" w:cs="Calibri" w:eastAsia="Calibri" w:hAnsi="Calibri"/>
          <w:sz w:val="16"/>
          <w:szCs w:val="16"/>
          <w:color w:val="auto"/>
        </w:rPr>
        <w:t>Once your employment with the Firm ends, please be aware that you will stll be subject to the federal insider trading laws and regulatons. These laws and regulatons prohibit your trading in the Firm’s stock while in possession of material non-public informaton. I encourage you to carefully consider the material non-public informaton that you possess at the tme you wish to trade in the Firm’s stock and review the Firm’s public flings to determine when material non-public informaton has been publicly disclosed. In additon, due to your senior positon in the Firm, it is important to note that a transacton following retrement is reportable to the SEC if it is subject to Secton 16(b) and takes place within six months of a pre-retrement opposite-way transacton that is also subject to Secton 16(b). For example, if you sold Booz Allen securites within six months before your retrement, and then purchased Booz Allen securites within six months following such transacton and vice versa, you could be subject to Form 4 reportng obligatons and short-swing proft recovery.</w:t>
      </w:r>
    </w:p>
    <w:p>
      <w:pPr>
        <w:spacing w:after="0" w:line="203" w:lineRule="exact"/>
        <w:rPr>
          <w:sz w:val="20"/>
          <w:szCs w:val="20"/>
          <w:color w:val="auto"/>
        </w:rPr>
      </w:pPr>
    </w:p>
    <w:p>
      <w:pPr>
        <w:ind w:right="80" w:firstLine="255"/>
        <w:spacing w:after="0" w:line="224" w:lineRule="auto"/>
        <w:rPr>
          <w:sz w:val="20"/>
          <w:szCs w:val="20"/>
          <w:color w:val="auto"/>
        </w:rPr>
      </w:pPr>
      <w:r>
        <w:rPr>
          <w:rFonts w:ascii="Calibri" w:cs="Calibri" w:eastAsia="Calibri" w:hAnsi="Calibri"/>
          <w:sz w:val="16"/>
          <w:szCs w:val="16"/>
          <w:color w:val="auto"/>
          <w:highlight w:val="yellow"/>
        </w:rPr>
        <w:t xml:space="preserve">NAME, </w:t>
      </w:r>
      <w:r>
        <w:rPr>
          <w:rFonts w:ascii="Calibri" w:cs="Calibri" w:eastAsia="Calibri" w:hAnsi="Calibri"/>
          <w:sz w:val="16"/>
          <w:szCs w:val="16"/>
          <w:color w:val="auto"/>
        </w:rPr>
        <w:t>thank you again for your many contributons to the frm and congratulatons on your retrement. Please don’t hesitate to reach to me if you have any questons or</w:t>
      </w:r>
      <w:r>
        <w:rPr>
          <w:rFonts w:ascii="Calibri" w:cs="Calibri" w:eastAsia="Calibri" w:hAnsi="Calibri"/>
          <w:sz w:val="16"/>
          <w:szCs w:val="16"/>
          <w:color w:val="auto"/>
          <w:highlight w:val="yellow"/>
        </w:rPr>
        <w:t xml:space="preserve"> </w:t>
      </w:r>
      <w:r>
        <w:rPr>
          <w:rFonts w:ascii="Calibri" w:cs="Calibri" w:eastAsia="Calibri" w:hAnsi="Calibri"/>
          <w:sz w:val="16"/>
          <w:szCs w:val="16"/>
          <w:color w:val="auto"/>
        </w:rPr>
        <w:t>need any assistance.</w:t>
      </w:r>
    </w:p>
    <w:p>
      <w:pPr>
        <w:spacing w:after="0" w:line="187" w:lineRule="exact"/>
        <w:rPr>
          <w:sz w:val="20"/>
          <w:szCs w:val="20"/>
          <w:color w:val="auto"/>
        </w:rPr>
      </w:pPr>
    </w:p>
    <w:p>
      <w:pPr>
        <w:spacing w:after="0"/>
        <w:rPr>
          <w:sz w:val="20"/>
          <w:szCs w:val="20"/>
          <w:color w:val="auto"/>
        </w:rPr>
      </w:pPr>
      <w:r>
        <w:rPr>
          <w:rFonts w:ascii="Calibri" w:cs="Calibri" w:eastAsia="Calibri" w:hAnsi="Calibri"/>
          <w:sz w:val="16"/>
          <w:szCs w:val="16"/>
          <w:color w:val="auto"/>
        </w:rPr>
        <w:t>Sincerely,</w:t>
      </w:r>
    </w:p>
    <w:p>
      <w:pPr>
        <w:spacing w:after="0" w:line="367" w:lineRule="exact"/>
        <w:rPr>
          <w:sz w:val="20"/>
          <w:szCs w:val="20"/>
          <w:color w:val="auto"/>
        </w:rPr>
      </w:pPr>
    </w:p>
    <w:p>
      <w:pPr>
        <w:spacing w:after="0"/>
        <w:rPr>
          <w:sz w:val="20"/>
          <w:szCs w:val="20"/>
          <w:color w:val="auto"/>
        </w:rPr>
      </w:pPr>
      <w:r>
        <w:rPr>
          <w:rFonts w:ascii="Calibri" w:cs="Calibri" w:eastAsia="Calibri" w:hAnsi="Calibri"/>
          <w:sz w:val="16"/>
          <w:szCs w:val="16"/>
          <w:color w:val="auto"/>
        </w:rPr>
        <w:t>BOOZ ALLEN HAMILTON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134747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350" w:lineRule="exact"/>
        <w:rPr>
          <w:sz w:val="20"/>
          <w:szCs w:val="20"/>
          <w:color w:val="auto"/>
        </w:rPr>
      </w:pPr>
    </w:p>
    <w:p>
      <w:pPr>
        <w:ind w:left="80" w:hanging="75"/>
        <w:spacing w:after="0"/>
        <w:tabs>
          <w:tab w:leader="none" w:pos="80" w:val="left"/>
        </w:tabs>
        <w:numPr>
          <w:ilvl w:val="0"/>
          <w:numId w:val="99"/>
        </w:numPr>
        <w:rPr>
          <w:rFonts w:ascii="Calibri" w:cs="Calibri" w:eastAsia="Calibri" w:hAnsi="Calibri"/>
          <w:sz w:val="18"/>
          <w:szCs w:val="18"/>
          <w:color w:val="auto"/>
          <w:vertAlign w:val="superscript"/>
        </w:rPr>
      </w:pPr>
      <w:r>
        <w:rPr>
          <w:rFonts w:ascii="Calibri" w:cs="Calibri" w:eastAsia="Calibri" w:hAnsi="Calibri"/>
          <w:sz w:val="14"/>
          <w:szCs w:val="14"/>
          <w:color w:val="auto"/>
        </w:rPr>
        <w:t>Provided in the discreton of the Compensaton, Culture and People Commitee of the Board of Directors pursuant to the EIP.</w:t>
      </w:r>
    </w:p>
    <w:p>
      <w:pPr>
        <w:sectPr>
          <w:pgSz w:w="11900" w:h="16838" w:orient="portrait"/>
          <w:cols w:equalWidth="0" w:num="1">
            <w:col w:w="11240"/>
          </w:cols>
          <w:pgMar w:left="300" w:top="1255" w:right="359" w:bottom="1440" w:gutter="0" w:footer="0" w:header="0"/>
        </w:sectPr>
      </w:pPr>
    </w:p>
    <w:bookmarkStart w:id="135" w:name="page136"/>
    <w:bookmarkEnd w:id="135"/>
    <w:p>
      <w:pPr>
        <w:jc w:val="center"/>
        <w:spacing w:after="0"/>
        <w:rPr>
          <w:sz w:val="20"/>
          <w:szCs w:val="20"/>
          <w:color w:val="auto"/>
        </w:rPr>
      </w:pPr>
      <w:r>
        <w:rPr>
          <w:rFonts w:ascii="Calibri" w:cs="Calibri" w:eastAsia="Calibri" w:hAnsi="Calibri"/>
          <w:sz w:val="16"/>
          <w:szCs w:val="16"/>
          <w:b w:val="1"/>
          <w:bCs w:val="1"/>
          <w:color w:val="auto"/>
        </w:rPr>
        <w:t>ATTACHMENT A</w:t>
      </w:r>
    </w:p>
    <w:p>
      <w:pPr>
        <w:spacing w:after="0" w:line="29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u w:val="single" w:color="auto"/>
          <w:color w:val="auto"/>
        </w:rPr>
        <w:t>CONFIDENTIAL SEPARATION AGREEMENT AND GENERAL RELEASE</w:t>
      </w:r>
    </w:p>
    <w:p>
      <w:pPr>
        <w:spacing w:after="0" w:line="193" w:lineRule="exact"/>
        <w:rPr>
          <w:sz w:val="20"/>
          <w:szCs w:val="20"/>
          <w:color w:val="auto"/>
        </w:rPr>
      </w:pPr>
    </w:p>
    <w:p>
      <w:pPr>
        <w:ind w:right="540"/>
        <w:spacing w:after="0" w:line="234" w:lineRule="auto"/>
        <w:rPr>
          <w:sz w:val="20"/>
          <w:szCs w:val="20"/>
          <w:color w:val="auto"/>
        </w:rPr>
      </w:pPr>
      <w:r>
        <w:rPr>
          <w:rFonts w:ascii="Calibri" w:cs="Calibri" w:eastAsia="Calibri" w:hAnsi="Calibri"/>
          <w:sz w:val="17"/>
          <w:szCs w:val="17"/>
          <w:color w:val="auto"/>
        </w:rPr>
        <w:t xml:space="preserve">Booz Allen Hamilton Inc., 8283 Greensboro Drive, McLean, VA 22102, its parent corporaton, afliates, subsidiaries, divisions, successors and assigns and the employees, ofcers, directors, and agents thereof (collectvely “Booz Allen” or the “Firm”), and </w:t>
      </w:r>
      <w:r>
        <w:rPr>
          <w:rFonts w:ascii="Calibri" w:cs="Calibri" w:eastAsia="Calibri" w:hAnsi="Calibri"/>
          <w:sz w:val="17"/>
          <w:szCs w:val="17"/>
          <w:color w:val="auto"/>
          <w:highlight w:val="yellow"/>
        </w:rPr>
        <w:t>NAME</w:t>
      </w:r>
      <w:r>
        <w:rPr>
          <w:rFonts w:ascii="Calibri" w:cs="Calibri" w:eastAsia="Calibri" w:hAnsi="Calibri"/>
          <w:sz w:val="17"/>
          <w:szCs w:val="17"/>
          <w:color w:val="auto"/>
        </w:rPr>
        <w:t xml:space="preserve"> (“Mr./Ms. </w:t>
      </w:r>
      <w:r>
        <w:rPr>
          <w:rFonts w:ascii="Calibri" w:cs="Calibri" w:eastAsia="Calibri" w:hAnsi="Calibri"/>
          <w:sz w:val="17"/>
          <w:szCs w:val="17"/>
          <w:color w:val="auto"/>
          <w:highlight w:val="yellow"/>
        </w:rPr>
        <w:t>NAME</w:t>
      </w:r>
      <w:r>
        <w:rPr>
          <w:rFonts w:ascii="Calibri" w:cs="Calibri" w:eastAsia="Calibri" w:hAnsi="Calibri"/>
          <w:sz w:val="17"/>
          <w:szCs w:val="17"/>
          <w:color w:val="auto"/>
        </w:rPr>
        <w:t xml:space="preserve"> “ or “I” ) agree as follows:</w:t>
      </w:r>
    </w:p>
    <w:p>
      <w:pPr>
        <w:spacing w:after="0" w:line="194" w:lineRule="exact"/>
        <w:rPr>
          <w:sz w:val="20"/>
          <w:szCs w:val="20"/>
          <w:color w:val="auto"/>
        </w:rPr>
      </w:pPr>
    </w:p>
    <w:p>
      <w:pPr>
        <w:jc w:val="both"/>
        <w:ind w:hanging="6"/>
        <w:spacing w:after="0" w:line="224" w:lineRule="auto"/>
        <w:rPr>
          <w:sz w:val="20"/>
          <w:szCs w:val="20"/>
          <w:color w:val="auto"/>
        </w:rPr>
      </w:pPr>
      <w:r>
        <w:rPr>
          <w:rFonts w:ascii="Calibri" w:cs="Calibri" w:eastAsia="Calibri" w:hAnsi="Calibri"/>
          <w:sz w:val="16"/>
          <w:szCs w:val="16"/>
          <w:u w:val="single" w:color="auto"/>
          <w:color w:val="auto"/>
        </w:rPr>
        <w:t>Retrement.</w:t>
      </w:r>
      <w:r>
        <w:rPr>
          <w:rFonts w:ascii="Calibri" w:cs="Calibri" w:eastAsia="Calibri" w:hAnsi="Calibri"/>
          <w:sz w:val="16"/>
          <w:szCs w:val="16"/>
          <w:color w:val="auto"/>
        </w:rPr>
        <w:t xml:space="preserve"> </w:t>
      </w:r>
      <w:r>
        <w:rPr>
          <w:rFonts w:ascii="Calibri" w:cs="Calibri" w:eastAsia="Calibri" w:hAnsi="Calibri"/>
          <w:sz w:val="16"/>
          <w:szCs w:val="16"/>
          <w:color w:val="auto"/>
          <w:highlight w:val="yellow"/>
        </w:rPr>
        <w:t>NAME</w:t>
      </w:r>
      <w:r>
        <w:rPr>
          <w:rFonts w:ascii="Calibri" w:cs="Calibri" w:eastAsia="Calibri" w:hAnsi="Calibri"/>
          <w:sz w:val="16"/>
          <w:szCs w:val="16"/>
          <w:color w:val="auto"/>
        </w:rPr>
        <w:t xml:space="preserve"> will retre from Booz Allen on </w:t>
      </w:r>
      <w:r>
        <w:rPr>
          <w:rFonts w:ascii="Calibri" w:cs="Calibri" w:eastAsia="Calibri" w:hAnsi="Calibri"/>
          <w:sz w:val="16"/>
          <w:szCs w:val="16"/>
          <w:color w:val="auto"/>
          <w:highlight w:val="yellow"/>
        </w:rPr>
        <w:t>DATE</w:t>
      </w:r>
      <w:r>
        <w:rPr>
          <w:rFonts w:ascii="Calibri" w:cs="Calibri" w:eastAsia="Calibri" w:hAnsi="Calibri"/>
          <w:sz w:val="16"/>
          <w:szCs w:val="16"/>
          <w:color w:val="auto"/>
        </w:rPr>
        <w:t xml:space="preserve"> (referred to throughout this Agreement as “Retrement Date”), as described in the </w:t>
      </w:r>
      <w:r>
        <w:rPr>
          <w:rFonts w:ascii="Calibri" w:cs="Calibri" w:eastAsia="Calibri" w:hAnsi="Calibri"/>
          <w:sz w:val="16"/>
          <w:szCs w:val="16"/>
          <w:color w:val="auto"/>
          <w:highlight w:val="yellow"/>
        </w:rPr>
        <w:t>DATE</w:t>
      </w:r>
      <w:r>
        <w:rPr>
          <w:rFonts w:ascii="Calibri" w:cs="Calibri" w:eastAsia="Calibri" w:hAnsi="Calibri"/>
          <w:sz w:val="16"/>
          <w:szCs w:val="16"/>
          <w:color w:val="auto"/>
        </w:rPr>
        <w:t xml:space="preserve"> Retrement Leter from Chief People Ofcer, </w:t>
      </w:r>
      <w:r>
        <w:rPr>
          <w:rFonts w:ascii="Calibri" w:cs="Calibri" w:eastAsia="Calibri" w:hAnsi="Calibri"/>
          <w:sz w:val="16"/>
          <w:szCs w:val="16"/>
          <w:color w:val="auto"/>
          <w:highlight w:val="yellow"/>
        </w:rPr>
        <w:t>NAME,</w:t>
      </w:r>
      <w:r>
        <w:rPr>
          <w:rFonts w:ascii="Calibri" w:cs="Calibri" w:eastAsia="Calibri" w:hAnsi="Calibri"/>
          <w:sz w:val="16"/>
          <w:szCs w:val="16"/>
          <w:color w:val="auto"/>
        </w:rPr>
        <w:t xml:space="preserve"> to </w:t>
      </w:r>
      <w:r>
        <w:rPr>
          <w:rFonts w:ascii="Calibri" w:cs="Calibri" w:eastAsia="Calibri" w:hAnsi="Calibri"/>
          <w:sz w:val="16"/>
          <w:szCs w:val="16"/>
          <w:color w:val="auto"/>
          <w:highlight w:val="yellow"/>
        </w:rPr>
        <w:t>NAME.</w:t>
      </w:r>
    </w:p>
    <w:p>
      <w:pPr>
        <w:spacing w:after="0" w:line="7" w:lineRule="exact"/>
        <w:rPr>
          <w:sz w:val="20"/>
          <w:szCs w:val="20"/>
          <w:color w:val="auto"/>
        </w:rPr>
      </w:pPr>
    </w:p>
    <w:p>
      <w:pPr>
        <w:jc w:val="both"/>
        <w:ind w:hanging="6"/>
        <w:spacing w:after="0" w:line="230" w:lineRule="auto"/>
        <w:rPr>
          <w:sz w:val="20"/>
          <w:szCs w:val="20"/>
          <w:color w:val="auto"/>
        </w:rPr>
      </w:pPr>
      <w:r>
        <w:rPr>
          <w:rFonts w:ascii="Calibri" w:cs="Calibri" w:eastAsia="Calibri" w:hAnsi="Calibri"/>
          <w:sz w:val="16"/>
          <w:szCs w:val="16"/>
          <w:color w:val="auto"/>
        </w:rPr>
        <w:t>I acknowledge that Booz Allen advised me to read this Confdental Separaton Agreement and General Release (the “Agreement”) and carefully consider all its terms before signing it. Booz Allen has given me 21 calendar days to consider this Agreement. I further acknowledge that:</w:t>
      </w:r>
    </w:p>
    <w:p>
      <w:pPr>
        <w:spacing w:after="0" w:line="1" w:lineRule="exact"/>
        <w:rPr>
          <w:sz w:val="20"/>
          <w:szCs w:val="20"/>
          <w:color w:val="auto"/>
        </w:rPr>
      </w:pPr>
    </w:p>
    <w:p>
      <w:pPr>
        <w:ind w:right="5520" w:firstLine="3"/>
        <w:spacing w:after="0" w:line="228" w:lineRule="auto"/>
        <w:rPr>
          <w:sz w:val="20"/>
          <w:szCs w:val="20"/>
          <w:color w:val="auto"/>
        </w:rPr>
      </w:pPr>
      <w:r>
        <w:rPr>
          <w:rFonts w:ascii="Calibri" w:cs="Calibri" w:eastAsia="Calibri" w:hAnsi="Calibri"/>
          <w:sz w:val="16"/>
          <w:szCs w:val="16"/>
          <w:color w:val="auto"/>
        </w:rPr>
        <w:t>I carefully read this Agreement, fully understand it, and am entering into it knowingly and voluntarily;</w:t>
      </w:r>
    </w:p>
    <w:p>
      <w:pPr>
        <w:ind w:right="5200"/>
        <w:spacing w:after="0" w:line="228" w:lineRule="auto"/>
        <w:rPr>
          <w:sz w:val="20"/>
          <w:szCs w:val="20"/>
          <w:color w:val="auto"/>
        </w:rPr>
      </w:pPr>
      <w:r>
        <w:rPr>
          <w:rFonts w:ascii="Calibri" w:cs="Calibri" w:eastAsia="Calibri" w:hAnsi="Calibri"/>
          <w:sz w:val="16"/>
          <w:szCs w:val="16"/>
          <w:color w:val="auto"/>
        </w:rPr>
        <w:t>to the extent I decide to sign and return this Agreement to Booz Allen prior to the 21 days that I have been provided to consider it; I acknowledge that I have done so voluntarily;</w:t>
      </w:r>
    </w:p>
    <w:p>
      <w:pPr>
        <w:spacing w:after="0" w:line="7" w:lineRule="exact"/>
        <w:rPr>
          <w:sz w:val="20"/>
          <w:szCs w:val="20"/>
          <w:color w:val="auto"/>
        </w:rPr>
      </w:pPr>
    </w:p>
    <w:p>
      <w:pPr>
        <w:ind w:right="2180" w:hanging="5"/>
        <w:spacing w:after="0" w:line="224" w:lineRule="auto"/>
        <w:rPr>
          <w:sz w:val="20"/>
          <w:szCs w:val="20"/>
          <w:color w:val="auto"/>
        </w:rPr>
      </w:pPr>
      <w:r>
        <w:rPr>
          <w:rFonts w:ascii="Calibri" w:cs="Calibri" w:eastAsia="Calibri" w:hAnsi="Calibri"/>
          <w:sz w:val="16"/>
          <w:szCs w:val="16"/>
          <w:color w:val="auto"/>
        </w:rPr>
        <w:t>I have seven days afer signing to revoke my agreement (“Revocaton Period”) by providing writen notce to Booz Allen’s Chief People Ofcer; this Agreement will not be efectve untl the Revocaton Period has expired without my revoking (the “Efectve Date”);</w:t>
      </w:r>
    </w:p>
    <w:p>
      <w:pPr>
        <w:spacing w:after="0" w:line="235" w:lineRule="auto"/>
        <w:rPr>
          <w:sz w:val="20"/>
          <w:szCs w:val="20"/>
          <w:color w:val="auto"/>
        </w:rPr>
      </w:pPr>
      <w:r>
        <w:rPr>
          <w:rFonts w:ascii="Calibri" w:cs="Calibri" w:eastAsia="Calibri" w:hAnsi="Calibri"/>
          <w:sz w:val="16"/>
          <w:szCs w:val="16"/>
          <w:color w:val="auto"/>
        </w:rPr>
        <w:t>in the event Booz Allen makes changes to the consideraton in this Agreement, whether</w:t>
      </w:r>
    </w:p>
    <w:p>
      <w:pPr>
        <w:ind w:right="3320" w:firstLine="1"/>
        <w:spacing w:after="0" w:line="228" w:lineRule="auto"/>
        <w:rPr>
          <w:sz w:val="20"/>
          <w:szCs w:val="20"/>
          <w:color w:val="auto"/>
        </w:rPr>
      </w:pPr>
      <w:r>
        <w:rPr>
          <w:rFonts w:ascii="Calibri" w:cs="Calibri" w:eastAsia="Calibri" w:hAnsi="Calibri"/>
          <w:sz w:val="16"/>
          <w:szCs w:val="16"/>
          <w:color w:val="auto"/>
        </w:rPr>
        <w:t>material or immaterial, I understand that any such changes will not restart the 21-day consideraton period provided above; Booz Allen advised me to discuss this Agreement with an atorney (at my own expense) before</w:t>
      </w:r>
    </w:p>
    <w:p>
      <w:pPr>
        <w:spacing w:after="0" w:line="7" w:lineRule="exact"/>
        <w:rPr>
          <w:sz w:val="20"/>
          <w:szCs w:val="20"/>
          <w:color w:val="auto"/>
        </w:rPr>
      </w:pPr>
    </w:p>
    <w:p>
      <w:pPr>
        <w:ind w:right="4280" w:hanging="1"/>
        <w:spacing w:after="0" w:line="224" w:lineRule="auto"/>
        <w:rPr>
          <w:sz w:val="20"/>
          <w:szCs w:val="20"/>
          <w:color w:val="auto"/>
        </w:rPr>
      </w:pPr>
      <w:r>
        <w:rPr>
          <w:rFonts w:ascii="Calibri" w:cs="Calibri" w:eastAsia="Calibri" w:hAnsi="Calibri"/>
          <w:sz w:val="16"/>
          <w:szCs w:val="16"/>
          <w:color w:val="auto"/>
        </w:rPr>
        <w:t>signing it and I decided to seek legal advice or not seek legal advice to the extent I deemed appropriate, and; I understand that the waivers and releases contained in this Agreement do not apply to any</w:t>
      </w:r>
    </w:p>
    <w:p>
      <w:pPr>
        <w:spacing w:after="0" w:line="235" w:lineRule="auto"/>
        <w:rPr>
          <w:sz w:val="20"/>
          <w:szCs w:val="20"/>
          <w:color w:val="auto"/>
        </w:rPr>
      </w:pPr>
      <w:r>
        <w:rPr>
          <w:rFonts w:ascii="Calibri" w:cs="Calibri" w:eastAsia="Calibri" w:hAnsi="Calibri"/>
          <w:sz w:val="16"/>
          <w:szCs w:val="16"/>
          <w:color w:val="auto"/>
        </w:rPr>
        <w:t>rights or claims that may arise afer the date that I execute the Agreement.</w:t>
      </w:r>
    </w:p>
    <w:p>
      <w:pPr>
        <w:jc w:val="both"/>
        <w:ind w:hanging="6"/>
        <w:spacing w:after="0" w:line="230" w:lineRule="auto"/>
        <w:rPr>
          <w:sz w:val="20"/>
          <w:szCs w:val="20"/>
          <w:color w:val="auto"/>
        </w:rPr>
      </w:pPr>
      <w:r>
        <w:rPr>
          <w:rFonts w:ascii="Calibri" w:cs="Calibri" w:eastAsia="Calibri" w:hAnsi="Calibri"/>
          <w:sz w:val="16"/>
          <w:szCs w:val="16"/>
          <w:u w:val="single" w:color="auto"/>
          <w:color w:val="auto"/>
        </w:rPr>
        <w:t>Consideraton.</w:t>
      </w:r>
      <w:r>
        <w:rPr>
          <w:rFonts w:ascii="Calibri" w:cs="Calibri" w:eastAsia="Calibri" w:hAnsi="Calibri"/>
          <w:sz w:val="16"/>
          <w:szCs w:val="16"/>
          <w:color w:val="auto"/>
        </w:rPr>
        <w:t xml:space="preserve"> As consideraton for my agreement to the terms herein, Booz Allen will contnue my employment with my current salary and benefts untl the Retrement Date, as well as provide the additonal consideraton outlined in the leter dated </w:t>
      </w:r>
      <w:r>
        <w:rPr>
          <w:rFonts w:ascii="Calibri" w:cs="Calibri" w:eastAsia="Calibri" w:hAnsi="Calibri"/>
          <w:sz w:val="16"/>
          <w:szCs w:val="16"/>
          <w:color w:val="auto"/>
          <w:highlight w:val="yellow"/>
        </w:rPr>
        <w:t>DATE</w:t>
      </w:r>
      <w:r>
        <w:rPr>
          <w:rFonts w:ascii="Calibri" w:cs="Calibri" w:eastAsia="Calibri" w:hAnsi="Calibri"/>
          <w:sz w:val="16"/>
          <w:szCs w:val="16"/>
          <w:color w:val="auto"/>
        </w:rPr>
        <w:t xml:space="preserve"> from </w:t>
      </w:r>
      <w:r>
        <w:rPr>
          <w:rFonts w:ascii="Calibri" w:cs="Calibri" w:eastAsia="Calibri" w:hAnsi="Calibri"/>
          <w:sz w:val="16"/>
          <w:szCs w:val="16"/>
          <w:color w:val="auto"/>
          <w:highlight w:val="yellow"/>
        </w:rPr>
        <w:t>NAME,</w:t>
      </w:r>
      <w:r>
        <w:rPr>
          <w:rFonts w:ascii="Calibri" w:cs="Calibri" w:eastAsia="Calibri" w:hAnsi="Calibri"/>
          <w:sz w:val="16"/>
          <w:szCs w:val="16"/>
          <w:color w:val="auto"/>
        </w:rPr>
        <w:t xml:space="preserve"> Chief People Ofcer, to which I would not otherwise be enttled upon separaton of employment.</w:t>
      </w:r>
    </w:p>
    <w:p>
      <w:pPr>
        <w:spacing w:after="0" w:line="67" w:lineRule="exact"/>
        <w:rPr>
          <w:sz w:val="20"/>
          <w:szCs w:val="20"/>
          <w:color w:val="auto"/>
        </w:rPr>
      </w:pPr>
    </w:p>
    <w:p>
      <w:pPr>
        <w:jc w:val="both"/>
        <w:spacing w:after="0" w:line="234" w:lineRule="auto"/>
        <w:rPr>
          <w:sz w:val="20"/>
          <w:szCs w:val="20"/>
          <w:color w:val="auto"/>
        </w:rPr>
      </w:pPr>
      <w:r>
        <w:rPr>
          <w:rFonts w:ascii="Calibri" w:cs="Calibri" w:eastAsia="Calibri" w:hAnsi="Calibri"/>
          <w:sz w:val="17"/>
          <w:szCs w:val="17"/>
          <w:color w:val="auto"/>
        </w:rPr>
        <w:t>Nothing in this Agreement shall be construed to modify the “at-will” nature of my employment with Booz Allen, whereby either Booz Allen or I may terminate my employment at any tme.</w:t>
      </w:r>
    </w:p>
    <w:p>
      <w:pPr>
        <w:spacing w:after="0" w:line="77" w:lineRule="exact"/>
        <w:rPr>
          <w:sz w:val="20"/>
          <w:szCs w:val="20"/>
          <w:color w:val="auto"/>
        </w:rPr>
      </w:pPr>
    </w:p>
    <w:p>
      <w:pPr>
        <w:jc w:val="both"/>
        <w:ind w:hanging="6"/>
        <w:spacing w:after="0" w:line="227" w:lineRule="auto"/>
        <w:rPr>
          <w:sz w:val="20"/>
          <w:szCs w:val="20"/>
          <w:color w:val="auto"/>
        </w:rPr>
      </w:pPr>
      <w:r>
        <w:rPr>
          <w:rFonts w:ascii="Calibri" w:cs="Calibri" w:eastAsia="Calibri" w:hAnsi="Calibri"/>
          <w:sz w:val="16"/>
          <w:szCs w:val="16"/>
          <w:u w:val="single" w:color="auto"/>
          <w:color w:val="auto"/>
        </w:rPr>
        <w:t>Acknowledgments.</w:t>
      </w:r>
      <w:r>
        <w:rPr>
          <w:rFonts w:ascii="Calibri" w:cs="Calibri" w:eastAsia="Calibri" w:hAnsi="Calibri"/>
          <w:sz w:val="16"/>
          <w:szCs w:val="16"/>
          <w:color w:val="auto"/>
        </w:rPr>
        <w:t xml:space="preserve"> I: (a) would not receive the monies and benefts specifed in Secton 3 above, except for the executon of this Agreement, and the fulfllment of the promises contained herein; (b) acknowledge receipt of all compensaton and benefts due as a result of services performed for Booz Allen except as provided in this Agreement; (c) have reported to Booz Allen any and all work-related injuries incurred during employment; (d) have had the opportunity to provide Booz Allen with writen notce of any and all concerns regarding suspected ethical and compliance issues or violatons on the part of Booz Allen or any other released party; and (e) have not raised a claim, including but not limited to, unlawful discriminaton, harassment, sexual harassment, abuse, assault, other criminal conduct,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-567055</wp:posOffset>
            </wp:positionV>
            <wp:extent cx="6386830" cy="1009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6386830" cy="100965"/>
                    </a:xfrm>
                    <a:prstGeom prst="rect">
                      <a:avLst/>
                    </a:prstGeom>
                    <a:noFill/>
                  </pic:spPr>
                </pic:pic>
              </a:graphicData>
            </a:graphic>
          </wp:anchor>
        </w:drawing>
      </w:r>
    </w:p>
    <w:p>
      <w:pPr>
        <w:sectPr>
          <w:pgSz w:w="11900" w:h="16838" w:orient="portrait"/>
          <w:cols w:equalWidth="0" w:num="1">
            <w:col w:w="11280"/>
          </w:cols>
          <w:pgMar w:left="300" w:top="1245" w:right="319" w:bottom="1440" w:gutter="0" w:footer="0" w:header="0"/>
        </w:sectPr>
      </w:pPr>
    </w:p>
    <w:bookmarkStart w:id="136" w:name="page137"/>
    <w:bookmarkEnd w:id="136"/>
    <w:p>
      <w:pPr>
        <w:spacing w:after="0"/>
        <w:rPr>
          <w:sz w:val="20"/>
          <w:szCs w:val="20"/>
          <w:color w:val="auto"/>
        </w:rPr>
      </w:pPr>
      <w:r>
        <w:rPr>
          <w:rFonts w:ascii="Calibri" w:cs="Calibri" w:eastAsia="Calibri" w:hAnsi="Calibri"/>
          <w:sz w:val="16"/>
          <w:szCs w:val="16"/>
          <w:color w:val="auto"/>
        </w:rPr>
        <w:t>retaliaton in a court or government agency proceeding, involving Booz Allen or any other released party.</w:t>
      </w:r>
    </w:p>
    <w:p>
      <w:pPr>
        <w:jc w:val="both"/>
        <w:ind w:hanging="6"/>
        <w:spacing w:after="0" w:line="228" w:lineRule="auto"/>
        <w:rPr>
          <w:sz w:val="20"/>
          <w:szCs w:val="20"/>
          <w:color w:val="auto"/>
        </w:rPr>
      </w:pPr>
      <w:r>
        <w:rPr>
          <w:rFonts w:ascii="Calibri" w:cs="Calibri" w:eastAsia="Calibri" w:hAnsi="Calibri"/>
          <w:sz w:val="16"/>
          <w:szCs w:val="16"/>
          <w:u w:val="single" w:color="auto"/>
          <w:color w:val="auto"/>
        </w:rPr>
        <w:t>General Release of Claims.</w:t>
      </w:r>
      <w:r>
        <w:rPr>
          <w:rFonts w:ascii="Calibri" w:cs="Calibri" w:eastAsia="Calibri" w:hAnsi="Calibri"/>
          <w:sz w:val="16"/>
          <w:szCs w:val="16"/>
          <w:color w:val="auto"/>
        </w:rPr>
        <w:t xml:space="preserve"> I knowingly and voluntarily release and forever discharge Booz Allen of and from any and all claims, whether now known or not known, against Booz Allen, which includes my heirs, executors, administrators, successors, and assigns (referred to collectvely throughout this Agreement as “NAME” or “I”) that I have or may have arising out of or in any way connected to my employment with Booz Allen as of the date I sign this Agreement. My release of claims includes, but is not limited to any alleged violaton of: the Civil Rights Act of 1964; the Civil Rights Act of 1866, 42 USC § 1981; the Americans with Disabilites Act; the Equal Pay Act; the Age Discriminaton in Employment Act (“ADEA”); the Employee Retrement Income Security Act (“ERISA”); the Natonal Labor Relatons Act (“NLRA”), any amendments to the foregoing, any other federal, state or local civil or human rights law or any other local, state or federal law, regulaton or ordinance, any public policy, contract, tort, or common law, and any claim for back pay, front pay, compensatory damages for medical expenses, pain and sufering, emotonal distress, or mental anguish, punitve damages, interest, tax, costs, fees, or other expenses including atorneys’ fees incurred in these maters.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-925830</wp:posOffset>
            </wp:positionV>
            <wp:extent cx="6056630" cy="1009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7">
                      <a:extLst>
                        <a:ext uri="{28A0092B-C50C-407E-A947-70E740481C1C}"/>
                      </a:extLst>
                    </a:blip>
                    <a:srcRect/>
                    <a:stretch>
                      <a:fillRect/>
                    </a:stretch>
                  </pic:blipFill>
                  <pic:spPr bwMode="auto">
                    <a:xfrm>
                      <a:off x="0" y="0"/>
                      <a:ext cx="6056630" cy="100965"/>
                    </a:xfrm>
                    <a:prstGeom prst="rect">
                      <a:avLst/>
                    </a:prstGeom>
                    <a:noFill/>
                  </pic:spPr>
                </pic:pic>
              </a:graphicData>
            </a:graphic>
          </wp:anchor>
        </w:drawing>
      </w:r>
    </w:p>
    <w:p>
      <w:pPr>
        <w:jc w:val="both"/>
        <w:ind w:hanging="6"/>
        <w:spacing w:after="0"/>
        <w:rPr>
          <w:sz w:val="20"/>
          <w:szCs w:val="20"/>
          <w:color w:val="auto"/>
        </w:rPr>
      </w:pPr>
      <w:r>
        <w:rPr>
          <w:rFonts w:ascii="Calibri" w:cs="Calibri" w:eastAsia="Calibri" w:hAnsi="Calibri"/>
          <w:sz w:val="16"/>
          <w:szCs w:val="16"/>
          <w:u w:val="single" w:color="auto"/>
          <w:color w:val="auto"/>
        </w:rPr>
        <w:t>Cooperaton.</w:t>
      </w:r>
      <w:r>
        <w:rPr>
          <w:rFonts w:ascii="Calibri" w:cs="Calibri" w:eastAsia="Calibri" w:hAnsi="Calibri"/>
          <w:sz w:val="16"/>
          <w:szCs w:val="16"/>
          <w:color w:val="auto"/>
        </w:rPr>
        <w:t xml:space="preserve"> I agree to assist and cooperate in the transiton of any and all client and/or Booz Allen work.</w:t>
      </w:r>
      <w:r>
        <w:rPr>
          <w:sz w:val="20"/>
          <w:szCs w:val="20"/>
          <w:color w:val="auto"/>
        </w:rPr>
        <w:t xml:space="preserve"> </w:t>
      </w:r>
      <w:r>
        <w:rPr>
          <w:rFonts w:ascii="Calibri" w:cs="Calibri" w:eastAsia="Calibri" w:hAnsi="Calibri"/>
          <w:sz w:val="16"/>
          <w:szCs w:val="16"/>
          <w:color w:val="auto"/>
        </w:rPr>
        <w:t>In additon, I agree to cooperate fully with the Firm in any government and/or Firm-directed investgatons, as well as in the defense or prosecuton of any claims or actons now in existence or that may be brought or threatened in the future against or on behalf of the Firm. I also agree that if contacted (directly or indirectly) by any individual or entty, other than by law enforcement or regulatory authorites, about maters that may be related to the Firm’s business interests, I will promptly (within 48 hours) notfy the Firm of such contact(s) and provide informaton including, but not limited to, identfcaton of the contactng entty and the substance of any such (or related) communicatons.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-476250</wp:posOffset>
            </wp:positionV>
            <wp:extent cx="6636385" cy="1009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8">
                      <a:extLst>
                        <a:ext uri="{28A0092B-C50C-407E-A947-70E740481C1C}"/>
                      </a:extLst>
                    </a:blip>
                    <a:srcRect/>
                    <a:stretch>
                      <a:fillRect/>
                    </a:stretch>
                  </pic:blipFill>
                  <pic:spPr bwMode="auto">
                    <a:xfrm>
                      <a:off x="0" y="0"/>
                      <a:ext cx="6636385" cy="100965"/>
                    </a:xfrm>
                    <a:prstGeom prst="rect">
                      <a:avLst/>
                    </a:prstGeom>
                    <a:noFill/>
                  </pic:spPr>
                </pic:pic>
              </a:graphicData>
            </a:graphic>
          </wp:anchor>
        </w:drawing>
      </w:r>
    </w:p>
    <w:p>
      <w:pPr>
        <w:spacing w:after="0" w:line="132" w:lineRule="exact"/>
        <w:rPr>
          <w:sz w:val="20"/>
          <w:szCs w:val="20"/>
          <w:color w:val="auto"/>
        </w:rPr>
      </w:pPr>
    </w:p>
    <w:p>
      <w:pPr>
        <w:jc w:val="both"/>
        <w:ind w:hanging="6"/>
        <w:spacing w:after="0" w:line="227" w:lineRule="auto"/>
        <w:rPr>
          <w:sz w:val="20"/>
          <w:szCs w:val="20"/>
          <w:color w:val="auto"/>
        </w:rPr>
      </w:pPr>
      <w:r>
        <w:rPr>
          <w:rFonts w:ascii="Calibri" w:cs="Calibri" w:eastAsia="Calibri" w:hAnsi="Calibri"/>
          <w:sz w:val="16"/>
          <w:szCs w:val="16"/>
          <w:u w:val="single" w:color="auto"/>
          <w:color w:val="auto"/>
        </w:rPr>
        <w:t>Confdentality.</w:t>
      </w:r>
      <w:r>
        <w:rPr>
          <w:rFonts w:ascii="Calibri" w:cs="Calibri" w:eastAsia="Calibri" w:hAnsi="Calibri"/>
          <w:sz w:val="16"/>
          <w:szCs w:val="16"/>
          <w:color w:val="auto"/>
        </w:rPr>
        <w:t xml:space="preserve"> I understand and agree that the terms and conditons of this Agreement are confdental. I will not disclose the existence or substance of this Agreement to anyone except my spouse, fnancial advisor, law enforcement or regulatory authorites and any atorney with whom I may choose to consult regarding consideraton of this Agreement, except as agreed to in writng by Booz Allen or as required by law or pursuant to Court Order. I agree to advise any person(s) permited to receive informaton about this Agreement of the Confdentality terms and that such person(s) must maintain the strict confdentality of such informaton and must not disclose it unless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-567055</wp:posOffset>
            </wp:positionV>
            <wp:extent cx="6548755" cy="1009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9">
                      <a:extLst>
                        <a:ext uri="{28A0092B-C50C-407E-A947-70E740481C1C}"/>
                      </a:extLst>
                    </a:blip>
                    <a:srcRect/>
                    <a:stretch>
                      <a:fillRect/>
                    </a:stretch>
                  </pic:blipFill>
                  <pic:spPr bwMode="auto">
                    <a:xfrm>
                      <a:off x="0" y="0"/>
                      <a:ext cx="6548755" cy="100965"/>
                    </a:xfrm>
                    <a:prstGeom prst="rect">
                      <a:avLst/>
                    </a:prstGeom>
                    <a:noFill/>
                  </pic:spPr>
                </pic:pic>
              </a:graphicData>
            </a:graphic>
          </wp:anchor>
        </w:drawing>
      </w:r>
    </w:p>
    <w:p>
      <w:pPr>
        <w:jc w:val="both"/>
        <w:ind w:hanging="6"/>
        <w:spacing w:after="0" w:line="229" w:lineRule="auto"/>
        <w:rPr>
          <w:sz w:val="20"/>
          <w:szCs w:val="20"/>
          <w:color w:val="auto"/>
        </w:rPr>
      </w:pPr>
      <w:r>
        <w:rPr>
          <w:rFonts w:ascii="Calibri" w:cs="Calibri" w:eastAsia="Calibri" w:hAnsi="Calibri"/>
          <w:sz w:val="16"/>
          <w:szCs w:val="16"/>
          <w:u w:val="single" w:color="auto"/>
          <w:color w:val="auto"/>
        </w:rPr>
        <w:t>Venue, Governing Law, and Interpretaton.</w:t>
      </w:r>
      <w:r>
        <w:rPr>
          <w:rFonts w:ascii="Calibri" w:cs="Calibri" w:eastAsia="Calibri" w:hAnsi="Calibri"/>
          <w:sz w:val="16"/>
          <w:szCs w:val="16"/>
          <w:color w:val="auto"/>
        </w:rPr>
        <w:t xml:space="preserve"> I acknowledge that a substantal porton of Booz Allen’s business is based out of and directed from the Commonwealth of Virginia. I also acknowledge that during my employment, I have had substantal contacts with the Commonwealth of Virginia. Therefore, Booz Allen and I agree that the exclusive forum for any acton, demand, claim, or counterclaim relatng to the terms and provisions of this Agreement, or to their breach, shall be in the appropriate state or federal court located in the Commonwealth of Virginia. Booz Allen and I consent that such courts shall have personal jurisdicton over the partes to this Agreement. This Agreement should be governed and conformed in accordance with the laws of the Commonwealth of Virginia without regard to its confict of laws provision. Should any provision of this Agreement be declared illegal or unenforceable by any court of competent jurisdicton and cannot be modifed to be enforceable, excluding the General Release of Claims, such provision shall immediately become null and void, leaving the remainder of this Agreement in full force and efect.</w:t>
      </w:r>
    </w:p>
    <w:p>
      <w:pPr>
        <w:spacing w:after="0" w:line="5" w:lineRule="exact"/>
        <w:rPr>
          <w:sz w:val="20"/>
          <w:szCs w:val="20"/>
          <w:color w:val="auto"/>
        </w:rPr>
      </w:pPr>
    </w:p>
    <w:p>
      <w:pPr>
        <w:jc w:val="both"/>
        <w:ind w:hanging="6"/>
        <w:spacing w:after="0" w:line="228" w:lineRule="auto"/>
        <w:rPr>
          <w:sz w:val="20"/>
          <w:szCs w:val="20"/>
          <w:color w:val="auto"/>
        </w:rPr>
      </w:pPr>
      <w:r>
        <w:rPr>
          <w:rFonts w:ascii="Calibri" w:cs="Calibri" w:eastAsia="Calibri" w:hAnsi="Calibri"/>
          <w:sz w:val="16"/>
          <w:szCs w:val="16"/>
          <w:u w:val="single" w:color="auto"/>
          <w:color w:val="auto"/>
        </w:rPr>
        <w:t>Proprietary Informaton.</w:t>
      </w:r>
      <w:r>
        <w:rPr>
          <w:rFonts w:ascii="Calibri" w:cs="Calibri" w:eastAsia="Calibri" w:hAnsi="Calibri"/>
          <w:sz w:val="16"/>
          <w:szCs w:val="16"/>
          <w:color w:val="auto"/>
        </w:rPr>
        <w:t xml:space="preserve"> I agree not to directly or indirectly use, disclose, or reproduce, other than to law enforcement or regulatory authorites, Booz Allen “Proprietary Informaton,” which includes, but is not limited to proprietary know-how; operatonal, compettve, fnancial, technical, and personnel informaton; inventons; techniques; computer sofware; and related documentaton and materials and that I shall otherwise comply with the Agreement Concerning Proprietary Informaton and Intellectual Property that I executed upon hire with the Firm, other than as required by law or pursuant to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-454660</wp:posOffset>
            </wp:positionV>
            <wp:extent cx="6157595" cy="1009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0">
                      <a:extLst>
                        <a:ext uri="{28A0092B-C50C-407E-A947-70E740481C1C}"/>
                      </a:extLst>
                    </a:blip>
                    <a:srcRect/>
                    <a:stretch>
                      <a:fillRect/>
                    </a:stretch>
                  </pic:blipFill>
                  <pic:spPr bwMode="auto">
                    <a:xfrm>
                      <a:off x="0" y="0"/>
                      <a:ext cx="6157595" cy="100965"/>
                    </a:xfrm>
                    <a:prstGeom prst="rect">
                      <a:avLst/>
                    </a:prstGeom>
                    <a:noFill/>
                  </pic:spPr>
                </pic:pic>
              </a:graphicData>
            </a:graphic>
          </wp:anchor>
        </w:drawing>
      </w:r>
    </w:p>
    <w:p>
      <w:pPr>
        <w:sectPr>
          <w:pgSz w:w="11900" w:h="16838" w:orient="portrait"/>
          <w:cols w:equalWidth="0" w:num="1">
            <w:col w:w="11280"/>
          </w:cols>
          <w:pgMar w:left="300" w:top="1245" w:right="319" w:bottom="1440" w:gutter="0" w:footer="0" w:header="0"/>
        </w:sectPr>
      </w:pPr>
    </w:p>
    <w:bookmarkStart w:id="137" w:name="page138"/>
    <w:bookmarkEnd w:id="137"/>
    <w:p>
      <w:pPr>
        <w:jc w:val="both"/>
        <w:ind w:left="80" w:hanging="80"/>
        <w:spacing w:after="0" w:line="224" w:lineRule="auto"/>
        <w:tabs>
          <w:tab w:leader="none" w:pos="80" w:val="left"/>
        </w:tabs>
        <w:numPr>
          <w:ilvl w:val="0"/>
          <w:numId w:val="100"/>
        </w:numPr>
        <w:rPr>
          <w:rFonts w:ascii="Calibri" w:cs="Calibri" w:eastAsia="Calibri" w:hAnsi="Calibri"/>
          <w:sz w:val="16"/>
          <w:szCs w:val="16"/>
          <w:color w:val="auto"/>
        </w:rPr>
      </w:pPr>
      <w:r>
        <w:rPr>
          <w:rFonts w:ascii="Calibri" w:cs="Calibri" w:eastAsia="Calibri" w:hAnsi="Calibri"/>
          <w:sz w:val="16"/>
          <w:szCs w:val="16"/>
          <w:u w:val="single" w:color="auto"/>
          <w:color w:val="auto"/>
        </w:rPr>
        <w:t>Nonadmission of Wrongdoing and No Negatve Statements.</w:t>
      </w:r>
      <w:r>
        <w:rPr>
          <w:rFonts w:ascii="Calibri" w:cs="Calibri" w:eastAsia="Calibri" w:hAnsi="Calibri"/>
          <w:sz w:val="16"/>
          <w:szCs w:val="16"/>
          <w:color w:val="auto"/>
        </w:rPr>
        <w:t xml:space="preserve"> I understand and agree that this Agreement is not an admission of guilt or wrongdoing by Booz Allen, and I acknowledge that Booz Allen does not believe or admit that it has done anything wrong. I will not represent that this Agreement is an admission of guilt or wrongdoing by</w:t>
      </w:r>
    </w:p>
    <w:p>
      <w:pPr>
        <w:spacing w:after="0" w:line="187" w:lineRule="exact"/>
        <w:rPr>
          <w:sz w:val="20"/>
          <w:szCs w:val="20"/>
          <w:color w:val="auto"/>
        </w:rPr>
      </w:pPr>
    </w:p>
    <w:p>
      <w:pPr>
        <w:jc w:val="both"/>
        <w:ind w:left="80" w:hanging="80"/>
        <w:spacing w:after="0" w:line="229" w:lineRule="auto"/>
        <w:tabs>
          <w:tab w:leader="none" w:pos="80" w:val="left"/>
        </w:tabs>
        <w:numPr>
          <w:ilvl w:val="0"/>
          <w:numId w:val="101"/>
        </w:numPr>
        <w:rPr>
          <w:rFonts w:ascii="Calibri" w:cs="Calibri" w:eastAsia="Calibri" w:hAnsi="Calibri"/>
          <w:sz w:val="16"/>
          <w:szCs w:val="16"/>
          <w:color w:val="auto"/>
        </w:rPr>
      </w:pPr>
      <w:r>
        <w:rPr>
          <w:rFonts w:ascii="Calibri" w:cs="Calibri" w:eastAsia="Calibri" w:hAnsi="Calibri"/>
          <w:sz w:val="16"/>
          <w:szCs w:val="16"/>
          <w:u w:val="single" w:color="auto"/>
          <w:color w:val="auto"/>
        </w:rPr>
        <w:t>Compliance with Secton 409A</w:t>
      </w:r>
      <w:r>
        <w:rPr>
          <w:rFonts w:ascii="Calibri" w:cs="Calibri" w:eastAsia="Calibri" w:hAnsi="Calibri"/>
          <w:sz w:val="16"/>
          <w:szCs w:val="16"/>
          <w:color w:val="auto"/>
          <w:highlight w:val="white"/>
        </w:rPr>
        <w:t>. This Agreement is intended to comply with Secton 409A of the Internal Revenue Code of 1986, as amended (the “Code”) and will be</w:t>
      </w:r>
      <w:r>
        <w:rPr>
          <w:rFonts w:ascii="Calibri" w:cs="Calibri" w:eastAsia="Calibri" w:hAnsi="Calibri"/>
          <w:sz w:val="16"/>
          <w:szCs w:val="16"/>
          <w:color w:val="auto"/>
        </w:rPr>
        <w:t xml:space="preserve"> interpreted in a manner intended to comply with Secton 409A of the Code. Notwithstanding anything herein to the contrary, (i) if at the tme of my terminaton of employment with the Firm, I am a “specifed employee” as defned in Secton 409A of the Code (and any related regulatons or other pronouncements thereunder) and the deferral of the commencement of any payments or benefts otherwise payable hereunder as a result of such terminaton of employment is necessary in order to prevent any accelerated or additonal tax under Secton 409A of the Code, then the Firm will defer the commencement of the payment of any such payments or benefts under the Agreement (without any reducton in such payments or benefts ultmately paid or provided to me) untl the date that is six months following my terminaton of employment with the Firm (or the earliest date as is permited under Secton 409A of the Code) and (ii) if any other payments of money or other benefts due hereunder could cause the applicaton of an accelerated or additonal tax under Secton 409A of the Code, such payments or other benefts shall be deferred if deferral will make such payment or other benefts compliant under Secton 409A of the Code, or otherwise such payment or other benefts shall be restructured, to the extent possible, in a manner, determined by the Firm, that does not cause such an accelerated or additonal tax. To the extent any reimbursements or in-kind benefts due to me under the Agreement consttute “deferred compensaton” under Secton 409A of the Code, any such reimbursements or in-kind benefts shall be paid in a manner consistent with Treas. Reg. Secton 1.409A-3(i)(1)(iv). Each payment made under the Agreement shall be designated as a “separate payment” within the meaning of Secton 409A of the Code. All payments to be made upon a</w:t>
      </w:r>
    </w:p>
    <w:p>
      <w:pPr>
        <w:spacing w:after="0" w:line="2" w:lineRule="exact"/>
        <w:rPr>
          <w:sz w:val="20"/>
          <w:szCs w:val="20"/>
          <w:color w:val="auto"/>
        </w:rPr>
      </w:pPr>
    </w:p>
    <w:p>
      <w:pPr>
        <w:ind w:left="80"/>
        <w:spacing w:after="0"/>
        <w:rPr>
          <w:sz w:val="20"/>
          <w:szCs w:val="20"/>
          <w:color w:val="auto"/>
        </w:rPr>
      </w:pPr>
      <w:r>
        <w:rPr>
          <w:rFonts w:ascii="Calibri" w:cs="Calibri" w:eastAsia="Calibri" w:hAnsi="Calibri"/>
          <w:sz w:val="16"/>
          <w:szCs w:val="16"/>
          <w:color w:val="auto"/>
        </w:rPr>
        <w:t>terminaton of employment under the Agreement may only be made upon a “separaton from service” within the meaning of such term under Secton 409A of the Code.</w:t>
      </w:r>
    </w:p>
    <w:p>
      <w:pPr>
        <w:jc w:val="both"/>
        <w:ind w:left="80" w:hanging="80"/>
        <w:spacing w:after="0" w:line="228" w:lineRule="auto"/>
        <w:tabs>
          <w:tab w:leader="none" w:pos="80" w:val="left"/>
        </w:tabs>
        <w:numPr>
          <w:ilvl w:val="0"/>
          <w:numId w:val="102"/>
        </w:numPr>
        <w:rPr>
          <w:rFonts w:ascii="Calibri" w:cs="Calibri" w:eastAsia="Calibri" w:hAnsi="Calibri"/>
          <w:sz w:val="16"/>
          <w:szCs w:val="16"/>
          <w:color w:val="auto"/>
        </w:rPr>
      </w:pPr>
      <w:r>
        <w:rPr>
          <w:rFonts w:ascii="Calibri" w:cs="Calibri" w:eastAsia="Calibri" w:hAnsi="Calibri"/>
          <w:sz w:val="16"/>
          <w:szCs w:val="16"/>
          <w:u w:val="single" w:color="auto"/>
          <w:color w:val="auto"/>
        </w:rPr>
        <w:t>Entre Agreement.</w:t>
      </w:r>
      <w:r>
        <w:rPr>
          <w:rFonts w:ascii="Calibri" w:cs="Calibri" w:eastAsia="Calibri" w:hAnsi="Calibri"/>
          <w:sz w:val="16"/>
          <w:szCs w:val="16"/>
          <w:color w:val="auto"/>
        </w:rPr>
        <w:t xml:space="preserve"> This Agreement sets forth the entre agreement between me and Booz Allen, and fully supersede any prior agreements or understandings between the partes on the maters set forth herein. However, this Agreement is not intended to supersede obligatons under the Agreement Concerning Proprietary Informaton and Intellectual Property, the Non-Recruitment, Non-Solicitaton and Non-Competton Agreement, the </w:t>
      </w:r>
      <w:r>
        <w:rPr>
          <w:rFonts w:ascii="Calibri" w:cs="Calibri" w:eastAsia="Calibri" w:hAnsi="Calibri"/>
          <w:sz w:val="16"/>
          <w:szCs w:val="16"/>
          <w:color w:val="auto"/>
          <w:highlight w:val="yellow"/>
        </w:rPr>
        <w:t>DATE</w:t>
      </w:r>
      <w:r>
        <w:rPr>
          <w:rFonts w:ascii="Calibri" w:cs="Calibri" w:eastAsia="Calibri" w:hAnsi="Calibri"/>
          <w:sz w:val="16"/>
          <w:szCs w:val="16"/>
          <w:color w:val="auto"/>
        </w:rPr>
        <w:t xml:space="preserve"> Leter Agreement, the Director and Ofcer Indemnifcaton Agreement, or any other agreements related to inventons, business ideas, confdentality of corporate informaton, unfair competton, or dispute resoluton, the obligatons under which are made in additon to, not in lieu of, this Agreement. I have not relied on any representatons, promises, or agreements of any kind, except for those set forth in this Agreement. This Agreement may not be modifed, amended, or otherwise changed except with express writen consent of both partes with specifc reference made to</w:t>
      </w:r>
    </w:p>
    <w:p>
      <w:pPr>
        <w:ind w:left="80"/>
        <w:spacing w:after="0" w:line="235" w:lineRule="auto"/>
        <w:rPr>
          <w:sz w:val="20"/>
          <w:szCs w:val="20"/>
          <w:color w:val="auto"/>
        </w:rPr>
      </w:pPr>
      <w:r>
        <w:rPr>
          <w:rFonts w:ascii="Calibri" w:cs="Calibri" w:eastAsia="Calibri" w:hAnsi="Calibri"/>
          <w:sz w:val="16"/>
          <w:szCs w:val="16"/>
          <w:color w:val="auto"/>
        </w:rPr>
        <w:t>this Agreement. The headings in this Agreement are provided for reference only and shall not afect the substance of this Agreement.</w:t>
      </w:r>
    </w:p>
    <w:p>
      <w:pPr>
        <w:jc w:val="both"/>
        <w:ind w:left="80" w:hanging="80"/>
        <w:spacing w:after="0" w:line="228" w:lineRule="auto"/>
        <w:tabs>
          <w:tab w:leader="none" w:pos="80" w:val="left"/>
        </w:tabs>
        <w:numPr>
          <w:ilvl w:val="0"/>
          <w:numId w:val="103"/>
        </w:numPr>
        <w:rPr>
          <w:rFonts w:ascii="Calibri" w:cs="Calibri" w:eastAsia="Calibri" w:hAnsi="Calibri"/>
          <w:sz w:val="16"/>
          <w:szCs w:val="16"/>
          <w:color w:val="auto"/>
        </w:rPr>
      </w:pPr>
      <w:r>
        <w:rPr>
          <w:rFonts w:ascii="Calibri" w:cs="Calibri" w:eastAsia="Calibri" w:hAnsi="Calibri"/>
          <w:sz w:val="16"/>
          <w:szCs w:val="16"/>
          <w:u w:val="single" w:color="auto"/>
          <w:color w:val="auto"/>
        </w:rPr>
        <w:t>Exceptons and No Interference with Rights</w:t>
      </w:r>
      <w:r>
        <w:rPr>
          <w:rFonts w:ascii="Calibri" w:cs="Calibri" w:eastAsia="Calibri" w:hAnsi="Calibri"/>
          <w:sz w:val="16"/>
          <w:szCs w:val="16"/>
          <w:color w:val="auto"/>
        </w:rPr>
        <w:t xml:space="preserve">. </w:t>
      </w:r>
      <w:r>
        <w:rPr>
          <w:rFonts w:ascii="Calibri" w:cs="Calibri" w:eastAsia="Calibri" w:hAnsi="Calibri"/>
          <w:sz w:val="16"/>
          <w:szCs w:val="16"/>
          <w:b w:val="1"/>
          <w:bCs w:val="1"/>
          <w:color w:val="auto"/>
        </w:rPr>
        <w:t>Nothing in this Agreement is intended to waive claims that may arise afer I sign this Agreement, or which cannot be released</w:t>
      </w:r>
      <w:r>
        <w:rPr>
          <w:rFonts w:ascii="Calibri" w:cs="Calibri" w:eastAsia="Calibri" w:hAnsi="Calibri"/>
          <w:sz w:val="16"/>
          <w:szCs w:val="16"/>
          <w:color w:val="auto"/>
        </w:rPr>
        <w:t xml:space="preserve"> </w:t>
      </w:r>
      <w:r>
        <w:rPr>
          <w:rFonts w:ascii="Calibri" w:cs="Calibri" w:eastAsia="Calibri" w:hAnsi="Calibri"/>
          <w:sz w:val="16"/>
          <w:szCs w:val="16"/>
          <w:b w:val="1"/>
          <w:bCs w:val="1"/>
          <w:color w:val="auto"/>
        </w:rPr>
        <w:t>by private agreement. In additon, nothing in this Agreement including but not limited to the acknowledgments, general release of claims, cooperaton, confdentality, no negatve statements, and proprietary informaton, limits or afects my right to challenge the validity of this Agreement under the ADEA or the OWBPA, prevents me from communicatng with, fling a charge or complaint with; providing documents or informaton voluntarily or in response to a subpoena or other informaton request to; or from partcipatng in an investgaton or proceeding conducted by the Equal Employment Opportunity Commission, Natonal Labor Relatons Board, the Securites and Exchange Commission, law enforcement, or any other any</w:t>
      </w:r>
    </w:p>
    <w:p>
      <w:pPr>
        <w:sectPr>
          <w:pgSz w:w="11900" w:h="16838" w:orient="portrait"/>
          <w:cols w:equalWidth="0" w:num="1">
            <w:col w:w="11360"/>
          </w:cols>
          <w:pgMar w:left="220" w:top="1255" w:right="319" w:bottom="1440" w:gutter="0" w:footer="0" w:header="0"/>
        </w:sectPr>
      </w:pPr>
    </w:p>
    <w:bookmarkStart w:id="138" w:name="page139"/>
    <w:bookmarkEnd w:id="138"/>
    <w:p>
      <w:pPr>
        <w:jc w:val="both"/>
        <w:spacing w:after="0" w:line="226" w:lineRule="auto"/>
        <w:rPr>
          <w:sz w:val="20"/>
          <w:szCs w:val="20"/>
          <w:color w:val="auto"/>
        </w:rPr>
      </w:pPr>
      <w:r>
        <w:rPr>
          <w:rFonts w:ascii="Calibri" w:cs="Calibri" w:eastAsia="Calibri" w:hAnsi="Calibri"/>
          <w:sz w:val="16"/>
          <w:szCs w:val="16"/>
          <w:b w:val="1"/>
          <w:bCs w:val="1"/>
          <w:color w:val="auto"/>
        </w:rPr>
        <w:t>federal, state or local agency charged with the enforcement of any laws, or from responding to a subpoena or discovery request in court litgaton or arbitraton, although by signing this Agreement I am waiving rights to individual relief (including backpay, frontpay, reinstatement or other legal or equitable relief) in any charge, complaint, or lawsuit or other proceeding brought by me or on my behalf by any third party, except for any right I may have to receive a payment or award from a government agency (and not Booz Allen) for informaton provided to the government agency or otherwise where prohibited.</w:t>
      </w:r>
    </w:p>
    <w:p>
      <w:pPr>
        <w:spacing w:after="0" w:line="124" w:lineRule="exact"/>
        <w:rPr>
          <w:sz w:val="20"/>
          <w:szCs w:val="20"/>
          <w:color w:val="auto"/>
        </w:rPr>
      </w:pPr>
    </w:p>
    <w:p>
      <w:pPr>
        <w:jc w:val="both"/>
        <w:spacing w:after="0" w:line="227" w:lineRule="auto"/>
        <w:rPr>
          <w:sz w:val="20"/>
          <w:szCs w:val="20"/>
          <w:color w:val="auto"/>
        </w:rPr>
      </w:pPr>
      <w:r>
        <w:rPr>
          <w:rFonts w:ascii="Calibri" w:cs="Calibri" w:eastAsia="Calibri" w:hAnsi="Calibri"/>
          <w:sz w:val="16"/>
          <w:szCs w:val="16"/>
          <w:color w:val="auto"/>
        </w:rPr>
        <w:t>In exchange for the consideraton in Secton 3 and other promises contained in this Agreement, I am entering into this Agreement voluntarily, deliberately, and with all informaton needed to make an informed decision to enter this Agreement. I have been given the opportunity to ask any questons regarding this Agreement and have been given notce of and an opportunity to retain an atorney or already am represented by an atorney.</w:t>
      </w:r>
    </w:p>
    <w:p>
      <w:pPr>
        <w:spacing w:after="0" w:line="369" w:lineRule="exact"/>
        <w:rPr>
          <w:sz w:val="20"/>
          <w:szCs w:val="20"/>
          <w:color w:val="auto"/>
        </w:rPr>
      </w:pPr>
    </w:p>
    <w:p>
      <w:pPr>
        <w:spacing w:after="0"/>
        <w:rPr>
          <w:sz w:val="20"/>
          <w:szCs w:val="20"/>
          <w:color w:val="auto"/>
        </w:rPr>
      </w:pPr>
      <w:r>
        <w:rPr>
          <w:rFonts w:ascii="Calibri" w:cs="Calibri" w:eastAsia="Calibri" w:hAnsi="Calibri"/>
          <w:sz w:val="16"/>
          <w:szCs w:val="16"/>
          <w:color w:val="auto"/>
        </w:rPr>
        <w:t>______________________________________</w:t>
      </w:r>
    </w:p>
    <w:p>
      <w:pPr>
        <w:spacing w:after="0" w:line="234" w:lineRule="auto"/>
        <w:rPr>
          <w:sz w:val="20"/>
          <w:szCs w:val="20"/>
          <w:color w:val="auto"/>
        </w:rPr>
      </w:pPr>
      <w:r>
        <w:rPr>
          <w:rFonts w:ascii="Calibri" w:cs="Calibri" w:eastAsia="Calibri" w:hAnsi="Calibri"/>
          <w:sz w:val="16"/>
          <w:szCs w:val="16"/>
          <w:color w:val="auto"/>
        </w:rPr>
        <w:t xml:space="preserve">Signature – </w:t>
      </w:r>
      <w:r>
        <w:rPr>
          <w:rFonts w:ascii="Calibri" w:cs="Calibri" w:eastAsia="Calibri" w:hAnsi="Calibri"/>
          <w:sz w:val="16"/>
          <w:szCs w:val="16"/>
          <w:color w:val="auto"/>
          <w:highlight w:val="yellow"/>
        </w:rPr>
        <w:t>NAME</w:t>
      </w:r>
    </w:p>
    <w:p>
      <w:pPr>
        <w:spacing w:after="0" w:line="187" w:lineRule="exact"/>
        <w:rPr>
          <w:sz w:val="20"/>
          <w:szCs w:val="20"/>
          <w:color w:val="auto"/>
        </w:rPr>
      </w:pPr>
    </w:p>
    <w:p>
      <w:pPr>
        <w:ind w:left="520"/>
        <w:spacing w:after="0"/>
        <w:tabs>
          <w:tab w:leader="none" w:pos="980" w:val="left"/>
        </w:tabs>
        <w:rPr>
          <w:sz w:val="20"/>
          <w:szCs w:val="20"/>
          <w:color w:val="auto"/>
        </w:rPr>
      </w:pPr>
      <w:r>
        <w:rPr>
          <w:rFonts w:ascii="Calibri" w:cs="Calibri" w:eastAsia="Calibri" w:hAnsi="Calibri"/>
          <w:sz w:val="16"/>
          <w:szCs w:val="16"/>
          <w:color w:val="auto"/>
        </w:rPr>
        <w:t>Date:</w:t>
      </w:r>
      <w:r>
        <w:rPr>
          <w:sz w:val="20"/>
          <w:szCs w:val="20"/>
          <w:color w:val="auto"/>
        </w:rPr>
        <w:tab/>
      </w:r>
      <w:r>
        <w:rPr>
          <w:rFonts w:ascii="Calibri" w:cs="Calibri" w:eastAsia="Calibri" w:hAnsi="Calibri"/>
          <w:sz w:val="14"/>
          <w:szCs w:val="14"/>
          <w:color w:val="auto"/>
        </w:rPr>
        <w:t>________________________________</w:t>
      </w:r>
    </w:p>
    <w:p>
      <w:pPr>
        <w:spacing w:after="0" w:line="176" w:lineRule="exact"/>
        <w:rPr>
          <w:sz w:val="20"/>
          <w:szCs w:val="20"/>
          <w:color w:val="auto"/>
        </w:rPr>
      </w:pPr>
    </w:p>
    <w:p>
      <w:pPr>
        <w:spacing w:after="0"/>
        <w:rPr>
          <w:sz w:val="20"/>
          <w:szCs w:val="20"/>
          <w:color w:val="auto"/>
        </w:rPr>
      </w:pPr>
      <w:r>
        <w:rPr>
          <w:rFonts w:ascii="Calibri" w:cs="Calibri" w:eastAsia="Calibri" w:hAnsi="Calibri"/>
          <w:sz w:val="16"/>
          <w:szCs w:val="16"/>
          <w:color w:val="auto"/>
        </w:rPr>
        <w:t>In exchange for the promises contained in this Agreement, Booz Allen promises to provide the benefts set forth in this Agreement.</w:t>
      </w:r>
    </w:p>
    <w:p>
      <w:pPr>
        <w:spacing w:after="0" w:line="187" w:lineRule="exact"/>
        <w:rPr>
          <w:sz w:val="20"/>
          <w:szCs w:val="20"/>
          <w:color w:val="auto"/>
        </w:rPr>
      </w:pPr>
    </w:p>
    <w:p>
      <w:pPr>
        <w:spacing w:after="0"/>
        <w:rPr>
          <w:sz w:val="20"/>
          <w:szCs w:val="20"/>
          <w:color w:val="auto"/>
        </w:rPr>
      </w:pPr>
      <w:r>
        <w:rPr>
          <w:rFonts w:ascii="Calibri" w:cs="Calibri" w:eastAsia="Calibri" w:hAnsi="Calibri"/>
          <w:sz w:val="16"/>
          <w:szCs w:val="16"/>
          <w:color w:val="auto"/>
        </w:rPr>
        <w:t>BOOZ ALLEN HAMILTON INC.</w:t>
      </w:r>
    </w:p>
    <w:p>
      <w:pPr>
        <w:spacing w:after="0" w:line="176" w:lineRule="exact"/>
        <w:rPr>
          <w:sz w:val="20"/>
          <w:szCs w:val="20"/>
          <w:color w:val="auto"/>
        </w:rPr>
      </w:pPr>
    </w:p>
    <w:p>
      <w:pPr>
        <w:spacing w:after="0"/>
        <w:rPr>
          <w:sz w:val="20"/>
          <w:szCs w:val="20"/>
          <w:color w:val="auto"/>
        </w:rPr>
      </w:pPr>
      <w:r>
        <w:rPr>
          <w:rFonts w:ascii="Calibri" w:cs="Calibri" w:eastAsia="Calibri" w:hAnsi="Calibri"/>
          <w:sz w:val="16"/>
          <w:szCs w:val="16"/>
          <w:color w:val="auto"/>
        </w:rPr>
        <w:t>By: ____________________________________</w:t>
      </w:r>
    </w:p>
    <w:p>
      <w:pPr>
        <w:spacing w:after="0" w:line="187" w:lineRule="exact"/>
        <w:rPr>
          <w:sz w:val="20"/>
          <w:szCs w:val="20"/>
          <w:color w:val="auto"/>
        </w:rPr>
      </w:pPr>
    </w:p>
    <w:p>
      <w:pPr>
        <w:spacing w:after="0"/>
        <w:rPr>
          <w:sz w:val="20"/>
          <w:szCs w:val="20"/>
          <w:color w:val="auto"/>
        </w:rPr>
      </w:pPr>
      <w:r>
        <w:rPr>
          <w:rFonts w:ascii="Calibri" w:cs="Calibri" w:eastAsia="Calibri" w:hAnsi="Calibri"/>
          <w:sz w:val="16"/>
          <w:szCs w:val="16"/>
          <w:color w:val="auto"/>
        </w:rPr>
        <w:t>Title: __________________________________</w:t>
      </w:r>
    </w:p>
    <w:p>
      <w:pPr>
        <w:spacing w:after="0" w:line="187" w:lineRule="exact"/>
        <w:rPr>
          <w:sz w:val="20"/>
          <w:szCs w:val="20"/>
          <w:color w:val="auto"/>
        </w:rPr>
      </w:pPr>
    </w:p>
    <w:p>
      <w:pPr>
        <w:spacing w:after="0"/>
        <w:rPr>
          <w:sz w:val="20"/>
          <w:szCs w:val="20"/>
          <w:color w:val="auto"/>
        </w:rPr>
      </w:pPr>
      <w:r>
        <w:rPr>
          <w:rFonts w:ascii="Calibri" w:cs="Calibri" w:eastAsia="Calibri" w:hAnsi="Calibri"/>
          <w:sz w:val="16"/>
          <w:szCs w:val="16"/>
          <w:color w:val="auto"/>
        </w:rPr>
        <w:t>Date: __________________________________</w:t>
      </w:r>
    </w:p>
    <w:p>
      <w:pPr>
        <w:sectPr>
          <w:pgSz w:w="11900" w:h="16838" w:orient="portrait"/>
          <w:cols w:equalWidth="0" w:num="1">
            <w:col w:w="11280"/>
          </w:cols>
          <w:pgMar w:left="300" w:top="1255" w:right="31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BOOZ ALLEN HAMILTON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RETIRED OFFICERS MEDICAL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Effective as of January 1, 2024</w:t>
      </w:r>
    </w:p>
    <w:p>
      <w:pPr>
        <w:sectPr>
          <w:pgSz w:w="11900" w:h="16838" w:orient="portrait"/>
          <w:cols w:equalWidth="0" w:num="1">
            <w:col w:w="9019"/>
          </w:cols>
          <w:pgMar w:left="1440" w:top="1440" w:right="1440"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5"/>
        </w:trPr>
        <w:tc>
          <w:tcPr>
            <w:tcW w:w="8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CONTENTS</w:t>
            </w:r>
          </w:p>
        </w:tc>
        <w:tc>
          <w:tcPr>
            <w:tcW w:w="2600" w:type="dxa"/>
            <w:vAlign w:val="bottom"/>
          </w:tcPr>
          <w:p>
            <w:pPr>
              <w:spacing w:after="0"/>
              <w:rPr>
                <w:sz w:val="17"/>
                <w:szCs w:val="17"/>
                <w:color w:val="auto"/>
              </w:rPr>
            </w:pPr>
          </w:p>
        </w:tc>
      </w:tr>
      <w:tr>
        <w:trPr>
          <w:trHeight w:val="222"/>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PREAMBLE</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2"/>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ARTICLE I – DEFINITIONS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2"/>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ARTICLE II – ELIGIBILITY AND PARTICIPATION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2"/>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ARTICLE III – BENEFITS</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2"/>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ARTICLE IV – ADMINISTRATION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2"/>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ARTICLE V – CLAIMS PROCEDURES</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2"/>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ARTICLE VI – FIDUCIARY PROVISIONS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2"/>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ARTICLE VII – PLAN AMENDMENT AND TERMINATION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2"/>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ARTICLE VIII – FUNDING</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2"/>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ARTICLE IX – RECOVERY OF PLAN BENEFITS</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2"/>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ARTICLE X – GENERAL PROVISIONS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2"/>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ARTICLE XI – PROVISION OF PROTECTED HEALTH INFORMATION TO PLAN SPONSOR</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2"/>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ARTICLE XII: CERTAIN LEGAL RIGHTS</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3"/>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APPENDIX A: WELFARE BENEFIT PROGRAMS</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bl>
    <w:p>
      <w:pPr>
        <w:sectPr>
          <w:pgSz w:w="11900" w:h="16838" w:orient="portrait"/>
          <w:cols w:equalWidth="0" w:num="1">
            <w:col w:w="11260"/>
          </w:cols>
          <w:pgMar w:left="300" w:top="1137" w:right="33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PREAMBLE</w:t>
      </w:r>
    </w:p>
    <w:p>
      <w:pPr>
        <w:spacing w:after="0" w:line="20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Booz Allen Hamilton Inc. (the “Company”) hereby establishes the Booz Allen Hamilton Retired Officers Medical Plan (hereinafter referred to as the “Plan”) effective as of January 1, 2024. The purpose of the Plan is to provide Eligible Retirees and Eligible Dependents with certain welfare benefits described in the applicable Plan Documentation governing such welfare benefits. The Plan is intended to provide benefits to Eligible Retirees and their Eligible Dependents who were enrolled in the Executive Aetna Medical and Dental Indemnity Program under the Booz Allen Hamilton Inc. Welfare Benefits Plan (the “Active Plan”) as of December 31, 2023, and other Eligible Retirees who were covered under the Active Plan upon their retirement on or after January 1, 2024. The Plan is not intended to provide benefits to active employees, their dependents, or any other individuals.</w:t>
      </w:r>
    </w:p>
    <w:p>
      <w:pPr>
        <w:spacing w:after="0" w:line="145" w:lineRule="exact"/>
        <w:rPr>
          <w:sz w:val="20"/>
          <w:szCs w:val="20"/>
          <w:color w:val="auto"/>
        </w:rPr>
      </w:pPr>
    </w:p>
    <w:p>
      <w:pPr>
        <w:jc w:val="both"/>
        <w:ind w:right="420"/>
        <w:spacing w:after="0" w:line="254" w:lineRule="auto"/>
        <w:rPr>
          <w:sz w:val="20"/>
          <w:szCs w:val="20"/>
          <w:color w:val="auto"/>
        </w:rPr>
      </w:pPr>
      <w:r>
        <w:rPr>
          <w:rFonts w:ascii="Times New Roman" w:cs="Times New Roman" w:eastAsia="Times New Roman" w:hAnsi="Times New Roman"/>
          <w:sz w:val="16"/>
          <w:szCs w:val="16"/>
          <w:color w:val="auto"/>
        </w:rPr>
        <w:t>The Plan is intended to be a “welfare benefit plan” within the meaning of section 3(1) of ERISA. Nothing in this Plan shall be construed as requiring compliance with Code or ERISA provisions to the extent not otherwise applicable. The Plan is maintained for the exclusive benefit of the participants and their covered dependents under the terms and conditions provided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reserves the right to change or terminate the Plan or any benefit under the Plan from time to time and at any time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80"/>
          </w:cols>
          <w:pgMar w:left="300" w:top="1137" w:right="319" w:bottom="1440" w:gutter="0" w:footer="0" w:header="0"/>
        </w:sectPr>
      </w:pPr>
    </w:p>
    <w:bookmarkStart w:id="142" w:name="page143"/>
    <w:bookmarkEnd w:id="142"/>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ARTICLE I – DEFINITIONS</w:t>
      </w:r>
    </w:p>
    <w:p>
      <w:pPr>
        <w:spacing w:after="0" w:line="200" w:lineRule="exact"/>
        <w:rPr>
          <w:sz w:val="20"/>
          <w:szCs w:val="20"/>
          <w:color w:val="auto"/>
        </w:rPr>
      </w:pPr>
    </w:p>
    <w:p>
      <w:pPr>
        <w:jc w:val="both"/>
        <w:ind w:left="60"/>
        <w:spacing w:after="0" w:line="254" w:lineRule="auto"/>
        <w:rPr>
          <w:sz w:val="20"/>
          <w:szCs w:val="20"/>
          <w:color w:val="auto"/>
        </w:rPr>
      </w:pPr>
      <w:r>
        <w:rPr>
          <w:rFonts w:ascii="Times New Roman" w:cs="Times New Roman" w:eastAsia="Times New Roman" w:hAnsi="Times New Roman"/>
          <w:sz w:val="16"/>
          <w:szCs w:val="16"/>
          <w:color w:val="auto"/>
        </w:rPr>
        <w:t>When used herein, the following terms shall have the meanings set forth below, unless a contrary meaning is clearly intended by the context. All terms not defined herein shall have the meaning set forth in the applicable Plan Documentation. Words in the masculine gender shall be deemed to include the feminine gender, and words in the feminine gender shall be deemed to include the masculine gender; and unless the context otherwise requires, the singular shall include the plural and the plural the singular.</w:t>
      </w:r>
    </w:p>
    <w:p>
      <w:pPr>
        <w:spacing w:after="0" w:line="159" w:lineRule="exact"/>
        <w:rPr>
          <w:sz w:val="20"/>
          <w:szCs w:val="20"/>
          <w:color w:val="auto"/>
        </w:rPr>
      </w:pPr>
    </w:p>
    <w:p>
      <w:pPr>
        <w:ind w:left="240" w:hanging="235"/>
        <w:spacing w:after="0"/>
        <w:tabs>
          <w:tab w:leader="none" w:pos="24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Beneficiary</w:t>
      </w:r>
      <w:r>
        <w:rPr>
          <w:rFonts w:ascii="Times New Roman" w:cs="Times New Roman" w:eastAsia="Times New Roman" w:hAnsi="Times New Roman"/>
          <w:sz w:val="16"/>
          <w:szCs w:val="16"/>
          <w:color w:val="auto"/>
        </w:rPr>
        <w:t xml:space="preserve"> means the individual or trust identified as a Participant’s Beneficiary pursuant to the provisions of any Welfare Benefit Program maintained under this Plan.</w:t>
      </w:r>
    </w:p>
    <w:p>
      <w:pPr>
        <w:spacing w:after="0" w:line="19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  </w:t>
      </w:r>
      <w:r>
        <w:rPr>
          <w:rFonts w:ascii="Times New Roman" w:cs="Times New Roman" w:eastAsia="Times New Roman" w:hAnsi="Times New Roman"/>
          <w:sz w:val="16"/>
          <w:szCs w:val="16"/>
          <w:u w:val="single" w:color="auto"/>
          <w:color w:val="auto"/>
        </w:rPr>
        <w:t>Benefit</w:t>
      </w:r>
      <w:r>
        <w:rPr>
          <w:rFonts w:ascii="Times New Roman" w:cs="Times New Roman" w:eastAsia="Times New Roman" w:hAnsi="Times New Roman"/>
          <w:sz w:val="16"/>
          <w:szCs w:val="16"/>
          <w:color w:val="auto"/>
        </w:rPr>
        <w:t xml:space="preserve"> means any benefit provided pursuant to any Welfare Benefit Program.</w:t>
      </w:r>
    </w:p>
    <w:p>
      <w:pPr>
        <w:spacing w:after="0" w:line="198" w:lineRule="exact"/>
        <w:rPr>
          <w:sz w:val="20"/>
          <w:szCs w:val="20"/>
          <w:color w:val="auto"/>
        </w:rPr>
      </w:pPr>
    </w:p>
    <w:p>
      <w:pPr>
        <w:ind w:left="580" w:right="60" w:hanging="575"/>
        <w:spacing w:after="0" w:line="254" w:lineRule="auto"/>
        <w:tabs>
          <w:tab w:leader="none" w:pos="244"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Claims Administrator</w:t>
      </w:r>
      <w:r>
        <w:rPr>
          <w:rFonts w:ascii="Times New Roman" w:cs="Times New Roman" w:eastAsia="Times New Roman" w:hAnsi="Times New Roman"/>
          <w:sz w:val="16"/>
          <w:szCs w:val="16"/>
          <w:color w:val="auto"/>
        </w:rPr>
        <w:t xml:space="preserve"> means the entity designated by the Plan Administrator to determine the validity of claims and administer benefit payments under any Welfare Benefit Program, or in the absence of such designation, the Plan Administrator. For any insured Welfare Benefit Program, the Claims Administrator means the insurance company, health maintenance organization or similar entity issuing the associated Insurance Contract.</w:t>
      </w:r>
    </w:p>
    <w:p>
      <w:pPr>
        <w:spacing w:after="0" w:line="15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4</w:t>
      </w:r>
      <w:r>
        <w:rPr>
          <w:sz w:val="20"/>
          <w:szCs w:val="20"/>
          <w:color w:val="auto"/>
        </w:rPr>
        <w:tab/>
      </w:r>
      <w:r>
        <w:rPr>
          <w:rFonts w:ascii="Times New Roman" w:cs="Times New Roman" w:eastAsia="Times New Roman" w:hAnsi="Times New Roman"/>
          <w:sz w:val="14"/>
          <w:szCs w:val="14"/>
          <w:u w:val="single" w:color="auto"/>
          <w:color w:val="auto"/>
        </w:rPr>
        <w:t xml:space="preserve">COBRA </w:t>
      </w:r>
      <w:r>
        <w:rPr>
          <w:rFonts w:ascii="Times New Roman" w:cs="Times New Roman" w:eastAsia="Times New Roman" w:hAnsi="Times New Roman"/>
          <w:sz w:val="14"/>
          <w:szCs w:val="14"/>
          <w:color w:val="auto"/>
        </w:rPr>
        <w:t>means the Consolidated Omnibus Budget Reconciliation Act of 1985, as amended from time to time and any regulations and rulings promulgated thereunder.</w:t>
      </w:r>
    </w:p>
    <w:p>
      <w:pPr>
        <w:spacing w:after="0" w:line="198" w:lineRule="exact"/>
        <w:rPr>
          <w:sz w:val="20"/>
          <w:szCs w:val="20"/>
          <w:color w:val="auto"/>
        </w:rPr>
      </w:pPr>
    </w:p>
    <w:p>
      <w:pPr>
        <w:ind w:left="580" w:right="140" w:hanging="575"/>
        <w:spacing w:after="0" w:line="273" w:lineRule="auto"/>
        <w:tabs>
          <w:tab w:leader="none" w:pos="24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xml:space="preserve"> means the Internal Revenue Code of 1986, as amended from time to time and the regulations promulgated thereunder. Reference to any section or subsection of the Code includes references to any comparable or successor provisions of any legislation that amends, supplements, or replaces such section or subsection.</w:t>
      </w:r>
    </w:p>
    <w:p>
      <w:pPr>
        <w:spacing w:after="0" w:line="144" w:lineRule="exact"/>
        <w:rPr>
          <w:sz w:val="20"/>
          <w:szCs w:val="20"/>
          <w:color w:val="auto"/>
        </w:rPr>
      </w:pPr>
    </w:p>
    <w:p>
      <w:pPr>
        <w:ind w:left="280" w:hanging="275"/>
        <w:spacing w:after="0"/>
        <w:tabs>
          <w:tab w:leader="none" w:pos="2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means Booz Allen Hamilton Inc.</w:t>
      </w:r>
    </w:p>
    <w:p>
      <w:pPr>
        <w:spacing w:after="0" w:line="198"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7</w:t>
      </w:r>
      <w:r>
        <w:rPr>
          <w:sz w:val="20"/>
          <w:szCs w:val="20"/>
          <w:color w:val="auto"/>
        </w:rPr>
        <w:tab/>
      </w:r>
      <w:r>
        <w:rPr>
          <w:rFonts w:ascii="Times New Roman" w:cs="Times New Roman" w:eastAsia="Times New Roman" w:hAnsi="Times New Roman"/>
          <w:sz w:val="14"/>
          <w:szCs w:val="14"/>
          <w:u w:val="single" w:color="auto"/>
          <w:color w:val="auto"/>
        </w:rPr>
        <w:t xml:space="preserve">Covered Expenses </w:t>
      </w:r>
      <w:r>
        <w:rPr>
          <w:rFonts w:ascii="Times New Roman" w:cs="Times New Roman" w:eastAsia="Times New Roman" w:hAnsi="Times New Roman"/>
          <w:sz w:val="14"/>
          <w:szCs w:val="14"/>
          <w:color w:val="auto"/>
        </w:rPr>
        <w:t>means expenses for which Benefits are provided under the Plan.</w:t>
      </w:r>
    </w:p>
    <w:p>
      <w:pPr>
        <w:spacing w:after="0" w:line="187"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8</w:t>
      </w:r>
      <w:r>
        <w:rPr>
          <w:sz w:val="20"/>
          <w:szCs w:val="20"/>
          <w:color w:val="auto"/>
        </w:rPr>
        <w:tab/>
      </w:r>
      <w:r>
        <w:rPr>
          <w:rFonts w:ascii="Times New Roman" w:cs="Times New Roman" w:eastAsia="Times New Roman" w:hAnsi="Times New Roman"/>
          <w:sz w:val="14"/>
          <w:szCs w:val="14"/>
          <w:u w:val="single" w:color="auto"/>
          <w:color w:val="auto"/>
        </w:rPr>
        <w:t xml:space="preserve">Covered Individual </w:t>
      </w:r>
      <w:r>
        <w:rPr>
          <w:rFonts w:ascii="Times New Roman" w:cs="Times New Roman" w:eastAsia="Times New Roman" w:hAnsi="Times New Roman"/>
          <w:sz w:val="14"/>
          <w:szCs w:val="14"/>
          <w:color w:val="auto"/>
        </w:rPr>
        <w:t>means a Participant or Eligible Dependent covered under a Welfare Benefit Program.</w:t>
      </w:r>
    </w:p>
    <w:p>
      <w:pPr>
        <w:spacing w:after="0" w:line="198" w:lineRule="exact"/>
        <w:rPr>
          <w:sz w:val="20"/>
          <w:szCs w:val="20"/>
          <w:color w:val="auto"/>
        </w:rPr>
      </w:pPr>
    </w:p>
    <w:p>
      <w:pPr>
        <w:ind w:left="580" w:right="200" w:hanging="575"/>
        <w:spacing w:after="0" w:line="273" w:lineRule="auto"/>
        <w:tabs>
          <w:tab w:leader="none" w:pos="24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Domestic Partner</w:t>
      </w:r>
      <w:r>
        <w:rPr>
          <w:rFonts w:ascii="Times New Roman" w:cs="Times New Roman" w:eastAsia="Times New Roman" w:hAnsi="Times New Roman"/>
          <w:sz w:val="16"/>
          <w:szCs w:val="16"/>
          <w:color w:val="auto"/>
        </w:rPr>
        <w:t xml:space="preserve"> means an individual who is recognized as an Eligible Retiree’s domestic partner under the Company’s policy regarding domestic partners as in effect for the applicable Plan Year.</w:t>
      </w:r>
    </w:p>
    <w:p>
      <w:pPr>
        <w:spacing w:after="0" w:line="144"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0</w:t>
      </w:r>
      <w:r>
        <w:rPr>
          <w:sz w:val="20"/>
          <w:szCs w:val="20"/>
          <w:color w:val="auto"/>
        </w:rPr>
        <w:tab/>
      </w:r>
      <w:r>
        <w:rPr>
          <w:rFonts w:ascii="Times New Roman" w:cs="Times New Roman" w:eastAsia="Times New Roman" w:hAnsi="Times New Roman"/>
          <w:sz w:val="14"/>
          <w:szCs w:val="14"/>
          <w:u w:val="single" w:color="auto"/>
          <w:color w:val="auto"/>
        </w:rPr>
        <w:t xml:space="preserve">Effective Date </w:t>
      </w:r>
      <w:r>
        <w:rPr>
          <w:rFonts w:ascii="Times New Roman" w:cs="Times New Roman" w:eastAsia="Times New Roman" w:hAnsi="Times New Roman"/>
          <w:sz w:val="14"/>
          <w:szCs w:val="14"/>
          <w:color w:val="auto"/>
        </w:rPr>
        <w:t>means January 1, 2024, the date the Plan was established.</w:t>
      </w:r>
    </w:p>
    <w:p>
      <w:pPr>
        <w:spacing w:after="0" w:line="198"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4"/>
          <w:szCs w:val="14"/>
          <w:u w:val="single" w:color="auto"/>
          <w:color w:val="auto"/>
        </w:rPr>
        <w:t xml:space="preserve">Eligible Dependent </w:t>
      </w:r>
      <w:r>
        <w:rPr>
          <w:rFonts w:ascii="Times New Roman" w:cs="Times New Roman" w:eastAsia="Times New Roman" w:hAnsi="Times New Roman"/>
          <w:sz w:val="14"/>
          <w:szCs w:val="14"/>
          <w:color w:val="auto"/>
        </w:rPr>
        <w:t>means any individual who is eligible for coverage as a dependent of an Eligible Retiree under a Welfare Benefit Program as described in Section 2.01.</w:t>
      </w:r>
    </w:p>
    <w:p>
      <w:pPr>
        <w:spacing w:after="0" w:line="187" w:lineRule="exact"/>
        <w:rPr>
          <w:sz w:val="20"/>
          <w:szCs w:val="20"/>
          <w:color w:val="auto"/>
        </w:rPr>
      </w:pPr>
    </w:p>
    <w:p>
      <w:pPr>
        <w:ind w:left="580" w:right="160" w:hanging="575"/>
        <w:spacing w:after="0" w:line="254" w:lineRule="auto"/>
        <w:tabs>
          <w:tab w:leader="none" w:pos="244"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Eligible Retiree</w:t>
      </w:r>
      <w:r>
        <w:rPr>
          <w:rFonts w:ascii="Times New Roman" w:cs="Times New Roman" w:eastAsia="Times New Roman" w:hAnsi="Times New Roman"/>
          <w:sz w:val="16"/>
          <w:szCs w:val="16"/>
          <w:color w:val="auto"/>
        </w:rPr>
        <w:t xml:space="preserve"> means a retired executive or retired officer who was enrolled in the Executive Aetna Medical and Dental Indemnity Program under the Active Plan on the day immediately preceding the date of his or her retirement and meets the retirement requirements set by the Plan Sponsor and otherwise satisfies the requirements of Section 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80"/>
          </w:cols>
          <w:pgMar w:left="240" w:top="1137" w:right="379" w:bottom="1440" w:gutter="0" w:footer="0" w:header="0"/>
        </w:sectPr>
      </w:pPr>
    </w:p>
    <w:bookmarkStart w:id="143" w:name="page144"/>
    <w:bookmarkEnd w:id="143"/>
    <w:p>
      <w:pPr>
        <w:ind w:left="580" w:right="80" w:hanging="575"/>
        <w:spacing w:after="0" w:line="273" w:lineRule="auto"/>
        <w:tabs>
          <w:tab w:leader="none" w:pos="24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Employer</w:t>
      </w:r>
      <w:r>
        <w:rPr>
          <w:rFonts w:ascii="Times New Roman" w:cs="Times New Roman" w:eastAsia="Times New Roman" w:hAnsi="Times New Roman"/>
          <w:sz w:val="16"/>
          <w:szCs w:val="16"/>
          <w:color w:val="auto"/>
        </w:rPr>
        <w:t xml:space="preserve"> means the Company or one of its affiliates that participate in the Plan with the permission of the Company with whom the Eligible Retiree was employed immediately prior to such Eligible Retiree’s retirement.</w:t>
      </w:r>
    </w:p>
    <w:p>
      <w:pPr>
        <w:spacing w:after="0" w:line="144" w:lineRule="exact"/>
        <w:rPr>
          <w:sz w:val="20"/>
          <w:szCs w:val="20"/>
          <w:color w:val="auto"/>
        </w:rPr>
      </w:pPr>
    </w:p>
    <w:p>
      <w:pPr>
        <w:ind w:left="580" w:right="240" w:hanging="575"/>
        <w:spacing w:after="0" w:line="346" w:lineRule="auto"/>
        <w:tabs>
          <w:tab w:leader="none" w:pos="244"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xml:space="preserve"> means the Employee Retirement Income Security Act of 1974, as amended from time to time and any regulations promulgated thereunder. Reference to any section or subsection of ERISA includes references to any comparable or successor provisions of any legislation that amends, supplements or replaces such section or subsection.</w:t>
      </w:r>
    </w:p>
    <w:p>
      <w:pPr>
        <w:spacing w:after="0" w:line="98"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5</w:t>
      </w:r>
      <w:r>
        <w:rPr>
          <w:sz w:val="20"/>
          <w:szCs w:val="20"/>
          <w:color w:val="auto"/>
        </w:rPr>
        <w:tab/>
      </w:r>
      <w:r>
        <w:rPr>
          <w:rFonts w:ascii="Times New Roman" w:cs="Times New Roman" w:eastAsia="Times New Roman" w:hAnsi="Times New Roman"/>
          <w:sz w:val="14"/>
          <w:szCs w:val="14"/>
          <w:u w:val="single" w:color="auto"/>
          <w:color w:val="auto"/>
        </w:rPr>
        <w:t xml:space="preserve">Health Benefit Option </w:t>
      </w:r>
      <w:r>
        <w:rPr>
          <w:rFonts w:ascii="Times New Roman" w:cs="Times New Roman" w:eastAsia="Times New Roman" w:hAnsi="Times New Roman"/>
          <w:sz w:val="14"/>
          <w:szCs w:val="14"/>
          <w:color w:val="auto"/>
        </w:rPr>
        <w:t>means any option providing medical, dental, vision, prescription drug, or employee assistance program benefits offered under a Welfare Benefit Program.</w:t>
      </w:r>
    </w:p>
    <w:p>
      <w:pPr>
        <w:spacing w:after="0" w:line="198" w:lineRule="exact"/>
        <w:rPr>
          <w:sz w:val="20"/>
          <w:szCs w:val="20"/>
          <w:color w:val="auto"/>
        </w:rPr>
      </w:pPr>
    </w:p>
    <w:p>
      <w:pPr>
        <w:jc w:val="both"/>
        <w:ind w:left="580" w:hanging="575"/>
        <w:spacing w:after="0" w:line="300" w:lineRule="auto"/>
        <w:tabs>
          <w:tab w:leader="none" w:pos="244"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Insurance Contract</w:t>
      </w:r>
      <w:r>
        <w:rPr>
          <w:rFonts w:ascii="Times New Roman" w:cs="Times New Roman" w:eastAsia="Times New Roman" w:hAnsi="Times New Roman"/>
          <w:sz w:val="14"/>
          <w:szCs w:val="14"/>
          <w:color w:val="auto"/>
        </w:rPr>
        <w:t xml:space="preserve"> means any contract, policy or agreement, including without limitation, any document setting forth a schedule of benefits, pursuant to which any Welfare Benefit Program is funded, and under which part or all of the direct obligation to provide Benefits is transferred to any insurance company, health maintenance organization or similar entity; provided, however, that a contract under which an insurance company is obligated to make payments in the event that Benefits payable under a self-funded Welfare Benefit Program exceed the amount specified therein, commonly known as a stop-loss policy, shall not be treated as an Insurance Contract for purposes of this Plan.</w:t>
      </w:r>
    </w:p>
    <w:p>
      <w:pPr>
        <w:spacing w:after="0" w:line="129" w:lineRule="exact"/>
        <w:rPr>
          <w:sz w:val="20"/>
          <w:szCs w:val="20"/>
          <w:color w:val="auto"/>
        </w:rPr>
      </w:pPr>
    </w:p>
    <w:p>
      <w:pPr>
        <w:ind w:left="580" w:right="600" w:hanging="575"/>
        <w:spacing w:after="0" w:line="273" w:lineRule="auto"/>
        <w:tabs>
          <w:tab w:leader="none" w:pos="576"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 xml:space="preserve"> means any Retiree who is validly enrolled for coverage under any Welfare Benefit Program and who has not for any reason become ineligible to further participate in the Plan. “Participant” also means a Qualified Beneficiary who is enrolled for health coverage pursuant to COBRA.</w:t>
      </w:r>
    </w:p>
    <w:p>
      <w:pPr>
        <w:spacing w:after="0" w:line="144" w:lineRule="exact"/>
        <w:rPr>
          <w:sz w:val="20"/>
          <w:szCs w:val="20"/>
          <w:color w:val="auto"/>
        </w:rPr>
      </w:pPr>
    </w:p>
    <w:p>
      <w:pPr>
        <w:ind w:left="580" w:right="180" w:hanging="575"/>
        <w:spacing w:after="0" w:line="229" w:lineRule="auto"/>
        <w:tabs>
          <w:tab w:leader="none" w:pos="576"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xml:space="preserve"> means the Booz Allen Hamilton Retiree Benefit Plan. Solely for purposes of Section 105(h) of the Code, each Welfare Benefit Program shall be treated as a separate plan, and any two or more Welfare Benefit Programs may be aggregated for purposes of Section 105(h) of the Code to the extent permitted thereunder.</w:t>
      </w:r>
    </w:p>
    <w:p>
      <w:pPr>
        <w:spacing w:after="0" w:line="158" w:lineRule="exact"/>
        <w:rPr>
          <w:sz w:val="20"/>
          <w:szCs w:val="20"/>
          <w:color w:val="auto"/>
        </w:rPr>
      </w:pPr>
    </w:p>
    <w:p>
      <w:pPr>
        <w:ind w:left="580" w:hanging="575"/>
        <w:spacing w:after="0" w:line="259" w:lineRule="auto"/>
        <w:tabs>
          <w:tab w:leader="none" w:pos="576"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Plan Administrator</w:t>
      </w:r>
      <w:r>
        <w:rPr>
          <w:rFonts w:ascii="Times New Roman" w:cs="Times New Roman" w:eastAsia="Times New Roman" w:hAnsi="Times New Roman"/>
          <w:sz w:val="16"/>
          <w:szCs w:val="16"/>
          <w:color w:val="auto"/>
        </w:rPr>
        <w:t xml:space="preserve"> means the Company or any person or committee that the Company may appoint to administer the Plan or any Welfare Benefit Program maintained under the Plan.</w:t>
      </w:r>
    </w:p>
    <w:p>
      <w:pPr>
        <w:spacing w:after="0" w:line="186" w:lineRule="exact"/>
        <w:rPr>
          <w:sz w:val="20"/>
          <w:szCs w:val="20"/>
          <w:color w:val="auto"/>
        </w:rPr>
      </w:pPr>
    </w:p>
    <w:p>
      <w:pPr>
        <w:ind w:left="580" w:right="100" w:hanging="575"/>
        <w:spacing w:after="0" w:line="248" w:lineRule="auto"/>
        <w:tabs>
          <w:tab w:leader="none" w:pos="576"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Plan Documentation</w:t>
      </w:r>
      <w:r>
        <w:rPr>
          <w:rFonts w:ascii="Times New Roman" w:cs="Times New Roman" w:eastAsia="Times New Roman" w:hAnsi="Times New Roman"/>
          <w:sz w:val="16"/>
          <w:szCs w:val="16"/>
          <w:color w:val="auto"/>
        </w:rPr>
        <w:t xml:space="preserve"> means, with respect to a Welfare Benefit Program, each plan document applicable to such Welfare Benefit Program (including this Plan document), Summary Plan Descriptions, Summaries of Material Modifications, benefit booklets, Officer Retirement Policy, evidence of coverage or group application which sets forth the annual deductible, co-insurance, out-of-pocket maximum or other information relating to such Welfare Benefit Program, as well as any Insurance Contracts and collective bargaining agreements governing such Welfare Benefit Program. Any subsequent changes to any of the Plan Documentation shall be automatically incorporated herein by reference without necessity of Plan amendment.</w:t>
      </w:r>
    </w:p>
    <w:p>
      <w:pPr>
        <w:spacing w:after="0" w:line="174" w:lineRule="exact"/>
        <w:rPr>
          <w:sz w:val="20"/>
          <w:szCs w:val="20"/>
          <w:color w:val="auto"/>
        </w:rPr>
      </w:pPr>
    </w:p>
    <w:p>
      <w:pPr>
        <w:ind w:left="580" w:hanging="575"/>
        <w:spacing w:after="0"/>
        <w:tabs>
          <w:tab w:leader="none" w:pos="5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Plan Sponsor</w:t>
      </w:r>
      <w:r>
        <w:rPr>
          <w:rFonts w:ascii="Times New Roman" w:cs="Times New Roman" w:eastAsia="Times New Roman" w:hAnsi="Times New Roman"/>
          <w:sz w:val="16"/>
          <w:szCs w:val="16"/>
          <w:color w:val="auto"/>
        </w:rPr>
        <w:t xml:space="preserve"> means Booz Allen Hamilton Inc.</w:t>
      </w:r>
    </w:p>
    <w:p>
      <w:pPr>
        <w:spacing w:after="0" w:line="198" w:lineRule="exact"/>
        <w:rPr>
          <w:sz w:val="20"/>
          <w:szCs w:val="20"/>
          <w:color w:val="auto"/>
        </w:rPr>
      </w:pPr>
    </w:p>
    <w:p>
      <w:pPr>
        <w:ind w:left="580" w:hanging="575"/>
        <w:spacing w:after="0"/>
        <w:tabs>
          <w:tab w:leader="none" w:pos="58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Plan Year</w:t>
      </w:r>
      <w:r>
        <w:rPr>
          <w:rFonts w:ascii="Times New Roman" w:cs="Times New Roman" w:eastAsia="Times New Roman" w:hAnsi="Times New Roman"/>
          <w:sz w:val="16"/>
          <w:szCs w:val="16"/>
          <w:color w:val="auto"/>
        </w:rPr>
        <w:t xml:space="preserve"> means the reporting year used by the Plan and shall be the calendar year.</w:t>
      </w:r>
    </w:p>
    <w:p>
      <w:pPr>
        <w:spacing w:after="0" w:line="18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14"/>
          <w:szCs w:val="14"/>
          <w:u w:val="single" w:color="auto"/>
          <w:color w:val="auto"/>
        </w:rPr>
        <w:t xml:space="preserve">Qualified Beneficiary </w:t>
      </w:r>
      <w:r>
        <w:rPr>
          <w:rFonts w:ascii="Times New Roman" w:cs="Times New Roman" w:eastAsia="Times New Roman" w:hAnsi="Times New Roman"/>
          <w:sz w:val="14"/>
          <w:szCs w:val="14"/>
          <w:color w:val="auto"/>
        </w:rPr>
        <w:t>means an individual described in Section 2.03(b)(3).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320"/>
          </w:cols>
          <w:pgMar w:left="240" w:top="1139" w:right="339" w:bottom="1440" w:gutter="0" w:footer="0" w:header="0"/>
        </w:sectPr>
      </w:pPr>
    </w:p>
    <w:bookmarkStart w:id="144" w:name="page145"/>
    <w:bookmarkEnd w:id="144"/>
    <w:p>
      <w:pPr>
        <w:ind w:left="575" w:hanging="575"/>
        <w:spacing w:after="0" w:line="254" w:lineRule="auto"/>
        <w:tabs>
          <w:tab w:leader="none" w:pos="572"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Retiree</w:t>
      </w:r>
      <w:r>
        <w:rPr>
          <w:rFonts w:ascii="Times New Roman" w:cs="Times New Roman" w:eastAsia="Times New Roman" w:hAnsi="Times New Roman"/>
          <w:sz w:val="16"/>
          <w:szCs w:val="16"/>
          <w:color w:val="auto"/>
        </w:rPr>
        <w:t xml:space="preserve"> means a former employee who retired from the Employer. In this case, an “employee” shall not include any person who was classified in the Employer’s records as an independent contractor, agent, leased employee, contract employee, temporary employee or in any other classification other than employee, regardless of any determination by a governmental agency or court that any such person is or was a common law employee of the Employer.</w:t>
      </w:r>
    </w:p>
    <w:p>
      <w:pPr>
        <w:spacing w:after="0" w:line="169" w:lineRule="exact"/>
        <w:rPr>
          <w:sz w:val="20"/>
          <w:szCs w:val="20"/>
          <w:color w:val="auto"/>
        </w:rPr>
      </w:pPr>
    </w:p>
    <w:p>
      <w:pPr>
        <w:ind w:left="575" w:hanging="575"/>
        <w:spacing w:after="0"/>
        <w:tabs>
          <w:tab w:leader="none" w:pos="575"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Summary of Material Modifications</w:t>
      </w:r>
      <w:r>
        <w:rPr>
          <w:rFonts w:ascii="Times New Roman" w:cs="Times New Roman" w:eastAsia="Times New Roman" w:hAnsi="Times New Roman"/>
          <w:sz w:val="16"/>
          <w:szCs w:val="16"/>
          <w:color w:val="auto"/>
        </w:rPr>
        <w:t xml:space="preserve"> means the document that describes changes to information set out in the Summary Plan Description.</w:t>
      </w:r>
    </w:p>
    <w:p>
      <w:pPr>
        <w:spacing w:after="0" w:line="187" w:lineRule="exact"/>
        <w:rPr>
          <w:sz w:val="20"/>
          <w:szCs w:val="20"/>
          <w:color w:val="auto"/>
        </w:rPr>
      </w:pPr>
    </w:p>
    <w:p>
      <w:pPr>
        <w:ind w:left="575" w:right="580" w:hanging="575"/>
        <w:spacing w:after="0" w:line="273" w:lineRule="auto"/>
        <w:tabs>
          <w:tab w:leader="none" w:pos="572"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Summary Plan Description</w:t>
      </w:r>
      <w:r>
        <w:rPr>
          <w:rFonts w:ascii="Times New Roman" w:cs="Times New Roman" w:eastAsia="Times New Roman" w:hAnsi="Times New Roman"/>
          <w:sz w:val="16"/>
          <w:szCs w:val="16"/>
          <w:color w:val="auto"/>
        </w:rPr>
        <w:t xml:space="preserve"> means, with respect to a Welfare Benefit Program, the formal summary plan description required under section 102 of ERISA and any Summaries of Material Modifications under such Welfare Benefit Program.</w:t>
      </w:r>
    </w:p>
    <w:p>
      <w:pPr>
        <w:spacing w:after="0" w:line="154" w:lineRule="exact"/>
        <w:rPr>
          <w:sz w:val="20"/>
          <w:szCs w:val="20"/>
          <w:color w:val="auto"/>
        </w:rPr>
      </w:pPr>
    </w:p>
    <w:p>
      <w:pPr>
        <w:ind w:left="575" w:right="80" w:hanging="575"/>
        <w:spacing w:after="0" w:line="254" w:lineRule="auto"/>
        <w:tabs>
          <w:tab w:leader="none" w:pos="572"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Welfare Benefit Program</w:t>
      </w:r>
      <w:r>
        <w:rPr>
          <w:rFonts w:ascii="Times New Roman" w:cs="Times New Roman" w:eastAsia="Times New Roman" w:hAnsi="Times New Roman"/>
          <w:sz w:val="16"/>
          <w:szCs w:val="16"/>
          <w:color w:val="auto"/>
        </w:rPr>
        <w:t xml:space="preserve"> means any program of benefits maintained under the Plan including, but not limited to, those programs set forth in Appendix A to this Plan. The term “Welfare Benefit Program” shall not include any voluntary group insurance program described in section 2510.3-1(j) of ERISA that is made available through the Employer (but that is not endorsed by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4"/>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15"/>
          </w:cols>
          <w:pgMar w:left="245" w:top="1139" w:right="439" w:bottom="1440" w:gutter="0" w:footer="0" w:header="0"/>
        </w:sectPr>
      </w:pPr>
    </w:p>
    <w:bookmarkStart w:id="145" w:name="page146"/>
    <w:bookmarkEnd w:id="145"/>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ARTICLE II – ELIGIBILITY AND PARTICIPATION</w:t>
      </w:r>
    </w:p>
    <w:p>
      <w:pPr>
        <w:spacing w:after="0" w:line="198" w:lineRule="exact"/>
        <w:rPr>
          <w:sz w:val="20"/>
          <w:szCs w:val="20"/>
          <w:color w:val="auto"/>
        </w:rPr>
      </w:pPr>
    </w:p>
    <w:p>
      <w:pPr>
        <w:ind w:left="235" w:hanging="235"/>
        <w:spacing w:after="0"/>
        <w:tabs>
          <w:tab w:leader="none" w:pos="235"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Eligibility</w:t>
      </w:r>
    </w:p>
    <w:p>
      <w:pPr>
        <w:spacing w:after="0" w:line="189" w:lineRule="exact"/>
        <w:rPr>
          <w:rFonts w:ascii="Times New Roman" w:cs="Times New Roman" w:eastAsia="Times New Roman" w:hAnsi="Times New Roman"/>
          <w:sz w:val="16"/>
          <w:szCs w:val="16"/>
          <w:color w:val="auto"/>
        </w:rPr>
      </w:pPr>
    </w:p>
    <w:p>
      <w:pPr>
        <w:ind w:left="1075" w:right="120" w:hanging="506"/>
        <w:spacing w:after="0" w:line="254" w:lineRule="auto"/>
        <w:tabs>
          <w:tab w:leader="none" w:pos="1068"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 general</w:t>
      </w:r>
      <w:r>
        <w:rPr>
          <w:rFonts w:ascii="Times New Roman" w:cs="Times New Roman" w:eastAsia="Times New Roman" w:hAnsi="Times New Roman"/>
          <w:sz w:val="16"/>
          <w:szCs w:val="16"/>
          <w:color w:val="auto"/>
        </w:rPr>
        <w:t>. The classifications of Eligible Retirees and Eligible Dependents, the requirements for participation in the Plan for a Plan Year, the requirements regarding elections of coverage under a Welfare Benefit Program and continued participation and the events giving rise to termination of participation in a Welfare Benefit Program shall be as provided for in the Plan Documentation applicable to a Covered Individual.</w:t>
      </w:r>
    </w:p>
    <w:p>
      <w:pPr>
        <w:spacing w:after="0" w:line="169" w:lineRule="exact"/>
        <w:rPr>
          <w:rFonts w:ascii="Times New Roman" w:cs="Times New Roman" w:eastAsia="Times New Roman" w:hAnsi="Times New Roman"/>
          <w:sz w:val="16"/>
          <w:szCs w:val="16"/>
          <w:color w:val="auto"/>
        </w:rPr>
      </w:pPr>
    </w:p>
    <w:p>
      <w:pPr>
        <w:ind w:left="1075" w:right="100" w:hanging="506"/>
        <w:spacing w:after="0" w:line="273" w:lineRule="auto"/>
        <w:tabs>
          <w:tab w:leader="none" w:pos="1066"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Retirees</w:t>
      </w:r>
      <w:r>
        <w:rPr>
          <w:rFonts w:ascii="Times New Roman" w:cs="Times New Roman" w:eastAsia="Times New Roman" w:hAnsi="Times New Roman"/>
          <w:sz w:val="16"/>
          <w:szCs w:val="16"/>
          <w:color w:val="auto"/>
        </w:rPr>
        <w:t>. The Retiree must have been enrolled in coverage under the Active Plan (or other Employer group health plan, as applicable) as an active employee on his or her last day of employment with the Employer.</w:t>
      </w:r>
    </w:p>
    <w:p>
      <w:pPr>
        <w:spacing w:after="0" w:line="143" w:lineRule="exact"/>
        <w:rPr>
          <w:rFonts w:ascii="Times New Roman" w:cs="Times New Roman" w:eastAsia="Times New Roman" w:hAnsi="Times New Roman"/>
          <w:sz w:val="16"/>
          <w:szCs w:val="16"/>
          <w:color w:val="auto"/>
        </w:rPr>
      </w:pPr>
    </w:p>
    <w:p>
      <w:pPr>
        <w:ind w:left="1075"/>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foregoing, Eligible Retirees and their Eligible Dependents who were enrolled in the retiree benefits portion of the Executive Aetna Medical and Dental Indemnity Program under the Active Plan as of December 31, 2023, became covered under the Plan as of the Effective Date. If Eligible Retirees waive enrollment in the Plan for any reason when they are first eligible, they may not enroll in the Plan at a later date.</w:t>
      </w:r>
    </w:p>
    <w:p>
      <w:pPr>
        <w:spacing w:after="0" w:line="169" w:lineRule="exact"/>
        <w:rPr>
          <w:rFonts w:ascii="Times New Roman" w:cs="Times New Roman" w:eastAsia="Times New Roman" w:hAnsi="Times New Roman"/>
          <w:sz w:val="16"/>
          <w:szCs w:val="16"/>
          <w:color w:val="auto"/>
        </w:rPr>
      </w:pPr>
    </w:p>
    <w:p>
      <w:pPr>
        <w:ind w:left="1075" w:right="40" w:hanging="506"/>
        <w:spacing w:after="0" w:line="254" w:lineRule="auto"/>
        <w:tabs>
          <w:tab w:leader="none" w:pos="1068"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Dependents</w:t>
      </w:r>
      <w:r>
        <w:rPr>
          <w:rFonts w:ascii="Times New Roman" w:cs="Times New Roman" w:eastAsia="Times New Roman" w:hAnsi="Times New Roman"/>
          <w:sz w:val="16"/>
          <w:szCs w:val="16"/>
          <w:color w:val="auto"/>
        </w:rPr>
        <w:t>. A Retiree’s spouse or Domestic Partner and children shall be eligible for Plan benefits, provided they were enrolled for coverage under the Active Plan (or other Employer group health plan, as applicable) as the Retiree’s dependents on the Retiree’s last day of active employment with the Employer. If Eligible Dependents waive enrollment in the Plan for any reason when they are first eligible, they may not enroll in the Plan at a later date.</w:t>
      </w:r>
    </w:p>
    <w:p>
      <w:pPr>
        <w:spacing w:after="0" w:line="169" w:lineRule="exact"/>
        <w:rPr>
          <w:rFonts w:ascii="Times New Roman" w:cs="Times New Roman" w:eastAsia="Times New Roman" w:hAnsi="Times New Roman"/>
          <w:sz w:val="16"/>
          <w:szCs w:val="16"/>
          <w:color w:val="auto"/>
        </w:rPr>
      </w:pPr>
    </w:p>
    <w:p>
      <w:pPr>
        <w:ind w:left="107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the Plan Documentation applicable to the Covered Individual, children may be covered:</w:t>
      </w:r>
    </w:p>
    <w:p>
      <w:pPr>
        <w:spacing w:after="0" w:line="187" w:lineRule="exact"/>
        <w:rPr>
          <w:rFonts w:ascii="Times New Roman" w:cs="Times New Roman" w:eastAsia="Times New Roman" w:hAnsi="Times New Roman"/>
          <w:sz w:val="16"/>
          <w:szCs w:val="16"/>
          <w:color w:val="auto"/>
        </w:rPr>
      </w:pPr>
    </w:p>
    <w:p>
      <w:pPr>
        <w:ind w:left="1575" w:hanging="497"/>
        <w:spacing w:after="0"/>
        <w:tabs>
          <w:tab w:leader="none" w:pos="1575" w:val="left"/>
        </w:tabs>
        <w:numPr>
          <w:ilvl w:val="2"/>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date on which they reach age 26,</w:t>
      </w:r>
    </w:p>
    <w:p>
      <w:pPr>
        <w:spacing w:after="0" w:line="197" w:lineRule="exact"/>
        <w:rPr>
          <w:rFonts w:ascii="Times New Roman" w:cs="Times New Roman" w:eastAsia="Times New Roman" w:hAnsi="Times New Roman"/>
          <w:sz w:val="16"/>
          <w:szCs w:val="16"/>
          <w:color w:val="auto"/>
        </w:rPr>
      </w:pPr>
    </w:p>
    <w:p>
      <w:pPr>
        <w:ind w:left="1595" w:right="240" w:hanging="517"/>
        <w:spacing w:after="0" w:line="254" w:lineRule="auto"/>
        <w:tabs>
          <w:tab w:leader="none" w:pos="1586" w:val="left"/>
        </w:tabs>
        <w:numPr>
          <w:ilvl w:val="2"/>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they are incapable of self-sustaining employment due to a mental or physical disability (as determined by the Plan Administrator) and are over age 26, provided (A) such incapacity of self-sustaining employment occurred before age 26, and (B) the child had creditable coverage immediately prior to coverage under a Booz Allen-sponsored benefits program.</w:t>
      </w:r>
    </w:p>
    <w:p>
      <w:pPr>
        <w:spacing w:after="0" w:line="169" w:lineRule="exact"/>
        <w:rPr>
          <w:sz w:val="20"/>
          <w:szCs w:val="20"/>
          <w:color w:val="auto"/>
        </w:rPr>
      </w:pPr>
    </w:p>
    <w:p>
      <w:pPr>
        <w:ind w:left="1075"/>
        <w:spacing w:after="0"/>
        <w:rPr>
          <w:sz w:val="20"/>
          <w:szCs w:val="20"/>
          <w:color w:val="auto"/>
        </w:rPr>
      </w:pPr>
      <w:r>
        <w:rPr>
          <w:rFonts w:ascii="Times New Roman" w:cs="Times New Roman" w:eastAsia="Times New Roman" w:hAnsi="Times New Roman"/>
          <w:sz w:val="16"/>
          <w:szCs w:val="16"/>
          <w:color w:val="auto"/>
        </w:rPr>
        <w:t>If both the Covered Individual and his or her spouse / Domestic Partner are Retirees, only one may elect to cover their Eligible Dependents.</w:t>
      </w:r>
    </w:p>
    <w:p>
      <w:pPr>
        <w:spacing w:after="0" w:line="187" w:lineRule="exact"/>
        <w:rPr>
          <w:sz w:val="20"/>
          <w:szCs w:val="20"/>
          <w:color w:val="auto"/>
        </w:rPr>
      </w:pPr>
    </w:p>
    <w:p>
      <w:pPr>
        <w:ind w:left="1075" w:right="280"/>
        <w:spacing w:after="0" w:line="273" w:lineRule="auto"/>
        <w:rPr>
          <w:sz w:val="20"/>
          <w:szCs w:val="20"/>
          <w:color w:val="auto"/>
        </w:rPr>
      </w:pPr>
      <w:r>
        <w:rPr>
          <w:rFonts w:ascii="Times New Roman" w:cs="Times New Roman" w:eastAsia="Times New Roman" w:hAnsi="Times New Roman"/>
          <w:sz w:val="16"/>
          <w:szCs w:val="16"/>
          <w:color w:val="auto"/>
        </w:rPr>
        <w:t>Coverage for an Eligible Dependent shall be effective on the date that the Retiree’s coverage is effective if such Eligible Dependent is enrolled when the Retiree enrolls in the Plan.</w:t>
      </w:r>
    </w:p>
    <w:p>
      <w:pPr>
        <w:spacing w:after="0" w:line="142" w:lineRule="exact"/>
        <w:rPr>
          <w:sz w:val="20"/>
          <w:szCs w:val="20"/>
          <w:color w:val="auto"/>
        </w:rPr>
      </w:pPr>
    </w:p>
    <w:p>
      <w:pPr>
        <w:ind w:left="235" w:hanging="235"/>
        <w:spacing w:after="0"/>
        <w:tabs>
          <w:tab w:leader="none" w:pos="235"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Enrollment and Disenrollment</w:t>
      </w:r>
    </w:p>
    <w:p>
      <w:pPr>
        <w:spacing w:after="0" w:line="199" w:lineRule="exact"/>
        <w:rPr>
          <w:rFonts w:ascii="Times New Roman" w:cs="Times New Roman" w:eastAsia="Times New Roman" w:hAnsi="Times New Roman"/>
          <w:sz w:val="16"/>
          <w:szCs w:val="16"/>
          <w:color w:val="auto"/>
        </w:rPr>
      </w:pPr>
    </w:p>
    <w:p>
      <w:pPr>
        <w:ind w:left="1075" w:right="220" w:hanging="506"/>
        <w:spacing w:after="0" w:line="273" w:lineRule="auto"/>
        <w:tabs>
          <w:tab w:leader="none" w:pos="1068"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Existing Covered Individuals</w:t>
      </w:r>
      <w:r>
        <w:rPr>
          <w:rFonts w:ascii="Times New Roman" w:cs="Times New Roman" w:eastAsia="Times New Roman" w:hAnsi="Times New Roman"/>
          <w:sz w:val="16"/>
          <w:szCs w:val="16"/>
          <w:color w:val="auto"/>
        </w:rPr>
        <w:t>. An individual who was covered under the Active Plan on December 31, 2023, and who is otherwise an Eligible Retiree or Eligible Dependent</w:t>
      </w:r>
    </w:p>
    <w:p>
      <w:pPr>
        <w:spacing w:after="0" w:line="200" w:lineRule="exact"/>
        <w:rPr>
          <w:sz w:val="20"/>
          <w:szCs w:val="20"/>
          <w:color w:val="auto"/>
        </w:rPr>
      </w:pPr>
    </w:p>
    <w:p>
      <w:pPr>
        <w:spacing w:after="0" w:line="400"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315"/>
          </w:cols>
          <w:pgMar w:left="245" w:top="1137" w:right="339" w:bottom="1440" w:gutter="0" w:footer="0" w:header="0"/>
        </w:sectPr>
      </w:pPr>
    </w:p>
    <w:bookmarkStart w:id="146" w:name="page147"/>
    <w:bookmarkEnd w:id="146"/>
    <w:p>
      <w:pPr>
        <w:ind w:left="1075"/>
        <w:spacing w:after="0"/>
        <w:rPr>
          <w:sz w:val="20"/>
          <w:szCs w:val="20"/>
          <w:color w:val="auto"/>
        </w:rPr>
      </w:pPr>
      <w:r>
        <w:rPr>
          <w:rFonts w:ascii="Times New Roman" w:cs="Times New Roman" w:eastAsia="Times New Roman" w:hAnsi="Times New Roman"/>
          <w:sz w:val="16"/>
          <w:szCs w:val="16"/>
          <w:color w:val="auto"/>
        </w:rPr>
        <w:t>under this Plan shall automatically become a Covered Individual in this Plan on January 1, 2024.</w:t>
      </w:r>
    </w:p>
    <w:p>
      <w:pPr>
        <w:spacing w:after="0" w:line="198" w:lineRule="exact"/>
        <w:rPr>
          <w:sz w:val="20"/>
          <w:szCs w:val="20"/>
          <w:color w:val="auto"/>
        </w:rPr>
      </w:pPr>
    </w:p>
    <w:p>
      <w:pPr>
        <w:ind w:left="1075" w:right="60" w:hanging="506"/>
        <w:spacing w:after="0" w:line="248" w:lineRule="auto"/>
        <w:tabs>
          <w:tab w:leader="none" w:pos="1066"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New Enrollment</w:t>
      </w:r>
      <w:r>
        <w:rPr>
          <w:rFonts w:ascii="Times New Roman" w:cs="Times New Roman" w:eastAsia="Times New Roman" w:hAnsi="Times New Roman"/>
          <w:sz w:val="16"/>
          <w:szCs w:val="16"/>
          <w:color w:val="auto"/>
        </w:rPr>
        <w:t>. Except as otherwise prescribed by the Plan Administrator, an Eligible Retiree must complete an enrollment form, including via electronic means, within the time specified by the Plan Administrator following the Eligible Retiree’s date of retirement. Coverage will be effective on the first day following the date of retirement. A Retiree who does not enroll for benefits when first eligible will not be permitted to enroll in the Plan at a later date. An Eligible Retiree who does not enroll his or her Eligible Dependent for benefits when first eligible will not be permitted to enroll his or her Eligible Dependent in the Plan at a later date. In addition, if an Eligible Retiree, subsequent to the date he or she is first eligible for the Plan, remarries, begins a Domestic Partnership, or has children, the Eligible Retiree may not enroll his or her new spouse, Domestic Partner, or child in the Plan at that later date.</w:t>
      </w:r>
    </w:p>
    <w:p>
      <w:pPr>
        <w:spacing w:after="0" w:line="164" w:lineRule="exact"/>
        <w:rPr>
          <w:rFonts w:ascii="Times New Roman" w:cs="Times New Roman" w:eastAsia="Times New Roman" w:hAnsi="Times New Roman"/>
          <w:sz w:val="16"/>
          <w:szCs w:val="16"/>
          <w:color w:val="auto"/>
        </w:rPr>
      </w:pPr>
    </w:p>
    <w:p>
      <w:pPr>
        <w:ind w:left="1075" w:hanging="506"/>
        <w:spacing w:after="0"/>
        <w:tabs>
          <w:tab w:leader="none" w:pos="1075"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Disenrollment</w:t>
      </w:r>
      <w:r>
        <w:rPr>
          <w:rFonts w:ascii="Times New Roman" w:cs="Times New Roman" w:eastAsia="Times New Roman" w:hAnsi="Times New Roman"/>
          <w:sz w:val="16"/>
          <w:szCs w:val="16"/>
          <w:color w:val="auto"/>
        </w:rPr>
        <w:t>.</w:t>
      </w:r>
    </w:p>
    <w:p>
      <w:pPr>
        <w:spacing w:after="0" w:line="197" w:lineRule="exact"/>
        <w:rPr>
          <w:rFonts w:ascii="Times New Roman" w:cs="Times New Roman" w:eastAsia="Times New Roman" w:hAnsi="Times New Roman"/>
          <w:sz w:val="16"/>
          <w:szCs w:val="16"/>
          <w:color w:val="auto"/>
        </w:rPr>
      </w:pPr>
    </w:p>
    <w:p>
      <w:pPr>
        <w:ind w:left="1595" w:right="320" w:hanging="517"/>
        <w:spacing w:after="0" w:line="307" w:lineRule="auto"/>
        <w:tabs>
          <w:tab w:leader="none" w:pos="1586"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Retiree coverage</w:t>
      </w:r>
      <w:r>
        <w:rPr>
          <w:rFonts w:ascii="Times New Roman" w:cs="Times New Roman" w:eastAsia="Times New Roman" w:hAnsi="Times New Roman"/>
          <w:sz w:val="14"/>
          <w:szCs w:val="14"/>
          <w:color w:val="auto"/>
        </w:rPr>
        <w:t>. An Eligible Retiree shall be permitted to drop Plan coverage at any time by submitting a written request to the Plan Administrator. Coverage for an Eligible Retiree and his or her Eligible Dependents shall terminate on the effective date on which the written request is received. In the event an Eligible Retiree drops coverage, such Eligible Retiree shall not be permitted to subsequently re-enroll in Plan coverage.</w:t>
      </w:r>
    </w:p>
    <w:p>
      <w:pPr>
        <w:spacing w:after="0" w:line="135" w:lineRule="exact"/>
        <w:rPr>
          <w:rFonts w:ascii="Times New Roman" w:cs="Times New Roman" w:eastAsia="Times New Roman" w:hAnsi="Times New Roman"/>
          <w:sz w:val="14"/>
          <w:szCs w:val="14"/>
          <w:color w:val="auto"/>
        </w:rPr>
      </w:pPr>
    </w:p>
    <w:p>
      <w:pPr>
        <w:ind w:left="1595" w:right="160" w:hanging="517"/>
        <w:spacing w:after="0" w:line="307" w:lineRule="auto"/>
        <w:tabs>
          <w:tab w:leader="none" w:pos="1586"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Dependent coverage</w:t>
      </w:r>
      <w:r>
        <w:rPr>
          <w:rFonts w:ascii="Times New Roman" w:cs="Times New Roman" w:eastAsia="Times New Roman" w:hAnsi="Times New Roman"/>
          <w:sz w:val="14"/>
          <w:szCs w:val="14"/>
          <w:color w:val="auto"/>
        </w:rPr>
        <w:t>. A Participant shall be permitted to drop coverage for his or her Eligible Dependent at any time by submitting a written request to the Plan Administrator. Dependent coverage shall end on the effective date on which the written request is received. In the event an Eligible Dependent is dropped from coverage, the Participant or Eligible Dependent shall not be permitted to subsequently re-enroll such Eligible Dependent in Plan coverage.</w:t>
      </w:r>
    </w:p>
    <w:p>
      <w:pPr>
        <w:spacing w:after="0" w:line="124" w:lineRule="exact"/>
        <w:rPr>
          <w:rFonts w:ascii="Times New Roman" w:cs="Times New Roman" w:eastAsia="Times New Roman" w:hAnsi="Times New Roman"/>
          <w:sz w:val="14"/>
          <w:szCs w:val="14"/>
          <w:color w:val="auto"/>
        </w:rPr>
      </w:pPr>
    </w:p>
    <w:p>
      <w:pPr>
        <w:ind w:left="1595" w:right="60"/>
        <w:spacing w:after="0" w:line="27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 the event a dependent is no longer eligible for Plan coverage, such dependent shall be automatically dropped from coverage. In that event, coverage shall end on the effective date on which such dependent no longer meets the Plan’s eligibility requirements.</w:t>
      </w:r>
    </w:p>
    <w:p>
      <w:pPr>
        <w:spacing w:after="0" w:line="154" w:lineRule="exact"/>
        <w:rPr>
          <w:rFonts w:ascii="Times New Roman" w:cs="Times New Roman" w:eastAsia="Times New Roman" w:hAnsi="Times New Roman"/>
          <w:sz w:val="14"/>
          <w:szCs w:val="14"/>
          <w:color w:val="auto"/>
        </w:rPr>
      </w:pPr>
    </w:p>
    <w:p>
      <w:pPr>
        <w:ind w:left="1595"/>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 the event of an Eligible Retiree’s death, if an Eligible Retiree’s legally-married spouse was a Covered Individual at the time of such Eligible Retiree’s death, his or her legally-married spouse may continue retiree coverage (including coverage for any covered children) under the Plan, provided that such Covered Individuals remain eligible under the terms of the Plan. The specific conditions for continuing coverage under the Plan shall depend on the terms of the Plan Documentation applicable to the Eligible Retiree’s former Employer.</w:t>
      </w:r>
    </w:p>
    <w:p>
      <w:pPr>
        <w:spacing w:after="0" w:line="174" w:lineRule="exact"/>
        <w:rPr>
          <w:sz w:val="20"/>
          <w:szCs w:val="20"/>
          <w:color w:val="auto"/>
        </w:rPr>
      </w:pPr>
    </w:p>
    <w:p>
      <w:pPr>
        <w:ind w:left="235" w:hanging="235"/>
        <w:spacing w:after="0"/>
        <w:tabs>
          <w:tab w:leader="none" w:pos="235"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Continuation of Coverage under COBRA</w:t>
      </w:r>
    </w:p>
    <w:p>
      <w:pPr>
        <w:spacing w:after="0" w:line="189" w:lineRule="exact"/>
        <w:rPr>
          <w:rFonts w:ascii="Times New Roman" w:cs="Times New Roman" w:eastAsia="Times New Roman" w:hAnsi="Times New Roman"/>
          <w:sz w:val="16"/>
          <w:szCs w:val="16"/>
          <w:color w:val="auto"/>
        </w:rPr>
      </w:pPr>
    </w:p>
    <w:p>
      <w:pPr>
        <w:ind w:left="1075" w:right="480" w:hanging="506"/>
        <w:spacing w:after="0" w:line="273" w:lineRule="auto"/>
        <w:tabs>
          <w:tab w:leader="none" w:pos="1068"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Covered Individual may elect to continue coverage under a Health Benefit Option to the extent such continuation is required by the Consolidated Omnibus Budget Reconciliation Act of 1985, as amended, (“COBRA”), and in accordance with the terms and conditions of</w:t>
      </w:r>
    </w:p>
    <w:p>
      <w:pPr>
        <w:spacing w:after="0" w:line="200" w:lineRule="exact"/>
        <w:rPr>
          <w:sz w:val="20"/>
          <w:szCs w:val="20"/>
          <w:color w:val="auto"/>
        </w:rPr>
      </w:pPr>
    </w:p>
    <w:p>
      <w:pPr>
        <w:spacing w:after="0" w:line="400" w:lineRule="exact"/>
        <w:rPr>
          <w:sz w:val="20"/>
          <w:szCs w:val="20"/>
          <w:color w:val="auto"/>
        </w:rPr>
      </w:pPr>
    </w:p>
    <w:p>
      <w:pPr>
        <w:jc w:val="center"/>
        <w:ind w:right="-54"/>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335"/>
          </w:cols>
          <w:pgMar w:left="245" w:top="1139" w:right="319" w:bottom="1440" w:gutter="0" w:footer="0" w:header="0"/>
        </w:sectPr>
      </w:pPr>
    </w:p>
    <w:bookmarkStart w:id="147" w:name="page148"/>
    <w:bookmarkEnd w:id="147"/>
    <w:p>
      <w:pPr>
        <w:ind w:left="506" w:right="540"/>
        <w:spacing w:after="0" w:line="346" w:lineRule="auto"/>
        <w:rPr>
          <w:sz w:val="20"/>
          <w:szCs w:val="20"/>
          <w:color w:val="auto"/>
        </w:rPr>
      </w:pPr>
      <w:r>
        <w:rPr>
          <w:rFonts w:ascii="Times New Roman" w:cs="Times New Roman" w:eastAsia="Times New Roman" w:hAnsi="Times New Roman"/>
          <w:sz w:val="14"/>
          <w:szCs w:val="14"/>
          <w:color w:val="auto"/>
        </w:rPr>
        <w:t>benefit coverage continuation provided by COBRA and this Section 2.03. If there is any change in the law governing the continuation coverage required by COBRA that would render any provision of this Section 2.03 inconsistent with such law, the provisions of the law shall supersede these provisions.</w:t>
      </w:r>
    </w:p>
    <w:p>
      <w:pPr>
        <w:spacing w:after="0" w:line="98" w:lineRule="exact"/>
        <w:rPr>
          <w:sz w:val="20"/>
          <w:szCs w:val="20"/>
          <w:color w:val="auto"/>
        </w:rPr>
      </w:pPr>
    </w:p>
    <w:p>
      <w:pPr>
        <w:ind w:left="506" w:hanging="506"/>
        <w:spacing w:after="0"/>
        <w:tabs>
          <w:tab w:leader="none" w:pos="506"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Section 2.03, the following terms shall have the meaning set forth below unless a contrary meaning is clearly indicated:</w:t>
      </w:r>
    </w:p>
    <w:p>
      <w:pPr>
        <w:spacing w:after="0" w:line="197" w:lineRule="exact"/>
        <w:rPr>
          <w:rFonts w:ascii="Times New Roman" w:cs="Times New Roman" w:eastAsia="Times New Roman" w:hAnsi="Times New Roman"/>
          <w:sz w:val="16"/>
          <w:szCs w:val="16"/>
          <w:color w:val="auto"/>
        </w:rPr>
      </w:pPr>
    </w:p>
    <w:p>
      <w:pPr>
        <w:ind w:left="1006" w:hanging="497"/>
        <w:spacing w:after="0"/>
        <w:tabs>
          <w:tab w:leader="none" w:pos="1006"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“Covered Retiree” means a Retiree who is or had been enrolled in a Health Benefit Option.”</w:t>
      </w:r>
    </w:p>
    <w:p>
      <w:pPr>
        <w:spacing w:after="0" w:line="166" w:lineRule="exact"/>
        <w:rPr>
          <w:rFonts w:ascii="Times New Roman" w:cs="Times New Roman" w:eastAsia="Times New Roman" w:hAnsi="Times New Roman"/>
          <w:sz w:val="16"/>
          <w:szCs w:val="16"/>
          <w:color w:val="auto"/>
        </w:rPr>
      </w:pPr>
    </w:p>
    <w:p>
      <w:pPr>
        <w:ind w:left="1026" w:right="80" w:hanging="517"/>
        <w:spacing w:after="0" w:line="261" w:lineRule="auto"/>
        <w:tabs>
          <w:tab w:leader="none" w:pos="1016"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“Election Period” means the period beginning on the date a Qualified Beneficiary’s coverage under a Health Benefit Option terminates due to a Qualifying Event and ending 60 days after the later of such date or the date the Qualified Beneficiary is notified of his or her rights under this Section 2.03 regarding the Qualifying Event.</w:t>
      </w:r>
    </w:p>
    <w:p>
      <w:pPr>
        <w:spacing w:after="0" w:line="153" w:lineRule="exact"/>
        <w:rPr>
          <w:rFonts w:ascii="Times New Roman" w:cs="Times New Roman" w:eastAsia="Times New Roman" w:hAnsi="Times New Roman"/>
          <w:sz w:val="16"/>
          <w:szCs w:val="16"/>
          <w:color w:val="auto"/>
        </w:rPr>
      </w:pPr>
    </w:p>
    <w:p>
      <w:pPr>
        <w:ind w:left="1006" w:hanging="497"/>
        <w:spacing w:after="0"/>
        <w:tabs>
          <w:tab w:leader="none" w:pos="1006"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“Qualified Beneficiary” means any individual who is covered under a Health Benefit Option on the day before a Qualifying Event as the:</w:t>
      </w:r>
    </w:p>
    <w:p>
      <w:pPr>
        <w:spacing w:after="0" w:line="197" w:lineRule="exact"/>
        <w:rPr>
          <w:rFonts w:ascii="Times New Roman" w:cs="Times New Roman" w:eastAsia="Times New Roman" w:hAnsi="Times New Roman"/>
          <w:sz w:val="16"/>
          <w:szCs w:val="16"/>
          <w:color w:val="auto"/>
        </w:rPr>
      </w:pPr>
    </w:p>
    <w:p>
      <w:pPr>
        <w:ind w:left="1526" w:hanging="507"/>
        <w:spacing w:after="0"/>
        <w:tabs>
          <w:tab w:leader="none" w:pos="1526" w:val="left"/>
        </w:tabs>
        <w:numPr>
          <w:ilvl w:val="2"/>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Covered Retiree;</w:t>
      </w:r>
    </w:p>
    <w:p>
      <w:pPr>
        <w:spacing w:after="0" w:line="166" w:lineRule="exact"/>
        <w:rPr>
          <w:rFonts w:ascii="Times New Roman" w:cs="Times New Roman" w:eastAsia="Times New Roman" w:hAnsi="Times New Roman"/>
          <w:sz w:val="16"/>
          <w:szCs w:val="16"/>
          <w:color w:val="auto"/>
        </w:rPr>
      </w:pPr>
    </w:p>
    <w:p>
      <w:pPr>
        <w:ind w:left="1526" w:hanging="507"/>
        <w:spacing w:after="0"/>
        <w:tabs>
          <w:tab w:leader="none" w:pos="1526" w:val="left"/>
        </w:tabs>
        <w:numPr>
          <w:ilvl w:val="2"/>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Spouse of a Covered Retiree;</w:t>
      </w:r>
    </w:p>
    <w:p>
      <w:pPr>
        <w:spacing w:after="0" w:line="176" w:lineRule="exact"/>
        <w:rPr>
          <w:rFonts w:ascii="Times New Roman" w:cs="Times New Roman" w:eastAsia="Times New Roman" w:hAnsi="Times New Roman"/>
          <w:sz w:val="16"/>
          <w:szCs w:val="16"/>
          <w:color w:val="auto"/>
        </w:rPr>
      </w:pPr>
    </w:p>
    <w:p>
      <w:pPr>
        <w:ind w:left="1526" w:hanging="507"/>
        <w:spacing w:after="0"/>
        <w:tabs>
          <w:tab w:leader="none" w:pos="1526" w:val="left"/>
        </w:tabs>
        <w:numPr>
          <w:ilvl w:val="2"/>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Dependent child of the Covered Retiree; or</w:t>
      </w:r>
    </w:p>
    <w:p>
      <w:pPr>
        <w:spacing w:after="0" w:line="176" w:lineRule="exact"/>
        <w:rPr>
          <w:rFonts w:ascii="Times New Roman" w:cs="Times New Roman" w:eastAsia="Times New Roman" w:hAnsi="Times New Roman"/>
          <w:sz w:val="16"/>
          <w:szCs w:val="16"/>
          <w:color w:val="auto"/>
        </w:rPr>
      </w:pPr>
    </w:p>
    <w:p>
      <w:pPr>
        <w:ind w:left="1526" w:hanging="507"/>
        <w:spacing w:after="0"/>
        <w:tabs>
          <w:tab w:leader="none" w:pos="1526" w:val="left"/>
        </w:tabs>
        <w:numPr>
          <w:ilvl w:val="2"/>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Surviving Spouse of the Covered Retiree for purposes of Section 2.03(b)(4)(E) only.</w:t>
      </w:r>
    </w:p>
    <w:p>
      <w:pPr>
        <w:spacing w:after="0" w:line="187" w:lineRule="exact"/>
        <w:rPr>
          <w:sz w:val="20"/>
          <w:szCs w:val="20"/>
          <w:color w:val="auto"/>
        </w:rPr>
      </w:pPr>
    </w:p>
    <w:p>
      <w:pPr>
        <w:ind w:left="1026" w:right="360" w:hanging="706"/>
        <w:spacing w:after="0" w:line="273" w:lineRule="auto"/>
        <w:rPr>
          <w:sz w:val="20"/>
          <w:szCs w:val="20"/>
          <w:color w:val="auto"/>
        </w:rPr>
      </w:pPr>
      <w:r>
        <w:rPr>
          <w:rFonts w:ascii="Times New Roman" w:cs="Times New Roman" w:eastAsia="Times New Roman" w:hAnsi="Times New Roman"/>
          <w:sz w:val="16"/>
          <w:szCs w:val="16"/>
          <w:color w:val="auto"/>
        </w:rPr>
        <w:t>Qualified Beneficiary also includes any child who is born to, or who is adopted by or placed for adoption with the Covered Retiree while the Covered Retiree has COBRA continuation coverage and who has been Enrolled for coverage while that coverage is in effect.</w:t>
      </w:r>
    </w:p>
    <w:p>
      <w:pPr>
        <w:spacing w:after="0" w:line="144" w:lineRule="exact"/>
        <w:rPr>
          <w:sz w:val="20"/>
          <w:szCs w:val="20"/>
          <w:color w:val="auto"/>
        </w:rPr>
      </w:pPr>
    </w:p>
    <w:p>
      <w:pPr>
        <w:ind w:left="1026" w:right="620"/>
        <w:spacing w:after="0" w:line="273" w:lineRule="auto"/>
        <w:rPr>
          <w:sz w:val="20"/>
          <w:szCs w:val="20"/>
          <w:color w:val="auto"/>
        </w:rPr>
      </w:pPr>
      <w:r>
        <w:rPr>
          <w:rFonts w:ascii="Times New Roman" w:cs="Times New Roman" w:eastAsia="Times New Roman" w:hAnsi="Times New Roman"/>
          <w:sz w:val="16"/>
          <w:szCs w:val="16"/>
          <w:color w:val="auto"/>
        </w:rPr>
        <w:t>Solely for purposes of this Section 2.03, the term “Spouse” shall include a Covered Retiree’s legally married spouse and Domestic Partner and the dependent child of a Covered Retiree shall include the dependent child of the Covered Retiree’s Domestic Partner.</w:t>
      </w:r>
    </w:p>
    <w:p>
      <w:pPr>
        <w:spacing w:after="0" w:line="154" w:lineRule="exact"/>
        <w:rPr>
          <w:sz w:val="20"/>
          <w:szCs w:val="20"/>
          <w:color w:val="auto"/>
        </w:rPr>
      </w:pPr>
    </w:p>
    <w:p>
      <w:pPr>
        <w:ind w:left="1006" w:hanging="497"/>
        <w:spacing w:after="0"/>
        <w:tabs>
          <w:tab w:leader="none" w:pos="1006"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“Qualifying Event” means any of the following events which results in a Qualified Beneficiary losing coverage under a Health Benefit Option:</w:t>
      </w:r>
    </w:p>
    <w:p>
      <w:pPr>
        <w:spacing w:after="0" w:line="166" w:lineRule="exact"/>
        <w:rPr>
          <w:rFonts w:ascii="Times New Roman" w:cs="Times New Roman" w:eastAsia="Times New Roman" w:hAnsi="Times New Roman"/>
          <w:sz w:val="16"/>
          <w:szCs w:val="16"/>
          <w:color w:val="auto"/>
        </w:rPr>
      </w:pPr>
    </w:p>
    <w:p>
      <w:pPr>
        <w:ind w:left="1526" w:right="380" w:hanging="507"/>
        <w:spacing w:after="0" w:line="273" w:lineRule="auto"/>
        <w:tabs>
          <w:tab w:leader="none" w:pos="1519"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 Qualified Beneficiary who is the spouse or dependent of a Covered Retiree, the death of the Covered Retiree, but only to the extent such spouse or dependent loses coverage under the terms of the Health Benefit Option;</w:t>
      </w:r>
    </w:p>
    <w:p>
      <w:pPr>
        <w:spacing w:after="0" w:line="122" w:lineRule="exact"/>
        <w:rPr>
          <w:rFonts w:ascii="Times New Roman" w:cs="Times New Roman" w:eastAsia="Times New Roman" w:hAnsi="Times New Roman"/>
          <w:sz w:val="16"/>
          <w:szCs w:val="16"/>
          <w:color w:val="auto"/>
        </w:rPr>
      </w:pPr>
    </w:p>
    <w:p>
      <w:pPr>
        <w:ind w:left="1526" w:hanging="507"/>
        <w:spacing w:after="0" w:line="273" w:lineRule="auto"/>
        <w:tabs>
          <w:tab w:leader="none" w:pos="1521"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 Qualified Beneficiary who is the Spouse or dependent child of a Participant, the divorce or legal separation of the Covered Retiree and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54"/>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726"/>
          </w:cols>
          <w:pgMar w:left="814" w:top="1139" w:right="359" w:bottom="1440" w:gutter="0" w:footer="0" w:header="0"/>
        </w:sectPr>
      </w:pPr>
    </w:p>
    <w:bookmarkStart w:id="148" w:name="page149"/>
    <w:bookmarkEnd w:id="148"/>
    <w:p>
      <w:pPr>
        <w:ind w:left="1526"/>
        <w:spacing w:after="0"/>
        <w:rPr>
          <w:sz w:val="20"/>
          <w:szCs w:val="20"/>
          <w:color w:val="auto"/>
        </w:rPr>
      </w:pPr>
      <w:r>
        <w:rPr>
          <w:rFonts w:ascii="Times New Roman" w:cs="Times New Roman" w:eastAsia="Times New Roman" w:hAnsi="Times New Roman"/>
          <w:sz w:val="16"/>
          <w:szCs w:val="16"/>
          <w:color w:val="auto"/>
        </w:rPr>
        <w:t>his or her spouse or the dissolution of the domestic partnership between the Covered Retiree and his or her Domestic Partner;</w:t>
      </w:r>
    </w:p>
    <w:p>
      <w:pPr>
        <w:spacing w:after="0" w:line="177" w:lineRule="exact"/>
        <w:rPr>
          <w:sz w:val="20"/>
          <w:szCs w:val="20"/>
          <w:color w:val="auto"/>
        </w:rPr>
      </w:pPr>
    </w:p>
    <w:p>
      <w:pPr>
        <w:ind w:left="1526" w:right="400" w:hanging="507"/>
        <w:spacing w:after="0" w:line="259" w:lineRule="auto"/>
        <w:tabs>
          <w:tab w:leader="none" w:pos="1521" w:val="left"/>
        </w:tabs>
        <w:numPr>
          <w:ilvl w:val="2"/>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 Qualified Beneficiary who is the Spouse or dependent child of a Covered Retiree, the Covered Retiree becoming entitled to benefits under Title XVIII of the Social Security Act (Medicare);</w:t>
      </w:r>
    </w:p>
    <w:p>
      <w:pPr>
        <w:spacing w:after="0" w:line="143" w:lineRule="exact"/>
        <w:rPr>
          <w:rFonts w:ascii="Times New Roman" w:cs="Times New Roman" w:eastAsia="Times New Roman" w:hAnsi="Times New Roman"/>
          <w:sz w:val="16"/>
          <w:szCs w:val="16"/>
          <w:color w:val="auto"/>
        </w:rPr>
      </w:pPr>
    </w:p>
    <w:p>
      <w:pPr>
        <w:ind w:left="1526" w:right="260" w:hanging="507"/>
        <w:spacing w:after="0" w:line="259" w:lineRule="auto"/>
        <w:tabs>
          <w:tab w:leader="none" w:pos="1519" w:val="left"/>
        </w:tabs>
        <w:numPr>
          <w:ilvl w:val="2"/>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 Qualified Beneficiary who is the dependent child of a Covered Retiree, such dependent child ceasing to qualify as an Eligible Dependent under the terms of the Plan; or</w:t>
      </w:r>
    </w:p>
    <w:p>
      <w:pPr>
        <w:spacing w:after="0" w:line="143" w:lineRule="exact"/>
        <w:rPr>
          <w:rFonts w:ascii="Times New Roman" w:cs="Times New Roman" w:eastAsia="Times New Roman" w:hAnsi="Times New Roman"/>
          <w:sz w:val="16"/>
          <w:szCs w:val="16"/>
          <w:color w:val="auto"/>
        </w:rPr>
      </w:pPr>
    </w:p>
    <w:p>
      <w:pPr>
        <w:ind w:left="1526" w:hanging="507"/>
        <w:spacing w:after="0"/>
        <w:tabs>
          <w:tab w:leader="none" w:pos="1526" w:val="left"/>
        </w:tabs>
        <w:numPr>
          <w:ilvl w:val="2"/>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commencing bankruptcy proceedings under Title 11, United States Code.</w:t>
      </w:r>
    </w:p>
    <w:p>
      <w:pPr>
        <w:spacing w:after="0" w:line="176" w:lineRule="exact"/>
        <w:rPr>
          <w:rFonts w:ascii="Times New Roman" w:cs="Times New Roman" w:eastAsia="Times New Roman" w:hAnsi="Times New Roman"/>
          <w:sz w:val="16"/>
          <w:szCs w:val="16"/>
          <w:color w:val="auto"/>
        </w:rPr>
      </w:pPr>
    </w:p>
    <w:p>
      <w:pPr>
        <w:ind w:left="506" w:right="260" w:hanging="506"/>
        <w:spacing w:after="0" w:line="259" w:lineRule="auto"/>
        <w:tabs>
          <w:tab w:leader="none" w:pos="49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Qualified Beneficiary who would lose coverage under a Health Benefit Option due to a Qualifying Event may elect continuation coverage under such Health Benefit Option during the Election Period from the date of the Qualifying Event to the earliest of:</w:t>
      </w:r>
    </w:p>
    <w:p>
      <w:pPr>
        <w:spacing w:after="0" w:line="165" w:lineRule="exact"/>
        <w:rPr>
          <w:rFonts w:ascii="Times New Roman" w:cs="Times New Roman" w:eastAsia="Times New Roman" w:hAnsi="Times New Roman"/>
          <w:sz w:val="16"/>
          <w:szCs w:val="16"/>
          <w:color w:val="auto"/>
        </w:rPr>
      </w:pPr>
    </w:p>
    <w:p>
      <w:pPr>
        <w:ind w:left="1026" w:right="80" w:hanging="517"/>
        <w:spacing w:after="0" w:line="259" w:lineRule="auto"/>
        <w:tabs>
          <w:tab w:leader="none" w:pos="1016"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 Qualified Beneficiary who is not the Covered Retiree, the date which is 36 months after the date of the Qualifying Event except an event described in Section 2.03(b)(4)(E);</w:t>
      </w:r>
    </w:p>
    <w:p>
      <w:pPr>
        <w:spacing w:after="0" w:line="165" w:lineRule="exact"/>
        <w:rPr>
          <w:rFonts w:ascii="Times New Roman" w:cs="Times New Roman" w:eastAsia="Times New Roman" w:hAnsi="Times New Roman"/>
          <w:sz w:val="16"/>
          <w:szCs w:val="16"/>
          <w:color w:val="auto"/>
        </w:rPr>
      </w:pPr>
    </w:p>
    <w:p>
      <w:pPr>
        <w:ind w:left="1026" w:hanging="517"/>
        <w:spacing w:after="0" w:line="273" w:lineRule="auto"/>
        <w:tabs>
          <w:tab w:leader="none" w:pos="1016"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Qualifying Event described in Section 2.03(b)(4)(E), the date of death of the Covered Retiree or Qualified Beneficiary, or, in the case of the Eligible Dependent child of a Covered Retiree or a covered surviving Spouse, the date which is 36 months after the Covered Retiree’s death;</w:t>
      </w:r>
    </w:p>
    <w:p>
      <w:pPr>
        <w:spacing w:after="0" w:line="143" w:lineRule="exact"/>
        <w:rPr>
          <w:rFonts w:ascii="Times New Roman" w:cs="Times New Roman" w:eastAsia="Times New Roman" w:hAnsi="Times New Roman"/>
          <w:sz w:val="16"/>
          <w:szCs w:val="16"/>
          <w:color w:val="auto"/>
        </w:rPr>
      </w:pPr>
    </w:p>
    <w:p>
      <w:pPr>
        <w:ind w:left="1046" w:hanging="537"/>
        <w:spacing w:after="0"/>
        <w:tabs>
          <w:tab w:leader="none" w:pos="1046"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the Company ceases to provide health coverage under the Plan;</w:t>
      </w:r>
    </w:p>
    <w:p>
      <w:pPr>
        <w:spacing w:after="0" w:line="197" w:lineRule="exact"/>
        <w:rPr>
          <w:rFonts w:ascii="Times New Roman" w:cs="Times New Roman" w:eastAsia="Times New Roman" w:hAnsi="Times New Roman"/>
          <w:sz w:val="16"/>
          <w:szCs w:val="16"/>
          <w:color w:val="auto"/>
        </w:rPr>
      </w:pPr>
    </w:p>
    <w:p>
      <w:pPr>
        <w:ind w:left="1006" w:hanging="497"/>
        <w:spacing w:after="0"/>
        <w:tabs>
          <w:tab w:leader="none" w:pos="1006"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coverage ceases due to failure of the Qualified Beneficiary to make timely premium payments;</w:t>
      </w:r>
    </w:p>
    <w:p>
      <w:pPr>
        <w:spacing w:after="0" w:line="187" w:lineRule="exact"/>
        <w:rPr>
          <w:rFonts w:ascii="Times New Roman" w:cs="Times New Roman" w:eastAsia="Times New Roman" w:hAnsi="Times New Roman"/>
          <w:sz w:val="16"/>
          <w:szCs w:val="16"/>
          <w:color w:val="auto"/>
        </w:rPr>
      </w:pPr>
    </w:p>
    <w:p>
      <w:pPr>
        <w:ind w:left="1026" w:right="240" w:hanging="517"/>
        <w:spacing w:after="0" w:line="273" w:lineRule="auto"/>
        <w:tabs>
          <w:tab w:leader="none" w:pos="1016"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after the Qualified Beneficiary’s election of COBRA continuation coverage, the Qualified Beneficiary first becomes entitled to benefits under Title XVIII of the Social Security Act; or</w:t>
      </w:r>
    </w:p>
    <w:p>
      <w:pPr>
        <w:spacing w:after="0" w:line="154" w:lineRule="exact"/>
        <w:rPr>
          <w:rFonts w:ascii="Times New Roman" w:cs="Times New Roman" w:eastAsia="Times New Roman" w:hAnsi="Times New Roman"/>
          <w:sz w:val="16"/>
          <w:szCs w:val="16"/>
          <w:color w:val="auto"/>
        </w:rPr>
      </w:pPr>
    </w:p>
    <w:p>
      <w:pPr>
        <w:ind w:left="1026" w:right="280" w:hanging="517"/>
        <w:spacing w:after="0" w:line="259" w:lineRule="auto"/>
        <w:tabs>
          <w:tab w:leader="none" w:pos="1016"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after the Qualified Beneficiary’s election of COBRA continuation coverage, the Qualified Beneficiary first becomes covered under any other group health plan which does not contain any exclusion or limitation with respect to pre-existing condition of such Qualified Beneficiary.</w:t>
      </w:r>
    </w:p>
    <w:p>
      <w:pPr>
        <w:spacing w:after="0" w:line="165" w:lineRule="exact"/>
        <w:rPr>
          <w:rFonts w:ascii="Times New Roman" w:cs="Times New Roman" w:eastAsia="Times New Roman" w:hAnsi="Times New Roman"/>
          <w:sz w:val="16"/>
          <w:szCs w:val="16"/>
          <w:color w:val="auto"/>
        </w:rPr>
      </w:pPr>
    </w:p>
    <w:p>
      <w:pPr>
        <w:ind w:left="506" w:hanging="506"/>
        <w:spacing w:after="0"/>
        <w:tabs>
          <w:tab w:leader="none" w:pos="506"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Obligations of Plan Administrator</w:t>
      </w:r>
    </w:p>
    <w:p>
      <w:pPr>
        <w:spacing w:after="0" w:line="187" w:lineRule="exact"/>
        <w:rPr>
          <w:rFonts w:ascii="Times New Roman" w:cs="Times New Roman" w:eastAsia="Times New Roman" w:hAnsi="Times New Roman"/>
          <w:sz w:val="16"/>
          <w:szCs w:val="16"/>
          <w:color w:val="auto"/>
        </w:rPr>
      </w:pPr>
    </w:p>
    <w:p>
      <w:pPr>
        <w:jc w:val="both"/>
        <w:ind w:left="1026" w:hanging="517"/>
        <w:spacing w:after="0" w:line="254" w:lineRule="auto"/>
        <w:tabs>
          <w:tab w:leader="none" w:pos="1016"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Administrator shall provide a Covered Retiree and the Covered Retiree’s covered Spouse with the notice described in 29 CFR Section 2590.606-1 not later than the earlier of: (a) the date that is 90 days after the date on which such individual’s coverage under the Plan commences or (b) the first date on which the Plan Administrator is required to furnish the Covered Retiree,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-1739900</wp:posOffset>
            </wp:positionV>
            <wp:extent cx="2476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1">
                      <a:extLst>
                        <a:ext uri="{28A0092B-C50C-407E-A947-70E740481C1C}"/>
                      </a:extLst>
                    </a:blip>
                    <a:srcRect/>
                    <a:stretch>
                      <a:fillRect/>
                    </a:stretch>
                  </pic:blipFill>
                  <pic:spPr bwMode="auto">
                    <a:xfrm>
                      <a:off x="0" y="0"/>
                      <a:ext cx="24765" cy="698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686"/>
          </w:cols>
          <w:pgMar w:left="814" w:top="1139" w:right="399" w:bottom="1440" w:gutter="0" w:footer="0" w:header="0"/>
        </w:sectPr>
      </w:pPr>
    </w:p>
    <w:bookmarkStart w:id="149" w:name="page150"/>
    <w:bookmarkEnd w:id="149"/>
    <w:p>
      <w:pPr>
        <w:ind w:left="1026"/>
        <w:spacing w:after="0"/>
        <w:rPr>
          <w:sz w:val="20"/>
          <w:szCs w:val="20"/>
          <w:color w:val="auto"/>
        </w:rPr>
      </w:pPr>
      <w:r>
        <w:rPr>
          <w:rFonts w:ascii="Times New Roman" w:cs="Times New Roman" w:eastAsia="Times New Roman" w:hAnsi="Times New Roman"/>
          <w:sz w:val="16"/>
          <w:szCs w:val="16"/>
          <w:color w:val="auto"/>
        </w:rPr>
        <w:t>Spouse or dependent child of such Covered Retiree with the notice described in Section 2.03(d)(4) below.</w:t>
      </w:r>
    </w:p>
    <w:p>
      <w:pPr>
        <w:spacing w:after="0" w:line="198" w:lineRule="exact"/>
        <w:rPr>
          <w:sz w:val="20"/>
          <w:szCs w:val="20"/>
          <w:color w:val="auto"/>
        </w:rPr>
      </w:pPr>
    </w:p>
    <w:p>
      <w:pPr>
        <w:ind w:left="1026" w:right="540" w:hanging="517"/>
        <w:spacing w:after="0" w:line="259" w:lineRule="auto"/>
        <w:tabs>
          <w:tab w:leader="none" w:pos="1016"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44 days following the date that a Qualifying Event described in Sections 2.03(b)(4)(C) or (E) occurs, the Plan Administrator shall notify the Participant and each Eligible Dependent of the Participant of the right to continue coverage under Section 2.03.</w:t>
      </w:r>
    </w:p>
    <w:p>
      <w:pPr>
        <w:spacing w:after="0" w:line="165" w:lineRule="exact"/>
        <w:rPr>
          <w:rFonts w:ascii="Times New Roman" w:cs="Times New Roman" w:eastAsia="Times New Roman" w:hAnsi="Times New Roman"/>
          <w:sz w:val="16"/>
          <w:szCs w:val="16"/>
          <w:color w:val="auto"/>
        </w:rPr>
      </w:pPr>
    </w:p>
    <w:p>
      <w:pPr>
        <w:ind w:left="1026" w:right="160" w:hanging="517"/>
        <w:spacing w:after="0" w:line="254" w:lineRule="auto"/>
        <w:tabs>
          <w:tab w:leader="none" w:pos="1016"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Administrator shall notify each Eligible Dependent of the right to continue coverage within 14 days following receipt of a timely notice of a Qualifying Event described in Section 2.03(b)(4)(B) and (D) respectively. Notification to the Spouse of the Participant shall be deemed notification to all other Eligible Dependents of the Participant.</w:t>
      </w:r>
    </w:p>
    <w:p>
      <w:pPr>
        <w:spacing w:after="0" w:line="169" w:lineRule="exact"/>
        <w:rPr>
          <w:rFonts w:ascii="Times New Roman" w:cs="Times New Roman" w:eastAsia="Times New Roman" w:hAnsi="Times New Roman"/>
          <w:sz w:val="16"/>
          <w:szCs w:val="16"/>
          <w:color w:val="auto"/>
        </w:rPr>
      </w:pPr>
    </w:p>
    <w:p>
      <w:pPr>
        <w:jc w:val="both"/>
        <w:ind w:left="1026" w:right="40" w:hanging="517"/>
        <w:spacing w:after="0" w:line="307" w:lineRule="auto"/>
        <w:tabs>
          <w:tab w:leader="none" w:pos="1016" w:val="left"/>
        </w:tabs>
        <w:numPr>
          <w:ilvl w:val="1"/>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Plan Administrator receives a notice described in Section 2.03(e) relating to a Qualifying Event or second Qualifying Event but determines that the individual is not entitled to the continuation coverage described in this Section, the Plan Administrator shall provide such individual with a written explanation as to why such determination was made. The explanation shall be provided within 14 days of the date such notice was provided.</w:t>
      </w:r>
    </w:p>
    <w:p>
      <w:pPr>
        <w:spacing w:after="0" w:line="124" w:lineRule="exact"/>
        <w:rPr>
          <w:rFonts w:ascii="Times New Roman" w:cs="Times New Roman" w:eastAsia="Times New Roman" w:hAnsi="Times New Roman"/>
          <w:sz w:val="14"/>
          <w:szCs w:val="14"/>
          <w:color w:val="auto"/>
        </w:rPr>
      </w:pPr>
    </w:p>
    <w:p>
      <w:pPr>
        <w:ind w:left="1026" w:right="340" w:hanging="517"/>
        <w:spacing w:after="0" w:line="261" w:lineRule="auto"/>
        <w:tabs>
          <w:tab w:leader="none" w:pos="1016"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Administrator shall notify each Qualified Beneficiary of any termination of continuation coverage that takes effect earlier than the end of the applicable maximum coverage period as described in Section 2.03(c)(1) or (2) above. Such notice shall be provided in writing as soon as reasonably possible. For this purpose, the single notice rules of 29 CFR Section 2590.606-4(e) shall apply.</w:t>
      </w:r>
    </w:p>
    <w:p>
      <w:pPr>
        <w:spacing w:after="0" w:line="153" w:lineRule="exact"/>
        <w:rPr>
          <w:rFonts w:ascii="Times New Roman" w:cs="Times New Roman" w:eastAsia="Times New Roman" w:hAnsi="Times New Roman"/>
          <w:sz w:val="16"/>
          <w:szCs w:val="16"/>
          <w:color w:val="auto"/>
        </w:rPr>
      </w:pPr>
    </w:p>
    <w:p>
      <w:pPr>
        <w:ind w:left="506" w:hanging="506"/>
        <w:spacing w:after="0"/>
        <w:tabs>
          <w:tab w:leader="none" w:pos="506"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Obligations of Qualified Beneficiaries</w:t>
      </w:r>
    </w:p>
    <w:p>
      <w:pPr>
        <w:spacing w:after="0" w:line="197" w:lineRule="exact"/>
        <w:rPr>
          <w:rFonts w:ascii="Times New Roman" w:cs="Times New Roman" w:eastAsia="Times New Roman" w:hAnsi="Times New Roman"/>
          <w:sz w:val="16"/>
          <w:szCs w:val="16"/>
          <w:color w:val="auto"/>
        </w:rPr>
      </w:pPr>
    </w:p>
    <w:p>
      <w:pPr>
        <w:ind w:left="1026" w:hanging="517"/>
        <w:spacing w:after="0" w:line="252" w:lineRule="auto"/>
        <w:tabs>
          <w:tab w:leader="none" w:pos="1016"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Participant or Eligible Dependent is responsible for notifying the Plan Administrator of the divorce of the Participant and his or her Spouse, and of the loss of status as a dependent child, as described in Sections 2.03(b)(4)(B) and (D), respectively. Such notification must be made in writing within 60 days following the later of: (i) the date on which the relevant Qualifying Event occurs and (ii) the date on which the Qualified Beneficiary loses (or would lose) coverage under the Plan due to the Qualifying Event.</w:t>
      </w:r>
    </w:p>
    <w:p>
      <w:pPr>
        <w:spacing w:after="0" w:line="160" w:lineRule="exact"/>
        <w:rPr>
          <w:rFonts w:ascii="Times New Roman" w:cs="Times New Roman" w:eastAsia="Times New Roman" w:hAnsi="Times New Roman"/>
          <w:sz w:val="16"/>
          <w:szCs w:val="16"/>
          <w:color w:val="auto"/>
        </w:rPr>
      </w:pPr>
    </w:p>
    <w:p>
      <w:pPr>
        <w:ind w:left="1026" w:right="40" w:hanging="517"/>
        <w:spacing w:after="0" w:line="254" w:lineRule="auto"/>
        <w:tabs>
          <w:tab w:leader="none" w:pos="1016"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Administrator shall establish reasonable procedures regarding provision of the above notices. If a Qualified Beneficiary fails to comply with any of the notification requirements set out in these procedures within the time specified above, such individual’s right to elect continuation coverage under the Plan will terminate, and the Plan will not have any further obligation to provide continuation coverage under this Section 2.03.</w:t>
      </w:r>
    </w:p>
    <w:p>
      <w:pPr>
        <w:spacing w:after="0" w:line="169" w:lineRule="exact"/>
        <w:rPr>
          <w:rFonts w:ascii="Times New Roman" w:cs="Times New Roman" w:eastAsia="Times New Roman" w:hAnsi="Times New Roman"/>
          <w:sz w:val="16"/>
          <w:szCs w:val="16"/>
          <w:color w:val="auto"/>
        </w:rPr>
      </w:pPr>
    </w:p>
    <w:p>
      <w:pPr>
        <w:ind w:left="506" w:hanging="506"/>
        <w:spacing w:after="0"/>
        <w:tabs>
          <w:tab w:leader="none" w:pos="506"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Election Procedures</w:t>
      </w:r>
    </w:p>
    <w:p>
      <w:pPr>
        <w:spacing w:after="0" w:line="187" w:lineRule="exact"/>
        <w:rPr>
          <w:rFonts w:ascii="Times New Roman" w:cs="Times New Roman" w:eastAsia="Times New Roman" w:hAnsi="Times New Roman"/>
          <w:sz w:val="16"/>
          <w:szCs w:val="16"/>
          <w:color w:val="auto"/>
        </w:rPr>
      </w:pPr>
    </w:p>
    <w:p>
      <w:pPr>
        <w:ind w:left="1006" w:hanging="497"/>
        <w:spacing w:after="0"/>
        <w:tabs>
          <w:tab w:leader="none" w:pos="1006"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becomes eligible for continued coverage under this Section 2.03 may elect such coverage by filing the prescribed form with the Plan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706"/>
          </w:cols>
          <w:pgMar w:left="814" w:top="1139" w:right="379" w:bottom="1440" w:gutter="0" w:footer="0" w:header="0"/>
        </w:sectPr>
      </w:pPr>
    </w:p>
    <w:bookmarkStart w:id="150" w:name="page151"/>
    <w:bookmarkEnd w:id="150"/>
    <w:p>
      <w:pPr>
        <w:ind w:left="1026"/>
        <w:spacing w:after="0"/>
        <w:rPr>
          <w:sz w:val="20"/>
          <w:szCs w:val="20"/>
          <w:color w:val="auto"/>
        </w:rPr>
      </w:pPr>
      <w:r>
        <w:rPr>
          <w:rFonts w:ascii="Times New Roman" w:cs="Times New Roman" w:eastAsia="Times New Roman" w:hAnsi="Times New Roman"/>
          <w:sz w:val="16"/>
          <w:szCs w:val="16"/>
          <w:color w:val="auto"/>
        </w:rPr>
        <w:t>Administrator at any time during the Election Period. Any election for continued coverage that is not made during the Election Period shall be void.</w:t>
      </w:r>
    </w:p>
    <w:p>
      <w:pPr>
        <w:spacing w:after="0" w:line="198" w:lineRule="exact"/>
        <w:rPr>
          <w:sz w:val="20"/>
          <w:szCs w:val="20"/>
          <w:color w:val="auto"/>
        </w:rPr>
      </w:pPr>
    </w:p>
    <w:p>
      <w:pPr>
        <w:ind w:left="1026" w:right="20" w:hanging="517"/>
        <w:spacing w:after="0" w:line="246" w:lineRule="auto"/>
        <w:tabs>
          <w:tab w:leader="none" w:pos="1016"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election by the Participant or by the surviving Spouse or former Spouse of a Participant shall be deemed an election of continued coverage on behalf of any Eligible Dependent child affected by the same Qualifying Event as the parent making the election of continued coverage; provided, however, that an Eligible Dependent (other than a minor child) may elect continued coverage for himself if the Participant or the Spouse or former Spouse of the Participant does not elect continued coverage on behalf of the Eligible Dependent. The election shall be effective on the first day that the individual otherwise would lose coverage under the affected Health Plan Option. Any Qualified Beneficiary who individually elects continued coverage under a Health Plan Option shall be treated as a Participant of that Plan, as applicable, for all purposes, except that such Qualified Beneficiary shall be required to make contributions in accordance with Section 2.03(g).</w:t>
      </w:r>
    </w:p>
    <w:p>
      <w:pPr>
        <w:spacing w:after="0" w:line="175" w:lineRule="exact"/>
        <w:rPr>
          <w:rFonts w:ascii="Times New Roman" w:cs="Times New Roman" w:eastAsia="Times New Roman" w:hAnsi="Times New Roman"/>
          <w:sz w:val="16"/>
          <w:szCs w:val="16"/>
          <w:color w:val="auto"/>
        </w:rPr>
      </w:pPr>
    </w:p>
    <w:p>
      <w:pPr>
        <w:ind w:left="1026" w:right="160" w:hanging="517"/>
        <w:spacing w:after="0" w:line="254" w:lineRule="auto"/>
        <w:tabs>
          <w:tab w:leader="none" w:pos="1016"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Qualified Beneficiary fails to comply with any of the election requirements within the time periods specified above, such individual’s right to elect continuation coverage under the Plan will terminate, and the Plan will not have any further obligation to provide continuation coverage under this Section 2.03.</w:t>
      </w:r>
    </w:p>
    <w:p>
      <w:pPr>
        <w:spacing w:after="0" w:line="169" w:lineRule="exact"/>
        <w:rPr>
          <w:rFonts w:ascii="Times New Roman" w:cs="Times New Roman" w:eastAsia="Times New Roman" w:hAnsi="Times New Roman"/>
          <w:sz w:val="16"/>
          <w:szCs w:val="16"/>
          <w:color w:val="auto"/>
        </w:rPr>
      </w:pPr>
    </w:p>
    <w:p>
      <w:pPr>
        <w:ind w:left="506" w:hanging="506"/>
        <w:spacing w:after="0"/>
        <w:tabs>
          <w:tab w:leader="none" w:pos="506"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Premiums</w:t>
      </w:r>
    </w:p>
    <w:p>
      <w:pPr>
        <w:spacing w:after="0" w:line="187" w:lineRule="exact"/>
        <w:rPr>
          <w:rFonts w:ascii="Times New Roman" w:cs="Times New Roman" w:eastAsia="Times New Roman" w:hAnsi="Times New Roman"/>
          <w:sz w:val="16"/>
          <w:szCs w:val="16"/>
          <w:color w:val="auto"/>
        </w:rPr>
      </w:pPr>
    </w:p>
    <w:p>
      <w:pPr>
        <w:ind w:left="1006" w:hanging="497"/>
        <w:spacing w:after="0"/>
        <w:tabs>
          <w:tab w:leader="none" w:pos="1006"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Qualified Beneficiary who elects continuation coverage under this Section 2.03 shall pay 102% of the “applicable premium” as defined in Section 604 of</w:t>
      </w:r>
    </w:p>
    <w:p>
      <w:pPr>
        <w:spacing w:after="0" w:line="41" w:lineRule="exact"/>
        <w:rPr>
          <w:rFonts w:ascii="Times New Roman" w:cs="Times New Roman" w:eastAsia="Times New Roman" w:hAnsi="Times New Roman"/>
          <w:sz w:val="14"/>
          <w:szCs w:val="14"/>
          <w:color w:val="auto"/>
        </w:rPr>
      </w:pPr>
    </w:p>
    <w:p>
      <w:pPr>
        <w:ind w:left="102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ERISA.</w:t>
      </w:r>
    </w:p>
    <w:p>
      <w:pPr>
        <w:spacing w:after="0" w:line="175" w:lineRule="exact"/>
        <w:rPr>
          <w:rFonts w:ascii="Times New Roman" w:cs="Times New Roman" w:eastAsia="Times New Roman" w:hAnsi="Times New Roman"/>
          <w:sz w:val="14"/>
          <w:szCs w:val="14"/>
          <w:color w:val="auto"/>
        </w:rPr>
      </w:pPr>
    </w:p>
    <w:p>
      <w:pPr>
        <w:ind w:left="1026" w:right="40" w:hanging="517"/>
        <w:spacing w:after="0" w:line="300" w:lineRule="auto"/>
        <w:tabs>
          <w:tab w:leader="none" w:pos="1016"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shall be due monthly on the first of the month (or any other time(s) as may be established by the Plan Administrator and so communicated in advance to the Qualified Beneficiary). The first payment shall include all past due payments for continuation coverage during the Election Period. Payment shall be deemed late if made more than 30 days after the payment due date, except that the first payment shall be considered late if made more than 45 days after the election date. In the event payment is not made when due, coverage shall end as of the last day of the period for which a premium was paid.</w:t>
      </w:r>
    </w:p>
    <w:p>
      <w:pPr>
        <w:spacing w:after="0" w:line="139" w:lineRule="exact"/>
        <w:rPr>
          <w:rFonts w:ascii="Times New Roman" w:cs="Times New Roman" w:eastAsia="Times New Roman" w:hAnsi="Times New Roman"/>
          <w:sz w:val="14"/>
          <w:szCs w:val="14"/>
          <w:color w:val="auto"/>
        </w:rPr>
      </w:pPr>
    </w:p>
    <w:p>
      <w:pPr>
        <w:ind w:left="1026" w:hanging="517"/>
        <w:spacing w:after="0" w:line="248" w:lineRule="auto"/>
        <w:tabs>
          <w:tab w:leader="none" w:pos="1016"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Qualified Beneficiary who remits a payment for a coverage period that is less than the full required premium amount will be deemed to have failed to make a timely payment with respect to such period if he or she does not remit the full required amount within 30 days after the payment due date. Notwithstanding the previous sentence, if the amount of the shortfall does not exceed the lesser of the amounts specified in Treasury Regulation §54.4980B-8 Q&amp;A-5(d), the Plan Administrator shall have the option of accepting the amount as payment in full or of requiring payment in full by the Qualified Beneficiary. The Plan Administrator may require payment in full under such circumstances only if it notifies the Qualified Beneficiary of such deficiency and provides the Qualified Beneficiary with a reasonable period in which to remit the full amount of premium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746"/>
          </w:cols>
          <w:pgMar w:left="814" w:top="1139" w:right="339" w:bottom="1440" w:gutter="0" w:footer="0" w:header="0"/>
        </w:sectPr>
      </w:pPr>
    </w:p>
    <w:bookmarkStart w:id="151" w:name="page152"/>
    <w:bookmarkEnd w:id="151"/>
    <w:p>
      <w:pPr>
        <w:ind w:left="1540" w:right="20" w:hanging="517"/>
        <w:spacing w:after="0" w:line="254" w:lineRule="auto"/>
        <w:tabs>
          <w:tab w:leader="none" w:pos="1530"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Qualified Beneficiary fails to comply with any of the premium payment requirements within the time periods specified above, such individual’s right to elect continuation coverage under the Plan will terminate, and the Plan will not have any further obligation to provide continuation coverage under this Section 2.03.</w:t>
      </w:r>
    </w:p>
    <w:p>
      <w:pPr>
        <w:spacing w:after="0" w:line="169" w:lineRule="exact"/>
        <w:rPr>
          <w:rFonts w:ascii="Times New Roman" w:cs="Times New Roman" w:eastAsia="Times New Roman" w:hAnsi="Times New Roman"/>
          <w:sz w:val="16"/>
          <w:szCs w:val="16"/>
          <w:color w:val="auto"/>
        </w:rPr>
      </w:pPr>
    </w:p>
    <w:p>
      <w:pPr>
        <w:ind w:left="1540" w:hanging="517"/>
        <w:spacing w:after="0" w:line="248" w:lineRule="auto"/>
        <w:tabs>
          <w:tab w:leader="none" w:pos="1530"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Qualified Beneficiary whose COBRA continuation coverage terminates for failure to make timely payment of premiums when due may submit a request for reconsideration of such termination to the Plan Administrator. The request for reconsideration must be in writing and must be received by the Plan Administrator no more than 30 days after the date the Qualified Beneficiary is notified of the termination of coverage. The Plan Administrator shall respond within 14 days of the date such request for reconsideration is received. Coverage that is reinstated shall commence on the first day of the period that immediately follows the last period preceding the termination of coverage for which a timely premium payment had been received.</w:t>
      </w:r>
    </w:p>
    <w:p>
      <w:pPr>
        <w:spacing w:after="0" w:line="195" w:lineRule="exact"/>
        <w:rPr>
          <w:rFonts w:ascii="Times New Roman" w:cs="Times New Roman" w:eastAsia="Times New Roman" w:hAnsi="Times New Roman"/>
          <w:sz w:val="16"/>
          <w:szCs w:val="16"/>
          <w:color w:val="auto"/>
        </w:rPr>
      </w:pPr>
    </w:p>
    <w:p>
      <w:pPr>
        <w:ind w:left="1020" w:right="420" w:hanging="506"/>
        <w:spacing w:after="0" w:line="246" w:lineRule="auto"/>
        <w:tabs>
          <w:tab w:leader="none" w:pos="1016"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Plan Administrator reserves the right to terminate an individual’s COBRA continuation coverage retroactively if it is subsequently determined that such individual was ineligible for such coverage. The Plan Administrator reserves the right to adjust the premiums payable by the Qualified Beneficiary within the confines of Section 2.03.</w:t>
      </w:r>
    </w:p>
    <w:p>
      <w:pPr>
        <w:spacing w:after="0" w:line="17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color w:val="auto"/>
        </w:rPr>
        <w:t>2.04</w:t>
      </w:r>
      <w:r>
        <w:rPr>
          <w:sz w:val="20"/>
          <w:szCs w:val="20"/>
          <w:color w:val="auto"/>
        </w:rPr>
        <w:tab/>
      </w:r>
      <w:r>
        <w:rPr>
          <w:rFonts w:ascii="Times New Roman" w:cs="Times New Roman" w:eastAsia="Times New Roman" w:hAnsi="Times New Roman"/>
          <w:sz w:val="14"/>
          <w:szCs w:val="14"/>
          <w:b w:val="1"/>
          <w:bCs w:val="1"/>
          <w:color w:val="auto"/>
        </w:rPr>
        <w:t>Continuation of Coverage under State Law</w:t>
      </w:r>
    </w:p>
    <w:p>
      <w:pPr>
        <w:spacing w:after="0" w:line="189" w:lineRule="exact"/>
        <w:rPr>
          <w:sz w:val="20"/>
          <w:szCs w:val="20"/>
          <w:color w:val="auto"/>
        </w:rPr>
      </w:pPr>
    </w:p>
    <w:p>
      <w:pPr>
        <w:ind w:left="520" w:right="40"/>
        <w:spacing w:after="0" w:line="273" w:lineRule="auto"/>
        <w:rPr>
          <w:sz w:val="20"/>
          <w:szCs w:val="20"/>
          <w:color w:val="auto"/>
        </w:rPr>
      </w:pPr>
      <w:r>
        <w:rPr>
          <w:rFonts w:ascii="Times New Roman" w:cs="Times New Roman" w:eastAsia="Times New Roman" w:hAnsi="Times New Roman"/>
          <w:sz w:val="16"/>
          <w:szCs w:val="16"/>
          <w:color w:val="auto"/>
        </w:rPr>
        <w:t>A Participant shall be offered the opportunity to continue coverage under an insured Welfare Benefit Program to the extent required by State law applicable to such Welfare Benefit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00" w:top="1139" w:right="359" w:bottom="1440" w:gutter="0" w:footer="0" w:header="0"/>
        </w:sectPr>
      </w:pPr>
    </w:p>
    <w:bookmarkStart w:id="152" w:name="page153"/>
    <w:bookmarkEnd w:id="152"/>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ARTICLE III – BENEFITS</w:t>
      </w:r>
    </w:p>
    <w:p>
      <w:pPr>
        <w:spacing w:after="0" w:line="293" w:lineRule="exact"/>
        <w:rPr>
          <w:sz w:val="20"/>
          <w:szCs w:val="20"/>
          <w:color w:val="auto"/>
        </w:rPr>
      </w:pPr>
    </w:p>
    <w:p>
      <w:pPr>
        <w:ind w:left="55"/>
        <w:spacing w:after="0"/>
        <w:tabs>
          <w:tab w:leader="none" w:pos="475" w:val="left"/>
        </w:tabs>
        <w:rPr>
          <w:sz w:val="20"/>
          <w:szCs w:val="20"/>
          <w:color w:val="auto"/>
        </w:rPr>
      </w:pPr>
      <w:r>
        <w:rPr>
          <w:rFonts w:ascii="Times New Roman" w:cs="Times New Roman" w:eastAsia="Times New Roman" w:hAnsi="Times New Roman"/>
          <w:sz w:val="16"/>
          <w:szCs w:val="16"/>
          <w:color w:val="auto"/>
        </w:rPr>
        <w:t>3.01</w:t>
      </w:r>
      <w:r>
        <w:rPr>
          <w:sz w:val="20"/>
          <w:szCs w:val="20"/>
          <w:color w:val="auto"/>
        </w:rPr>
        <w:tab/>
      </w:r>
      <w:r>
        <w:rPr>
          <w:rFonts w:ascii="Times New Roman" w:cs="Times New Roman" w:eastAsia="Times New Roman" w:hAnsi="Times New Roman"/>
          <w:sz w:val="14"/>
          <w:szCs w:val="14"/>
          <w:b w:val="1"/>
          <w:bCs w:val="1"/>
          <w:color w:val="auto"/>
        </w:rPr>
        <w:t>Description of Benefits</w:t>
      </w:r>
    </w:p>
    <w:p>
      <w:pPr>
        <w:spacing w:after="0" w:line="83" w:lineRule="exact"/>
        <w:rPr>
          <w:sz w:val="20"/>
          <w:szCs w:val="20"/>
          <w:color w:val="auto"/>
        </w:rPr>
      </w:pPr>
    </w:p>
    <w:p>
      <w:pPr>
        <w:ind w:left="575"/>
        <w:spacing w:after="0"/>
        <w:rPr>
          <w:sz w:val="20"/>
          <w:szCs w:val="20"/>
          <w:color w:val="auto"/>
        </w:rPr>
      </w:pPr>
      <w:r>
        <w:rPr>
          <w:rFonts w:ascii="Times New Roman" w:cs="Times New Roman" w:eastAsia="Times New Roman" w:hAnsi="Times New Roman"/>
          <w:sz w:val="16"/>
          <w:szCs w:val="16"/>
          <w:color w:val="auto"/>
        </w:rPr>
        <w:t>Detailed descriptions of the Benefits provided under a Welfare Benefit Program generally are contained in the Plan Documentation for such Welfare Benefit Program.</w:t>
      </w:r>
    </w:p>
    <w:p>
      <w:pPr>
        <w:spacing w:after="0" w:line="187"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16"/>
          <w:szCs w:val="16"/>
          <w:color w:val="auto"/>
        </w:rPr>
        <w:t>No Benefits shall violate, either in design or operation, the discrimination standards described in Section 3.03.</w:t>
      </w:r>
    </w:p>
    <w:p>
      <w:pPr>
        <w:spacing w:after="0" w:line="196" w:lineRule="exact"/>
        <w:rPr>
          <w:sz w:val="20"/>
          <w:szCs w:val="20"/>
          <w:color w:val="auto"/>
        </w:rPr>
      </w:pPr>
    </w:p>
    <w:p>
      <w:pPr>
        <w:ind w:left="235" w:hanging="235"/>
        <w:spacing w:after="0"/>
        <w:tabs>
          <w:tab w:leader="none" w:pos="235"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Changes in Benefits</w:t>
      </w:r>
    </w:p>
    <w:p>
      <w:pPr>
        <w:spacing w:after="0" w:line="189" w:lineRule="exact"/>
        <w:rPr>
          <w:rFonts w:ascii="Times New Roman" w:cs="Times New Roman" w:eastAsia="Times New Roman" w:hAnsi="Times New Roman"/>
          <w:sz w:val="16"/>
          <w:szCs w:val="16"/>
          <w:color w:val="auto"/>
        </w:rPr>
      </w:pPr>
    </w:p>
    <w:p>
      <w:pPr>
        <w:ind w:left="21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In the event a Welfare Benefit Program is modified or amended, such modification or amendment shall be automatically incorporated in and made part of this Plan document.</w:t>
      </w:r>
    </w:p>
    <w:p>
      <w:pPr>
        <w:spacing w:after="0" w:line="219" w:lineRule="exact"/>
        <w:rPr>
          <w:sz w:val="20"/>
          <w:szCs w:val="20"/>
          <w:color w:val="auto"/>
        </w:rPr>
      </w:pPr>
    </w:p>
    <w:p>
      <w:pPr>
        <w:ind w:left="235" w:hanging="235"/>
        <w:spacing w:after="0"/>
        <w:tabs>
          <w:tab w:leader="none" w:pos="235"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Limitation on Benefits</w:t>
      </w:r>
    </w:p>
    <w:p>
      <w:pPr>
        <w:spacing w:after="0" w:line="199" w:lineRule="exact"/>
        <w:rPr>
          <w:rFonts w:ascii="Times New Roman" w:cs="Times New Roman" w:eastAsia="Times New Roman" w:hAnsi="Times New Roman"/>
          <w:sz w:val="16"/>
          <w:szCs w:val="16"/>
          <w:color w:val="auto"/>
        </w:rPr>
      </w:pPr>
    </w:p>
    <w:p>
      <w:pPr>
        <w:ind w:left="535" w:hanging="320"/>
        <w:spacing w:after="0"/>
        <w:tabs>
          <w:tab w:leader="none" w:pos="535"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Participant, Eligible Dependent, Beneficiary, or other individual shall have the right, privilege, or option to receive instead of the Benefits provided by the Plan:</w:t>
      </w:r>
    </w:p>
    <w:p>
      <w:pPr>
        <w:spacing w:after="0" w:line="187" w:lineRule="exact"/>
        <w:rPr>
          <w:rFonts w:ascii="Times New Roman" w:cs="Times New Roman" w:eastAsia="Times New Roman" w:hAnsi="Times New Roman"/>
          <w:sz w:val="16"/>
          <w:szCs w:val="16"/>
          <w:color w:val="auto"/>
        </w:rPr>
      </w:pPr>
    </w:p>
    <w:p>
      <w:pPr>
        <w:ind w:left="715" w:hanging="344"/>
        <w:spacing w:after="0"/>
        <w:tabs>
          <w:tab w:leader="none" w:pos="715"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 of the contributions made to the Plan by the Company or any Participants;</w:t>
      </w:r>
    </w:p>
    <w:p>
      <w:pPr>
        <w:spacing w:after="0" w:line="166" w:lineRule="exact"/>
        <w:rPr>
          <w:rFonts w:ascii="Times New Roman" w:cs="Times New Roman" w:eastAsia="Times New Roman" w:hAnsi="Times New Roman"/>
          <w:sz w:val="16"/>
          <w:szCs w:val="16"/>
          <w:color w:val="auto"/>
        </w:rPr>
      </w:pPr>
    </w:p>
    <w:p>
      <w:pPr>
        <w:ind w:left="715" w:hanging="344"/>
        <w:spacing w:after="0"/>
        <w:tabs>
          <w:tab w:leader="none" w:pos="715"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cash contribution either upon termination of Benefits provided by the Plan or upon severance of employment or otherwise; or</w:t>
      </w:r>
    </w:p>
    <w:p>
      <w:pPr>
        <w:spacing w:after="0" w:line="176" w:lineRule="exact"/>
        <w:rPr>
          <w:rFonts w:ascii="Times New Roman" w:cs="Times New Roman" w:eastAsia="Times New Roman" w:hAnsi="Times New Roman"/>
          <w:sz w:val="16"/>
          <w:szCs w:val="16"/>
          <w:color w:val="auto"/>
        </w:rPr>
      </w:pPr>
    </w:p>
    <w:p>
      <w:pPr>
        <w:ind w:left="715" w:hanging="344"/>
        <w:spacing w:after="0"/>
        <w:tabs>
          <w:tab w:leader="none" w:pos="715"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 surrender value of an insurance policy, if any, in lieu of the Benefits provided thereunder.</w:t>
      </w:r>
    </w:p>
    <w:p>
      <w:pPr>
        <w:spacing w:after="0" w:line="176" w:lineRule="exact"/>
        <w:rPr>
          <w:rFonts w:ascii="Times New Roman" w:cs="Times New Roman" w:eastAsia="Times New Roman" w:hAnsi="Times New Roman"/>
          <w:sz w:val="16"/>
          <w:szCs w:val="16"/>
          <w:color w:val="auto"/>
        </w:rPr>
      </w:pPr>
    </w:p>
    <w:p>
      <w:pPr>
        <w:ind w:left="1075" w:right="160" w:hanging="860"/>
        <w:spacing w:after="0" w:line="259" w:lineRule="auto"/>
        <w:tabs>
          <w:tab w:leader="none" w:pos="549"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provided for in the Plan, the Company’s direct reimbursement or payment of any Benefit shall be limited to the cost of the Benefits which the Participant or relevant Beneficiary has become entitled to during the Participant’s employment.</w:t>
      </w:r>
    </w:p>
    <w:p>
      <w:pPr>
        <w:spacing w:after="0" w:line="165" w:lineRule="exact"/>
        <w:rPr>
          <w:sz w:val="20"/>
          <w:szCs w:val="20"/>
          <w:color w:val="auto"/>
        </w:rPr>
      </w:pPr>
    </w:p>
    <w:p>
      <w:pPr>
        <w:ind w:left="1075" w:right="80" w:hanging="506"/>
        <w:spacing w:after="0" w:line="330" w:lineRule="auto"/>
        <w:tabs>
          <w:tab w:leader="none" w:pos="106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Plan Administrator may decline payment of Benefits to, and may rescind the eligibility for Benefits of, any highly compensated individual or key employee (as defined in Code Sections 79(d)(6), 105(h)(5) and 416(i), respectively), to the extent required to satisfy nondiscrimination requirements of applicable Federal law.</w:t>
      </w:r>
    </w:p>
    <w:p>
      <w:pPr>
        <w:spacing w:after="0" w:line="118" w:lineRule="exact"/>
        <w:rPr>
          <w:sz w:val="20"/>
          <w:szCs w:val="20"/>
          <w:color w:val="auto"/>
        </w:rPr>
      </w:pPr>
    </w:p>
    <w:p>
      <w:pPr>
        <w:ind w:left="235" w:hanging="235"/>
        <w:spacing w:after="0"/>
        <w:tabs>
          <w:tab w:leader="none" w:pos="235"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Coordination of Benefits</w:t>
      </w:r>
    </w:p>
    <w:p>
      <w:pPr>
        <w:spacing w:after="0" w:line="200" w:lineRule="exact"/>
        <w:rPr>
          <w:sz w:val="20"/>
          <w:szCs w:val="20"/>
          <w:color w:val="auto"/>
        </w:rPr>
      </w:pPr>
    </w:p>
    <w:p>
      <w:pPr>
        <w:ind w:left="575" w:right="660"/>
        <w:spacing w:after="0" w:line="259" w:lineRule="auto"/>
        <w:rPr>
          <w:sz w:val="20"/>
          <w:szCs w:val="20"/>
          <w:color w:val="auto"/>
        </w:rPr>
      </w:pPr>
      <w:r>
        <w:rPr>
          <w:rFonts w:ascii="Times New Roman" w:cs="Times New Roman" w:eastAsia="Times New Roman" w:hAnsi="Times New Roman"/>
          <w:sz w:val="16"/>
          <w:szCs w:val="16"/>
          <w:color w:val="auto"/>
        </w:rPr>
        <w:t>Benefits payable under a Welfare Benefit Program may be subject to coordination of benefits provisions which shall be as provided for in the Plan Documentation governing such Welfare Benefit Program.</w:t>
      </w:r>
    </w:p>
    <w:p>
      <w:pPr>
        <w:spacing w:after="0" w:line="165" w:lineRule="exact"/>
        <w:rPr>
          <w:sz w:val="20"/>
          <w:szCs w:val="20"/>
          <w:color w:val="auto"/>
        </w:rPr>
      </w:pPr>
    </w:p>
    <w:p>
      <w:pPr>
        <w:ind w:left="1075" w:hanging="506"/>
        <w:spacing w:after="0"/>
        <w:tabs>
          <w:tab w:leader="none" w:pos="1075"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Nonduplication or Coordination of Benefits</w:t>
      </w:r>
    </w:p>
    <w:p>
      <w:pPr>
        <w:spacing w:after="0" w:line="187" w:lineRule="exact"/>
        <w:rPr>
          <w:rFonts w:ascii="Times New Roman" w:cs="Times New Roman" w:eastAsia="Times New Roman" w:hAnsi="Times New Roman"/>
          <w:sz w:val="16"/>
          <w:szCs w:val="16"/>
          <w:color w:val="auto"/>
        </w:rPr>
      </w:pPr>
    </w:p>
    <w:p>
      <w:pPr>
        <w:ind w:left="1075"/>
        <w:spacing w:after="0" w:line="27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Covered Individual is eligible for benefits under more than one group health plan, the medical and dental benefits available under the Plan will be coordinated in the manner described in the applicable summary plan description or certificate of coverage.</w:t>
      </w:r>
    </w:p>
    <w:p>
      <w:pPr>
        <w:spacing w:after="0" w:line="200" w:lineRule="exact"/>
        <w:rPr>
          <w:sz w:val="20"/>
          <w:szCs w:val="20"/>
          <w:color w:val="auto"/>
        </w:rPr>
      </w:pPr>
    </w:p>
    <w:p>
      <w:pPr>
        <w:spacing w:after="0" w:line="400"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335"/>
          </w:cols>
          <w:pgMar w:left="245" w:top="1137" w:right="319" w:bottom="1440" w:gutter="0" w:footer="0" w:header="0"/>
        </w:sectPr>
      </w:pPr>
    </w:p>
    <w:bookmarkStart w:id="153" w:name="page154"/>
    <w:bookmarkEnd w:id="153"/>
    <w:p>
      <w:pPr>
        <w:ind w:left="506" w:hanging="506"/>
        <w:spacing w:after="0"/>
        <w:tabs>
          <w:tab w:leader="none" w:pos="506"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Medicaid</w:t>
      </w:r>
    </w:p>
    <w:p>
      <w:pPr>
        <w:spacing w:after="0" w:line="197" w:lineRule="exact"/>
        <w:rPr>
          <w:rFonts w:ascii="Times New Roman" w:cs="Times New Roman" w:eastAsia="Times New Roman" w:hAnsi="Times New Roman"/>
          <w:sz w:val="16"/>
          <w:szCs w:val="16"/>
          <w:color w:val="auto"/>
        </w:rPr>
      </w:pPr>
    </w:p>
    <w:p>
      <w:pPr>
        <w:ind w:left="506"/>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Covered Individual is covered by the Plan and is also covered under Medicaid, the Plan will pay before Medicaid. The Plan will not take the Medicaid coverage into account for purposes of enrollment or payment of benefits. If a Covered Individual is covered under Medicaid and benefits are required to be paid by the Plan, but benefits are first paid by the Medicaid plan, payment by the Plan to the state will be made as required by any applicable state law.</w:t>
      </w:r>
    </w:p>
    <w:p>
      <w:pPr>
        <w:spacing w:after="0" w:line="158" w:lineRule="exact"/>
        <w:rPr>
          <w:rFonts w:ascii="Times New Roman" w:cs="Times New Roman" w:eastAsia="Times New Roman" w:hAnsi="Times New Roman"/>
          <w:sz w:val="16"/>
          <w:szCs w:val="16"/>
          <w:color w:val="auto"/>
        </w:rPr>
      </w:pPr>
    </w:p>
    <w:p>
      <w:pPr>
        <w:ind w:left="506" w:hanging="506"/>
        <w:spacing w:after="0"/>
        <w:tabs>
          <w:tab w:leader="none" w:pos="506"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Medicare</w:t>
      </w:r>
    </w:p>
    <w:p>
      <w:pPr>
        <w:spacing w:after="0" w:line="197" w:lineRule="exact"/>
        <w:rPr>
          <w:rFonts w:ascii="Times New Roman" w:cs="Times New Roman" w:eastAsia="Times New Roman" w:hAnsi="Times New Roman"/>
          <w:sz w:val="16"/>
          <w:szCs w:val="16"/>
          <w:color w:val="auto"/>
        </w:rPr>
      </w:pPr>
    </w:p>
    <w:p>
      <w:pPr>
        <w:ind w:left="506" w:right="260"/>
        <w:spacing w:after="0" w:line="27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general, the Social Security Act provides that the Plan shall be the secondary payer if a Covered Individual is eligible for and enrolled in Medicare and meets certain requirements. To the extent required by law, in certain limited circumstances the Plan shall pay benefits primary to Medicare.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54"/>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0726"/>
          </w:cols>
          <w:pgMar w:left="814" w:top="1330" w:right="359" w:bottom="1440" w:gutter="0" w:footer="0" w:header="0"/>
        </w:sectPr>
      </w:pPr>
    </w:p>
    <w:bookmarkStart w:id="154" w:name="page155"/>
    <w:bookmarkEnd w:id="154"/>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ARTICLE IV – ADMINISTRATION</w:t>
      </w:r>
    </w:p>
    <w:p>
      <w:pPr>
        <w:spacing w:after="0" w:line="389" w:lineRule="exact"/>
        <w:rPr>
          <w:sz w:val="20"/>
          <w:szCs w:val="20"/>
          <w:color w:val="auto"/>
        </w:rPr>
      </w:pPr>
    </w:p>
    <w:p>
      <w:pPr>
        <w:ind w:left="215" w:hanging="215"/>
        <w:spacing w:after="0"/>
        <w:tabs>
          <w:tab w:leader="none" w:pos="215"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Authority</w:t>
      </w:r>
    </w:p>
    <w:p>
      <w:pPr>
        <w:spacing w:after="0" w:line="189" w:lineRule="exact"/>
        <w:rPr>
          <w:rFonts w:ascii="Times New Roman" w:cs="Times New Roman" w:eastAsia="Times New Roman" w:hAnsi="Times New Roman"/>
          <w:sz w:val="16"/>
          <w:szCs w:val="16"/>
          <w:color w:val="auto"/>
        </w:rPr>
      </w:pPr>
    </w:p>
    <w:p>
      <w:pPr>
        <w:ind w:left="575" w:hanging="357"/>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Administrator shall have overall responsibility for administration and operation of the Plan. Responsibilities of the Plan Administrator under the Plan shall be carried out by the carriers under any Insurance Contracts, the Company, and any persons or committees appointed by Company, all as provided for in the Plan Documentation governing each Welfare Benefit Program. In the case of any insured Welfare Benefit Program, the carrier under the Insurance Contract shall have sole and exclusive responsibility for determining Benefits payable thereunder.</w:t>
      </w:r>
    </w:p>
    <w:p>
      <w:pPr>
        <w:spacing w:after="0" w:line="170" w:lineRule="exact"/>
        <w:rPr>
          <w:sz w:val="20"/>
          <w:szCs w:val="20"/>
          <w:color w:val="auto"/>
        </w:rPr>
      </w:pPr>
    </w:p>
    <w:p>
      <w:pPr>
        <w:ind w:left="235" w:hanging="235"/>
        <w:spacing w:after="0"/>
        <w:tabs>
          <w:tab w:leader="none" w:pos="235"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Rights and Duties</w:t>
      </w:r>
    </w:p>
    <w:p>
      <w:pPr>
        <w:spacing w:after="0" w:line="189" w:lineRule="exact"/>
        <w:rPr>
          <w:sz w:val="20"/>
          <w:szCs w:val="20"/>
          <w:color w:val="auto"/>
        </w:rPr>
      </w:pPr>
    </w:p>
    <w:p>
      <w:pPr>
        <w:ind w:left="575" w:right="220" w:hanging="356"/>
        <w:spacing w:after="0" w:line="273" w:lineRule="auto"/>
        <w:rPr>
          <w:sz w:val="20"/>
          <w:szCs w:val="20"/>
          <w:color w:val="auto"/>
        </w:rPr>
      </w:pPr>
      <w:r>
        <w:rPr>
          <w:rFonts w:ascii="Times New Roman" w:cs="Times New Roman" w:eastAsia="Times New Roman" w:hAnsi="Times New Roman"/>
          <w:sz w:val="16"/>
          <w:szCs w:val="16"/>
          <w:color w:val="auto"/>
        </w:rPr>
        <w:t>The Plan Administrator shall administer the Plan in accordance with the Plan Documentation governing each Welfare Benefit Program, and shall have all discretionary powers necessary to accomplish that purpose, including without limitation the following:</w:t>
      </w:r>
    </w:p>
    <w:p>
      <w:pPr>
        <w:spacing w:after="0" w:line="144" w:lineRule="exact"/>
        <w:rPr>
          <w:sz w:val="20"/>
          <w:szCs w:val="20"/>
          <w:color w:val="auto"/>
        </w:rPr>
      </w:pPr>
    </w:p>
    <w:p>
      <w:pPr>
        <w:ind w:left="1075" w:hanging="506"/>
        <w:spacing w:after="0"/>
        <w:tabs>
          <w:tab w:leader="none" w:pos="1075"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issue rules and policies necessary for the proper conduct and administration of the Plan and to change, alter or amend such rules and regulations;</w:t>
      </w:r>
    </w:p>
    <w:p>
      <w:pPr>
        <w:spacing w:after="0" w:line="176" w:lineRule="exact"/>
        <w:rPr>
          <w:rFonts w:ascii="Times New Roman" w:cs="Times New Roman" w:eastAsia="Times New Roman" w:hAnsi="Times New Roman"/>
          <w:sz w:val="16"/>
          <w:szCs w:val="16"/>
          <w:color w:val="auto"/>
        </w:rPr>
      </w:pPr>
    </w:p>
    <w:p>
      <w:pPr>
        <w:ind w:left="1075" w:right="80" w:hanging="506"/>
        <w:spacing w:after="0" w:line="252" w:lineRule="auto"/>
        <w:tabs>
          <w:tab w:leader="none" w:pos="1066"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interpret the Plan and determine all questions arising in the administration, interpretation, and application of the Plan, and to construe any ambiguity, supply any omission and reconcile any inconsistency in such manner and to such extent as the Plan Administrator deems appropriate and proper. Any interpretation or construction placed upon any term or provision of the Plan by the Plan Administrator, any decisions and determinations of the Plan Administrator arising under the Plan, including without limiting the generality of the foregoing:</w:t>
      </w:r>
    </w:p>
    <w:p>
      <w:pPr>
        <w:spacing w:after="0" w:line="160" w:lineRule="exact"/>
        <w:rPr>
          <w:rFonts w:ascii="Times New Roman" w:cs="Times New Roman" w:eastAsia="Times New Roman" w:hAnsi="Times New Roman"/>
          <w:sz w:val="16"/>
          <w:szCs w:val="16"/>
          <w:color w:val="auto"/>
        </w:rPr>
      </w:pPr>
    </w:p>
    <w:p>
      <w:pPr>
        <w:ind w:left="1595" w:hanging="517"/>
        <w:spacing w:after="0" w:line="273" w:lineRule="auto"/>
        <w:tabs>
          <w:tab w:leader="none" w:pos="1586"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eligibility of any individual to become or remain a Covered Individual, a Covered Individual’s status as such and the eligibility of a Covered Individual’s dependents under the Plan;</w:t>
      </w:r>
    </w:p>
    <w:p>
      <w:pPr>
        <w:spacing w:after="0" w:line="154" w:lineRule="exact"/>
        <w:rPr>
          <w:rFonts w:ascii="Times New Roman" w:cs="Times New Roman" w:eastAsia="Times New Roman" w:hAnsi="Times New Roman"/>
          <w:sz w:val="16"/>
          <w:szCs w:val="16"/>
          <w:color w:val="auto"/>
        </w:rPr>
      </w:pPr>
    </w:p>
    <w:p>
      <w:pPr>
        <w:ind w:left="1575" w:hanging="497"/>
        <w:spacing w:after="0"/>
        <w:tabs>
          <w:tab w:leader="none" w:pos="1575"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time, method, and amount of payment of Benefits payable under the Plan;</w:t>
      </w:r>
    </w:p>
    <w:p>
      <w:pPr>
        <w:spacing w:after="0" w:line="187" w:lineRule="exact"/>
        <w:rPr>
          <w:rFonts w:ascii="Times New Roman" w:cs="Times New Roman" w:eastAsia="Times New Roman" w:hAnsi="Times New Roman"/>
          <w:sz w:val="16"/>
          <w:szCs w:val="16"/>
          <w:color w:val="auto"/>
        </w:rPr>
      </w:pPr>
    </w:p>
    <w:p>
      <w:pPr>
        <w:ind w:left="1575" w:hanging="497"/>
        <w:spacing w:after="0"/>
        <w:tabs>
          <w:tab w:leader="none" w:pos="1575"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of Covered Individuals; and</w:t>
      </w:r>
    </w:p>
    <w:p>
      <w:pPr>
        <w:spacing w:after="0" w:line="197" w:lineRule="exact"/>
        <w:rPr>
          <w:rFonts w:ascii="Times New Roman" w:cs="Times New Roman" w:eastAsia="Times New Roman" w:hAnsi="Times New Roman"/>
          <w:sz w:val="16"/>
          <w:szCs w:val="16"/>
          <w:color w:val="auto"/>
        </w:rPr>
      </w:pPr>
    </w:p>
    <w:p>
      <w:pPr>
        <w:ind w:left="1575" w:hanging="497"/>
        <w:spacing w:after="0"/>
        <w:tabs>
          <w:tab w:leader="none" w:pos="1575"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action or determination or decision whatsoever taken or made by the Plan Administrator in good faith,</w:t>
      </w:r>
    </w:p>
    <w:p>
      <w:pPr>
        <w:spacing w:after="0" w:line="187" w:lineRule="exact"/>
        <w:rPr>
          <w:sz w:val="20"/>
          <w:szCs w:val="20"/>
          <w:color w:val="auto"/>
        </w:rPr>
      </w:pPr>
    </w:p>
    <w:p>
      <w:pPr>
        <w:ind w:left="1075"/>
        <w:spacing w:after="0"/>
        <w:rPr>
          <w:sz w:val="20"/>
          <w:szCs w:val="20"/>
          <w:color w:val="auto"/>
        </w:rPr>
      </w:pPr>
      <w:r>
        <w:rPr>
          <w:rFonts w:ascii="Times New Roman" w:cs="Times New Roman" w:eastAsia="Times New Roman" w:hAnsi="Times New Roman"/>
          <w:sz w:val="16"/>
          <w:szCs w:val="16"/>
          <w:color w:val="auto"/>
        </w:rPr>
        <w:t>shall be conclusive and binding upon all persons concerned, including but not limited to the Company and all Covered Individuals;</w:t>
      </w:r>
    </w:p>
    <w:p>
      <w:pPr>
        <w:spacing w:after="0" w:line="207" w:lineRule="exact"/>
        <w:rPr>
          <w:sz w:val="20"/>
          <w:szCs w:val="20"/>
          <w:color w:val="auto"/>
        </w:rPr>
      </w:pPr>
    </w:p>
    <w:p>
      <w:pPr>
        <w:ind w:left="1075" w:right="220" w:hanging="506"/>
        <w:spacing w:after="0" w:line="276" w:lineRule="auto"/>
        <w:tabs>
          <w:tab w:leader="none" w:pos="1068"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employ and suitably compensate such third-party administrators, consultants, accountants, attorneys (who may be accountants or attorneys for the Company), and other persons to render advice and other services in connection with the Plan as it may deem necessary to the performance of its duties;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315"/>
          </w:cols>
          <w:pgMar w:left="245" w:top="1137" w:right="339" w:bottom="1440" w:gutter="0" w:footer="0" w:header="0"/>
        </w:sectPr>
      </w:pPr>
    </w:p>
    <w:bookmarkStart w:id="155" w:name="page156"/>
    <w:bookmarkEnd w:id="155"/>
    <w:p>
      <w:pPr>
        <w:ind w:left="1075" w:right="180" w:hanging="506"/>
        <w:spacing w:after="0" w:line="254" w:lineRule="auto"/>
        <w:tabs>
          <w:tab w:leader="none" w:pos="1066"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delegate specific duties and responsibilities to any person, partnership, corporation or committee to carry out any of its responsibilities with respect to the Plan. Each person or entity to whom a duty or responsibility has been delegated shall be responsible for the exercise of those duties or responsibilities and shall not be responsible for any act or failure to act of any other individual or entity;</w:t>
      </w:r>
    </w:p>
    <w:p>
      <w:pPr>
        <w:spacing w:after="0" w:line="169" w:lineRule="exact"/>
        <w:rPr>
          <w:rFonts w:ascii="Times New Roman" w:cs="Times New Roman" w:eastAsia="Times New Roman" w:hAnsi="Times New Roman"/>
          <w:sz w:val="16"/>
          <w:szCs w:val="16"/>
          <w:color w:val="auto"/>
        </w:rPr>
      </w:pPr>
    </w:p>
    <w:p>
      <w:pPr>
        <w:ind w:left="1075" w:hanging="506"/>
        <w:spacing w:after="0"/>
        <w:tabs>
          <w:tab w:leader="none" w:pos="1075"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enter into, amend, modify or terminate any Insurance Contract maintained under the Plan;</w:t>
      </w:r>
    </w:p>
    <w:p>
      <w:pPr>
        <w:spacing w:after="0" w:line="187" w:lineRule="exact"/>
        <w:rPr>
          <w:rFonts w:ascii="Times New Roman" w:cs="Times New Roman" w:eastAsia="Times New Roman" w:hAnsi="Times New Roman"/>
          <w:sz w:val="16"/>
          <w:szCs w:val="16"/>
          <w:color w:val="auto"/>
        </w:rPr>
      </w:pPr>
    </w:p>
    <w:p>
      <w:pPr>
        <w:ind w:left="1075" w:hanging="506"/>
        <w:spacing w:after="0"/>
        <w:tabs>
          <w:tab w:leader="none" w:pos="1075"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Covered Individuals with all notices and documents required by law;</w:t>
      </w:r>
    </w:p>
    <w:p>
      <w:pPr>
        <w:spacing w:after="0" w:line="197" w:lineRule="exact"/>
        <w:rPr>
          <w:rFonts w:ascii="Times New Roman" w:cs="Times New Roman" w:eastAsia="Times New Roman" w:hAnsi="Times New Roman"/>
          <w:sz w:val="16"/>
          <w:szCs w:val="16"/>
          <w:color w:val="auto"/>
        </w:rPr>
      </w:pPr>
    </w:p>
    <w:p>
      <w:pPr>
        <w:ind w:left="1075" w:hanging="506"/>
        <w:spacing w:after="0"/>
        <w:tabs>
          <w:tab w:leader="none" w:pos="1075"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keep or cause to be kept records of all their proceedings and actions; and</w:t>
      </w:r>
    </w:p>
    <w:p>
      <w:pPr>
        <w:spacing w:after="0" w:line="197" w:lineRule="exact"/>
        <w:rPr>
          <w:rFonts w:ascii="Times New Roman" w:cs="Times New Roman" w:eastAsia="Times New Roman" w:hAnsi="Times New Roman"/>
          <w:sz w:val="16"/>
          <w:szCs w:val="16"/>
          <w:color w:val="auto"/>
        </w:rPr>
      </w:pPr>
    </w:p>
    <w:p>
      <w:pPr>
        <w:ind w:left="1075" w:right="240" w:hanging="506"/>
        <w:spacing w:after="0" w:line="259" w:lineRule="auto"/>
        <w:tabs>
          <w:tab w:leader="none" w:pos="1066"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maintain all books of account, records, and other data as may be necessary or advisable in its judgment for the proper administration of the Plan other than the books of account, records and other information relating to the services provided by the Claims Administrators.</w:t>
      </w:r>
    </w:p>
    <w:p>
      <w:pPr>
        <w:spacing w:after="0" w:line="165" w:lineRule="exact"/>
        <w:rPr>
          <w:sz w:val="20"/>
          <w:szCs w:val="20"/>
          <w:color w:val="auto"/>
        </w:rPr>
      </w:pPr>
    </w:p>
    <w:p>
      <w:pPr>
        <w:ind w:left="575" w:right="40" w:hanging="353"/>
        <w:spacing w:after="0" w:line="259" w:lineRule="auto"/>
        <w:rPr>
          <w:sz w:val="20"/>
          <w:szCs w:val="20"/>
          <w:color w:val="auto"/>
        </w:rPr>
      </w:pPr>
      <w:r>
        <w:rPr>
          <w:rFonts w:ascii="Times New Roman" w:cs="Times New Roman" w:eastAsia="Times New Roman" w:hAnsi="Times New Roman"/>
          <w:sz w:val="16"/>
          <w:szCs w:val="16"/>
          <w:color w:val="auto"/>
        </w:rPr>
        <w:t>In the case of any inconsistency between the provisions of this Plan and the provisions of any Plan Documentation governing the Welfare Benefit Programs maintained under this Plan, the provisions of this Plan shall govern.</w:t>
      </w:r>
    </w:p>
    <w:p>
      <w:pPr>
        <w:spacing w:after="0" w:line="163" w:lineRule="exact"/>
        <w:rPr>
          <w:sz w:val="20"/>
          <w:szCs w:val="20"/>
          <w:color w:val="auto"/>
        </w:rPr>
      </w:pPr>
    </w:p>
    <w:p>
      <w:pPr>
        <w:ind w:left="235" w:hanging="235"/>
        <w:spacing w:after="0"/>
        <w:tabs>
          <w:tab w:leader="none" w:pos="235"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Standard of Review</w:t>
      </w:r>
    </w:p>
    <w:p>
      <w:pPr>
        <w:spacing w:after="0" w:line="200" w:lineRule="exact"/>
        <w:rPr>
          <w:sz w:val="20"/>
          <w:szCs w:val="20"/>
          <w:color w:val="auto"/>
        </w:rPr>
      </w:pPr>
    </w:p>
    <w:p>
      <w:pPr>
        <w:ind w:left="575"/>
        <w:spacing w:after="0" w:line="248" w:lineRule="auto"/>
        <w:rPr>
          <w:sz w:val="20"/>
          <w:szCs w:val="20"/>
          <w:color w:val="auto"/>
        </w:rPr>
      </w:pPr>
      <w:r>
        <w:rPr>
          <w:rFonts w:ascii="Times New Roman" w:cs="Times New Roman" w:eastAsia="Times New Roman" w:hAnsi="Times New Roman"/>
          <w:sz w:val="16"/>
          <w:szCs w:val="16"/>
          <w:color w:val="auto"/>
        </w:rPr>
        <w:t>The Plan Administrator shall administer and interpret the Plan and shall have the sole and absolute discretionary power to take all action and to make all decisions necessary or proper to carry out the terms of the Plan. The interpretation of all Plan provisions, and the determination of whether a Covered Individual or Beneficiary is entitled to any Benefit pursuant to the terms of the Plan, shall be exercised by the Plan Administrator in its sole discretion, and Benefits will be paid only if the Plan Administrator decides in its discretion that the applicant is entitled to them. Any construction of the terms of the Plan for which there is a rational basis that is adopted by the Plan Administrator shall be final and legally binding on all parties.</w:t>
      </w:r>
    </w:p>
    <w:p>
      <w:pPr>
        <w:spacing w:after="0" w:line="174" w:lineRule="exact"/>
        <w:rPr>
          <w:sz w:val="20"/>
          <w:szCs w:val="20"/>
          <w:color w:val="auto"/>
        </w:rPr>
      </w:pPr>
    </w:p>
    <w:p>
      <w:pPr>
        <w:ind w:left="575"/>
        <w:spacing w:after="0" w:line="248" w:lineRule="auto"/>
        <w:rPr>
          <w:sz w:val="20"/>
          <w:szCs w:val="20"/>
          <w:color w:val="auto"/>
        </w:rPr>
      </w:pPr>
      <w:r>
        <w:rPr>
          <w:rFonts w:ascii="Times New Roman" w:cs="Times New Roman" w:eastAsia="Times New Roman" w:hAnsi="Times New Roman"/>
          <w:sz w:val="16"/>
          <w:szCs w:val="16"/>
          <w:color w:val="auto"/>
        </w:rPr>
        <w:t>Any interpretation of the Plan or other action of the Plan Administrator made in good faith in its sole discretion shall be subject to review only if such an interpretation or other action is without a rational basis. Any review of a final decision or action of the Plan Administrator shall be based only on such evidence presented to or considered by the Plan Administrator at the time it made the decision that is the subject of the review. Any Employee who performs services for the Company that are or may be compensated for in part by Benefits payable pursuant to the Plan, and any Covered Individual hereby consent to actions of the Plan Administrator made in its sole discretion and agrees to the narrow standard of review prescribed in this section.</w:t>
      </w:r>
    </w:p>
    <w:p>
      <w:pPr>
        <w:spacing w:after="0" w:line="161" w:lineRule="exact"/>
        <w:rPr>
          <w:sz w:val="20"/>
          <w:szCs w:val="20"/>
          <w:color w:val="auto"/>
        </w:rPr>
      </w:pPr>
    </w:p>
    <w:p>
      <w:pPr>
        <w:ind w:left="235" w:hanging="235"/>
        <w:spacing w:after="0"/>
        <w:tabs>
          <w:tab w:leader="none" w:pos="235"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Reliance on Advisors</w:t>
      </w:r>
    </w:p>
    <w:p>
      <w:pPr>
        <w:spacing w:after="0" w:line="199" w:lineRule="exact"/>
        <w:rPr>
          <w:rFonts w:ascii="Times New Roman" w:cs="Times New Roman" w:eastAsia="Times New Roman" w:hAnsi="Times New Roman"/>
          <w:sz w:val="16"/>
          <w:szCs w:val="16"/>
          <w:color w:val="auto"/>
        </w:rPr>
      </w:pPr>
    </w:p>
    <w:p>
      <w:pPr>
        <w:ind w:left="575" w:right="120" w:hanging="354"/>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under ERISA, the Plan Administrator, any person to whom it may delegate any duty, responsibility or power in connection with administering this Plan, any Employer, and the Company and the officers, directors, and employees thereof, shall be entitled to rely conclusively upon, and shall be fully protected in any action taken or suffered by them in good faith in reliance upon any actuary, accountant, consultant, counsel, specialist, or other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315"/>
          </w:cols>
          <w:pgMar w:left="245" w:top="1139" w:right="339" w:bottom="1440" w:gutter="0" w:footer="0" w:header="0"/>
        </w:sectPr>
      </w:pPr>
    </w:p>
    <w:bookmarkStart w:id="156" w:name="page157"/>
    <w:bookmarkEnd w:id="156"/>
    <w:p>
      <w:pPr>
        <w:ind w:left="575"/>
        <w:spacing w:after="0" w:line="254" w:lineRule="auto"/>
        <w:rPr>
          <w:sz w:val="20"/>
          <w:szCs w:val="20"/>
          <w:color w:val="auto"/>
        </w:rPr>
      </w:pPr>
      <w:r>
        <w:rPr>
          <w:rFonts w:ascii="Times New Roman" w:cs="Times New Roman" w:eastAsia="Times New Roman" w:hAnsi="Times New Roman"/>
          <w:sz w:val="16"/>
          <w:szCs w:val="16"/>
          <w:color w:val="auto"/>
        </w:rPr>
        <w:t>person/entity selected by the Plan Administrator to advise the Plan Administrator with respect to its duties in connection with the Plan. Except as otherwise provided under ERISA, the Plan Administrator, any Employer, the Company, and the officers, or directors thereof, shall not be liable for any neglect, omission or wrongdoing of a trustee or insurer.</w:t>
      </w:r>
    </w:p>
    <w:p>
      <w:pPr>
        <w:spacing w:after="0" w:line="167" w:lineRule="exact"/>
        <w:rPr>
          <w:sz w:val="20"/>
          <w:szCs w:val="20"/>
          <w:color w:val="auto"/>
        </w:rPr>
      </w:pPr>
    </w:p>
    <w:p>
      <w:pPr>
        <w:ind w:left="215" w:hanging="215"/>
        <w:spacing w:after="0"/>
        <w:tabs>
          <w:tab w:leader="none" w:pos="215"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Administration Expenses</w:t>
      </w:r>
    </w:p>
    <w:p>
      <w:pPr>
        <w:spacing w:after="0" w:line="189" w:lineRule="exact"/>
        <w:rPr>
          <w:rFonts w:ascii="Times New Roman" w:cs="Times New Roman" w:eastAsia="Times New Roman" w:hAnsi="Times New Roman"/>
          <w:sz w:val="16"/>
          <w:szCs w:val="16"/>
          <w:color w:val="auto"/>
        </w:rPr>
      </w:pPr>
    </w:p>
    <w:p>
      <w:pPr>
        <w:ind w:left="575" w:right="60" w:hanging="362"/>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discretion of the Company, all expenses incurred prior to termination of the Plan in connection with its administration, including, but not limited to, administrative expenses, compensation and other expenses and charges of any actuary, accountant, counsel, specialist, or other person who shall be employed by the Plan Administrator in connection with the administration thereof, shall be paid by the Plan to the extent permitted by ERISA. The method of allocating such expenses shall be established and determined by the Company.</w:t>
      </w:r>
    </w:p>
    <w:p>
      <w:pPr>
        <w:spacing w:after="0" w:line="170" w:lineRule="exact"/>
        <w:rPr>
          <w:sz w:val="20"/>
          <w:szCs w:val="20"/>
          <w:color w:val="auto"/>
        </w:rPr>
      </w:pPr>
    </w:p>
    <w:p>
      <w:pPr>
        <w:ind w:left="235" w:hanging="235"/>
        <w:spacing w:after="0"/>
        <w:tabs>
          <w:tab w:leader="none" w:pos="235"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Indemnification</w:t>
      </w:r>
    </w:p>
    <w:p>
      <w:pPr>
        <w:spacing w:after="0" w:line="189" w:lineRule="exact"/>
        <w:rPr>
          <w:sz w:val="20"/>
          <w:szCs w:val="20"/>
          <w:color w:val="auto"/>
        </w:rPr>
      </w:pPr>
    </w:p>
    <w:p>
      <w:pPr>
        <w:ind w:left="575" w:right="260" w:hanging="356"/>
        <w:spacing w:after="0" w:line="273" w:lineRule="auto"/>
        <w:rPr>
          <w:sz w:val="20"/>
          <w:szCs w:val="20"/>
          <w:color w:val="auto"/>
        </w:rPr>
      </w:pPr>
      <w:r>
        <w:rPr>
          <w:rFonts w:ascii="Times New Roman" w:cs="Times New Roman" w:eastAsia="Times New Roman" w:hAnsi="Times New Roman"/>
          <w:sz w:val="16"/>
          <w:szCs w:val="16"/>
          <w:color w:val="auto"/>
        </w:rPr>
        <w:t>The Company shall indemnify and hold harmless all employees of the Company, regardless of fiduciary status, from all liability, loss, or cost such employees may incur in the exercise of their duties and powers (or their failure to do so) under the Plan, except as such liabilities, losses, or costs result from:</w:t>
      </w:r>
    </w:p>
    <w:p>
      <w:pPr>
        <w:spacing w:after="0" w:line="154" w:lineRule="exact"/>
        <w:rPr>
          <w:sz w:val="20"/>
          <w:szCs w:val="20"/>
          <w:color w:val="auto"/>
        </w:rPr>
      </w:pPr>
    </w:p>
    <w:p>
      <w:pPr>
        <w:ind w:left="535" w:hanging="320"/>
        <w:spacing w:after="0"/>
        <w:tabs>
          <w:tab w:leader="none" w:pos="535"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their own gross negligence or willful misconduct; or</w:t>
      </w:r>
    </w:p>
    <w:p>
      <w:pPr>
        <w:spacing w:after="0" w:line="187" w:lineRule="exact"/>
        <w:rPr>
          <w:rFonts w:ascii="Times New Roman" w:cs="Times New Roman" w:eastAsia="Times New Roman" w:hAnsi="Times New Roman"/>
          <w:sz w:val="16"/>
          <w:szCs w:val="16"/>
          <w:color w:val="auto"/>
        </w:rPr>
      </w:pPr>
    </w:p>
    <w:p>
      <w:pPr>
        <w:ind w:left="555" w:hanging="340"/>
        <w:spacing w:after="0"/>
        <w:tabs>
          <w:tab w:leader="none" w:pos="555"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settlement, without the Company’s prior approval, of an action, suit, or proceeding.</w:t>
      </w:r>
    </w:p>
    <w:p>
      <w:pPr>
        <w:spacing w:after="0" w:line="198" w:lineRule="exact"/>
        <w:rPr>
          <w:sz w:val="20"/>
          <w:szCs w:val="20"/>
          <w:color w:val="auto"/>
        </w:rPr>
      </w:pPr>
    </w:p>
    <w:p>
      <w:pPr>
        <w:ind w:left="575" w:right="100" w:hanging="356"/>
        <w:spacing w:after="0" w:line="307" w:lineRule="auto"/>
        <w:rPr>
          <w:sz w:val="20"/>
          <w:szCs w:val="20"/>
          <w:color w:val="auto"/>
        </w:rPr>
      </w:pPr>
      <w:r>
        <w:rPr>
          <w:rFonts w:ascii="Times New Roman" w:cs="Times New Roman" w:eastAsia="Times New Roman" w:hAnsi="Times New Roman"/>
          <w:sz w:val="14"/>
          <w:szCs w:val="14"/>
          <w:color w:val="auto"/>
        </w:rPr>
        <w:t>The Company shall also assume the defense of, or reimburse the expenses reasonably incurred in the defense of, whichever it may choose, any actions, suits, or proceedings arising under the Plan and brought and advanced by any person, other than the Company, against such employee. However, this indemnification shall not act to relieve any such individual/entity and/or third-party administrator from a responsibility or liability for any fiduciary responsibility, obligation, or duty under Title I, Part 4 of ERISA.</w:t>
      </w:r>
    </w:p>
    <w:p>
      <w:pPr>
        <w:spacing w:after="0" w:line="134" w:lineRule="exact"/>
        <w:rPr>
          <w:sz w:val="20"/>
          <w:szCs w:val="20"/>
          <w:color w:val="auto"/>
        </w:rPr>
      </w:pPr>
    </w:p>
    <w:p>
      <w:pPr>
        <w:ind w:left="235" w:hanging="235"/>
        <w:spacing w:after="0"/>
        <w:tabs>
          <w:tab w:leader="none" w:pos="235"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Missing Participant</w:t>
      </w:r>
    </w:p>
    <w:p>
      <w:pPr>
        <w:spacing w:after="0" w:line="189" w:lineRule="exact"/>
        <w:rPr>
          <w:sz w:val="20"/>
          <w:szCs w:val="20"/>
          <w:color w:val="auto"/>
        </w:rPr>
      </w:pPr>
    </w:p>
    <w:p>
      <w:pPr>
        <w:ind w:left="575" w:hanging="361"/>
        <w:spacing w:after="0" w:line="254" w:lineRule="auto"/>
        <w:rPr>
          <w:sz w:val="20"/>
          <w:szCs w:val="20"/>
          <w:color w:val="auto"/>
        </w:rPr>
      </w:pPr>
      <w:r>
        <w:rPr>
          <w:rFonts w:ascii="Times New Roman" w:cs="Times New Roman" w:eastAsia="Times New Roman" w:hAnsi="Times New Roman"/>
          <w:sz w:val="16"/>
          <w:szCs w:val="16"/>
          <w:color w:val="auto"/>
        </w:rPr>
        <w:t>Any Benefit payable under this Plan shall be forfeited if the Plan Administrator, after a reasonable effort, is unable to locate the Participant, Eligible Dependent or other individual to whom payment is due on a benefit claim timely filed with the Plan Administrator. However, any such forfeited payment shall be reinstated if a claim for such payment is made by such individual, his or her estate or other legal representative within the applicable period described in Article V.</w:t>
      </w:r>
    </w:p>
    <w:p>
      <w:pPr>
        <w:spacing w:after="0" w:line="167" w:lineRule="exact"/>
        <w:rPr>
          <w:sz w:val="20"/>
          <w:szCs w:val="20"/>
          <w:color w:val="auto"/>
        </w:rPr>
      </w:pPr>
    </w:p>
    <w:p>
      <w:pPr>
        <w:ind w:left="235" w:hanging="235"/>
        <w:spacing w:after="0"/>
        <w:tabs>
          <w:tab w:leader="none" w:pos="235"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Qualified Medical Child Support Orders</w:t>
      </w:r>
    </w:p>
    <w:p>
      <w:pPr>
        <w:spacing w:after="0" w:line="189" w:lineRule="exact"/>
        <w:rPr>
          <w:sz w:val="20"/>
          <w:szCs w:val="20"/>
          <w:color w:val="auto"/>
        </w:rPr>
      </w:pPr>
    </w:p>
    <w:p>
      <w:pPr>
        <w:ind w:left="575" w:right="600" w:hanging="356"/>
        <w:spacing w:after="0" w:line="256" w:lineRule="auto"/>
        <w:rPr>
          <w:sz w:val="20"/>
          <w:szCs w:val="20"/>
          <w:color w:val="auto"/>
        </w:rPr>
      </w:pPr>
      <w:r>
        <w:rPr>
          <w:rFonts w:ascii="Times New Roman" w:cs="Times New Roman" w:eastAsia="Times New Roman" w:hAnsi="Times New Roman"/>
          <w:sz w:val="16"/>
          <w:szCs w:val="16"/>
          <w:color w:val="auto"/>
        </w:rPr>
        <w:t>The Plan shall permit coverage of the Participant’s dependent children who are designated as an alternate recipient(s) under a medical child support order which the Plan Administrator has determined to be a qualified medical child support order (“QMCSO”) under Section 609 of ERISA.</w:t>
      </w:r>
    </w:p>
    <w:p>
      <w:pPr>
        <w:spacing w:after="0" w:line="1"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14"/>
          <w:szCs w:val="14"/>
          <w:color w:val="auto"/>
        </w:rPr>
        <w:t>Nothing in this Section 4.08 shall permit such an individual so designated as an alternate recipient under a QMCSO to receive Plan benefits that are not available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315"/>
          </w:cols>
          <w:pgMar w:left="245" w:top="1139" w:right="339" w:bottom="1440" w:gutter="0" w:footer="0" w:header="0"/>
        </w:sectPr>
      </w:pPr>
    </w:p>
    <w:bookmarkStart w:id="157" w:name="page158"/>
    <w:bookmarkEnd w:id="157"/>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ARTICLE V – CLAIMS PROCEDURES</w:t>
      </w:r>
    </w:p>
    <w:p>
      <w:pPr>
        <w:spacing w:after="0" w:line="389" w:lineRule="exact"/>
        <w:rPr>
          <w:sz w:val="20"/>
          <w:szCs w:val="20"/>
          <w:color w:val="auto"/>
        </w:rPr>
      </w:pPr>
    </w:p>
    <w:p>
      <w:pPr>
        <w:ind w:left="235" w:hanging="235"/>
        <w:spacing w:after="0"/>
        <w:tabs>
          <w:tab w:leader="none" w:pos="235"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Claims for Benefits</w:t>
      </w:r>
    </w:p>
    <w:p>
      <w:pPr>
        <w:spacing w:after="0" w:line="189" w:lineRule="exact"/>
        <w:rPr>
          <w:sz w:val="20"/>
          <w:szCs w:val="20"/>
          <w:color w:val="auto"/>
        </w:rPr>
      </w:pPr>
    </w:p>
    <w:p>
      <w:pPr>
        <w:ind w:left="575" w:right="20" w:hanging="361"/>
        <w:spacing w:after="0" w:line="346" w:lineRule="auto"/>
        <w:rPr>
          <w:sz w:val="20"/>
          <w:szCs w:val="20"/>
          <w:color w:val="auto"/>
        </w:rPr>
      </w:pPr>
      <w:r>
        <w:rPr>
          <w:rFonts w:ascii="Times New Roman" w:cs="Times New Roman" w:eastAsia="Times New Roman" w:hAnsi="Times New Roman"/>
          <w:sz w:val="14"/>
          <w:szCs w:val="14"/>
          <w:color w:val="auto"/>
        </w:rPr>
        <w:t>A Participant or duly authorized representative must file a claim for Benefits hereunder to which such claimant believes he or she is entitled. All claims must be filed in accordance with the procedures described in the Plan Documentation for the respective Welfare Benefit Program and the rules, if any, developed by the Plan Administrator.</w:t>
      </w:r>
    </w:p>
    <w:p>
      <w:pPr>
        <w:spacing w:after="0" w:line="96" w:lineRule="exact"/>
        <w:rPr>
          <w:sz w:val="20"/>
          <w:szCs w:val="20"/>
          <w:color w:val="auto"/>
        </w:rPr>
      </w:pPr>
    </w:p>
    <w:p>
      <w:pPr>
        <w:ind w:left="235" w:hanging="235"/>
        <w:spacing w:after="0"/>
        <w:tabs>
          <w:tab w:leader="none" w:pos="235"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Claims and Review Procedure</w:t>
      </w:r>
    </w:p>
    <w:p>
      <w:pPr>
        <w:spacing w:after="0" w:line="199" w:lineRule="exact"/>
        <w:rPr>
          <w:rFonts w:ascii="Times New Roman" w:cs="Times New Roman" w:eastAsia="Times New Roman" w:hAnsi="Times New Roman"/>
          <w:sz w:val="16"/>
          <w:szCs w:val="16"/>
          <w:color w:val="auto"/>
        </w:rPr>
      </w:pPr>
    </w:p>
    <w:p>
      <w:pPr>
        <w:ind w:left="1075" w:hanging="506"/>
        <w:spacing w:after="0"/>
        <w:tabs>
          <w:tab w:leader="none" w:pos="1075"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claim for Benefits under a Welfare Benefit Program shall be made as specified in the Plan Documentation for such Welfare Benefit Program.</w:t>
      </w:r>
    </w:p>
    <w:p>
      <w:pPr>
        <w:spacing w:after="0" w:line="197" w:lineRule="exact"/>
        <w:rPr>
          <w:rFonts w:ascii="Times New Roman" w:cs="Times New Roman" w:eastAsia="Times New Roman" w:hAnsi="Times New Roman"/>
          <w:sz w:val="16"/>
          <w:szCs w:val="16"/>
          <w:color w:val="auto"/>
        </w:rPr>
      </w:pPr>
    </w:p>
    <w:p>
      <w:pPr>
        <w:ind w:left="1075" w:hanging="506"/>
        <w:spacing w:after="0" w:line="259" w:lineRule="auto"/>
        <w:tabs>
          <w:tab w:leader="none" w:pos="1066"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Administrator shall establish such rules and procedures, consistent with the Plan and with ERISA, as it may deem necessary or appropriate in carrying out its responsibilities under this Section 5.02.</w:t>
      </w:r>
    </w:p>
    <w:p>
      <w:pPr>
        <w:spacing w:after="0" w:line="163" w:lineRule="exact"/>
        <w:rPr>
          <w:sz w:val="20"/>
          <w:szCs w:val="20"/>
          <w:color w:val="auto"/>
        </w:rPr>
      </w:pPr>
    </w:p>
    <w:p>
      <w:pPr>
        <w:ind w:left="235" w:hanging="235"/>
        <w:spacing w:after="0"/>
        <w:tabs>
          <w:tab w:leader="none" w:pos="235"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Named Fiduciary for Claim Determination and Review</w:t>
      </w:r>
    </w:p>
    <w:p>
      <w:pPr>
        <w:spacing w:after="0" w:line="189" w:lineRule="exact"/>
        <w:rPr>
          <w:rFonts w:ascii="Times New Roman" w:cs="Times New Roman" w:eastAsia="Times New Roman" w:hAnsi="Times New Roman"/>
          <w:sz w:val="16"/>
          <w:szCs w:val="16"/>
          <w:color w:val="auto"/>
        </w:rPr>
      </w:pPr>
    </w:p>
    <w:p>
      <w:pPr>
        <w:ind w:left="575" w:right="80" w:hanging="354"/>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Plan Documentation governing a Welfare Benefit Program provides that an insurance company, third party administrator or other entity that is not related to the Company by common ownership has responsibility for determining claims or for reviewing appeals from claims denied in whole or in part, the entity so designated shall be the sole Named Fiduciary under the applicable Welfare Benefit Program to the extent of any such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55"/>
          </w:cols>
          <w:pgMar w:left="245" w:top="1137" w:right="399" w:bottom="1440" w:gutter="0" w:footer="0" w:header="0"/>
        </w:sectPr>
      </w:pPr>
    </w:p>
    <w:bookmarkStart w:id="158" w:name="page159"/>
    <w:bookmarkEnd w:id="158"/>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ARTICLE VI – FIDUCIARY PROVISIONS</w:t>
      </w:r>
    </w:p>
    <w:p>
      <w:pPr>
        <w:spacing w:after="0" w:line="389" w:lineRule="exact"/>
        <w:rPr>
          <w:sz w:val="20"/>
          <w:szCs w:val="20"/>
          <w:color w:val="auto"/>
        </w:rPr>
      </w:pPr>
    </w:p>
    <w:p>
      <w:pPr>
        <w:ind w:left="235" w:hanging="235"/>
        <w:spacing w:after="0"/>
        <w:tabs>
          <w:tab w:leader="none" w:pos="235"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Named Fiduciary</w:t>
      </w:r>
    </w:p>
    <w:p>
      <w:pPr>
        <w:spacing w:after="0" w:line="189" w:lineRule="exact"/>
        <w:rPr>
          <w:rFonts w:ascii="Times New Roman" w:cs="Times New Roman" w:eastAsia="Times New Roman" w:hAnsi="Times New Roman"/>
          <w:sz w:val="16"/>
          <w:szCs w:val="16"/>
          <w:color w:val="auto"/>
        </w:rPr>
      </w:pPr>
    </w:p>
    <w:p>
      <w:pPr>
        <w:ind w:left="1075" w:hanging="506"/>
        <w:spacing w:after="0"/>
        <w:tabs>
          <w:tab w:leader="none" w:pos="1075" w:val="left"/>
        </w:tabs>
        <w:numPr>
          <w:ilvl w:val="2"/>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in Section 5.03, the Plan Administrator shall be the Named Fiduciary of the Plan.</w:t>
      </w:r>
    </w:p>
    <w:p>
      <w:pPr>
        <w:spacing w:after="0" w:line="18" w:lineRule="exact"/>
        <w:rPr>
          <w:rFonts w:ascii="Times New Roman" w:cs="Times New Roman" w:eastAsia="Times New Roman" w:hAnsi="Times New Roman"/>
          <w:sz w:val="16"/>
          <w:szCs w:val="16"/>
          <w:color w:val="auto"/>
        </w:rPr>
      </w:pPr>
    </w:p>
    <w:p>
      <w:pPr>
        <w:ind w:left="1075" w:right="180" w:hanging="860"/>
        <w:spacing w:after="0" w:line="246" w:lineRule="auto"/>
        <w:tabs>
          <w:tab w:leader="none" w:pos="549"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above, the Plan Sponsor may designate a third-party administrator or any other person as a Named Fiduciary by a written instrument executed by the Plan Sponsor and delivered to such designated named fiduciary. Any such designation may be modified or amended by written statement executed by the Plan Sponsor and may be revoked by the Plan Sponsor by written notice delivered to the other party.</w:t>
      </w:r>
    </w:p>
    <w:p>
      <w:pPr>
        <w:spacing w:after="0" w:line="174" w:lineRule="exact"/>
        <w:rPr>
          <w:sz w:val="20"/>
          <w:szCs w:val="20"/>
          <w:color w:val="auto"/>
        </w:rPr>
      </w:pPr>
    </w:p>
    <w:p>
      <w:pPr>
        <w:ind w:left="215" w:hanging="215"/>
        <w:spacing w:after="0"/>
        <w:tabs>
          <w:tab w:leader="none" w:pos="215"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Allocation and Delegation of Fiduciary Duties</w:t>
      </w:r>
    </w:p>
    <w:p>
      <w:pPr>
        <w:spacing w:after="0" w:line="189" w:lineRule="exact"/>
        <w:rPr>
          <w:rFonts w:ascii="Times New Roman" w:cs="Times New Roman" w:eastAsia="Times New Roman" w:hAnsi="Times New Roman"/>
          <w:sz w:val="16"/>
          <w:szCs w:val="16"/>
          <w:color w:val="auto"/>
        </w:rPr>
      </w:pPr>
    </w:p>
    <w:p>
      <w:pPr>
        <w:ind w:left="575" w:hanging="362"/>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fiduciary who has joint and several powers, duties, and responsibilities under the Plan may allocate such powers, duties, and responsibilities (other than a duty to invest all or a portion of plan assets in any trust) to any one or more other fiduciary, as applicable. Any such allocation or delegation shall be made by written agreement between or among the parties, may be amended or modified by written agreement between or among such parties, and may be revoked by either party by written notice delivered to the other party.</w:t>
      </w:r>
    </w:p>
    <w:p>
      <w:pPr>
        <w:spacing w:after="0" w:line="170" w:lineRule="exact"/>
        <w:rPr>
          <w:sz w:val="20"/>
          <w:szCs w:val="20"/>
          <w:color w:val="auto"/>
        </w:rPr>
      </w:pPr>
    </w:p>
    <w:p>
      <w:pPr>
        <w:ind w:left="235" w:hanging="235"/>
        <w:spacing w:after="0"/>
        <w:tabs>
          <w:tab w:leader="none" w:pos="235"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Multi-Fiduciary Status</w:t>
      </w:r>
    </w:p>
    <w:p>
      <w:pPr>
        <w:spacing w:after="0" w:line="189"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16"/>
          <w:szCs w:val="16"/>
          <w:color w:val="auto"/>
        </w:rPr>
        <w:t>Any fiduciary may serve in more than one capacity with respect to the Plan.</w:t>
      </w:r>
    </w:p>
    <w:p>
      <w:pPr>
        <w:spacing w:after="0" w:line="196" w:lineRule="exact"/>
        <w:rPr>
          <w:sz w:val="20"/>
          <w:szCs w:val="20"/>
          <w:color w:val="auto"/>
        </w:rPr>
      </w:pPr>
    </w:p>
    <w:p>
      <w:pPr>
        <w:ind w:left="235" w:hanging="235"/>
        <w:spacing w:after="0"/>
        <w:tabs>
          <w:tab w:leader="none" w:pos="235"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Scope of Responsibility of Fiduciary</w:t>
      </w:r>
    </w:p>
    <w:p>
      <w:pPr>
        <w:spacing w:after="0" w:line="189" w:lineRule="exact"/>
        <w:rPr>
          <w:rFonts w:ascii="Times New Roman" w:cs="Times New Roman" w:eastAsia="Times New Roman" w:hAnsi="Times New Roman"/>
          <w:sz w:val="16"/>
          <w:szCs w:val="16"/>
          <w:color w:val="auto"/>
        </w:rPr>
      </w:pPr>
    </w:p>
    <w:p>
      <w:pPr>
        <w:ind w:left="21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named fiduciary and each fiduciary shall have only those specific powers, duties, and responsibilities specified in the Plan Documentation.</w:t>
      </w:r>
    </w:p>
    <w:p>
      <w:pPr>
        <w:spacing w:after="0" w:line="196" w:lineRule="exact"/>
        <w:rPr>
          <w:sz w:val="20"/>
          <w:szCs w:val="20"/>
          <w:color w:val="auto"/>
        </w:rPr>
      </w:pPr>
    </w:p>
    <w:p>
      <w:pPr>
        <w:ind w:left="235" w:hanging="235"/>
        <w:spacing w:after="0"/>
        <w:tabs>
          <w:tab w:leader="none" w:pos="235"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Immunities</w:t>
      </w:r>
    </w:p>
    <w:p>
      <w:pPr>
        <w:spacing w:after="0" w:line="200" w:lineRule="exact"/>
        <w:rPr>
          <w:sz w:val="20"/>
          <w:szCs w:val="20"/>
          <w:color w:val="auto"/>
        </w:rPr>
      </w:pPr>
    </w:p>
    <w:p>
      <w:pPr>
        <w:ind w:left="215"/>
        <w:spacing w:after="0"/>
        <w:rPr>
          <w:sz w:val="20"/>
          <w:szCs w:val="20"/>
          <w:color w:val="auto"/>
        </w:rPr>
      </w:pPr>
      <w:r>
        <w:rPr>
          <w:rFonts w:ascii="Times New Roman" w:cs="Times New Roman" w:eastAsia="Times New Roman" w:hAnsi="Times New Roman"/>
          <w:sz w:val="16"/>
          <w:szCs w:val="16"/>
          <w:color w:val="auto"/>
        </w:rPr>
        <w:t>To the extent permitted by ERISA:</w:t>
      </w:r>
    </w:p>
    <w:p>
      <w:pPr>
        <w:spacing w:after="0" w:line="187" w:lineRule="exact"/>
        <w:rPr>
          <w:sz w:val="20"/>
          <w:szCs w:val="20"/>
          <w:color w:val="auto"/>
        </w:rPr>
      </w:pPr>
    </w:p>
    <w:p>
      <w:pPr>
        <w:ind w:left="1075" w:right="80" w:hanging="860"/>
        <w:spacing w:after="0" w:line="273" w:lineRule="auto"/>
        <w:tabs>
          <w:tab w:leader="none" w:pos="5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fiduciary or other person shall be personally liable for any contract or other instrument that is made or executed by him or her, or made or executed on his or her behalf, in the administration of the Plan or any trust.</w:t>
      </w:r>
    </w:p>
    <w:p>
      <w:pPr>
        <w:spacing w:after="0" w:line="143" w:lineRule="exact"/>
        <w:rPr>
          <w:rFonts w:ascii="Times New Roman" w:cs="Times New Roman" w:eastAsia="Times New Roman" w:hAnsi="Times New Roman"/>
          <w:sz w:val="16"/>
          <w:szCs w:val="16"/>
          <w:color w:val="auto"/>
        </w:rPr>
      </w:pPr>
    </w:p>
    <w:p>
      <w:pPr>
        <w:ind w:left="1075" w:right="120" w:hanging="860"/>
        <w:spacing w:after="0" w:line="273" w:lineRule="auto"/>
        <w:tabs>
          <w:tab w:leader="none" w:pos="549"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fiduciary or other person shall be personally liable for the neglect, omission or wrongdoing of another fiduciary, agent, counsel, auditor, or other person who has duties or responsibilities under the Plan or any trust agreement.</w:t>
      </w:r>
    </w:p>
    <w:p>
      <w:pPr>
        <w:spacing w:after="0" w:line="143" w:lineRule="exact"/>
        <w:rPr>
          <w:rFonts w:ascii="Times New Roman" w:cs="Times New Roman" w:eastAsia="Times New Roman" w:hAnsi="Times New Roman"/>
          <w:sz w:val="16"/>
          <w:szCs w:val="16"/>
          <w:color w:val="auto"/>
        </w:rPr>
      </w:pPr>
    </w:p>
    <w:p>
      <w:pPr>
        <w:ind w:left="1075" w:right="680" w:hanging="860"/>
        <w:spacing w:after="0" w:line="273" w:lineRule="auto"/>
        <w:tabs>
          <w:tab w:leader="none" w:pos="5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fiduciary or other person shall be personally liable for relying upon information or advice provided by a fiduciary, agent, counsel, auditor, consultant, Covered Individual, Eligible Retiree, or other interested party.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95"/>
          </w:cols>
          <w:pgMar w:left="245" w:top="1137" w:right="359" w:bottom="1440" w:gutter="0" w:footer="0" w:header="0"/>
        </w:sectPr>
      </w:pPr>
    </w:p>
    <w:bookmarkStart w:id="159" w:name="page160"/>
    <w:bookmarkEnd w:id="159"/>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ARTICLE VII – PLAN AMENDMENT AND TERMINATION</w:t>
      </w:r>
    </w:p>
    <w:p>
      <w:pPr>
        <w:spacing w:after="0" w:line="389" w:lineRule="exact"/>
        <w:rPr>
          <w:sz w:val="20"/>
          <w:szCs w:val="20"/>
          <w:color w:val="auto"/>
        </w:rPr>
      </w:pPr>
    </w:p>
    <w:p>
      <w:pPr>
        <w:ind w:left="215" w:hanging="215"/>
        <w:spacing w:after="0"/>
        <w:tabs>
          <w:tab w:leader="none" w:pos="215"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Amendment or Termination by the Company</w:t>
      </w:r>
    </w:p>
    <w:p>
      <w:pPr>
        <w:spacing w:after="0" w:line="189" w:lineRule="exact"/>
        <w:rPr>
          <w:rFonts w:ascii="Times New Roman" w:cs="Times New Roman" w:eastAsia="Times New Roman" w:hAnsi="Times New Roman"/>
          <w:sz w:val="16"/>
          <w:szCs w:val="16"/>
          <w:color w:val="auto"/>
        </w:rPr>
      </w:pPr>
    </w:p>
    <w:p>
      <w:pPr>
        <w:ind w:left="575" w:right="40" w:hanging="357"/>
        <w:spacing w:after="0" w:line="30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Company expressly reserves the unilateral right to, at any time and from time to time, and retroactively if deemed necessary or appropriate, amend, suspend or terminate the Plan and/or applicable contract for any reason, in whole or in part, and to adopt any amendment or modification thereto, through written action of the Company’s Board of Directors or its duly authorized delegate, all without the consent of any Participant, Eligible Dependent, Beneficiary, Eligible Retiree, or other person.</w:t>
      </w:r>
    </w:p>
    <w:p>
      <w:pPr>
        <w:spacing w:after="0" w:line="134" w:lineRule="exact"/>
        <w:rPr>
          <w:sz w:val="20"/>
          <w:szCs w:val="20"/>
          <w:color w:val="auto"/>
        </w:rPr>
      </w:pPr>
    </w:p>
    <w:p>
      <w:pPr>
        <w:ind w:left="235" w:hanging="235"/>
        <w:spacing w:after="0"/>
        <w:tabs>
          <w:tab w:leader="none" w:pos="235"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 Diversion of Assets</w:t>
      </w:r>
    </w:p>
    <w:p>
      <w:pPr>
        <w:spacing w:after="0" w:line="199" w:lineRule="exact"/>
        <w:rPr>
          <w:rFonts w:ascii="Times New Roman" w:cs="Times New Roman" w:eastAsia="Times New Roman" w:hAnsi="Times New Roman"/>
          <w:sz w:val="16"/>
          <w:szCs w:val="16"/>
          <w:color w:val="auto"/>
        </w:rPr>
      </w:pPr>
    </w:p>
    <w:p>
      <w:pPr>
        <w:ind w:left="21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Section 8.03 and Article IV, no amendment or suspension of the Plan shall be made which would cause or permit the assets of the Plan:</w:t>
      </w:r>
    </w:p>
    <w:p>
      <w:pPr>
        <w:spacing w:after="0" w:line="187" w:lineRule="exact"/>
        <w:rPr>
          <w:rFonts w:ascii="Times New Roman" w:cs="Times New Roman" w:eastAsia="Times New Roman" w:hAnsi="Times New Roman"/>
          <w:sz w:val="16"/>
          <w:szCs w:val="16"/>
          <w:color w:val="auto"/>
        </w:rPr>
      </w:pPr>
    </w:p>
    <w:p>
      <w:pPr>
        <w:ind w:left="1075" w:hanging="860"/>
        <w:spacing w:after="0" w:line="273" w:lineRule="auto"/>
        <w:tabs>
          <w:tab w:leader="none" w:pos="540"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used for or diverted to any purpose other than for the exclusive benefit of persons entitled to benefits under the Plan, before satisfaction of all liabilities with respect to them; or</w:t>
      </w:r>
    </w:p>
    <w:p>
      <w:pPr>
        <w:spacing w:after="0" w:line="143" w:lineRule="exact"/>
        <w:rPr>
          <w:rFonts w:ascii="Times New Roman" w:cs="Times New Roman" w:eastAsia="Times New Roman" w:hAnsi="Times New Roman"/>
          <w:sz w:val="16"/>
          <w:szCs w:val="16"/>
          <w:color w:val="auto"/>
        </w:rPr>
      </w:pPr>
    </w:p>
    <w:p>
      <w:pPr>
        <w:ind w:left="555" w:hanging="340"/>
        <w:spacing w:after="0"/>
        <w:tabs>
          <w:tab w:leader="none" w:pos="555"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inure (other than through payments made pursuant to the Plan) to the benefit of any private shareholder or individual.</w:t>
      </w:r>
    </w:p>
    <w:p>
      <w:pPr>
        <w:spacing w:after="0" w:line="196" w:lineRule="exact"/>
        <w:rPr>
          <w:sz w:val="20"/>
          <w:szCs w:val="20"/>
          <w:color w:val="auto"/>
        </w:rPr>
      </w:pPr>
    </w:p>
    <w:p>
      <w:pPr>
        <w:ind w:left="235" w:hanging="235"/>
        <w:spacing w:after="0"/>
        <w:tabs>
          <w:tab w:leader="none" w:pos="235"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Termination of Plan</w:t>
      </w:r>
    </w:p>
    <w:p>
      <w:pPr>
        <w:spacing w:after="0" w:line="199" w:lineRule="exact"/>
        <w:rPr>
          <w:rFonts w:ascii="Times New Roman" w:cs="Times New Roman" w:eastAsia="Times New Roman" w:hAnsi="Times New Roman"/>
          <w:sz w:val="16"/>
          <w:szCs w:val="16"/>
          <w:color w:val="auto"/>
        </w:rPr>
      </w:pPr>
    </w:p>
    <w:p>
      <w:pPr>
        <w:ind w:left="575" w:right="200" w:hanging="354"/>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termination of the Plan, the Company’s Board of Directors (or its delegate) shall, after the payment or provision for the payment of benefits to each Participant to whom benefits are payable on the date of termination and otherwise permitted in accordance with Plan terms, direct that all remaining assets held with respect to the Plan shall revert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54"/>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55"/>
          </w:cols>
          <w:pgMar w:left="245" w:top="1138" w:right="399" w:bottom="1440" w:gutter="0" w:footer="0" w:header="0"/>
        </w:sectPr>
      </w:pPr>
    </w:p>
    <w:bookmarkStart w:id="160" w:name="page161"/>
    <w:bookmarkEnd w:id="160"/>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ARTICLE VIII – FUNDING</w:t>
      </w:r>
    </w:p>
    <w:p>
      <w:pPr>
        <w:spacing w:after="0" w:line="389" w:lineRule="exact"/>
        <w:rPr>
          <w:sz w:val="20"/>
          <w:szCs w:val="20"/>
          <w:color w:val="auto"/>
        </w:rPr>
      </w:pPr>
    </w:p>
    <w:p>
      <w:pPr>
        <w:ind w:left="235" w:hanging="235"/>
        <w:spacing w:after="0"/>
        <w:tabs>
          <w:tab w:leader="none" w:pos="235"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Establishment of Funding Policy</w:t>
      </w:r>
    </w:p>
    <w:p>
      <w:pPr>
        <w:spacing w:after="0" w:line="189" w:lineRule="exact"/>
        <w:rPr>
          <w:sz w:val="20"/>
          <w:szCs w:val="20"/>
          <w:color w:val="auto"/>
        </w:rPr>
      </w:pPr>
    </w:p>
    <w:p>
      <w:pPr>
        <w:ind w:left="575" w:right="240" w:hanging="356"/>
        <w:spacing w:after="0" w:line="273" w:lineRule="auto"/>
        <w:rPr>
          <w:sz w:val="20"/>
          <w:szCs w:val="20"/>
          <w:color w:val="auto"/>
        </w:rPr>
      </w:pPr>
      <w:r>
        <w:rPr>
          <w:rFonts w:ascii="Times New Roman" w:cs="Times New Roman" w:eastAsia="Times New Roman" w:hAnsi="Times New Roman"/>
          <w:sz w:val="16"/>
          <w:szCs w:val="16"/>
          <w:color w:val="auto"/>
        </w:rPr>
        <w:t>The Plan Sponsor shall establish, carry out and revise, from time to time, the funding policy and method for each Welfare Benefit Program, which shall be consistent with the objectives of the Plan, including without limitation, the allocation of costs between the Company and Participants.</w:t>
      </w:r>
    </w:p>
    <w:p>
      <w:pPr>
        <w:spacing w:after="0" w:line="121" w:lineRule="exact"/>
        <w:rPr>
          <w:sz w:val="20"/>
          <w:szCs w:val="20"/>
          <w:color w:val="auto"/>
        </w:rPr>
      </w:pPr>
    </w:p>
    <w:p>
      <w:pPr>
        <w:ind w:left="235" w:hanging="235"/>
        <w:spacing w:after="0"/>
        <w:tabs>
          <w:tab w:leader="none" w:pos="235"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Participant Contributions</w:t>
      </w:r>
    </w:p>
    <w:p>
      <w:pPr>
        <w:spacing w:after="0" w:line="200" w:lineRule="exact"/>
        <w:rPr>
          <w:sz w:val="20"/>
          <w:szCs w:val="20"/>
          <w:color w:val="auto"/>
        </w:rPr>
      </w:pPr>
    </w:p>
    <w:p>
      <w:pPr>
        <w:ind w:left="575"/>
        <w:spacing w:after="0"/>
        <w:rPr>
          <w:sz w:val="20"/>
          <w:szCs w:val="20"/>
          <w:color w:val="auto"/>
        </w:rPr>
      </w:pPr>
      <w:r>
        <w:rPr>
          <w:rFonts w:ascii="Times New Roman" w:cs="Times New Roman" w:eastAsia="Times New Roman" w:hAnsi="Times New Roman"/>
          <w:sz w:val="16"/>
          <w:szCs w:val="16"/>
          <w:color w:val="auto"/>
        </w:rPr>
        <w:t>Each Participant in a Welfare Benefit Program shall make such contributions as the Plan Administrator or its delegate may require.</w:t>
      </w:r>
    </w:p>
    <w:p>
      <w:pPr>
        <w:spacing w:after="0" w:line="196" w:lineRule="exact"/>
        <w:rPr>
          <w:sz w:val="20"/>
          <w:szCs w:val="20"/>
          <w:color w:val="auto"/>
        </w:rPr>
      </w:pPr>
    </w:p>
    <w:p>
      <w:pPr>
        <w:ind w:left="235" w:hanging="235"/>
        <w:spacing w:after="0"/>
        <w:tabs>
          <w:tab w:leader="none" w:pos="235"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Priority of Contributions and Reserves</w:t>
      </w:r>
    </w:p>
    <w:p>
      <w:pPr>
        <w:spacing w:after="0" w:line="189" w:lineRule="exact"/>
        <w:rPr>
          <w:sz w:val="20"/>
          <w:szCs w:val="20"/>
          <w:color w:val="auto"/>
        </w:rPr>
      </w:pPr>
    </w:p>
    <w:p>
      <w:pPr>
        <w:ind w:left="575"/>
        <w:spacing w:after="0" w:line="252" w:lineRule="auto"/>
        <w:rPr>
          <w:sz w:val="20"/>
          <w:szCs w:val="20"/>
          <w:color w:val="auto"/>
        </w:rPr>
      </w:pPr>
      <w:r>
        <w:rPr>
          <w:rFonts w:ascii="Times New Roman" w:cs="Times New Roman" w:eastAsia="Times New Roman" w:hAnsi="Times New Roman"/>
          <w:sz w:val="16"/>
          <w:szCs w:val="16"/>
          <w:color w:val="auto"/>
        </w:rPr>
        <w:t>Participant contributions shall be applied to fund Benefits, insurance premiums, administrative expenses and other costs of the Plan first, and Company contributions shall be required only to the extent that total Benefits, insurance premiums, administrative expenses and other costs of the Plan exceed the amount of such Participant contributions. Any reserves or other assets accumulated under the Plan from time to time pursuant to any Insurance Contract shall be deemed Company contributions to the extent that such reserves or assets do not exceed the Company’s aggregate contributions during the period in which the reserves or assets are accumulated.</w:t>
      </w:r>
    </w:p>
    <w:p>
      <w:pPr>
        <w:spacing w:after="0" w:line="170" w:lineRule="exact"/>
        <w:rPr>
          <w:sz w:val="20"/>
          <w:szCs w:val="20"/>
          <w:color w:val="auto"/>
        </w:rPr>
      </w:pPr>
    </w:p>
    <w:p>
      <w:pPr>
        <w:ind w:left="235" w:hanging="235"/>
        <w:spacing w:after="0"/>
        <w:tabs>
          <w:tab w:leader="none" w:pos="235"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Return of Company Funding</w:t>
      </w:r>
    </w:p>
    <w:p>
      <w:pPr>
        <w:spacing w:after="0" w:line="189" w:lineRule="exact"/>
        <w:rPr>
          <w:sz w:val="20"/>
          <w:szCs w:val="20"/>
          <w:color w:val="auto"/>
        </w:rPr>
      </w:pPr>
    </w:p>
    <w:p>
      <w:pPr>
        <w:ind w:left="575" w:right="180" w:hanging="353"/>
        <w:spacing w:after="0" w:line="273" w:lineRule="auto"/>
        <w:rPr>
          <w:sz w:val="20"/>
          <w:szCs w:val="20"/>
          <w:color w:val="auto"/>
        </w:rPr>
      </w:pPr>
      <w:r>
        <w:rPr>
          <w:rFonts w:ascii="Times New Roman" w:cs="Times New Roman" w:eastAsia="Times New Roman" w:hAnsi="Times New Roman"/>
          <w:sz w:val="16"/>
          <w:szCs w:val="16"/>
          <w:color w:val="auto"/>
        </w:rPr>
        <w:t>In the event any funding is made by the Company by a mistake of fact, the Plan Administrator shall, at the direction of the Company, return such funds to the Company within one year after the date of payment of the Benefit or premium.</w:t>
      </w:r>
    </w:p>
    <w:p>
      <w:pPr>
        <w:spacing w:after="0" w:line="142" w:lineRule="exact"/>
        <w:rPr>
          <w:sz w:val="20"/>
          <w:szCs w:val="20"/>
          <w:color w:val="auto"/>
        </w:rPr>
      </w:pPr>
    </w:p>
    <w:p>
      <w:pPr>
        <w:ind w:left="235" w:hanging="235"/>
        <w:spacing w:after="0"/>
        <w:tabs>
          <w:tab w:leader="none" w:pos="235"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Payment of Benefits</w:t>
      </w:r>
    </w:p>
    <w:p>
      <w:pPr>
        <w:spacing w:after="0" w:line="199" w:lineRule="exact"/>
        <w:rPr>
          <w:rFonts w:ascii="Times New Roman" w:cs="Times New Roman" w:eastAsia="Times New Roman" w:hAnsi="Times New Roman"/>
          <w:sz w:val="16"/>
          <w:szCs w:val="16"/>
          <w:color w:val="auto"/>
        </w:rPr>
      </w:pPr>
    </w:p>
    <w:p>
      <w:pPr>
        <w:ind w:left="1075" w:hanging="506"/>
        <w:spacing w:after="0"/>
        <w:tabs>
          <w:tab w:leader="none" w:pos="1075"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Benefits shall be paid subject to the conditions and limitations of the applicable Welfare Benefit Program and this Plan.</w:t>
      </w:r>
    </w:p>
    <w:p>
      <w:pPr>
        <w:spacing w:after="0" w:line="197" w:lineRule="exact"/>
        <w:rPr>
          <w:rFonts w:ascii="Times New Roman" w:cs="Times New Roman" w:eastAsia="Times New Roman" w:hAnsi="Times New Roman"/>
          <w:sz w:val="16"/>
          <w:szCs w:val="16"/>
          <w:color w:val="auto"/>
        </w:rPr>
      </w:pPr>
    </w:p>
    <w:p>
      <w:pPr>
        <w:ind w:left="1075" w:hanging="506"/>
        <w:spacing w:after="0"/>
        <w:tabs>
          <w:tab w:leader="none" w:pos="1075"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 event will Benefits be paid prior to the date an Eligible Retiree submits an enrollment form which is acceptable to the Plan Administrator.</w:t>
      </w:r>
    </w:p>
    <w:p>
      <w:pPr>
        <w:spacing w:after="0" w:line="187" w:lineRule="exact"/>
        <w:rPr>
          <w:rFonts w:ascii="Times New Roman" w:cs="Times New Roman" w:eastAsia="Times New Roman" w:hAnsi="Times New Roman"/>
          <w:sz w:val="16"/>
          <w:szCs w:val="16"/>
          <w:color w:val="auto"/>
        </w:rPr>
      </w:pPr>
    </w:p>
    <w:p>
      <w:pPr>
        <w:ind w:left="1075" w:right="120" w:hanging="506"/>
        <w:spacing w:after="0" w:line="273" w:lineRule="auto"/>
        <w:tabs>
          <w:tab w:leader="none" w:pos="1068"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Benefits funded pursuant to Insurance Contracts shall be paid solely by the respective carriers thereunder. Benefits payable under any self-funded Welfare Benefit Program shall be paid by the Company or such entity as the Company shall determine.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54"/>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255"/>
          </w:cols>
          <w:pgMar w:left="245" w:top="1137" w:right="399"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IX – RECOVERY OF PLAN BENEFITS</w:t>
      </w:r>
    </w:p>
    <w:p>
      <w:pPr>
        <w:spacing w:after="0" w:line="20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By enrolling in a Welfare Benefit Program, Covered Individuals agree to the provisions of this Article IX as a condition precedent to receiving Benefits under this Plan. Failure of a Covered Individual to comply with the requirements of this section may result in the Plan pending the payment of benefits.</w:t>
      </w:r>
    </w:p>
    <w:p>
      <w:pPr>
        <w:spacing w:after="0" w:line="16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color w:val="auto"/>
        </w:rPr>
        <w:t>9.01</w:t>
      </w:r>
      <w:r>
        <w:rPr>
          <w:sz w:val="20"/>
          <w:szCs w:val="20"/>
          <w:color w:val="auto"/>
        </w:rPr>
        <w:tab/>
      </w:r>
      <w:r>
        <w:rPr>
          <w:rFonts w:ascii="Times New Roman" w:cs="Times New Roman" w:eastAsia="Times New Roman" w:hAnsi="Times New Roman"/>
          <w:sz w:val="14"/>
          <w:szCs w:val="14"/>
          <w:b w:val="1"/>
          <w:bCs w:val="1"/>
          <w:color w:val="auto"/>
        </w:rPr>
        <w:t>In General</w:t>
      </w:r>
    </w:p>
    <w:p>
      <w:pPr>
        <w:spacing w:after="0" w:line="189" w:lineRule="exact"/>
        <w:rPr>
          <w:sz w:val="20"/>
          <w:szCs w:val="20"/>
          <w:color w:val="auto"/>
        </w:rPr>
      </w:pPr>
    </w:p>
    <w:p>
      <w:pPr>
        <w:ind w:left="1020" w:right="40" w:hanging="506"/>
        <w:spacing w:after="0" w:line="252" w:lineRule="auto"/>
        <w:tabs>
          <w:tab w:leader="none" w:pos="101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not required to pay any claim where there is evidence of liability of a third party unless the Covered Individual signs the Plan’s third-party reimbursement agreement and follows the requirements of this section. However, the Plan, in its discretion, may pay benefits while the liability of a party other than the Covered Individual is being legally determined. If a repayment agreement is requested to be signed, the Plan’s right of recovery through reimbursement and/or subrogation remains in effect regardless of whether the repayment agreement is signed.</w:t>
      </w:r>
    </w:p>
    <w:p>
      <w:pPr>
        <w:spacing w:after="0" w:line="171" w:lineRule="exact"/>
        <w:rPr>
          <w:rFonts w:ascii="Times New Roman" w:cs="Times New Roman" w:eastAsia="Times New Roman" w:hAnsi="Times New Roman"/>
          <w:sz w:val="16"/>
          <w:szCs w:val="16"/>
          <w:color w:val="auto"/>
        </w:rPr>
      </w:pPr>
    </w:p>
    <w:p>
      <w:pPr>
        <w:ind w:left="1020" w:hanging="506"/>
        <w:spacing w:after="0" w:line="252" w:lineRule="auto"/>
        <w:tabs>
          <w:tab w:leader="none" w:pos="101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Plan makes a payment for benefits which the Covered Individual, or any other party on the Covered Individual’s behalf, is or may be entitled to recover against any third party responsible for an accident, injury, condition or illness, this Plan has a right of recovery, through reimbursement or subrogation or both, to the extent of its payment. The Covered Individual receiving payment from this Plan must execute and deliver instruments and papers and do whatever else is necessary to secure and preserve the Plan’s right of recovery.</w:t>
      </w:r>
    </w:p>
    <w:p>
      <w:pPr>
        <w:spacing w:after="0" w:line="160" w:lineRule="exact"/>
        <w:rPr>
          <w:rFonts w:ascii="Times New Roman" w:cs="Times New Roman" w:eastAsia="Times New Roman" w:hAnsi="Times New Roman"/>
          <w:sz w:val="16"/>
          <w:szCs w:val="16"/>
          <w:color w:val="auto"/>
        </w:rPr>
      </w:pPr>
    </w:p>
    <w:p>
      <w:pPr>
        <w:ind w:left="1020" w:right="20" w:hanging="506"/>
        <w:spacing w:after="0" w:line="248" w:lineRule="auto"/>
        <w:tabs>
          <w:tab w:leader="none" w:pos="101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Covered Individual must cooperate fully with the Plan Administrator, its agents, attorneys and assigns, regarding the recovery of any monies paid by the Plan from any party other than the Covered Individual who is liable. This cooperation includes, but is not limited to, providing full and complete disclosure and information to the Plan Administrator, upon request and in a timely manner, of all material facts regarding the accident, injury, condition or illness; all efforts by any person to recover any such monies; providing the Plan Administrator with any and all documents, papers, reports and the like regarding demands, litigation or settlements involving recovery of monies paid by the Plan; and notifying the Plan Administrator of the amount and source of any monies received from third parties as compensation or damages for any event from which the Plan may have a reimbursement or subrogation claim.</w:t>
      </w:r>
    </w:p>
    <w:p>
      <w:pPr>
        <w:spacing w:after="0" w:line="174" w:lineRule="exact"/>
        <w:rPr>
          <w:rFonts w:ascii="Times New Roman" w:cs="Times New Roman" w:eastAsia="Times New Roman" w:hAnsi="Times New Roman"/>
          <w:sz w:val="16"/>
          <w:szCs w:val="16"/>
          <w:color w:val="auto"/>
        </w:rPr>
      </w:pPr>
    </w:p>
    <w:p>
      <w:pPr>
        <w:ind w:left="1020" w:right="80" w:hanging="506"/>
        <w:spacing w:after="0" w:line="254" w:lineRule="auto"/>
        <w:tabs>
          <w:tab w:leader="none" w:pos="101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Covered Individuals must respond within ten (10) business days to all inquiries of the Plan regarding the status of any claim they may have against any third parties or insurers, including, but not limited to, liability, no-fault, uninsured and underinsured insurance coverage. The Covered Individual must notify the Plan immediately of the name and address of any attorney whom the Covered Individual engages to pursue any personal injury claim on his or her/her behalf.</w:t>
      </w:r>
    </w:p>
    <w:p>
      <w:pPr>
        <w:spacing w:after="0" w:line="158" w:lineRule="exact"/>
        <w:rPr>
          <w:rFonts w:ascii="Times New Roman" w:cs="Times New Roman" w:eastAsia="Times New Roman" w:hAnsi="Times New Roman"/>
          <w:sz w:val="16"/>
          <w:szCs w:val="16"/>
          <w:color w:val="auto"/>
        </w:rPr>
      </w:pPr>
    </w:p>
    <w:p>
      <w:pPr>
        <w:ind w:left="1020" w:right="100" w:hanging="506"/>
        <w:spacing w:after="0" w:line="261" w:lineRule="auto"/>
        <w:tabs>
          <w:tab w:leader="none" w:pos="101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Covered Individual must not act, fail to act or engage in any conduct directly, indirectly, personally or through third parties, either before or after payment by the Plan, the result of which may prejudice or interfere with the Plan’s rights to recovery hereunder. The Covered Individual must not conceal or attempt to conceal the fact that recovery has occurred or will occur.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280"/>
          </w:cols>
          <w:pgMar w:left="300" w:top="1137" w:right="319" w:bottom="1440" w:gutter="0" w:footer="0" w:header="0"/>
        </w:sectPr>
      </w:pPr>
    </w:p>
    <w:bookmarkStart w:id="162" w:name="page163"/>
    <w:bookmarkEnd w:id="162"/>
    <w:p>
      <w:pPr>
        <w:ind w:left="1075" w:right="80" w:hanging="506"/>
        <w:spacing w:after="0" w:line="254" w:lineRule="auto"/>
        <w:tabs>
          <w:tab w:leader="none" w:pos="1072"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will not pay or be responsible, without its written consent, for any fees or costs associated with a Covered Individual pursuing a claim against any third party or coverage, including, but not limited to, attorney fees or costs of litigation. The Covered Individual shall repay any amounts paid by the Plan in full, in first priority.</w:t>
      </w:r>
    </w:p>
    <w:p>
      <w:pPr>
        <w:spacing w:after="0" w:line="167" w:lineRule="exact"/>
        <w:rPr>
          <w:sz w:val="20"/>
          <w:szCs w:val="20"/>
          <w:color w:val="auto"/>
        </w:rPr>
      </w:pPr>
    </w:p>
    <w:p>
      <w:pPr>
        <w:ind w:left="235" w:hanging="235"/>
        <w:spacing w:after="0"/>
        <w:tabs>
          <w:tab w:leader="none" w:pos="235"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Right to Reimbursement</w:t>
      </w:r>
    </w:p>
    <w:p>
      <w:pPr>
        <w:spacing w:after="0" w:line="189" w:lineRule="exact"/>
        <w:rPr>
          <w:rFonts w:ascii="Times New Roman" w:cs="Times New Roman" w:eastAsia="Times New Roman" w:hAnsi="Times New Roman"/>
          <w:sz w:val="16"/>
          <w:szCs w:val="16"/>
          <w:color w:val="auto"/>
        </w:rPr>
      </w:pPr>
    </w:p>
    <w:p>
      <w:pPr>
        <w:ind w:left="1075" w:right="60" w:hanging="506"/>
        <w:spacing w:after="0" w:line="273" w:lineRule="auto"/>
        <w:tabs>
          <w:tab w:leader="none" w:pos="1068" w:val="left"/>
        </w:tabs>
        <w:numPr>
          <w:ilvl w:val="1"/>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has a right to be reimbursed by the Covered Individual the amount of benefits that the Plan paid for Covered Expenses on a Covered Individual’s behalf if another party is responsible or liable to pay those Covered Expenses.</w:t>
      </w:r>
    </w:p>
    <w:p>
      <w:pPr>
        <w:spacing w:after="0" w:line="154" w:lineRule="exact"/>
        <w:rPr>
          <w:rFonts w:ascii="Times New Roman" w:cs="Times New Roman" w:eastAsia="Times New Roman" w:hAnsi="Times New Roman"/>
          <w:sz w:val="16"/>
          <w:szCs w:val="16"/>
          <w:color w:val="auto"/>
        </w:rPr>
      </w:pPr>
    </w:p>
    <w:p>
      <w:pPr>
        <w:ind w:left="1075" w:hanging="506"/>
        <w:spacing w:after="0" w:line="254" w:lineRule="auto"/>
        <w:tabs>
          <w:tab w:leader="none" w:pos="1066" w:val="left"/>
        </w:tabs>
        <w:numPr>
          <w:ilvl w:val="1"/>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Covered Individual, or anyone on his or her/her behalf, settles, is reimbursed or recovers money from any person, corporation, entity, liability coverage, no-fault coverage, uninsured coverage, underinsured coverage or other insurance policies or funds for any accident, injury, condition or illness for which benefits were provided by the Plan, the Covered Individual agrees:</w:t>
      </w:r>
    </w:p>
    <w:p>
      <w:pPr>
        <w:spacing w:after="0" w:line="158" w:lineRule="exact"/>
        <w:rPr>
          <w:rFonts w:ascii="Times New Roman" w:cs="Times New Roman" w:eastAsia="Times New Roman" w:hAnsi="Times New Roman"/>
          <w:sz w:val="16"/>
          <w:szCs w:val="16"/>
          <w:color w:val="auto"/>
        </w:rPr>
      </w:pPr>
    </w:p>
    <w:p>
      <w:pPr>
        <w:ind w:left="1575" w:hanging="497"/>
        <w:spacing w:after="0"/>
        <w:tabs>
          <w:tab w:leader="none" w:pos="1575" w:val="left"/>
        </w:tabs>
        <w:numPr>
          <w:ilvl w:val="2"/>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hold the money received in trust for the benefit of the Plan.</w:t>
      </w:r>
    </w:p>
    <w:p>
      <w:pPr>
        <w:spacing w:after="0" w:line="176" w:lineRule="exact"/>
        <w:rPr>
          <w:rFonts w:ascii="Times New Roman" w:cs="Times New Roman" w:eastAsia="Times New Roman" w:hAnsi="Times New Roman"/>
          <w:sz w:val="16"/>
          <w:szCs w:val="16"/>
          <w:color w:val="auto"/>
        </w:rPr>
      </w:pPr>
    </w:p>
    <w:p>
      <w:pPr>
        <w:ind w:left="1595" w:right="500" w:hanging="517"/>
        <w:spacing w:after="0" w:line="273" w:lineRule="auto"/>
        <w:tabs>
          <w:tab w:leader="none" w:pos="1586" w:val="left"/>
        </w:tabs>
        <w:numPr>
          <w:ilvl w:val="2"/>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reimburse the Plan, in first priority, from any money recovered from a liable third party, the amount of all money paid by the Plan to the Covered Individual or on his or her/her behalf or that will be paid as a result of said accident, injury, condition or illness.</w:t>
      </w:r>
    </w:p>
    <w:p>
      <w:pPr>
        <w:spacing w:after="0" w:line="122" w:lineRule="exact"/>
        <w:rPr>
          <w:rFonts w:ascii="Times New Roman" w:cs="Times New Roman" w:eastAsia="Times New Roman" w:hAnsi="Times New Roman"/>
          <w:sz w:val="16"/>
          <w:szCs w:val="16"/>
          <w:color w:val="auto"/>
        </w:rPr>
      </w:pPr>
    </w:p>
    <w:p>
      <w:pPr>
        <w:ind w:left="1595" w:right="100" w:hanging="517"/>
        <w:spacing w:after="0" w:line="254" w:lineRule="auto"/>
        <w:tabs>
          <w:tab w:leader="none" w:pos="1586" w:val="left"/>
        </w:tabs>
        <w:numPr>
          <w:ilvl w:val="2"/>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reimbursement to the Plan will be paid first, in its entirety, even if the Covered Individual’s claim for damages is not paid in full and regardless of whether the settlement, judgment or payment he or she receives is for or specifically designates the recovery, or a portion thereof, as including health care, medical, disability or other expenses or damages.</w:t>
      </w:r>
    </w:p>
    <w:p>
      <w:pPr>
        <w:spacing w:after="0" w:line="147" w:lineRule="exact"/>
        <w:rPr>
          <w:rFonts w:ascii="Times New Roman" w:cs="Times New Roman" w:eastAsia="Times New Roman" w:hAnsi="Times New Roman"/>
          <w:sz w:val="16"/>
          <w:szCs w:val="16"/>
          <w:color w:val="auto"/>
        </w:rPr>
      </w:pPr>
    </w:p>
    <w:p>
      <w:pPr>
        <w:ind w:left="1075" w:hanging="506"/>
        <w:spacing w:after="0"/>
        <w:tabs>
          <w:tab w:leader="none" w:pos="1075" w:val="left"/>
        </w:tabs>
        <w:numPr>
          <w:ilvl w:val="1"/>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Plan’s right to reimbursement is separate from and in addition to the Plan’s right of subrogation.</w:t>
      </w:r>
    </w:p>
    <w:p>
      <w:pPr>
        <w:spacing w:after="0" w:line="196" w:lineRule="exact"/>
        <w:rPr>
          <w:sz w:val="20"/>
          <w:szCs w:val="20"/>
          <w:color w:val="auto"/>
        </w:rPr>
      </w:pPr>
    </w:p>
    <w:p>
      <w:pPr>
        <w:ind w:left="235" w:hanging="235"/>
        <w:spacing w:after="0"/>
        <w:tabs>
          <w:tab w:leader="none" w:pos="235"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Right of Subrogation</w:t>
      </w:r>
    </w:p>
    <w:p>
      <w:pPr>
        <w:spacing w:after="0" w:line="189" w:lineRule="exact"/>
        <w:rPr>
          <w:rFonts w:ascii="Times New Roman" w:cs="Times New Roman" w:eastAsia="Times New Roman" w:hAnsi="Times New Roman"/>
          <w:sz w:val="16"/>
          <w:szCs w:val="16"/>
          <w:color w:val="auto"/>
        </w:rPr>
      </w:pPr>
    </w:p>
    <w:p>
      <w:pPr>
        <w:ind w:left="1075" w:right="120" w:hanging="506"/>
        <w:spacing w:after="0" w:line="273" w:lineRule="auto"/>
        <w:tabs>
          <w:tab w:leader="none" w:pos="1068" w:val="left"/>
        </w:tabs>
        <w:numPr>
          <w:ilvl w:val="1"/>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another person or entity is, or may be, liable to pay for medical bills or expenses related to the Covered Individual’s accident, injury, condition, or illness, which the Plan paid, then the Plan is entitled to recover, by legal action, equitable remedy or otherwise, the money or benefit paid.</w:t>
      </w:r>
    </w:p>
    <w:p>
      <w:pPr>
        <w:spacing w:after="0" w:line="143" w:lineRule="exact"/>
        <w:rPr>
          <w:rFonts w:ascii="Times New Roman" w:cs="Times New Roman" w:eastAsia="Times New Roman" w:hAnsi="Times New Roman"/>
          <w:sz w:val="16"/>
          <w:szCs w:val="16"/>
          <w:color w:val="auto"/>
        </w:rPr>
      </w:pPr>
    </w:p>
    <w:p>
      <w:pPr>
        <w:ind w:left="1075" w:right="100" w:hanging="506"/>
        <w:spacing w:after="0" w:line="252" w:lineRule="auto"/>
        <w:tabs>
          <w:tab w:leader="none" w:pos="1066" w:val="left"/>
        </w:tabs>
        <w:numPr>
          <w:ilvl w:val="1"/>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Covered Individual agrees to subrogate to the Plan any and all claims, causes of action or rights that he or she has or that may arise against any entity who has or may have caused, contributed to or aggravated the accident, injury, condition or illness for which the Plan has paid benefits, and to subrogate any claims, causes of action or rights the Covered Individual may have against any other coverage, including, but not limited to, liability coverage, no-fault coverage, uninsured motorist coverage, underinsured motorist coverage or other insurance policies, coverage or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295"/>
          </w:cols>
          <w:pgMar w:left="245" w:top="1139" w:right="359" w:bottom="1440" w:gutter="0" w:footer="0" w:header="0"/>
        </w:sectPr>
      </w:pPr>
    </w:p>
    <w:bookmarkStart w:id="163" w:name="page164"/>
    <w:bookmarkEnd w:id="163"/>
    <w:p>
      <w:pPr>
        <w:ind w:left="1075" w:right="60" w:hanging="506"/>
        <w:spacing w:after="0" w:line="248" w:lineRule="auto"/>
        <w:tabs>
          <w:tab w:leader="none" w:pos="1068"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Covered Individual acknowledges and agrees that the Plan’s right of subrogation extends to the full amount of benefit that the Plan has paid (or is obligated to pay) without reduction for attorneys’ fees, costs, comparative negligence, limits on collectability or responsibility, or otherwise and without regard to whether such recovery has made the Covered Individual whole for the accident, injury, condition, or illness suffered. The Covered Individual receiving benefits further acknowledges and agrees that any funds received by him or her, his or her attorney, and/or any other person or entity on behalf of, or for the benefit of, the Covered Individual, from any source for any purpose shall be held in constructive trust by such person or entity for the benefit of the Plan until the obligation under this Section 9.03 is fully satisfied.</w:t>
      </w:r>
    </w:p>
    <w:p>
      <w:pPr>
        <w:spacing w:after="0" w:line="174" w:lineRule="exact"/>
        <w:rPr>
          <w:rFonts w:ascii="Times New Roman" w:cs="Times New Roman" w:eastAsia="Times New Roman" w:hAnsi="Times New Roman"/>
          <w:sz w:val="16"/>
          <w:szCs w:val="16"/>
          <w:color w:val="auto"/>
        </w:rPr>
      </w:pPr>
    </w:p>
    <w:p>
      <w:pPr>
        <w:ind w:left="1075" w:right="100" w:hanging="506"/>
        <w:spacing w:after="0" w:line="254" w:lineRule="auto"/>
        <w:tabs>
          <w:tab w:leader="none" w:pos="1066"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Covered Individual decides not to pursue a claim against any third party or insurer, the Covered Individual will notify the Plan, and specifically authorize the Plan, in its sole discretion, to sue for, compromise or settle any such claims in the Covered Individual’s name, to cooperate fully with the Plan in the prosecution of the claims and to execute all documents necessary to pursue those claims.</w:t>
      </w:r>
    </w:p>
    <w:p>
      <w:pPr>
        <w:spacing w:after="0" w:line="158" w:lineRule="exact"/>
        <w:rPr>
          <w:rFonts w:ascii="Times New Roman" w:cs="Times New Roman" w:eastAsia="Times New Roman" w:hAnsi="Times New Roman"/>
          <w:sz w:val="16"/>
          <w:szCs w:val="16"/>
          <w:color w:val="auto"/>
        </w:rPr>
      </w:pPr>
    </w:p>
    <w:p>
      <w:pPr>
        <w:ind w:left="1075" w:hanging="506"/>
        <w:spacing w:after="0"/>
        <w:tabs>
          <w:tab w:leader="none" w:pos="1075"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Plan’s right to subrogation is separate from and in addition to the Plan’s right to reimbursement.</w:t>
      </w:r>
    </w:p>
    <w:p>
      <w:pPr>
        <w:spacing w:after="0" w:line="196" w:lineRule="exact"/>
        <w:rPr>
          <w:sz w:val="20"/>
          <w:szCs w:val="20"/>
          <w:color w:val="auto"/>
        </w:rPr>
      </w:pPr>
    </w:p>
    <w:p>
      <w:pPr>
        <w:ind w:left="235" w:hanging="235"/>
        <w:spacing w:after="0"/>
        <w:tabs>
          <w:tab w:leader="none" w:pos="235"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Right of Off-Set</w:t>
      </w:r>
    </w:p>
    <w:p>
      <w:pPr>
        <w:spacing w:after="0" w:line="200" w:lineRule="exact"/>
        <w:rPr>
          <w:sz w:val="20"/>
          <w:szCs w:val="20"/>
          <w:color w:val="auto"/>
        </w:rPr>
      </w:pPr>
    </w:p>
    <w:p>
      <w:pPr>
        <w:ind w:left="575" w:hanging="356"/>
        <w:spacing w:after="0" w:line="248" w:lineRule="auto"/>
        <w:rPr>
          <w:sz w:val="20"/>
          <w:szCs w:val="20"/>
          <w:color w:val="auto"/>
        </w:rPr>
      </w:pPr>
      <w:r>
        <w:rPr>
          <w:rFonts w:ascii="Times New Roman" w:cs="Times New Roman" w:eastAsia="Times New Roman" w:hAnsi="Times New Roman"/>
          <w:sz w:val="16"/>
          <w:szCs w:val="16"/>
          <w:color w:val="auto"/>
        </w:rPr>
        <w:t>The Plan has a right of off-set to satisfy reimbursement claims and/or subrogation claims against Covered Individuals for money paid by a third party, including any insurer, that is received by, or held in constructive trust for, the Covered Individual. If the Covered Individual fails or refuses to reimburse the Plan for funds paid for claims, the Plan may deny payment of future claims of the Covered Individual, up to the full amount paid by the Plan and subject to reimbursement for such claims. This right of off-set applies to all reimbursement claims owing to the Plan regardless of whether formal demand is made by the Plan, and notwithstanding any anti-subrogation, “common fund,” “made whole,” or similar statutes, regulations, prior court decisions or common law theories.</w:t>
      </w:r>
    </w:p>
    <w:p>
      <w:pPr>
        <w:spacing w:after="0" w:line="172" w:lineRule="exact"/>
        <w:rPr>
          <w:sz w:val="20"/>
          <w:szCs w:val="20"/>
          <w:color w:val="auto"/>
        </w:rPr>
      </w:pPr>
    </w:p>
    <w:p>
      <w:pPr>
        <w:ind w:left="235" w:hanging="235"/>
        <w:spacing w:after="0"/>
        <w:tabs>
          <w:tab w:leader="none" w:pos="235"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Right to Recover Benefits Paid in Error</w:t>
      </w:r>
    </w:p>
    <w:p>
      <w:pPr>
        <w:spacing w:after="0" w:line="189" w:lineRule="exact"/>
        <w:rPr>
          <w:rFonts w:ascii="Times New Roman" w:cs="Times New Roman" w:eastAsia="Times New Roman" w:hAnsi="Times New Roman"/>
          <w:sz w:val="16"/>
          <w:szCs w:val="16"/>
          <w:color w:val="auto"/>
        </w:rPr>
      </w:pPr>
    </w:p>
    <w:p>
      <w:pPr>
        <w:ind w:left="1075" w:right="40" w:hanging="506"/>
        <w:spacing w:after="0" w:line="252" w:lineRule="auto"/>
        <w:tabs>
          <w:tab w:leader="none" w:pos="1068" w:val="left"/>
        </w:tabs>
        <w:numPr>
          <w:ilvl w:val="1"/>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Plan makes a payment in error to or on behalf of a Covered Individual or an assignee of a Covered Individual to which that Covered Individual is not entitled, or if the Plan pays a claim that is not covered, the Plan has the right to recover the payment from the person paid or anyone else who benefited from the payment. The Plan can deduct the amount paid from the Covered Individual’s future benefits, or from the benefits for any covered family member even if the erroneous payment was not made on that family member’s behalf.</w:t>
      </w:r>
    </w:p>
    <w:p>
      <w:pPr>
        <w:spacing w:after="0" w:line="160" w:lineRule="exact"/>
        <w:rPr>
          <w:rFonts w:ascii="Times New Roman" w:cs="Times New Roman" w:eastAsia="Times New Roman" w:hAnsi="Times New Roman"/>
          <w:sz w:val="16"/>
          <w:szCs w:val="16"/>
          <w:color w:val="auto"/>
        </w:rPr>
      </w:pPr>
    </w:p>
    <w:p>
      <w:pPr>
        <w:ind w:left="1075" w:right="100" w:hanging="506"/>
        <w:spacing w:after="0" w:line="300" w:lineRule="auto"/>
        <w:tabs>
          <w:tab w:leader="none" w:pos="1066" w:val="left"/>
        </w:tabs>
        <w:numPr>
          <w:ilvl w:val="1"/>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benefits by the Plan for Participants’ spouses, ex-spouses or children, domestic partners or the children of domestic partners who are not eligible for coverage under this Plan, but for whom benefits were paid based upon inaccurate, erroneous, false information or omissions of information provided or omitted by the Participant, will be reimbursed to the Plan by the Participant. The Participant’s failure to reimburse the Plan after demand is made may result in an interruption in or loss of benefits to the Participant and could be reported to the appropriate governmental authorities for investigation of criminal fraud and abuse.</w:t>
      </w:r>
    </w:p>
    <w:p>
      <w:pPr>
        <w:spacing w:after="0" w:line="200" w:lineRule="exact"/>
        <w:rPr>
          <w:sz w:val="20"/>
          <w:szCs w:val="20"/>
          <w:color w:val="auto"/>
        </w:rPr>
      </w:pPr>
    </w:p>
    <w:p>
      <w:pPr>
        <w:spacing w:after="0" w:line="385"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315"/>
          </w:cols>
          <w:pgMar w:left="245" w:top="1139" w:right="339" w:bottom="1440" w:gutter="0" w:footer="0" w:header="0"/>
        </w:sectPr>
      </w:pPr>
    </w:p>
    <w:bookmarkStart w:id="164" w:name="page165"/>
    <w:bookmarkEnd w:id="164"/>
    <w:p>
      <w:pPr>
        <w:ind w:left="506" w:hanging="506"/>
        <w:spacing w:after="0" w:line="252" w:lineRule="auto"/>
        <w:tabs>
          <w:tab w:leader="none" w:pos="498"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may recover such amount by any appropriate method that the Plan Administrator, in its sole discretion, will determine. By receipt of benefits under this Plan, each Covered Individual authorizes the deduction of any excess payment from such benefits or other present or future compensation payments. The determination of the Plan Administrator made pursuant to this Section 9.05 shall be final, conclusive and binding on all parties, subject to any applicable claims procedures, and shall not be overturned unless such determinations are arbitrary and capricious.</w:t>
      </w:r>
    </w:p>
    <w:p>
      <w:pPr>
        <w:spacing w:after="0" w:line="160" w:lineRule="exact"/>
        <w:rPr>
          <w:rFonts w:ascii="Times New Roman" w:cs="Times New Roman" w:eastAsia="Times New Roman" w:hAnsi="Times New Roman"/>
          <w:sz w:val="16"/>
          <w:szCs w:val="16"/>
          <w:color w:val="auto"/>
        </w:rPr>
      </w:pPr>
    </w:p>
    <w:p>
      <w:pPr>
        <w:ind w:left="506" w:right="200" w:hanging="506"/>
        <w:spacing w:after="0" w:line="273" w:lineRule="auto"/>
        <w:tabs>
          <w:tab w:leader="none" w:pos="496"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this subsection apply to any provider who receives an assignment of benefits or payment of benefits under this Plan. If a provider refuses to refund improperly paid claims, the Plan may refuse to recognize future assignments of benefits to that provider.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34"/>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0506"/>
          </w:cols>
          <w:pgMar w:left="814" w:top="1330" w:right="579" w:bottom="1440" w:gutter="0" w:footer="0" w:header="0"/>
        </w:sectPr>
      </w:pPr>
    </w:p>
    <w:bookmarkStart w:id="165" w:name="page166"/>
    <w:bookmarkEnd w:id="165"/>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ARTICLE X – GENERAL PROVISIONS</w:t>
      </w:r>
    </w:p>
    <w:p>
      <w:pPr>
        <w:spacing w:after="0" w:line="38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.01</w:t>
      </w:r>
      <w:r>
        <w:rPr>
          <w:sz w:val="20"/>
          <w:szCs w:val="20"/>
          <w:color w:val="auto"/>
        </w:rPr>
        <w:tab/>
      </w:r>
      <w:r>
        <w:rPr>
          <w:rFonts w:ascii="Times New Roman" w:cs="Times New Roman" w:eastAsia="Times New Roman" w:hAnsi="Times New Roman"/>
          <w:sz w:val="14"/>
          <w:szCs w:val="14"/>
          <w:b w:val="1"/>
          <w:bCs w:val="1"/>
          <w:color w:val="auto"/>
        </w:rPr>
        <w:t>Physical or Other Disability</w:t>
      </w:r>
    </w:p>
    <w:p>
      <w:pPr>
        <w:spacing w:after="0" w:line="189" w:lineRule="exact"/>
        <w:rPr>
          <w:sz w:val="20"/>
          <w:szCs w:val="20"/>
          <w:color w:val="auto"/>
        </w:rPr>
      </w:pPr>
    </w:p>
    <w:p>
      <w:pPr>
        <w:ind w:left="600" w:right="60" w:hanging="353"/>
        <w:spacing w:after="0" w:line="251" w:lineRule="auto"/>
        <w:rPr>
          <w:sz w:val="20"/>
          <w:szCs w:val="20"/>
          <w:color w:val="auto"/>
        </w:rPr>
      </w:pPr>
      <w:r>
        <w:rPr>
          <w:rFonts w:ascii="Times New Roman" w:cs="Times New Roman" w:eastAsia="Times New Roman" w:hAnsi="Times New Roman"/>
          <w:sz w:val="16"/>
          <w:szCs w:val="16"/>
          <w:color w:val="auto"/>
        </w:rPr>
        <w:t>If the Plan Administrator determines that any person to whom an amount is payable under the Plan is unable to care for his or her affairs because of illness or accident, or is a minor, or has died, then any payment due him or his or her estate (unless a prior claim therefore has been made by a duly appointed legal representative) may be paid to his or her spouse, his or her child, his or her relative, an institution maintaining or having custody of such person, or any other person deemed by the Plan Administrator to be a proper recipient on behalf of such person otherwise entitled to payment. Any such payment shall be a complete discharge of the liability of the Employer, Company, Plan Administrator, and the Plan.</w:t>
      </w:r>
    </w:p>
    <w:p>
      <w:pPr>
        <w:spacing w:after="0" w:line="16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.02</w:t>
      </w:r>
      <w:r>
        <w:rPr>
          <w:sz w:val="20"/>
          <w:szCs w:val="20"/>
          <w:color w:val="auto"/>
        </w:rPr>
        <w:tab/>
      </w:r>
      <w:r>
        <w:rPr>
          <w:rFonts w:ascii="Times New Roman" w:cs="Times New Roman" w:eastAsia="Times New Roman" w:hAnsi="Times New Roman"/>
          <w:sz w:val="14"/>
          <w:szCs w:val="14"/>
          <w:b w:val="1"/>
          <w:bCs w:val="1"/>
          <w:color w:val="auto"/>
        </w:rPr>
        <w:t>Transmittal of Notices</w:t>
      </w:r>
    </w:p>
    <w:p>
      <w:pPr>
        <w:spacing w:after="0" w:line="200" w:lineRule="exact"/>
        <w:rPr>
          <w:sz w:val="20"/>
          <w:szCs w:val="20"/>
          <w:color w:val="auto"/>
        </w:rPr>
      </w:pPr>
    </w:p>
    <w:p>
      <w:pPr>
        <w:ind w:left="600" w:right="480" w:hanging="361"/>
        <w:spacing w:after="0" w:line="259" w:lineRule="auto"/>
        <w:rPr>
          <w:sz w:val="20"/>
          <w:szCs w:val="20"/>
          <w:color w:val="auto"/>
        </w:rPr>
      </w:pPr>
      <w:r>
        <w:rPr>
          <w:rFonts w:ascii="Times New Roman" w:cs="Times New Roman" w:eastAsia="Times New Roman" w:hAnsi="Times New Roman"/>
          <w:sz w:val="16"/>
          <w:szCs w:val="16"/>
          <w:color w:val="auto"/>
        </w:rPr>
        <w:t>All notices, statements, reports and other communications from the Plan Administrator required or permitted under the Plan shall be deemed to have been duly given when delivered to such Eligible Retiree or other person or mailed to such individual at the address last appearing on the records of the Plan Administrator.</w:t>
      </w:r>
    </w:p>
    <w:p>
      <w:pPr>
        <w:spacing w:after="0" w:line="16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.03</w:t>
      </w:r>
      <w:r>
        <w:rPr>
          <w:sz w:val="20"/>
          <w:szCs w:val="20"/>
          <w:color w:val="auto"/>
        </w:rPr>
        <w:tab/>
      </w:r>
      <w:r>
        <w:rPr>
          <w:rFonts w:ascii="Times New Roman" w:cs="Times New Roman" w:eastAsia="Times New Roman" w:hAnsi="Times New Roman"/>
          <w:sz w:val="14"/>
          <w:szCs w:val="14"/>
          <w:b w:val="1"/>
          <w:bCs w:val="1"/>
          <w:color w:val="auto"/>
        </w:rPr>
        <w:t>Rules of Construction</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Whenever used in the Plan, the masculine gender shall include the feminine, and the singular shall include the plural, as the context shall require.</w:t>
      </w:r>
    </w:p>
    <w:p>
      <w:pPr>
        <w:spacing w:after="0" w:line="175" w:lineRule="exact"/>
        <w:rPr>
          <w:sz w:val="20"/>
          <w:szCs w:val="20"/>
          <w:color w:val="auto"/>
        </w:rPr>
      </w:pPr>
    </w:p>
    <w:p>
      <w:pPr>
        <w:ind w:left="80"/>
        <w:spacing w:after="0"/>
        <w:tabs>
          <w:tab w:leader="none" w:pos="580" w:val="left"/>
        </w:tabs>
        <w:rPr>
          <w:sz w:val="20"/>
          <w:szCs w:val="20"/>
          <w:color w:val="auto"/>
        </w:rPr>
      </w:pPr>
      <w:r>
        <w:rPr>
          <w:rFonts w:ascii="Times New Roman" w:cs="Times New Roman" w:eastAsia="Times New Roman" w:hAnsi="Times New Roman"/>
          <w:sz w:val="16"/>
          <w:szCs w:val="16"/>
          <w:color w:val="auto"/>
        </w:rPr>
        <w:t>10.04</w:t>
      </w:r>
      <w:r>
        <w:rPr>
          <w:sz w:val="20"/>
          <w:szCs w:val="20"/>
          <w:color w:val="auto"/>
        </w:rPr>
        <w:tab/>
      </w:r>
      <w:r>
        <w:rPr>
          <w:rFonts w:ascii="Times New Roman" w:cs="Times New Roman" w:eastAsia="Times New Roman" w:hAnsi="Times New Roman"/>
          <w:sz w:val="14"/>
          <w:szCs w:val="14"/>
          <w:b w:val="1"/>
          <w:bCs w:val="1"/>
          <w:color w:val="auto"/>
        </w:rPr>
        <w:t>Controlling Law</w:t>
      </w:r>
    </w:p>
    <w:p>
      <w:pPr>
        <w:spacing w:after="0" w:line="179" w:lineRule="exact"/>
        <w:rPr>
          <w:sz w:val="20"/>
          <w:szCs w:val="20"/>
          <w:color w:val="auto"/>
        </w:rPr>
      </w:pPr>
    </w:p>
    <w:p>
      <w:pPr>
        <w:ind w:left="600" w:right="940" w:hanging="356"/>
        <w:spacing w:after="0" w:line="259" w:lineRule="auto"/>
        <w:rPr>
          <w:sz w:val="20"/>
          <w:szCs w:val="20"/>
          <w:color w:val="auto"/>
        </w:rPr>
      </w:pPr>
      <w:r>
        <w:rPr>
          <w:rFonts w:ascii="Times New Roman" w:cs="Times New Roman" w:eastAsia="Times New Roman" w:hAnsi="Times New Roman"/>
          <w:sz w:val="16"/>
          <w:szCs w:val="16"/>
          <w:color w:val="auto"/>
        </w:rPr>
        <w:t>To the extent not preempted by federal law and regulation, this Plan and all rights thereunder shall be governed by and construed in accordance with the laws of the Commonwealth of Virginia without regard to principles of conflicts of law unless any Insurance Contract provides for another governing law.</w:t>
      </w:r>
    </w:p>
    <w:p>
      <w:pPr>
        <w:spacing w:after="0" w:line="16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.05</w:t>
      </w:r>
      <w:r>
        <w:rPr>
          <w:sz w:val="20"/>
          <w:szCs w:val="20"/>
          <w:color w:val="auto"/>
        </w:rPr>
        <w:tab/>
      </w:r>
      <w:r>
        <w:rPr>
          <w:rFonts w:ascii="Times New Roman" w:cs="Times New Roman" w:eastAsia="Times New Roman" w:hAnsi="Times New Roman"/>
          <w:sz w:val="14"/>
          <w:szCs w:val="14"/>
          <w:b w:val="1"/>
          <w:bCs w:val="1"/>
          <w:color w:val="auto"/>
        </w:rPr>
        <w:t>Forum Selection</w:t>
      </w:r>
    </w:p>
    <w:p>
      <w:pPr>
        <w:spacing w:after="0" w:line="200" w:lineRule="exact"/>
        <w:rPr>
          <w:sz w:val="20"/>
          <w:szCs w:val="20"/>
          <w:color w:val="auto"/>
        </w:rPr>
      </w:pPr>
    </w:p>
    <w:p>
      <w:pPr>
        <w:ind w:left="600" w:right="260" w:hanging="361"/>
        <w:spacing w:after="0" w:line="259" w:lineRule="auto"/>
        <w:rPr>
          <w:sz w:val="20"/>
          <w:szCs w:val="20"/>
          <w:color w:val="auto"/>
        </w:rPr>
      </w:pPr>
      <w:r>
        <w:rPr>
          <w:rFonts w:ascii="Times New Roman" w:cs="Times New Roman" w:eastAsia="Times New Roman" w:hAnsi="Times New Roman"/>
          <w:sz w:val="16"/>
          <w:szCs w:val="16"/>
          <w:color w:val="auto"/>
        </w:rPr>
        <w:t>Any action arising under or in connection with the Plan (legal or equitable) that is brought by any person shall be litigated in the federal courts sitting in the Eastern District of Virginia and no other federal or state court unless otherwise provided by an applicable Insurance Contract.</w:t>
      </w:r>
    </w:p>
    <w:p>
      <w:pPr>
        <w:spacing w:after="0" w:line="16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.06</w:t>
      </w:r>
      <w:r>
        <w:rPr>
          <w:sz w:val="20"/>
          <w:szCs w:val="20"/>
          <w:color w:val="auto"/>
        </w:rPr>
        <w:tab/>
      </w:r>
      <w:r>
        <w:rPr>
          <w:rFonts w:ascii="Times New Roman" w:cs="Times New Roman" w:eastAsia="Times New Roman" w:hAnsi="Times New Roman"/>
          <w:sz w:val="14"/>
          <w:szCs w:val="14"/>
          <w:b w:val="1"/>
          <w:bCs w:val="1"/>
          <w:color w:val="auto"/>
        </w:rPr>
        <w:t>Limitations on Actions</w:t>
      </w:r>
    </w:p>
    <w:p>
      <w:pPr>
        <w:spacing w:after="0" w:line="189" w:lineRule="exact"/>
        <w:rPr>
          <w:sz w:val="20"/>
          <w:szCs w:val="20"/>
          <w:color w:val="auto"/>
        </w:rPr>
      </w:pPr>
    </w:p>
    <w:p>
      <w:pPr>
        <w:ind w:left="600"/>
        <w:spacing w:after="0" w:line="251" w:lineRule="auto"/>
        <w:rPr>
          <w:sz w:val="20"/>
          <w:szCs w:val="20"/>
          <w:color w:val="auto"/>
        </w:rPr>
      </w:pPr>
      <w:r>
        <w:rPr>
          <w:rFonts w:ascii="Times New Roman" w:cs="Times New Roman" w:eastAsia="Times New Roman" w:hAnsi="Times New Roman"/>
          <w:sz w:val="16"/>
          <w:szCs w:val="16"/>
          <w:color w:val="auto"/>
        </w:rPr>
        <w:t>No action shall be brought against the Plan in any court unless the claims and appeals procedures set out in Article V and the applicable Plan Documentation have been fully exhausted. Except as otherwise specified in applicable Plan Documentation or prescribed by section 413 of ERISA, a Covered Individual, Beneficiary or claimant asserting any action under 29 U.S.C. §1132, 29 U.S.C. §1140 or any other provision of ERISA, shall do so, if at all, within two years after the earlier of (i) the date the Covered Individual, Beneficiary or claimant received a final denial of the claim, and (ii) the date on which the Covered Individual, Beneficiary or claimant first knew or should have known of the action allegedly violating 29 U.S.C. §1140. Failure to bring an action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360"/>
          </w:cols>
          <w:pgMar w:left="220" w:top="1137" w:right="319" w:bottom="1440" w:gutter="0" w:footer="0" w:header="0"/>
        </w:sectPr>
      </w:pPr>
    </w:p>
    <w:bookmarkStart w:id="166" w:name="page167"/>
    <w:bookmarkEnd w:id="166"/>
    <w:p>
      <w:pPr>
        <w:ind w:left="600"/>
        <w:spacing w:after="0"/>
        <w:rPr>
          <w:sz w:val="20"/>
          <w:szCs w:val="20"/>
          <w:color w:val="auto"/>
        </w:rPr>
      </w:pPr>
      <w:r>
        <w:rPr>
          <w:rFonts w:ascii="Times New Roman" w:cs="Times New Roman" w:eastAsia="Times New Roman" w:hAnsi="Times New Roman"/>
          <w:sz w:val="16"/>
          <w:szCs w:val="16"/>
          <w:color w:val="auto"/>
        </w:rPr>
        <w:t>in court within this time frame shall preclude a Covered Individual, Beneficiary or claimant from bringing any action in court.</w:t>
      </w:r>
    </w:p>
    <w:p>
      <w:pPr>
        <w:spacing w:after="0" w:line="19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.07</w:t>
      </w:r>
      <w:r>
        <w:rPr>
          <w:sz w:val="20"/>
          <w:szCs w:val="20"/>
          <w:color w:val="auto"/>
        </w:rPr>
        <w:tab/>
      </w:r>
      <w:r>
        <w:rPr>
          <w:rFonts w:ascii="Times New Roman" w:cs="Times New Roman" w:eastAsia="Times New Roman" w:hAnsi="Times New Roman"/>
          <w:sz w:val="14"/>
          <w:szCs w:val="14"/>
          <w:b w:val="1"/>
          <w:bCs w:val="1"/>
          <w:color w:val="auto"/>
        </w:rPr>
        <w:t>Text Prevails Over Captions</w:t>
      </w:r>
    </w:p>
    <w:p>
      <w:pPr>
        <w:spacing w:after="0" w:line="189" w:lineRule="exact"/>
        <w:rPr>
          <w:sz w:val="20"/>
          <w:szCs w:val="20"/>
          <w:color w:val="auto"/>
        </w:rPr>
      </w:pPr>
    </w:p>
    <w:p>
      <w:pPr>
        <w:ind w:left="600" w:right="480" w:hanging="356"/>
        <w:spacing w:after="0" w:line="273" w:lineRule="auto"/>
        <w:rPr>
          <w:sz w:val="20"/>
          <w:szCs w:val="20"/>
          <w:color w:val="auto"/>
        </w:rPr>
      </w:pPr>
      <w:r>
        <w:rPr>
          <w:rFonts w:ascii="Times New Roman" w:cs="Times New Roman" w:eastAsia="Times New Roman" w:hAnsi="Times New Roman"/>
          <w:sz w:val="16"/>
          <w:szCs w:val="16"/>
          <w:color w:val="auto"/>
        </w:rPr>
        <w:t>The headings and subheadings of the Articles and Sections of the Plan are included herein solely for the convenience of reference and if there is any conflict between such headings and subdivisions and the text of this Plan, the text shall control.</w:t>
      </w:r>
    </w:p>
    <w:p>
      <w:pPr>
        <w:spacing w:after="0" w:line="14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.08</w:t>
      </w:r>
      <w:r>
        <w:rPr>
          <w:sz w:val="20"/>
          <w:szCs w:val="20"/>
          <w:color w:val="auto"/>
        </w:rPr>
        <w:tab/>
      </w:r>
      <w:r>
        <w:rPr>
          <w:rFonts w:ascii="Times New Roman" w:cs="Times New Roman" w:eastAsia="Times New Roman" w:hAnsi="Times New Roman"/>
          <w:sz w:val="14"/>
          <w:szCs w:val="14"/>
          <w:b w:val="1"/>
          <w:bCs w:val="1"/>
          <w:color w:val="auto"/>
        </w:rPr>
        <w:t>Counterparts</w:t>
      </w:r>
    </w:p>
    <w:p>
      <w:pPr>
        <w:spacing w:after="0" w:line="200" w:lineRule="exact"/>
        <w:rPr>
          <w:sz w:val="20"/>
          <w:szCs w:val="20"/>
          <w:color w:val="auto"/>
        </w:rPr>
      </w:pPr>
    </w:p>
    <w:p>
      <w:pPr>
        <w:ind w:left="600" w:right="120" w:hanging="356"/>
        <w:spacing w:after="0" w:line="273" w:lineRule="auto"/>
        <w:rPr>
          <w:sz w:val="20"/>
          <w:szCs w:val="20"/>
          <w:color w:val="auto"/>
        </w:rPr>
      </w:pPr>
      <w:r>
        <w:rPr>
          <w:rFonts w:ascii="Times New Roman" w:cs="Times New Roman" w:eastAsia="Times New Roman" w:hAnsi="Times New Roman"/>
          <w:sz w:val="16"/>
          <w:szCs w:val="16"/>
          <w:color w:val="auto"/>
        </w:rPr>
        <w:t>This Plan may be executed in several counterparts, each of which shall be deemed an original, and said counterparts shall constitute but one and the same instrument which may be sufficiently evidenced by any one counterpart.</w:t>
      </w:r>
    </w:p>
    <w:p>
      <w:pPr>
        <w:spacing w:after="0" w:line="14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.09</w:t>
      </w:r>
      <w:r>
        <w:rPr>
          <w:sz w:val="20"/>
          <w:szCs w:val="20"/>
          <w:color w:val="auto"/>
        </w:rPr>
        <w:tab/>
      </w:r>
      <w:r>
        <w:rPr>
          <w:rFonts w:ascii="Times New Roman" w:cs="Times New Roman" w:eastAsia="Times New Roman" w:hAnsi="Times New Roman"/>
          <w:sz w:val="14"/>
          <w:szCs w:val="14"/>
          <w:b w:val="1"/>
          <w:bCs w:val="1"/>
          <w:color w:val="auto"/>
        </w:rPr>
        <w:t>Provider Selection</w:t>
      </w:r>
    </w:p>
    <w:p>
      <w:pPr>
        <w:spacing w:after="0" w:line="200" w:lineRule="exact"/>
        <w:rPr>
          <w:sz w:val="20"/>
          <w:szCs w:val="20"/>
          <w:color w:val="auto"/>
        </w:rPr>
      </w:pPr>
    </w:p>
    <w:p>
      <w:pPr>
        <w:ind w:left="600" w:right="380" w:hanging="356"/>
        <w:spacing w:after="0" w:line="259" w:lineRule="auto"/>
        <w:rPr>
          <w:sz w:val="20"/>
          <w:szCs w:val="20"/>
          <w:color w:val="auto"/>
        </w:rPr>
      </w:pPr>
      <w:r>
        <w:rPr>
          <w:rFonts w:ascii="Times New Roman" w:cs="Times New Roman" w:eastAsia="Times New Roman" w:hAnsi="Times New Roman"/>
          <w:sz w:val="16"/>
          <w:szCs w:val="16"/>
          <w:color w:val="auto"/>
        </w:rPr>
        <w:t>The choice of provider of the services and supplies covered under a Health Benefit Option is that of the Covered Individual. The Plan only provides for payment of Covered Expenses.</w:t>
      </w:r>
    </w:p>
    <w:p>
      <w:pPr>
        <w:spacing w:after="0" w:line="16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.10</w:t>
      </w:r>
      <w:r>
        <w:rPr>
          <w:sz w:val="20"/>
          <w:szCs w:val="20"/>
          <w:color w:val="auto"/>
        </w:rPr>
        <w:tab/>
      </w:r>
      <w:r>
        <w:rPr>
          <w:rFonts w:ascii="Times New Roman" w:cs="Times New Roman" w:eastAsia="Times New Roman" w:hAnsi="Times New Roman"/>
          <w:sz w:val="14"/>
          <w:szCs w:val="14"/>
          <w:b w:val="1"/>
          <w:bCs w:val="1"/>
          <w:color w:val="auto"/>
        </w:rPr>
        <w:t>Vested Rights</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 person, Eligible Retiree, Participant, Eligible Dependent or Beneficiary shall have any vested rights under the Plan.</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4"/>
          <w:szCs w:val="14"/>
          <w:b w:val="1"/>
          <w:bCs w:val="1"/>
          <w:color w:val="auto"/>
        </w:rPr>
        <w:t>Spendthrift</w:t>
      </w:r>
    </w:p>
    <w:p>
      <w:pPr>
        <w:spacing w:after="0" w:line="200" w:lineRule="exact"/>
        <w:rPr>
          <w:sz w:val="20"/>
          <w:szCs w:val="20"/>
          <w:color w:val="auto"/>
        </w:rPr>
      </w:pPr>
    </w:p>
    <w:p>
      <w:pPr>
        <w:ind w:left="600" w:hanging="353"/>
        <w:spacing w:after="0" w:line="248" w:lineRule="auto"/>
        <w:rPr>
          <w:sz w:val="20"/>
          <w:szCs w:val="20"/>
          <w:color w:val="auto"/>
        </w:rPr>
      </w:pPr>
      <w:r>
        <w:rPr>
          <w:rFonts w:ascii="Times New Roman" w:cs="Times New Roman" w:eastAsia="Times New Roman" w:hAnsi="Times New Roman"/>
          <w:sz w:val="16"/>
          <w:szCs w:val="16"/>
          <w:color w:val="auto"/>
        </w:rPr>
        <w:t>No rights, claims, causes of action or benefits under, or any interest in, the Plan shall be assignable or transferable to any person or entity (including but not limited to any provider) in whole or in part, either directly or by operation of law or otherwise, including by contract, execution, levy, garnishment, attachment, pledge or bankruptcy, other than as required by law or permitted under the Plan. The Plan shall not be liable for any obligation or liability of any Covered Individual under the Plan, including with respect to claims for alimony or the support of a spouse, other than as provided under Section 4.07. Any attempt to assign or transfer a right or interest in the Plan shall be void and of no effect. Notwithstanding the foregoing, the Plan Administrator shall have the right, in its sole discretion, to accept a purported assignment for payment of Plan benefits made by a Covered Individual under the Plan to a hospital, doctor, dentist or other provider.</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4"/>
          <w:szCs w:val="14"/>
          <w:b w:val="1"/>
          <w:bCs w:val="1"/>
          <w:color w:val="auto"/>
        </w:rPr>
        <w:t>Information from Participants</w:t>
      </w:r>
    </w:p>
    <w:p>
      <w:pPr>
        <w:spacing w:after="0" w:line="200" w:lineRule="exact"/>
        <w:rPr>
          <w:sz w:val="20"/>
          <w:szCs w:val="20"/>
          <w:color w:val="auto"/>
        </w:rPr>
      </w:pPr>
    </w:p>
    <w:p>
      <w:pPr>
        <w:ind w:left="600" w:right="280" w:hanging="353"/>
        <w:spacing w:after="0" w:line="330" w:lineRule="auto"/>
        <w:rPr>
          <w:sz w:val="20"/>
          <w:szCs w:val="20"/>
          <w:color w:val="auto"/>
        </w:rPr>
      </w:pPr>
      <w:r>
        <w:rPr>
          <w:rFonts w:ascii="Times New Roman" w:cs="Times New Roman" w:eastAsia="Times New Roman" w:hAnsi="Times New Roman"/>
          <w:sz w:val="14"/>
          <w:szCs w:val="14"/>
          <w:color w:val="auto"/>
        </w:rPr>
        <w:t>Each Participant, Eligible Retiree, Eligible Dependent, or Beneficiary shall furnish the Plan Administrator in the form prescribed by it and at its request, such personal data, affidavits, consents, authorizations to obtain information, or other information as the Plan Administrator deems necessary or desirable for the administration of the Plan.</w:t>
      </w:r>
    </w:p>
    <w:p>
      <w:pPr>
        <w:spacing w:after="0" w:line="11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4"/>
          <w:szCs w:val="14"/>
          <w:b w:val="1"/>
          <w:bCs w:val="1"/>
          <w:color w:val="auto"/>
        </w:rPr>
        <w:t>Controlling Provisions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340"/>
          </w:cols>
          <w:pgMar w:left="220" w:top="1139" w:right="339" w:bottom="1440" w:gutter="0" w:footer="0" w:header="0"/>
        </w:sectPr>
      </w:pPr>
    </w:p>
    <w:bookmarkStart w:id="167" w:name="page168"/>
    <w:bookmarkEnd w:id="167"/>
    <w:p>
      <w:pPr>
        <w:ind w:left="600" w:right="40" w:hanging="353"/>
        <w:spacing w:after="0" w:line="307" w:lineRule="auto"/>
        <w:rPr>
          <w:sz w:val="20"/>
          <w:szCs w:val="20"/>
          <w:color w:val="auto"/>
        </w:rPr>
      </w:pPr>
      <w:r>
        <w:rPr>
          <w:rFonts w:ascii="Times New Roman" w:cs="Times New Roman" w:eastAsia="Times New Roman" w:hAnsi="Times New Roman"/>
          <w:sz w:val="14"/>
          <w:szCs w:val="14"/>
          <w:color w:val="auto"/>
        </w:rPr>
        <w:t>In the event of any inconsistency, conflict, or ambiguity between this Plan document and the provisions relating to eligibility, Benefit commencement and termination, and the type, form, and amount of Benefits provided under the provisions of the other Plan Documentation applicable to a Welfare Benefit Program, the provisions of the other Plan Documentation shall control; otherwise, the provisions of this Plan document shall control in the event of any inconsistency, conflict, or ambiguity among such documents.</w:t>
      </w:r>
    </w:p>
    <w:p>
      <w:pPr>
        <w:spacing w:after="0" w:line="13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4"/>
          <w:szCs w:val="14"/>
          <w:b w:val="1"/>
          <w:bCs w:val="1"/>
          <w:color w:val="auto"/>
        </w:rPr>
        <w:t>Successor and Assigns</w:t>
      </w:r>
    </w:p>
    <w:p>
      <w:pPr>
        <w:spacing w:after="0" w:line="189" w:lineRule="exact"/>
        <w:rPr>
          <w:sz w:val="20"/>
          <w:szCs w:val="20"/>
          <w:color w:val="auto"/>
        </w:rPr>
      </w:pPr>
    </w:p>
    <w:p>
      <w:pPr>
        <w:ind w:left="600" w:right="40" w:hanging="353"/>
        <w:spacing w:after="0" w:line="300" w:lineRule="auto"/>
        <w:rPr>
          <w:sz w:val="20"/>
          <w:szCs w:val="20"/>
          <w:color w:val="auto"/>
        </w:rPr>
      </w:pPr>
      <w:r>
        <w:rPr>
          <w:rFonts w:ascii="Times New Roman" w:cs="Times New Roman" w:eastAsia="Times New Roman" w:hAnsi="Times New Roman"/>
          <w:sz w:val="14"/>
          <w:szCs w:val="14"/>
          <w:color w:val="auto"/>
        </w:rPr>
        <w:t>In the event the Company shall at any time become insolvent, or in the event of the dissolution of the Company, or a merger or consolidation involving the Company, without any provision being made for the continuance of the Plan, the Plan shall terminate, and the Plan Administrator shall proceed in the manner provided herein in the event of a termination of the Plan. In the event of a dissolution, merger or consolidation involving the Company, provisions may be made by the Company’s successor, if any, for the continuance of the Plan. In such event, said successor shall be substituted hereunder in place of the Company by proper corporate action of such successor.</w:t>
      </w:r>
    </w:p>
    <w:p>
      <w:pPr>
        <w:spacing w:after="0" w:line="13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4"/>
          <w:szCs w:val="14"/>
          <w:b w:val="1"/>
          <w:bCs w:val="1"/>
          <w:color w:val="auto"/>
        </w:rPr>
        <w:t>No Guarantee of Tax Consequences</w:t>
      </w:r>
    </w:p>
    <w:p>
      <w:pPr>
        <w:spacing w:after="0" w:line="189" w:lineRule="exact"/>
        <w:rPr>
          <w:sz w:val="20"/>
          <w:szCs w:val="20"/>
          <w:color w:val="auto"/>
        </w:rPr>
      </w:pPr>
    </w:p>
    <w:p>
      <w:pPr>
        <w:ind w:left="600" w:right="380" w:hanging="353"/>
        <w:spacing w:after="0" w:line="251" w:lineRule="auto"/>
        <w:rPr>
          <w:sz w:val="20"/>
          <w:szCs w:val="20"/>
          <w:color w:val="auto"/>
        </w:rPr>
      </w:pPr>
      <w:r>
        <w:rPr>
          <w:rFonts w:ascii="Times New Roman" w:cs="Times New Roman" w:eastAsia="Times New Roman" w:hAnsi="Times New Roman"/>
          <w:sz w:val="16"/>
          <w:szCs w:val="16"/>
          <w:color w:val="auto"/>
        </w:rPr>
        <w:t>Neither the Company nor the Employer makes a commitment or guarantee that any amounts paid to or for the benefit of a Covered Individual will be excludable from such Covered Individual’s gross income for federal, state, or local tax purposes or that any other favorable federal tax treatment will apply to or be available to any Covered Individual with respect to such amounts or Plan coverage. It shall be the obligation of each Covered Individual to determine whether each payment under the Plan is excludable from his or her gross income for federal, state, and local tax purposes and to notify the Employer if he or she has reason to believe that any such payment is intended to be but is not so excludable.</w:t>
      </w:r>
    </w:p>
    <w:p>
      <w:pPr>
        <w:spacing w:after="0" w:line="16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.16</w:t>
      </w:r>
      <w:r>
        <w:rPr>
          <w:sz w:val="20"/>
          <w:szCs w:val="20"/>
          <w:color w:val="auto"/>
        </w:rPr>
        <w:tab/>
      </w:r>
      <w:r>
        <w:rPr>
          <w:rFonts w:ascii="Times New Roman" w:cs="Times New Roman" w:eastAsia="Times New Roman" w:hAnsi="Times New Roman"/>
          <w:sz w:val="14"/>
          <w:szCs w:val="14"/>
          <w:b w:val="1"/>
          <w:bCs w:val="1"/>
          <w:color w:val="auto"/>
        </w:rPr>
        <w:t>Payment of Benefits</w:t>
      </w:r>
    </w:p>
    <w:p>
      <w:pPr>
        <w:spacing w:after="0" w:line="200" w:lineRule="exact"/>
        <w:rPr>
          <w:sz w:val="20"/>
          <w:szCs w:val="20"/>
          <w:color w:val="auto"/>
        </w:rPr>
      </w:pPr>
    </w:p>
    <w:p>
      <w:pPr>
        <w:ind w:left="600" w:hanging="356"/>
        <w:spacing w:after="0" w:line="246" w:lineRule="auto"/>
        <w:rPr>
          <w:sz w:val="20"/>
          <w:szCs w:val="20"/>
          <w:color w:val="auto"/>
        </w:rPr>
      </w:pPr>
      <w:r>
        <w:rPr>
          <w:rFonts w:ascii="Times New Roman" w:cs="Times New Roman" w:eastAsia="Times New Roman" w:hAnsi="Times New Roman"/>
          <w:sz w:val="16"/>
          <w:szCs w:val="16"/>
          <w:color w:val="auto"/>
        </w:rPr>
        <w:t>The Plan reserves the unilateral right and discretion to pay a provider (or any other designated person or entity) directly for covered benefits under the Plan, with any such payment being made on a Covered Individual’s behalf (and not to such payment recipient in its, his or her own right). The Plan Administrator and/or Claims Administrator may, in its sole discretion, interact directly with a provider (or other designated person or entity). If the Plan makes a payment to a person or entity other than the Covered Individual, or if the Plan Administrator and/or Claims Administrator interacts directly with any such person or entity, such payment or interaction shall not constitute a waiver of any provision of Section 10.11 above or a consent to any assignment or transfer of any rights, claims, causes of action or benefits under, or any interest in, the Plan (unless otherwise provided by the Plan Administrator in its sole discretion). Any payment made under this Plan to any such person or entity discharges the Plan’s responsibility to the Covered Individual for benefits under the Plan to which such payment relates. Payment of benefits under the Plan, if any, may be made to a Covered Individual upon presentation of itemized “paid” bills.</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.17</w:t>
      </w:r>
      <w:r>
        <w:rPr>
          <w:sz w:val="20"/>
          <w:szCs w:val="20"/>
          <w:color w:val="auto"/>
        </w:rPr>
        <w:tab/>
      </w:r>
      <w:r>
        <w:rPr>
          <w:rFonts w:ascii="Times New Roman" w:cs="Times New Roman" w:eastAsia="Times New Roman" w:hAnsi="Times New Roman"/>
          <w:sz w:val="14"/>
          <w:szCs w:val="14"/>
          <w:b w:val="1"/>
          <w:bCs w:val="1"/>
          <w:color w:val="auto"/>
        </w:rPr>
        <w:t>Insurance Contracts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Company does not guarantee benefits payable under any Insurance Contracts and any benefits payable thereunder shall be the exclusive responsibility of the insurer or health</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360"/>
          </w:cols>
          <w:pgMar w:left="220" w:top="1330" w:right="319" w:bottom="1440" w:gutter="0" w:footer="0" w:header="0"/>
        </w:sectPr>
      </w:pPr>
    </w:p>
    <w:bookmarkStart w:id="168" w:name="page169"/>
    <w:bookmarkEnd w:id="168"/>
    <w:p>
      <w:pPr>
        <w:ind w:left="520" w:right="260"/>
        <w:spacing w:after="0" w:line="273" w:lineRule="auto"/>
        <w:rPr>
          <w:sz w:val="20"/>
          <w:szCs w:val="20"/>
          <w:color w:val="auto"/>
        </w:rPr>
      </w:pPr>
      <w:r>
        <w:rPr>
          <w:rFonts w:ascii="Times New Roman" w:cs="Times New Roman" w:eastAsia="Times New Roman" w:hAnsi="Times New Roman"/>
          <w:sz w:val="16"/>
          <w:szCs w:val="16"/>
          <w:color w:val="auto"/>
        </w:rPr>
        <w:t>maintenance organization that is obligated under such Insurance Contract. The benefits payable under the Plan shall be limited to the benefits as may be paid under such contract.</w:t>
      </w:r>
    </w:p>
    <w:p>
      <w:pPr>
        <w:spacing w:after="0" w:line="14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color w:val="auto"/>
        </w:rPr>
        <w:t>10.18</w:t>
      </w:r>
      <w:r>
        <w:rPr>
          <w:sz w:val="20"/>
          <w:szCs w:val="20"/>
          <w:color w:val="auto"/>
        </w:rPr>
        <w:tab/>
      </w:r>
      <w:r>
        <w:rPr>
          <w:rFonts w:ascii="Times New Roman" w:cs="Times New Roman" w:eastAsia="Times New Roman" w:hAnsi="Times New Roman"/>
          <w:sz w:val="14"/>
          <w:szCs w:val="14"/>
          <w:b w:val="1"/>
          <w:bCs w:val="1"/>
          <w:color w:val="auto"/>
        </w:rPr>
        <w:t>Liability Disclaimer</w:t>
      </w:r>
    </w:p>
    <w:p>
      <w:pPr>
        <w:spacing w:after="0" w:line="200" w:lineRule="exact"/>
        <w:rPr>
          <w:sz w:val="20"/>
          <w:szCs w:val="20"/>
          <w:color w:val="auto"/>
        </w:rPr>
      </w:pPr>
    </w:p>
    <w:p>
      <w:pPr>
        <w:ind w:left="520" w:hanging="356"/>
        <w:spacing w:after="0" w:line="248" w:lineRule="auto"/>
        <w:rPr>
          <w:sz w:val="20"/>
          <w:szCs w:val="20"/>
          <w:color w:val="auto"/>
        </w:rPr>
      </w:pPr>
      <w:r>
        <w:rPr>
          <w:rFonts w:ascii="Times New Roman" w:cs="Times New Roman" w:eastAsia="Times New Roman" w:hAnsi="Times New Roman"/>
          <w:sz w:val="16"/>
          <w:szCs w:val="16"/>
          <w:color w:val="auto"/>
        </w:rPr>
        <w:t>The Plan does not determine what medical services and supplies you should receive under a Health Benefit Option. Rather, it only determines what services and supplies will be paid or reimbursed in whole or in part. The fact that a Health Benefit Option does not cover a given service or supply, or that you have been advised that a Health Benefit Option does not cover a given service or supply, does not constitute medical advice that you should not receive such service or supply. The decision as to whether a Covered Individual should receive a given service or supply is a decision which must be made solely by the Covered Individual, taking into consideration the medical advice which the Covered Individual is receiving from the treating provider. Neither the Plan, the Employer, the Company nor the Plan Administrator is liable for any decision not to obtain any service or supply regardless of whether or not the service or supply will be paid or reimbursed under a Health Benefit Option.</w:t>
      </w:r>
    </w:p>
    <w:p>
      <w:pPr>
        <w:spacing w:after="0" w:line="16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color w:val="auto"/>
        </w:rPr>
        <w:t>10.19</w:t>
      </w:r>
      <w:r>
        <w:rPr>
          <w:sz w:val="20"/>
          <w:szCs w:val="20"/>
          <w:color w:val="auto"/>
        </w:rPr>
        <w:tab/>
      </w:r>
      <w:r>
        <w:rPr>
          <w:rFonts w:ascii="Times New Roman" w:cs="Times New Roman" w:eastAsia="Times New Roman" w:hAnsi="Times New Roman"/>
          <w:sz w:val="14"/>
          <w:szCs w:val="14"/>
          <w:b w:val="1"/>
          <w:bCs w:val="1"/>
          <w:color w:val="auto"/>
        </w:rPr>
        <w:t>Legal Fees</w:t>
      </w:r>
    </w:p>
    <w:p>
      <w:pPr>
        <w:spacing w:after="0" w:line="200" w:lineRule="exact"/>
        <w:rPr>
          <w:sz w:val="20"/>
          <w:szCs w:val="20"/>
          <w:color w:val="auto"/>
        </w:rPr>
      </w:pPr>
    </w:p>
    <w:p>
      <w:pPr>
        <w:ind w:left="520" w:right="80"/>
        <w:spacing w:after="0" w:line="290" w:lineRule="auto"/>
        <w:rPr>
          <w:sz w:val="20"/>
          <w:szCs w:val="20"/>
          <w:color w:val="auto"/>
        </w:rPr>
      </w:pPr>
      <w:r>
        <w:rPr>
          <w:rFonts w:ascii="Times New Roman" w:cs="Times New Roman" w:eastAsia="Times New Roman" w:hAnsi="Times New Roman"/>
          <w:sz w:val="14"/>
          <w:szCs w:val="14"/>
          <w:color w:val="auto"/>
        </w:rPr>
        <w:t>Any award of legal fees in connection with an action involving the Plan shall be calculated pursuant to the method that results in the lowest amount of fees being paid, which amount shall be no more than an amount that is reasonable. In no event shall legal fees be awarded for work related to (a) administrative proceedings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-140335</wp:posOffset>
            </wp:positionV>
            <wp:extent cx="2476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2">
                      <a:extLst>
                        <a:ext uri="{28A0092B-C50C-407E-A947-70E740481C1C}"/>
                      </a:extLst>
                    </a:blip>
                    <a:srcRect/>
                    <a:stretch>
                      <a:fillRect/>
                    </a:stretch>
                  </pic:blipFill>
                  <pic:spPr bwMode="auto">
                    <a:xfrm>
                      <a:off x="0" y="0"/>
                      <a:ext cx="24765" cy="6985"/>
                    </a:xfrm>
                    <a:prstGeom prst="rect">
                      <a:avLst/>
                    </a:prstGeom>
                    <a:noFill/>
                  </pic:spPr>
                </pic:pic>
              </a:graphicData>
            </a:graphic>
          </wp:anchor>
        </w:drawing>
      </w:r>
    </w:p>
    <w:p>
      <w:pPr>
        <w:ind w:left="520" w:right="20" w:hanging="6"/>
        <w:spacing w:after="0" w:line="243" w:lineRule="auto"/>
        <w:tabs>
          <w:tab w:leader="none" w:pos="74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unsuccessful claims brought by a Participant, Eligible Dependent, Beneficiary or any other person, or (c) actions that are not brought under ERISA. In calculating any award of legal fees, there shall be no enhancement for the risk of contingency, nonpayment or any other risk nor shall there be applied a contingency multiplier or any other multiplier. In any action brought by a Participant, Eligible Dependent, Beneficiary or any other person against the Plan, the Plan Administrator, any Plan fiduciary, any claims administrator, the Company or their respective affiliates or their or their affiliates’ respective officers, directors, trustees, employees, or agents (collectively, the “Plan Parties”), legal fees of the Plan Parties in connection with such action shall be paid by the Participant, Eligible Dependent, beneficiary or other person bringing the action, unless the court specifically finds that there was a reasonable basis for the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260"/>
          </w:cols>
          <w:pgMar w:left="300" w:top="1139" w:right="339" w:bottom="1440" w:gutter="0" w:footer="0" w:header="0"/>
        </w:sectPr>
      </w:pPr>
    </w:p>
    <w:bookmarkStart w:id="169" w:name="page170"/>
    <w:bookmarkEnd w:id="169"/>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ARTICLE XI – PROVISION OF PROTECTED HEALTH INFORMATION TO PLAN SPONSOR</w:t>
      </w:r>
    </w:p>
    <w:p>
      <w:pPr>
        <w:spacing w:after="0" w:line="389" w:lineRule="exact"/>
        <w:rPr>
          <w:sz w:val="20"/>
          <w:szCs w:val="20"/>
          <w:color w:val="auto"/>
        </w:rPr>
      </w:pPr>
    </w:p>
    <w:p>
      <w:pPr>
        <w:ind w:left="61"/>
        <w:spacing w:after="0"/>
        <w:tabs>
          <w:tab w:leader="none" w:pos="541" w:val="left"/>
        </w:tabs>
        <w:rPr>
          <w:sz w:val="20"/>
          <w:szCs w:val="20"/>
          <w:color w:val="auto"/>
        </w:rPr>
      </w:pPr>
      <w:r>
        <w:rPr>
          <w:rFonts w:ascii="Times New Roman" w:cs="Times New Roman" w:eastAsia="Times New Roman" w:hAnsi="Times New Roman"/>
          <w:sz w:val="16"/>
          <w:szCs w:val="16"/>
          <w:color w:val="auto"/>
        </w:rPr>
        <w:t>11.01</w:t>
      </w:r>
      <w:r>
        <w:rPr>
          <w:sz w:val="20"/>
          <w:szCs w:val="20"/>
          <w:color w:val="auto"/>
        </w:rPr>
        <w:tab/>
      </w:r>
      <w:r>
        <w:rPr>
          <w:rFonts w:ascii="Times New Roman" w:cs="Times New Roman" w:eastAsia="Times New Roman" w:hAnsi="Times New Roman"/>
          <w:sz w:val="14"/>
          <w:szCs w:val="14"/>
          <w:b w:val="1"/>
          <w:bCs w:val="1"/>
          <w:color w:val="auto"/>
        </w:rPr>
        <w:t>Permitted Disclosures of Protected Health Information</w:t>
      </w:r>
    </w:p>
    <w:p>
      <w:pPr>
        <w:spacing w:after="0" w:line="189" w:lineRule="exact"/>
        <w:rPr>
          <w:sz w:val="20"/>
          <w:szCs w:val="20"/>
          <w:color w:val="auto"/>
        </w:rPr>
      </w:pPr>
    </w:p>
    <w:p>
      <w:pPr>
        <w:ind w:left="581" w:right="160"/>
        <w:spacing w:after="0" w:line="252" w:lineRule="auto"/>
        <w:rPr>
          <w:sz w:val="20"/>
          <w:szCs w:val="20"/>
          <w:color w:val="auto"/>
        </w:rPr>
      </w:pPr>
      <w:r>
        <w:rPr>
          <w:rFonts w:ascii="Times New Roman" w:cs="Times New Roman" w:eastAsia="Times New Roman" w:hAnsi="Times New Roman"/>
          <w:sz w:val="16"/>
          <w:szCs w:val="16"/>
          <w:color w:val="auto"/>
        </w:rPr>
        <w:t>Unless otherwise permitted or required by law, and subject to obtaining written certification pursuant to Section 11.04, a Welfare Benefit Program that is a Health Plan as defined in 45 CFR §160.103, (or a health insurance issuer or HMO with respect to such Health Plan) may disclose Protected Heath Information (as defined in 45 CFR §160.103) to the Plan Sponsor only for the purpose of enabling the Plan Sponsor to perform administrative functions related to the treatment, payment and health care operations of such Health Plan as defined in 45 CFR §164.501.</w:t>
      </w:r>
    </w:p>
    <w:p>
      <w:pPr>
        <w:spacing w:after="0" w:line="172" w:lineRule="exact"/>
        <w:rPr>
          <w:sz w:val="20"/>
          <w:szCs w:val="20"/>
          <w:color w:val="auto"/>
        </w:rPr>
      </w:pPr>
    </w:p>
    <w:p>
      <w:pPr>
        <w:ind w:left="581"/>
        <w:spacing w:after="0"/>
        <w:rPr>
          <w:sz w:val="20"/>
          <w:szCs w:val="20"/>
          <w:color w:val="auto"/>
        </w:rPr>
      </w:pPr>
      <w:r>
        <w:rPr>
          <w:rFonts w:ascii="Times New Roman" w:cs="Times New Roman" w:eastAsia="Times New Roman" w:hAnsi="Times New Roman"/>
          <w:sz w:val="16"/>
          <w:szCs w:val="16"/>
          <w:color w:val="auto"/>
        </w:rPr>
        <w:t>In no event shall the Plan Sponsor be permitted to use or disclose Protected Health Information in a manner that is inconsistent with 45 CFR §164.504(f).</w:t>
      </w:r>
    </w:p>
    <w:p>
      <w:pPr>
        <w:spacing w:after="0" w:line="185" w:lineRule="exact"/>
        <w:rPr>
          <w:sz w:val="20"/>
          <w:szCs w:val="20"/>
          <w:color w:val="auto"/>
        </w:rPr>
      </w:pPr>
    </w:p>
    <w:p>
      <w:pPr>
        <w:ind w:left="301" w:hanging="301"/>
        <w:spacing w:after="0"/>
        <w:tabs>
          <w:tab w:leader="none" w:pos="301"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Conditions of Disclosure</w:t>
      </w:r>
    </w:p>
    <w:p>
      <w:pPr>
        <w:spacing w:after="0" w:line="200" w:lineRule="exact"/>
        <w:rPr>
          <w:sz w:val="20"/>
          <w:szCs w:val="20"/>
          <w:color w:val="auto"/>
        </w:rPr>
      </w:pPr>
    </w:p>
    <w:p>
      <w:pPr>
        <w:ind w:left="581"/>
        <w:spacing w:after="0"/>
        <w:rPr>
          <w:sz w:val="20"/>
          <w:szCs w:val="20"/>
          <w:color w:val="auto"/>
        </w:rPr>
      </w:pPr>
      <w:r>
        <w:rPr>
          <w:rFonts w:ascii="Times New Roman" w:cs="Times New Roman" w:eastAsia="Times New Roman" w:hAnsi="Times New Roman"/>
          <w:sz w:val="14"/>
          <w:szCs w:val="14"/>
          <w:color w:val="auto"/>
        </w:rPr>
        <w:t>The Plan Sponsor agrees that with respect to any Protected Health Information disclosed to it by a Health Plan (or a health insurance issuer or HMO with respect to the</w:t>
      </w:r>
    </w:p>
    <w:p>
      <w:pPr>
        <w:spacing w:after="0" w:line="37" w:lineRule="exact"/>
        <w:rPr>
          <w:sz w:val="20"/>
          <w:szCs w:val="20"/>
          <w:color w:val="auto"/>
        </w:rPr>
      </w:pPr>
    </w:p>
    <w:p>
      <w:pPr>
        <w:ind w:left="581"/>
        <w:spacing w:after="0"/>
        <w:rPr>
          <w:sz w:val="20"/>
          <w:szCs w:val="20"/>
          <w:color w:val="auto"/>
        </w:rPr>
      </w:pPr>
      <w:r>
        <w:rPr>
          <w:rFonts w:ascii="Times New Roman" w:cs="Times New Roman" w:eastAsia="Times New Roman" w:hAnsi="Times New Roman"/>
          <w:sz w:val="16"/>
          <w:szCs w:val="16"/>
          <w:color w:val="auto"/>
        </w:rPr>
        <w:t>Plan) that it shall:</w:t>
      </w:r>
    </w:p>
    <w:p>
      <w:pPr>
        <w:spacing w:after="0" w:line="180" w:lineRule="exact"/>
        <w:rPr>
          <w:sz w:val="20"/>
          <w:szCs w:val="20"/>
          <w:color w:val="auto"/>
        </w:rPr>
      </w:pPr>
    </w:p>
    <w:p>
      <w:pPr>
        <w:ind w:left="1081" w:hanging="506"/>
        <w:spacing w:after="0"/>
        <w:tabs>
          <w:tab w:leader="none" w:pos="1081"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use or further disclose the Protected Health Information other than as permitted or required by the Health Plan or as required by law.</w:t>
      </w:r>
    </w:p>
    <w:p>
      <w:pPr>
        <w:spacing w:after="0" w:line="197" w:lineRule="exact"/>
        <w:rPr>
          <w:rFonts w:ascii="Times New Roman" w:cs="Times New Roman" w:eastAsia="Times New Roman" w:hAnsi="Times New Roman"/>
          <w:sz w:val="16"/>
          <w:szCs w:val="16"/>
          <w:color w:val="auto"/>
        </w:rPr>
      </w:pPr>
    </w:p>
    <w:p>
      <w:pPr>
        <w:ind w:left="1081" w:right="20" w:hanging="506"/>
        <w:spacing w:after="0" w:line="259" w:lineRule="auto"/>
        <w:tabs>
          <w:tab w:leader="none" w:pos="1071"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Ensure that any agents, including a subcontractor, to whom it provides Protected Health Information received from a Health Plan, agree to the same restrictions and conditions that apply to the Plan Sponsor with respect to Protected Health Information.</w:t>
      </w:r>
    </w:p>
    <w:p>
      <w:pPr>
        <w:spacing w:after="0" w:line="165" w:lineRule="exact"/>
        <w:rPr>
          <w:rFonts w:ascii="Times New Roman" w:cs="Times New Roman" w:eastAsia="Times New Roman" w:hAnsi="Times New Roman"/>
          <w:sz w:val="16"/>
          <w:szCs w:val="16"/>
          <w:color w:val="auto"/>
        </w:rPr>
      </w:pPr>
    </w:p>
    <w:p>
      <w:pPr>
        <w:ind w:left="1081" w:hanging="506"/>
        <w:spacing w:after="0" w:line="259" w:lineRule="auto"/>
        <w:tabs>
          <w:tab w:leader="none" w:pos="1073"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use or disclose the Protected Health Information for employment-related actions and decisions or in connection with any other benefit or employee benefit plan of the Plan Sponsor.</w:t>
      </w:r>
    </w:p>
    <w:p>
      <w:pPr>
        <w:spacing w:after="0" w:line="165" w:lineRule="exact"/>
        <w:rPr>
          <w:rFonts w:ascii="Times New Roman" w:cs="Times New Roman" w:eastAsia="Times New Roman" w:hAnsi="Times New Roman"/>
          <w:sz w:val="16"/>
          <w:szCs w:val="16"/>
          <w:color w:val="auto"/>
        </w:rPr>
      </w:pPr>
    </w:p>
    <w:p>
      <w:pPr>
        <w:ind w:left="1081" w:hanging="506"/>
        <w:spacing w:after="0"/>
        <w:tabs>
          <w:tab w:leader="none" w:pos="1081"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 to a Health Plan any use or disclosure of the information that is inconsistent with the uses or disclosures provided for of which it becomes aware.</w:t>
      </w:r>
    </w:p>
    <w:p>
      <w:pPr>
        <w:spacing w:after="0" w:line="197" w:lineRule="exact"/>
        <w:rPr>
          <w:rFonts w:ascii="Times New Roman" w:cs="Times New Roman" w:eastAsia="Times New Roman" w:hAnsi="Times New Roman"/>
          <w:sz w:val="16"/>
          <w:szCs w:val="16"/>
          <w:color w:val="auto"/>
        </w:rPr>
      </w:pPr>
    </w:p>
    <w:p>
      <w:pPr>
        <w:ind w:left="1081" w:hanging="506"/>
        <w:spacing w:after="0"/>
        <w:tabs>
          <w:tab w:leader="none" w:pos="1081"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available Protected Health Information in accordance with 45 CFR §164.524.</w:t>
      </w:r>
    </w:p>
    <w:p>
      <w:pPr>
        <w:spacing w:after="0" w:line="187" w:lineRule="exact"/>
        <w:rPr>
          <w:rFonts w:ascii="Times New Roman" w:cs="Times New Roman" w:eastAsia="Times New Roman" w:hAnsi="Times New Roman"/>
          <w:sz w:val="16"/>
          <w:szCs w:val="16"/>
          <w:color w:val="auto"/>
        </w:rPr>
      </w:pPr>
    </w:p>
    <w:p>
      <w:pPr>
        <w:ind w:left="1081" w:right="540" w:hanging="506"/>
        <w:spacing w:after="0" w:line="273" w:lineRule="auto"/>
        <w:tabs>
          <w:tab w:leader="none" w:pos="1077"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available Protected Health Information for amendment and incorporate any amendments to Protected Health Information in accordance with 45 CFR §164.526.</w:t>
      </w:r>
    </w:p>
    <w:p>
      <w:pPr>
        <w:spacing w:after="0" w:line="143" w:lineRule="exact"/>
        <w:rPr>
          <w:rFonts w:ascii="Times New Roman" w:cs="Times New Roman" w:eastAsia="Times New Roman" w:hAnsi="Times New Roman"/>
          <w:sz w:val="16"/>
          <w:szCs w:val="16"/>
          <w:color w:val="auto"/>
        </w:rPr>
      </w:pPr>
    </w:p>
    <w:p>
      <w:pPr>
        <w:ind w:left="1081" w:hanging="506"/>
        <w:spacing w:after="0"/>
        <w:tabs>
          <w:tab w:leader="none" w:pos="1081"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available the information required to provide an accounting of disclosures in accordance with 45 CFR §164.528.</w:t>
      </w:r>
    </w:p>
    <w:p>
      <w:pPr>
        <w:spacing w:after="0" w:line="197" w:lineRule="exact"/>
        <w:rPr>
          <w:rFonts w:ascii="Times New Roman" w:cs="Times New Roman" w:eastAsia="Times New Roman" w:hAnsi="Times New Roman"/>
          <w:sz w:val="16"/>
          <w:szCs w:val="16"/>
          <w:color w:val="auto"/>
        </w:rPr>
      </w:pPr>
    </w:p>
    <w:p>
      <w:pPr>
        <w:ind w:left="1081" w:right="40" w:hanging="506"/>
        <w:spacing w:after="0" w:line="254" w:lineRule="auto"/>
        <w:tabs>
          <w:tab w:leader="none" w:pos="1071"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its internal practices, books, and records relating to the use and disclosure of Protected Health Information received from a Health Plan (or a health insurance issuer or HMO with respect to such Health Plan) available to the Secretary of Health and Human Services for purposes of determining compliance by the Health Plan with subpart E of 45 CFR §164.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281"/>
          </w:cols>
          <w:pgMar w:left="239" w:top="1138" w:right="379" w:bottom="1440" w:gutter="0" w:footer="0" w:header="0"/>
        </w:sectPr>
      </w:pPr>
    </w:p>
    <w:bookmarkStart w:id="170" w:name="page171"/>
    <w:bookmarkEnd w:id="170"/>
    <w:p>
      <w:pPr>
        <w:jc w:val="both"/>
        <w:ind w:left="1081" w:right="140" w:hanging="506"/>
        <w:spacing w:after="0" w:line="254" w:lineRule="auto"/>
        <w:tabs>
          <w:tab w:leader="none" w:pos="1079"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feasible, return or destroy all Protected Health Information received from a Health Plan that the Plan Sponsor still maintains in any form and retain no copies of such information when no longer needed for the purpose for which disclosure was made, except that, if such return or destruction is not feasible, limit further uses and disclosures to those purposes that make the return or destruction of the information infeasible.</w:t>
      </w:r>
    </w:p>
    <w:p>
      <w:pPr>
        <w:spacing w:after="0" w:line="169" w:lineRule="exact"/>
        <w:rPr>
          <w:rFonts w:ascii="Times New Roman" w:cs="Times New Roman" w:eastAsia="Times New Roman" w:hAnsi="Times New Roman"/>
          <w:sz w:val="16"/>
          <w:szCs w:val="16"/>
          <w:color w:val="auto"/>
        </w:rPr>
      </w:pPr>
    </w:p>
    <w:p>
      <w:pPr>
        <w:ind w:left="1081" w:hanging="506"/>
        <w:spacing w:after="0"/>
        <w:tabs>
          <w:tab w:leader="none" w:pos="1081"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Ensure that the adequate separation between a Health Plan and Plan Sponsor, required in 45 CFR §164.504(f)(2)(iii), is satisfied.</w:t>
      </w:r>
    </w:p>
    <w:p>
      <w:pPr>
        <w:spacing w:after="0" w:line="187" w:lineRule="exact"/>
        <w:rPr>
          <w:rFonts w:ascii="Times New Roman" w:cs="Times New Roman" w:eastAsia="Times New Roman" w:hAnsi="Times New Roman"/>
          <w:sz w:val="16"/>
          <w:szCs w:val="16"/>
          <w:color w:val="auto"/>
        </w:rPr>
      </w:pPr>
    </w:p>
    <w:p>
      <w:pPr>
        <w:ind w:left="1081" w:hanging="506"/>
        <w:spacing w:after="0"/>
        <w:tabs>
          <w:tab w:leader="none" w:pos="1081"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Plan Sponsor receives electronic protected health information, as defined in 45 CFR §160.103, it shall:</w:t>
      </w:r>
    </w:p>
    <w:p>
      <w:pPr>
        <w:spacing w:after="0" w:line="197" w:lineRule="exact"/>
        <w:rPr>
          <w:rFonts w:ascii="Times New Roman" w:cs="Times New Roman" w:eastAsia="Times New Roman" w:hAnsi="Times New Roman"/>
          <w:sz w:val="16"/>
          <w:szCs w:val="16"/>
          <w:color w:val="auto"/>
        </w:rPr>
      </w:pPr>
    </w:p>
    <w:p>
      <w:pPr>
        <w:ind w:left="1601" w:right="440" w:hanging="517"/>
        <w:spacing w:after="0" w:line="273" w:lineRule="auto"/>
        <w:tabs>
          <w:tab w:leader="none" w:pos="1592"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 administrative, physical and technical safeguards that reasonably and appropriately protect the confidentiality, integrity and availability of electronic PHI that it creates, receives, maintains or transmits on behalf of the Plan;</w:t>
      </w:r>
    </w:p>
    <w:p>
      <w:pPr>
        <w:spacing w:after="0" w:line="122" w:lineRule="exact"/>
        <w:rPr>
          <w:rFonts w:ascii="Times New Roman" w:cs="Times New Roman" w:eastAsia="Times New Roman" w:hAnsi="Times New Roman"/>
          <w:sz w:val="16"/>
          <w:szCs w:val="16"/>
          <w:color w:val="auto"/>
        </w:rPr>
      </w:pPr>
    </w:p>
    <w:p>
      <w:pPr>
        <w:ind w:left="1601" w:right="680" w:hanging="517"/>
        <w:spacing w:after="0" w:line="273" w:lineRule="auto"/>
        <w:tabs>
          <w:tab w:leader="none" w:pos="1592"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Ensure that the adequate separation between the Plan and the Plan Sponsor with respect to electronic protected health information is supported by reasonable and appropriate security measures;</w:t>
      </w:r>
    </w:p>
    <w:p>
      <w:pPr>
        <w:spacing w:after="0" w:line="122" w:lineRule="exact"/>
        <w:rPr>
          <w:rFonts w:ascii="Times New Roman" w:cs="Times New Roman" w:eastAsia="Times New Roman" w:hAnsi="Times New Roman"/>
          <w:sz w:val="16"/>
          <w:szCs w:val="16"/>
          <w:color w:val="auto"/>
        </w:rPr>
      </w:pPr>
    </w:p>
    <w:p>
      <w:pPr>
        <w:ind w:left="1601" w:right="380" w:hanging="517"/>
        <w:spacing w:after="0" w:line="273" w:lineRule="auto"/>
        <w:tabs>
          <w:tab w:leader="none" w:pos="1592"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Ensure that any agent, including a subcontractor, to whom it provides electronic protected health information to implement reasonable and appropriate security measures to protect the electronic protected health information; and</w:t>
      </w:r>
    </w:p>
    <w:p>
      <w:pPr>
        <w:spacing w:after="0" w:line="133" w:lineRule="exact"/>
        <w:rPr>
          <w:rFonts w:ascii="Times New Roman" w:cs="Times New Roman" w:eastAsia="Times New Roman" w:hAnsi="Times New Roman"/>
          <w:sz w:val="16"/>
          <w:szCs w:val="16"/>
          <w:color w:val="auto"/>
        </w:rPr>
      </w:pPr>
    </w:p>
    <w:p>
      <w:pPr>
        <w:ind w:left="1581" w:hanging="497"/>
        <w:spacing w:after="0"/>
        <w:tabs>
          <w:tab w:leader="none" w:pos="1581"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 to the Plan any security incidents of which it becomes aware concerning electronic protected health information.</w:t>
      </w:r>
    </w:p>
    <w:p>
      <w:pPr>
        <w:spacing w:after="0" w:line="187" w:lineRule="exact"/>
        <w:rPr>
          <w:rFonts w:ascii="Times New Roman" w:cs="Times New Roman" w:eastAsia="Times New Roman" w:hAnsi="Times New Roman"/>
          <w:sz w:val="16"/>
          <w:szCs w:val="16"/>
          <w:color w:val="auto"/>
        </w:rPr>
      </w:pPr>
    </w:p>
    <w:p>
      <w:pPr>
        <w:ind w:left="961" w:hanging="386"/>
        <w:spacing w:after="0" w:line="254" w:lineRule="auto"/>
        <w:tabs>
          <w:tab w:leader="none" w:pos="959"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the terms of this provision shall not apply to enrollment, disenrollment, and summary health information provided to the Plan pursuant to 45 CFR §164.504(f)(l)(ii) or (iii); of Protected Health Information released pursuant to an Authorization that complies with 45 CFR §164.508; or in other circumstances as permitted by the Health Insurance Portability and Accountability Act of 1996 (HIPAA) regulations.</w:t>
      </w:r>
    </w:p>
    <w:p>
      <w:pPr>
        <w:spacing w:after="0" w:line="167" w:lineRule="exact"/>
        <w:rPr>
          <w:sz w:val="20"/>
          <w:szCs w:val="20"/>
          <w:color w:val="auto"/>
        </w:rPr>
      </w:pPr>
    </w:p>
    <w:p>
      <w:pPr>
        <w:ind w:left="301" w:hanging="301"/>
        <w:spacing w:after="0"/>
        <w:tabs>
          <w:tab w:leader="none" w:pos="301"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Separation Between Health Plan and Plan Sponsor</w:t>
      </w:r>
    </w:p>
    <w:p>
      <w:pPr>
        <w:spacing w:after="0" w:line="200" w:lineRule="exact"/>
        <w:rPr>
          <w:sz w:val="20"/>
          <w:szCs w:val="20"/>
          <w:color w:val="auto"/>
        </w:rPr>
      </w:pPr>
    </w:p>
    <w:p>
      <w:pPr>
        <w:ind w:left="581"/>
        <w:spacing w:after="0"/>
        <w:rPr>
          <w:sz w:val="20"/>
          <w:szCs w:val="20"/>
          <w:color w:val="auto"/>
        </w:rPr>
      </w:pPr>
      <w:r>
        <w:rPr>
          <w:rFonts w:ascii="Times New Roman" w:cs="Times New Roman" w:eastAsia="Times New Roman" w:hAnsi="Times New Roman"/>
          <w:sz w:val="16"/>
          <w:szCs w:val="16"/>
          <w:color w:val="auto"/>
        </w:rPr>
        <w:t>To satisfy the requirements of Section 11.02(j) above, the following conditions shall apply:</w:t>
      </w:r>
    </w:p>
    <w:p>
      <w:pPr>
        <w:spacing w:after="0" w:line="187" w:lineRule="exact"/>
        <w:rPr>
          <w:sz w:val="20"/>
          <w:szCs w:val="20"/>
          <w:color w:val="auto"/>
        </w:rPr>
      </w:pPr>
    </w:p>
    <w:p>
      <w:pPr>
        <w:ind w:left="1081" w:right="340" w:hanging="506"/>
        <w:spacing w:after="0" w:line="254" w:lineRule="auto"/>
        <w:tabs>
          <w:tab w:leader="none" w:pos="1073"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may use and/or disclose Protected Health Information only to Plan Sponsor employees in the human resources department, information services, help desk, and legal department and in the health and productivity consulting group who are engaged in activities related to plan administration or have oversight responsibility for the Plan.</w:t>
      </w:r>
    </w:p>
    <w:p>
      <w:pPr>
        <w:spacing w:after="0" w:line="169" w:lineRule="exact"/>
        <w:rPr>
          <w:rFonts w:ascii="Times New Roman" w:cs="Times New Roman" w:eastAsia="Times New Roman" w:hAnsi="Times New Roman"/>
          <w:sz w:val="16"/>
          <w:szCs w:val="16"/>
          <w:color w:val="auto"/>
        </w:rPr>
      </w:pPr>
    </w:p>
    <w:p>
      <w:pPr>
        <w:ind w:left="1081" w:right="60" w:hanging="506"/>
        <w:spacing w:after="0" w:line="259" w:lineRule="auto"/>
        <w:tabs>
          <w:tab w:leader="none" w:pos="1071"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access to and use of Protected Health Information by the individuals described in Section 11.03(a) above shall be restricted to the Plan administration functions that the Plan Sponsor performs for a Health Plan.</w:t>
      </w:r>
    </w:p>
    <w:p>
      <w:pPr>
        <w:spacing w:after="0" w:line="165" w:lineRule="exact"/>
        <w:rPr>
          <w:rFonts w:ascii="Times New Roman" w:cs="Times New Roman" w:eastAsia="Times New Roman" w:hAnsi="Times New Roman"/>
          <w:sz w:val="16"/>
          <w:szCs w:val="16"/>
          <w:color w:val="auto"/>
        </w:rPr>
      </w:pPr>
    </w:p>
    <w:p>
      <w:pPr>
        <w:ind w:left="1081" w:right="360" w:hanging="506"/>
        <w:spacing w:after="0" w:line="273" w:lineRule="auto"/>
        <w:tabs>
          <w:tab w:leader="none" w:pos="1073"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described in Section 11.03(a) above who fails to comply with the provisions of the Plan document relating to the use and disclosure of Protected Health</w:t>
      </w:r>
    </w:p>
    <w:p>
      <w:pPr>
        <w:spacing w:after="0" w:line="200" w:lineRule="exact"/>
        <w:rPr>
          <w:sz w:val="20"/>
          <w:szCs w:val="20"/>
          <w:color w:val="auto"/>
        </w:rPr>
      </w:pPr>
    </w:p>
    <w:p>
      <w:pPr>
        <w:spacing w:after="0" w:line="4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321"/>
          </w:cols>
          <w:pgMar w:left="239" w:top="1140" w:right="339" w:bottom="1440" w:gutter="0" w:footer="0" w:header="0"/>
        </w:sectPr>
      </w:pPr>
    </w:p>
    <w:bookmarkStart w:id="171" w:name="page172"/>
    <w:bookmarkEnd w:id="171"/>
    <w:p>
      <w:pPr>
        <w:ind w:left="1081"/>
        <w:spacing w:after="0"/>
        <w:rPr>
          <w:sz w:val="20"/>
          <w:szCs w:val="20"/>
          <w:color w:val="auto"/>
        </w:rPr>
      </w:pPr>
      <w:r>
        <w:rPr>
          <w:rFonts w:ascii="Times New Roman" w:cs="Times New Roman" w:eastAsia="Times New Roman" w:hAnsi="Times New Roman"/>
          <w:sz w:val="16"/>
          <w:szCs w:val="16"/>
          <w:color w:val="auto"/>
        </w:rPr>
        <w:t>Information shall be subject to disciplinary action under the Plan Sponsor’s established policies and procedures.</w:t>
      </w:r>
    </w:p>
    <w:p>
      <w:pPr>
        <w:spacing w:after="0" w:line="196" w:lineRule="exact"/>
        <w:rPr>
          <w:sz w:val="20"/>
          <w:szCs w:val="20"/>
          <w:color w:val="auto"/>
        </w:rPr>
      </w:pPr>
    </w:p>
    <w:p>
      <w:pPr>
        <w:ind w:left="301" w:hanging="301"/>
        <w:spacing w:after="0"/>
        <w:tabs>
          <w:tab w:leader="none" w:pos="301"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Certification by Plan Sponsor</w:t>
      </w:r>
    </w:p>
    <w:p>
      <w:pPr>
        <w:spacing w:after="0" w:line="189" w:lineRule="exact"/>
        <w:rPr>
          <w:sz w:val="20"/>
          <w:szCs w:val="20"/>
          <w:color w:val="auto"/>
        </w:rPr>
      </w:pPr>
    </w:p>
    <w:p>
      <w:pPr>
        <w:jc w:val="both"/>
        <w:ind w:left="581"/>
        <w:spacing w:after="0" w:line="300" w:lineRule="auto"/>
        <w:rPr>
          <w:sz w:val="20"/>
          <w:szCs w:val="20"/>
          <w:color w:val="auto"/>
        </w:rPr>
      </w:pPr>
      <w:r>
        <w:rPr>
          <w:rFonts w:ascii="Times New Roman" w:cs="Times New Roman" w:eastAsia="Times New Roman" w:hAnsi="Times New Roman"/>
          <w:sz w:val="14"/>
          <w:szCs w:val="14"/>
          <w:color w:val="auto"/>
        </w:rPr>
        <w:t>A Health Plan (or a health insurance issuer or HMO with respect to such Health Plan) shall disclose Protected Health Information to the Plan Sponsor only upon the receipt of a certification by the Plan Sponsor that the plan document has been amended to incorporate the provisions of 45 CFR §164.504(f)(2)(ii), and that the Plan Sponsor agrees to the conditions of disclosure set forth in Section 11.02. A Health Plan shall not disclose and may not permit a health insurance issuer or HMO to disclose Protected Health Information to the Plan Sponsor as otherwise permitted herein unless the statement required by 45 CFR §164.520(b)(1)(iii)(C) is included in the appropriate notice.</w:t>
      </w:r>
    </w:p>
    <w:p>
      <w:pPr>
        <w:spacing w:after="0" w:line="200" w:lineRule="exact"/>
        <w:rPr>
          <w:sz w:val="20"/>
          <w:szCs w:val="20"/>
          <w:color w:val="auto"/>
        </w:rPr>
      </w:pPr>
    </w:p>
    <w:p>
      <w:pPr>
        <w:spacing w:after="0" w:line="38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301"/>
          </w:cols>
          <w:pgMar w:left="239" w:top="1139" w:right="359" w:bottom="1440" w:gutter="0" w:footer="0" w:header="0"/>
        </w:sectPr>
      </w:pPr>
    </w:p>
    <w:bookmarkStart w:id="172" w:name="page173"/>
    <w:bookmarkEnd w:id="172"/>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ARTICLE XII: CERTAIN LEGAL RIGHTS</w:t>
      </w:r>
    </w:p>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.01</w:t>
      </w:r>
      <w:r>
        <w:rPr>
          <w:sz w:val="20"/>
          <w:szCs w:val="20"/>
          <w:color w:val="auto"/>
        </w:rPr>
        <w:tab/>
      </w:r>
      <w:r>
        <w:rPr>
          <w:rFonts w:ascii="Times New Roman" w:cs="Times New Roman" w:eastAsia="Times New Roman" w:hAnsi="Times New Roman"/>
          <w:sz w:val="14"/>
          <w:szCs w:val="14"/>
          <w:b w:val="1"/>
          <w:bCs w:val="1"/>
          <w:color w:val="auto"/>
        </w:rPr>
        <w:t>Creditable Coverage for Purposes of Medicare Part D</w:t>
      </w:r>
    </w:p>
    <w:p>
      <w:pPr>
        <w:spacing w:after="0" w:line="168" w:lineRule="exact"/>
        <w:rPr>
          <w:sz w:val="20"/>
          <w:szCs w:val="20"/>
          <w:color w:val="auto"/>
        </w:rPr>
      </w:pPr>
    </w:p>
    <w:p>
      <w:pPr>
        <w:ind w:left="600" w:right="220"/>
        <w:spacing w:after="0" w:line="307" w:lineRule="auto"/>
        <w:rPr>
          <w:sz w:val="20"/>
          <w:szCs w:val="20"/>
          <w:color w:val="auto"/>
        </w:rPr>
      </w:pPr>
      <w:r>
        <w:rPr>
          <w:rFonts w:ascii="Times New Roman" w:cs="Times New Roman" w:eastAsia="Times New Roman" w:hAnsi="Times New Roman"/>
          <w:sz w:val="14"/>
          <w:szCs w:val="14"/>
          <w:color w:val="auto"/>
        </w:rPr>
        <w:t>The Plan Administrator has determined that the prescription drug coverage under the Plan is expected to provide benefits, on average, as much as the standard Medicare prescription drug coverage; thus, prescription drug coverage under the Plan is “creditable coverage” with respect to Covered Individuals. This means that a Medicare-eligible Covered Individual will be entitled to enroll in Medicare Part D when he or she drops Plan coverage without being required to pay a penalty for late enrollment.</w:t>
      </w:r>
    </w:p>
    <w:p>
      <w:pPr>
        <w:spacing w:after="0" w:line="13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.02</w:t>
      </w:r>
      <w:r>
        <w:rPr>
          <w:sz w:val="20"/>
          <w:szCs w:val="20"/>
          <w:color w:val="auto"/>
        </w:rPr>
        <w:tab/>
      </w:r>
      <w:r>
        <w:rPr>
          <w:rFonts w:ascii="Times New Roman" w:cs="Times New Roman" w:eastAsia="Times New Roman" w:hAnsi="Times New Roman"/>
          <w:sz w:val="14"/>
          <w:szCs w:val="14"/>
          <w:b w:val="1"/>
          <w:bCs w:val="1"/>
          <w:color w:val="auto"/>
        </w:rPr>
        <w:t>Newborns’ and Mothers’ Health Protection Act</w:t>
      </w:r>
    </w:p>
    <w:p>
      <w:pPr>
        <w:spacing w:after="0" w:line="179" w:lineRule="exact"/>
        <w:rPr>
          <w:sz w:val="20"/>
          <w:szCs w:val="20"/>
          <w:color w:val="auto"/>
        </w:rPr>
      </w:pPr>
    </w:p>
    <w:p>
      <w:pPr>
        <w:ind w:left="600"/>
        <w:spacing w:after="0" w:line="247" w:lineRule="auto"/>
        <w:rPr>
          <w:sz w:val="20"/>
          <w:szCs w:val="20"/>
          <w:color w:val="auto"/>
        </w:rPr>
      </w:pPr>
      <w:r>
        <w:rPr>
          <w:rFonts w:ascii="Times New Roman" w:cs="Times New Roman" w:eastAsia="Times New Roman" w:hAnsi="Times New Roman"/>
          <w:sz w:val="16"/>
          <w:szCs w:val="16"/>
          <w:color w:val="auto"/>
        </w:rPr>
        <w:t>To the extent required under applicable U.S. federal law, group health plans shall not restrict benefits for a hospital stay for a Covered Individual who is a mother, or for her newborn child, in connection with the birth of the child, to less than 48 hours following a vaginal delivery or 96 hours following a delivery by cesarean section. However, U.S. federal law generally does not prohibit the mother’s or newborn child’s attending provider, after consulting with the mother, from discharging the mother or her newborn earlier than 48 hours (or, if applicable, 96 hours).</w:t>
      </w:r>
    </w:p>
    <w:p>
      <w:pPr>
        <w:spacing w:after="0" w:line="17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.03</w:t>
      </w:r>
      <w:r>
        <w:rPr>
          <w:sz w:val="20"/>
          <w:szCs w:val="20"/>
          <w:color w:val="auto"/>
        </w:rPr>
        <w:tab/>
      </w:r>
      <w:r>
        <w:rPr>
          <w:rFonts w:ascii="Times New Roman" w:cs="Times New Roman" w:eastAsia="Times New Roman" w:hAnsi="Times New Roman"/>
          <w:sz w:val="14"/>
          <w:szCs w:val="14"/>
          <w:b w:val="1"/>
          <w:bCs w:val="1"/>
          <w:color w:val="auto"/>
        </w:rPr>
        <w:t>Women’s Health and Cancer Rights Act</w:t>
      </w:r>
    </w:p>
    <w:p>
      <w:pPr>
        <w:spacing w:after="0" w:line="179" w:lineRule="exact"/>
        <w:rPr>
          <w:sz w:val="20"/>
          <w:szCs w:val="20"/>
          <w:color w:val="auto"/>
        </w:rPr>
      </w:pPr>
    </w:p>
    <w:p>
      <w:pPr>
        <w:ind w:left="600"/>
        <w:spacing w:after="0" w:line="248" w:lineRule="auto"/>
        <w:rPr>
          <w:sz w:val="20"/>
          <w:szCs w:val="20"/>
          <w:color w:val="auto"/>
        </w:rPr>
      </w:pPr>
      <w:r>
        <w:rPr>
          <w:rFonts w:ascii="Times New Roman" w:cs="Times New Roman" w:eastAsia="Times New Roman" w:hAnsi="Times New Roman"/>
          <w:sz w:val="16"/>
          <w:szCs w:val="16"/>
          <w:color w:val="auto"/>
        </w:rPr>
        <w:t>To the extent required under applicable law, if a Covered Individual elects breast reconstruction in connection with a mastectomy, then the Plan shall provide coverage for reconstruction of the breast on which the mastectomy was performed and for the surgery and reconstruction of the other breast to produce a symmetrical appearance. To the extent required, the Plan shall also provide coverage for breast prosthesis and for treatment of physical complications resulting from a mastectomy, including lymphedemas (swelling associated with the removal of lymph nodes). These benefits are subject to the same deductibles, copayments and coinsurance amounts that apply to other Plan benefits.</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.04</w:t>
      </w:r>
      <w:r>
        <w:rPr>
          <w:sz w:val="20"/>
          <w:szCs w:val="20"/>
          <w:color w:val="auto"/>
        </w:rPr>
        <w:tab/>
      </w:r>
      <w:r>
        <w:rPr>
          <w:rFonts w:ascii="Times New Roman" w:cs="Times New Roman" w:eastAsia="Times New Roman" w:hAnsi="Times New Roman"/>
          <w:sz w:val="14"/>
          <w:szCs w:val="14"/>
          <w:b w:val="1"/>
          <w:bCs w:val="1"/>
          <w:color w:val="auto"/>
        </w:rPr>
        <w:t>Mental Health Parity Act and Mental Health Parity and Addiction Equity Act</w:t>
      </w:r>
    </w:p>
    <w:p>
      <w:pPr>
        <w:spacing w:after="0" w:line="168" w:lineRule="exact"/>
        <w:rPr>
          <w:sz w:val="20"/>
          <w:szCs w:val="20"/>
          <w:color w:val="auto"/>
        </w:rPr>
      </w:pPr>
    </w:p>
    <w:p>
      <w:pPr>
        <w:ind w:left="600" w:right="220"/>
        <w:spacing w:after="0" w:line="273" w:lineRule="auto"/>
        <w:rPr>
          <w:sz w:val="20"/>
          <w:szCs w:val="20"/>
          <w:color w:val="auto"/>
        </w:rPr>
      </w:pPr>
      <w:r>
        <w:rPr>
          <w:rFonts w:ascii="Times New Roman" w:cs="Times New Roman" w:eastAsia="Times New Roman" w:hAnsi="Times New Roman"/>
          <w:sz w:val="16"/>
          <w:szCs w:val="16"/>
          <w:color w:val="auto"/>
        </w:rPr>
        <w:t>To the extent required under applicable law, the Plan shall comply with the Mental Health Parity Act and the Mental Health Parity and Addiction Equity Act of 2008, as amended from time to time, and the rulings and regulations under such Acts.</w:t>
      </w:r>
    </w:p>
    <w:p>
      <w:pPr>
        <w:spacing w:after="0" w:line="14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.05</w:t>
      </w:r>
      <w:r>
        <w:rPr>
          <w:sz w:val="20"/>
          <w:szCs w:val="20"/>
          <w:color w:val="auto"/>
        </w:rPr>
        <w:tab/>
      </w:r>
      <w:r>
        <w:rPr>
          <w:rFonts w:ascii="Times New Roman" w:cs="Times New Roman" w:eastAsia="Times New Roman" w:hAnsi="Times New Roman"/>
          <w:sz w:val="14"/>
          <w:szCs w:val="14"/>
          <w:b w:val="1"/>
          <w:bCs w:val="1"/>
          <w:color w:val="auto"/>
        </w:rPr>
        <w:t>Genetic Information Nondiscrimination Act of 2008</w:t>
      </w:r>
    </w:p>
    <w:p>
      <w:pPr>
        <w:spacing w:after="0" w:line="179" w:lineRule="exact"/>
        <w:rPr>
          <w:sz w:val="20"/>
          <w:szCs w:val="20"/>
          <w:color w:val="auto"/>
        </w:rPr>
      </w:pPr>
    </w:p>
    <w:p>
      <w:pPr>
        <w:ind w:left="600" w:right="360"/>
        <w:spacing w:after="0" w:line="259" w:lineRule="auto"/>
        <w:rPr>
          <w:sz w:val="20"/>
          <w:szCs w:val="20"/>
          <w:color w:val="auto"/>
        </w:rPr>
      </w:pPr>
      <w:r>
        <w:rPr>
          <w:rFonts w:ascii="Times New Roman" w:cs="Times New Roman" w:eastAsia="Times New Roman" w:hAnsi="Times New Roman"/>
          <w:sz w:val="16"/>
          <w:szCs w:val="16"/>
          <w:color w:val="auto"/>
        </w:rPr>
        <w:t>To the extent required under applicable law, the Plan shall comply with the Genetic Information Nondiscrimination Act of 2008 and the rulings and regulations issued thereunder.</w:t>
      </w:r>
    </w:p>
    <w:p>
      <w:pPr>
        <w:spacing w:after="0" w:line="155" w:lineRule="exact"/>
        <w:rPr>
          <w:sz w:val="20"/>
          <w:szCs w:val="20"/>
          <w:color w:val="auto"/>
        </w:rPr>
      </w:pPr>
    </w:p>
    <w:p>
      <w:pPr>
        <w:ind w:left="80"/>
        <w:spacing w:after="0"/>
        <w:tabs>
          <w:tab w:leader="none" w:pos="580" w:val="left"/>
        </w:tabs>
        <w:rPr>
          <w:sz w:val="20"/>
          <w:szCs w:val="20"/>
          <w:color w:val="auto"/>
        </w:rPr>
      </w:pPr>
      <w:r>
        <w:rPr>
          <w:rFonts w:ascii="Times New Roman" w:cs="Times New Roman" w:eastAsia="Times New Roman" w:hAnsi="Times New Roman"/>
          <w:sz w:val="16"/>
          <w:szCs w:val="16"/>
          <w:color w:val="auto"/>
        </w:rPr>
        <w:t>12.06</w:t>
      </w:r>
      <w:r>
        <w:rPr>
          <w:sz w:val="20"/>
          <w:szCs w:val="20"/>
          <w:color w:val="auto"/>
        </w:rPr>
        <w:tab/>
      </w:r>
      <w:r>
        <w:rPr>
          <w:rFonts w:ascii="Times New Roman" w:cs="Times New Roman" w:eastAsia="Times New Roman" w:hAnsi="Times New Roman"/>
          <w:sz w:val="14"/>
          <w:szCs w:val="14"/>
          <w:b w:val="1"/>
          <w:bCs w:val="1"/>
          <w:color w:val="auto"/>
        </w:rPr>
        <w:t>Patient Protection and Affordable Care Act and Health Care and Education Reconciliation Act</w:t>
      </w:r>
    </w:p>
    <w:p>
      <w:pPr>
        <w:spacing w:after="0" w:line="156" w:lineRule="exact"/>
        <w:rPr>
          <w:sz w:val="20"/>
          <w:szCs w:val="20"/>
          <w:color w:val="auto"/>
        </w:rPr>
      </w:pPr>
    </w:p>
    <w:p>
      <w:pPr>
        <w:ind w:left="600" w:right="320"/>
        <w:spacing w:after="0" w:line="273" w:lineRule="auto"/>
        <w:rPr>
          <w:sz w:val="20"/>
          <w:szCs w:val="20"/>
          <w:color w:val="auto"/>
        </w:rPr>
      </w:pPr>
      <w:r>
        <w:rPr>
          <w:rFonts w:ascii="Times New Roman" w:cs="Times New Roman" w:eastAsia="Times New Roman" w:hAnsi="Times New Roman"/>
          <w:sz w:val="16"/>
          <w:szCs w:val="16"/>
          <w:color w:val="auto"/>
        </w:rPr>
        <w:t>To the extent required under applicable law, the Plan shall comply with the applicable provisions of the Patient Protection and Affordable Care Act, as amended by the Health Care and Education Reconciliation Act.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280"/>
          </w:cols>
          <w:pgMar w:left="220" w:top="1137" w:right="399" w:bottom="1440" w:gutter="0" w:footer="0" w:header="0"/>
        </w:sectPr>
      </w:pPr>
    </w:p>
    <w:bookmarkStart w:id="173" w:name="page174"/>
    <w:bookmarkEnd w:id="173"/>
    <w:p>
      <w:pPr>
        <w:spacing w:after="0"/>
        <w:tabs>
          <w:tab w:leader="none" w:pos="320" w:val="left"/>
        </w:tabs>
        <w:rPr>
          <w:sz w:val="20"/>
          <w:szCs w:val="20"/>
          <w:color w:val="auto"/>
        </w:rPr>
      </w:pPr>
      <w:r>
        <w:rPr>
          <w:rFonts w:ascii="Times New Roman" w:cs="Times New Roman" w:eastAsia="Times New Roman" w:hAnsi="Times New Roman"/>
          <w:sz w:val="16"/>
          <w:szCs w:val="16"/>
          <w:color w:val="auto"/>
        </w:rPr>
        <w:t>.07</w:t>
      </w:r>
      <w:r>
        <w:rPr>
          <w:sz w:val="20"/>
          <w:szCs w:val="20"/>
          <w:color w:val="auto"/>
        </w:rPr>
        <w:tab/>
      </w:r>
      <w:r>
        <w:rPr>
          <w:rFonts w:ascii="Times New Roman" w:cs="Times New Roman" w:eastAsia="Times New Roman" w:hAnsi="Times New Roman"/>
          <w:sz w:val="14"/>
          <w:szCs w:val="14"/>
          <w:b w:val="1"/>
          <w:bCs w:val="1"/>
          <w:color w:val="auto"/>
        </w:rPr>
        <w:t>No Surprises Act</w:t>
      </w:r>
    </w:p>
    <w:p>
      <w:pPr>
        <w:spacing w:after="0" w:line="179" w:lineRule="exact"/>
        <w:rPr>
          <w:sz w:val="20"/>
          <w:szCs w:val="20"/>
          <w:color w:val="auto"/>
        </w:rPr>
      </w:pPr>
    </w:p>
    <w:p>
      <w:pPr>
        <w:ind w:left="600"/>
        <w:spacing w:after="0" w:line="249" w:lineRule="auto"/>
        <w:rPr>
          <w:sz w:val="20"/>
          <w:szCs w:val="20"/>
          <w:color w:val="auto"/>
        </w:rPr>
      </w:pPr>
      <w:r>
        <w:rPr>
          <w:rFonts w:ascii="Times New Roman" w:cs="Times New Roman" w:eastAsia="Times New Roman" w:hAnsi="Times New Roman"/>
          <w:sz w:val="16"/>
          <w:szCs w:val="16"/>
          <w:color w:val="auto"/>
        </w:rPr>
        <w:t>To the extent required under applicable law, the Plan shall comply with the applicable provisions of the No Surprises Act, part of the Consolidated Appropriations Act, 2021 and the rulings and regulations issued thereunder.</w:t>
      </w:r>
    </w:p>
    <w:p>
      <w:pPr>
        <w:spacing w:after="0" w:line="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.08</w:t>
      </w:r>
      <w:r>
        <w:rPr>
          <w:sz w:val="20"/>
          <w:szCs w:val="20"/>
          <w:color w:val="auto"/>
        </w:rPr>
        <w:tab/>
      </w:r>
      <w:r>
        <w:rPr>
          <w:rFonts w:ascii="Times New Roman" w:cs="Times New Roman" w:eastAsia="Times New Roman" w:hAnsi="Times New Roman"/>
          <w:sz w:val="14"/>
          <w:szCs w:val="14"/>
          <w:b w:val="1"/>
          <w:bCs w:val="1"/>
          <w:color w:val="auto"/>
        </w:rPr>
        <w:t>Transgender Services and Gender Reassignment</w:t>
      </w:r>
    </w:p>
    <w:p>
      <w:pPr>
        <w:spacing w:after="0" w:line="155" w:lineRule="exact"/>
        <w:rPr>
          <w:sz w:val="20"/>
          <w:szCs w:val="20"/>
          <w:color w:val="auto"/>
        </w:rPr>
      </w:pPr>
    </w:p>
    <w:p>
      <w:pPr>
        <w:ind w:left="600" w:right="120"/>
        <w:spacing w:after="0" w:line="273" w:lineRule="auto"/>
        <w:rPr>
          <w:sz w:val="20"/>
          <w:szCs w:val="20"/>
          <w:color w:val="auto"/>
        </w:rPr>
      </w:pPr>
      <w:r>
        <w:rPr>
          <w:rFonts w:ascii="Times New Roman" w:cs="Times New Roman" w:eastAsia="Times New Roman" w:hAnsi="Times New Roman"/>
          <w:sz w:val="16"/>
          <w:szCs w:val="16"/>
          <w:color w:val="auto"/>
        </w:rPr>
        <w:t>The Plan provides coverage for certain transgender services and gender reassignment surgeries to the extent provided by, and in accordance with, the terms of the Plan and each applicable Health Benefit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340"/>
          </w:cols>
          <w:pgMar w:left="220" w:top="1137"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color w:val="auto"/>
        </w:rPr>
        <w:t>IN WITNESS HEREOF, Booz Allen Hamilton Inc. has caused this instrument to be executed by its duly authorized officer effective as of January 1, 2024.</w:t>
      </w:r>
    </w:p>
    <w:p>
      <w:pPr>
        <w:sectPr>
          <w:pgSz w:w="11900" w:h="16838" w:orient="portrait"/>
          <w:cols w:equalWidth="0" w:num="1">
            <w:col w:w="10159"/>
          </w:cols>
          <w:pgMar w:left="300" w:top="1139"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BOOZ ALLEN HAMILTON INC.</w:t>
      </w:r>
    </w:p>
    <w:p>
      <w:pPr>
        <w:spacing w:after="0" w:line="1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By: /s/ Betty Thompson</w:t>
      </w:r>
    </w:p>
    <w:p>
      <w:pPr>
        <w:spacing w:after="0" w:line="19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Title: Betty Thompson / EVP &amp; CPO</w:t>
      </w:r>
    </w:p>
    <w:p>
      <w:pPr>
        <w:spacing w:after="0" w:line="1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Date: March 28, 2024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0159"/>
          </w:cols>
          <w:pgMar w:left="300" w:top="1139" w:right="1440" w:bottom="1440" w:gutter="0" w:footer="0" w:header="0"/>
          <w:type w:val="continuous"/>
        </w:sectPr>
      </w:pPr>
    </w:p>
    <w:bookmarkStart w:id="175" w:name="page176"/>
    <w:bookmarkEnd w:id="175"/>
    <w:p>
      <w:pPr>
        <w:ind w:left="3860"/>
        <w:spacing w:after="0"/>
        <w:rPr>
          <w:sz w:val="20"/>
          <w:szCs w:val="20"/>
          <w:color w:val="auto"/>
        </w:rPr>
      </w:pPr>
      <w:r>
        <w:rPr>
          <w:rFonts w:ascii="Times New Roman" w:cs="Times New Roman" w:eastAsia="Times New Roman" w:hAnsi="Times New Roman"/>
          <w:sz w:val="16"/>
          <w:szCs w:val="16"/>
          <w:b w:val="1"/>
          <w:bCs w:val="1"/>
          <w:color w:val="auto"/>
        </w:rPr>
        <w:t>APPENDIX A: WELFARE BENEFIT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152400</wp:posOffset>
            </wp:positionV>
            <wp:extent cx="7168515" cy="296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3">
                      <a:extLst>
                        <a:ext uri="{28A0092B-C50C-407E-A947-70E740481C1C}"/>
                      </a:extLst>
                    </a:blip>
                    <a:srcRect/>
                    <a:stretch>
                      <a:fillRect/>
                    </a:stretch>
                  </pic:blipFill>
                  <pic:spPr bwMode="auto">
                    <a:xfrm>
                      <a:off x="0" y="0"/>
                      <a:ext cx="7168515" cy="29654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FFFF"/>
        </w:rPr>
        <w:t>Benefit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Aetna Medical and Dental Indemnity Plan (and including the “change in control” provisions of the Officer Retirement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0119"/>
          </w:cols>
          <w:pgMar w:left="340" w:top="1137" w:right="1440" w:bottom="1440"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4">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6">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1">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3">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1" w:name="page312"/>
    <w:bookmarkEnd w:id="3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2" w:name="page313"/>
    <w:bookmarkEnd w:id="3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3" w:name="page314"/>
    <w:bookmarkEnd w:id="3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4" w:name="page315"/>
    <w:bookmarkEnd w:id="3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2">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5" w:name="page316"/>
    <w:bookmarkEnd w:id="3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4">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5">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8" w:name="page319"/>
    <w:bookmarkEnd w:id="3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0" w:name="page321"/>
    <w:bookmarkEnd w:id="3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1" w:name="page322"/>
    <w:bookmarkEnd w:id="3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2" w:name="page323"/>
    <w:bookmarkEnd w:id="3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3" w:name="page324"/>
    <w:bookmarkEnd w:id="3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4" w:name="page325"/>
    <w:bookmarkEnd w:id="3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1">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5" w:name="page326"/>
    <w:bookmarkEnd w:id="3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2">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6" w:name="page327"/>
    <w:bookmarkEnd w:id="3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3">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7" w:name="page328"/>
    <w:bookmarkEnd w:id="3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4">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8" w:name="page329"/>
    <w:bookmarkEnd w:id="3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9" w:name="page330"/>
    <w:bookmarkEnd w:id="3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0" w:name="page331"/>
    <w:bookmarkEnd w:id="3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1" w:name="page332"/>
    <w:bookmarkEnd w:id="3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2" w:name="page333"/>
    <w:bookmarkEnd w:id="3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3" w:name="page334"/>
    <w:bookmarkEnd w:id="3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4" w:name="page335"/>
    <w:bookmarkEnd w:id="3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5" w:name="page336"/>
    <w:bookmarkEnd w:id="3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6" w:name="page337"/>
    <w:bookmarkEnd w:id="3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7" w:name="page338"/>
    <w:bookmarkEnd w:id="3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8" w:name="page339"/>
    <w:bookmarkEnd w:id="3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9" w:name="page340"/>
    <w:bookmarkEnd w:id="3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0" w:name="page341"/>
    <w:bookmarkEnd w:id="3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1" w:name="page342"/>
    <w:bookmarkEnd w:id="3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2" w:name="page343"/>
    <w:bookmarkEnd w:id="3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3" w:name="page344"/>
    <w:bookmarkEnd w:id="3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4" w:name="page345"/>
    <w:bookmarkEnd w:id="3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5" w:name="page346"/>
    <w:bookmarkEnd w:id="3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6" w:name="page347"/>
    <w:bookmarkEnd w:id="3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7" w:name="page348"/>
    <w:bookmarkEnd w:id="3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4">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8" w:name="page349"/>
    <w:bookmarkEnd w:id="3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9" w:name="page350"/>
    <w:bookmarkEnd w:id="3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6">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0" w:name="page351"/>
    <w:bookmarkEnd w:id="3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1" w:name="page352"/>
    <w:bookmarkEnd w:id="3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52" w:name="page353"/>
    <w:bookmarkEnd w:id="352"/>
    <w:p>
      <w:pPr>
        <w:ind w:left="20"/>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193675</wp:posOffset>
            </wp:positionH>
            <wp:positionV relativeFrom="page">
              <wp:posOffset>452120</wp:posOffset>
            </wp:positionV>
            <wp:extent cx="1293495" cy="1416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8">
                      <a:clrChange>
                        <a:clrFrom>
                          <a:srgbClr val="FFFFFF"/>
                        </a:clrFrom>
                        <a:clrTo>
                          <a:srgbClr val="FFFFFF">
                            <a:alpha val="0"/>
                          </a:srgbClr>
                        </a:clrTo>
                      </a:clrChange>
                      <a:extLst>
                        <a:ext uri="{28A0092B-C50C-407E-A947-70E740481C1C}"/>
                      </a:extLst>
                    </a:blip>
                    <a:srcRect/>
                    <a:stretch>
                      <a:fillRect/>
                    </a:stretch>
                  </pic:blipFill>
                  <pic:spPr bwMode="auto">
                    <a:xfrm>
                      <a:off x="0" y="0"/>
                      <a:ext cx="1293495" cy="141605"/>
                    </a:xfrm>
                    <a:prstGeom prst="rect">
                      <a:avLst/>
                    </a:prstGeom>
                    <a:noFill/>
                  </pic:spPr>
                </pic:pic>
              </a:graphicData>
            </a:graphic>
          </wp:anchor>
        </w:drawing>
        <w:t>Officer Transition</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SSPONSORING ORGANIZATION </w:t>
      </w:r>
      <w:r>
        <w:rPr>
          <w:rFonts w:ascii="Calibri" w:cs="Calibri" w:eastAsia="Calibri" w:hAnsi="Calibri"/>
          <w:sz w:val="14"/>
          <w:szCs w:val="14"/>
          <w:color w:val="auto"/>
        </w:rPr>
        <w:t>:</w:t>
      </w:r>
      <w:r>
        <w:rPr>
          <w:rFonts w:ascii="Arial" w:cs="Arial" w:eastAsia="Arial" w:hAnsi="Arial"/>
          <w:sz w:val="13"/>
          <w:szCs w:val="13"/>
          <w:color w:val="auto"/>
        </w:rPr>
        <w:t xml:space="preserve"> </w:t>
      </w:r>
      <w:r>
        <w:rPr>
          <w:rFonts w:ascii="Arial" w:cs="Arial" w:eastAsia="Arial" w:hAnsi="Arial"/>
          <w:sz w:val="14"/>
          <w:szCs w:val="14"/>
          <w:color w:val="00A6B7"/>
        </w:rPr>
        <w:t>People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color w:val="00A6B7"/>
        </w:rPr>
        <w:t>PURPOSE</w:t>
      </w:r>
    </w:p>
    <w:p>
      <w:pPr>
        <w:spacing w:after="0" w:line="91" w:lineRule="exact"/>
        <w:rPr>
          <w:sz w:val="20"/>
          <w:szCs w:val="20"/>
          <w:color w:val="auto"/>
        </w:rPr>
      </w:pPr>
    </w:p>
    <w:p>
      <w:pPr>
        <w:ind w:right="40"/>
        <w:spacing w:after="0" w:line="237" w:lineRule="auto"/>
        <w:rPr>
          <w:sz w:val="20"/>
          <w:szCs w:val="20"/>
          <w:color w:val="auto"/>
        </w:rPr>
      </w:pPr>
      <w:r>
        <w:rPr>
          <w:rFonts w:ascii="Calibri" w:cs="Calibri" w:eastAsia="Calibri" w:hAnsi="Calibri"/>
          <w:sz w:val="14"/>
          <w:szCs w:val="14"/>
          <w:color w:val="auto"/>
        </w:rPr>
        <w:t>The frm will support the transiton eforts of departng Ofcers when business conditons, changes in the frm's strategy, Ofcer performance, and other factors (other than misconduct) cause the frm to terminate an Ofcer's employment. This policy applies to Ofcers who are not otherwise subject to terminaton or separaton provisions, such as agreed to in an employment agreement between the frm and the Ofcer. Where such agreement exists, it supersedes to the extent inconsistent with this policy.</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00A6B7"/>
        </w:rPr>
        <w:t>SCOPE</w:t>
      </w:r>
    </w:p>
    <w:p>
      <w:pPr>
        <w:spacing w:after="0" w:line="88" w:lineRule="exact"/>
        <w:rPr>
          <w:sz w:val="20"/>
          <w:szCs w:val="20"/>
          <w:color w:val="auto"/>
        </w:rPr>
      </w:pPr>
    </w:p>
    <w:p>
      <w:pPr>
        <w:spacing w:after="0"/>
        <w:rPr>
          <w:sz w:val="20"/>
          <w:szCs w:val="20"/>
          <w:color w:val="auto"/>
        </w:rPr>
      </w:pPr>
      <w:r>
        <w:rPr>
          <w:rFonts w:ascii="Calibri" w:cs="Calibri" w:eastAsia="Calibri" w:hAnsi="Calibri"/>
          <w:sz w:val="14"/>
          <w:szCs w:val="14"/>
          <w:color w:val="auto"/>
        </w:rPr>
        <w:t>This policy applies to all Senior Vice Presidents and above (“Ofcers”) of the frm.</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00A6B7"/>
        </w:rPr>
        <w:t>POLICY</w:t>
      </w:r>
    </w:p>
    <w:p>
      <w:pPr>
        <w:spacing w:after="0" w:line="88" w:lineRule="exact"/>
        <w:rPr>
          <w:sz w:val="20"/>
          <w:szCs w:val="20"/>
          <w:color w:val="auto"/>
        </w:rPr>
      </w:pPr>
    </w:p>
    <w:p>
      <w:pPr>
        <w:spacing w:after="0"/>
        <w:rPr>
          <w:sz w:val="20"/>
          <w:szCs w:val="20"/>
          <w:color w:val="auto"/>
        </w:rPr>
      </w:pPr>
      <w:r>
        <w:rPr>
          <w:rFonts w:ascii="Calibri" w:cs="Calibri" w:eastAsia="Calibri" w:hAnsi="Calibri"/>
          <w:sz w:val="14"/>
          <w:szCs w:val="14"/>
          <w:color w:val="auto"/>
        </w:rPr>
        <w:t>Transiton support may include a reasonable period of contnued employment with reduced work requirements during which tme the Ofcer can pursue other employment/business opportunites.</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Transiton Period</w:t>
      </w:r>
    </w:p>
    <w:p>
      <w:pPr>
        <w:spacing w:after="0" w:line="2"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auto"/>
        </w:rPr>
        <w:t>Ofcers may receive up to three (3) months’ of contnued employment following the transiton efectve date ("Transiton Efectve Date”) set forth in the notfcaton leter of terminaton by the frm (“Terminaton Notce”) to transfer open receivables, client maters, and other organizatonal responsibilites. An Ofcer’s employment with the frm will cease (the “Transiton Separaton Date”) upon the earlier of (1) the 3-month anniversary of the Transiton Efectve Date and (2) the date on which the Ofcer becomes an employee of another organizaton and/or engages in any business development actvites in competton with the frm. The period of tme beginning on the Transiton Efectve Date set forth in the Terminaton Notce and ending on the Transiton Separaton Date is the “Transiton Period.”</w:t>
      </w:r>
    </w:p>
    <w:p>
      <w:pPr>
        <w:spacing w:after="0" w:line="193"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Client and Administratve Obligatons</w:t>
      </w:r>
    </w:p>
    <w:p>
      <w:pPr>
        <w:spacing w:after="0" w:line="2" w:lineRule="exact"/>
        <w:rPr>
          <w:sz w:val="20"/>
          <w:szCs w:val="20"/>
          <w:color w:val="auto"/>
        </w:rPr>
      </w:pPr>
    </w:p>
    <w:p>
      <w:pPr>
        <w:ind w:right="640"/>
        <w:spacing w:after="0" w:line="237" w:lineRule="auto"/>
        <w:rPr>
          <w:sz w:val="20"/>
          <w:szCs w:val="20"/>
          <w:color w:val="auto"/>
        </w:rPr>
      </w:pPr>
      <w:r>
        <w:rPr>
          <w:rFonts w:ascii="Calibri" w:cs="Calibri" w:eastAsia="Calibri" w:hAnsi="Calibri"/>
          <w:sz w:val="14"/>
          <w:szCs w:val="14"/>
          <w:color w:val="auto"/>
        </w:rPr>
        <w:t>During the Transiton Period, the Ofcer is expected to complete/transfer all current and ongoing client responsibilites and/or administratve dutes during such tme frame as designated by a supervising Ofcer. The Ofcer is not required to initate new client assignments/dutes. Ofcers will be expected to be available to work as directed by a designated supervising Ofcer.</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color w:val="auto"/>
        </w:rPr>
        <w:t>During the Transiton Period, the Ofcer is expected to actvely pursue other employment/business opportunites.</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Payment(s) During Transiton</w:t>
      </w:r>
    </w:p>
    <w:p>
      <w:pPr>
        <w:spacing w:after="0" w:line="2" w:lineRule="exact"/>
        <w:rPr>
          <w:sz w:val="20"/>
          <w:szCs w:val="20"/>
          <w:color w:val="auto"/>
        </w:rPr>
      </w:pPr>
    </w:p>
    <w:p>
      <w:pPr>
        <w:ind w:right="160"/>
        <w:spacing w:after="0" w:line="237" w:lineRule="auto"/>
        <w:rPr>
          <w:sz w:val="20"/>
          <w:szCs w:val="20"/>
          <w:color w:val="auto"/>
        </w:rPr>
      </w:pPr>
      <w:r>
        <w:rPr>
          <w:rFonts w:ascii="Calibri" w:cs="Calibri" w:eastAsia="Calibri" w:hAnsi="Calibri"/>
          <w:sz w:val="14"/>
          <w:szCs w:val="14"/>
          <w:color w:val="auto"/>
        </w:rPr>
        <w:t>During the Transiton Period, the Ofcer's compensaton will be equal to his/her base salary in efect on the Transiton Efectve Date. Compensaton will contnue to be paid on the regular payroll date during the Transiton Period.</w:t>
      </w:r>
    </w:p>
    <w:p>
      <w:pPr>
        <w:spacing w:after="0" w:line="193" w:lineRule="exact"/>
        <w:rPr>
          <w:sz w:val="20"/>
          <w:szCs w:val="20"/>
          <w:color w:val="auto"/>
        </w:rPr>
      </w:pPr>
    </w:p>
    <w:p>
      <w:pPr>
        <w:ind w:right="40"/>
        <w:spacing w:after="0" w:line="237" w:lineRule="auto"/>
        <w:rPr>
          <w:sz w:val="20"/>
          <w:szCs w:val="20"/>
          <w:color w:val="auto"/>
        </w:rPr>
      </w:pPr>
      <w:r>
        <w:rPr>
          <w:rFonts w:ascii="Calibri" w:cs="Calibri" w:eastAsia="Calibri" w:hAnsi="Calibri"/>
          <w:sz w:val="14"/>
          <w:szCs w:val="14"/>
          <w:color w:val="auto"/>
        </w:rPr>
        <w:t>Should the Ofcer choose to terminate their employment or become employed by another entty prior to the 3-month anniversary of the Transiton Efectve Date, they may be eligible to receive a lump sum payment equivalent to the amount of contnued base salary for the remainder of the three-month period with the approval of the Chief People Ofcer.</w:t>
      </w:r>
    </w:p>
    <w:p>
      <w:pPr>
        <w:spacing w:after="0"/>
        <w:rPr>
          <w:sz w:val="20"/>
          <w:szCs w:val="20"/>
          <w:color w:val="auto"/>
        </w:rPr>
      </w:pPr>
      <w:r>
        <w:rPr>
          <w:rFonts w:ascii="Calibri" w:cs="Calibri" w:eastAsia="Calibri" w:hAnsi="Calibri"/>
          <w:sz w:val="14"/>
          <w:szCs w:val="14"/>
          <w:b w:val="1"/>
          <w:bCs w:val="1"/>
          <w:color w:val="auto"/>
        </w:rPr>
        <w:t>Benefts and Perquisites During Transiton Period</w:t>
      </w:r>
    </w:p>
    <w:p>
      <w:pPr>
        <w:spacing w:after="0" w:line="237" w:lineRule="auto"/>
        <w:rPr>
          <w:sz w:val="20"/>
          <w:szCs w:val="20"/>
          <w:color w:val="auto"/>
        </w:rPr>
      </w:pPr>
      <w:r>
        <w:rPr>
          <w:rFonts w:ascii="Calibri" w:cs="Calibri" w:eastAsia="Calibri" w:hAnsi="Calibri"/>
          <w:sz w:val="14"/>
          <w:szCs w:val="14"/>
          <w:color w:val="auto"/>
        </w:rPr>
        <w:t>During the Transiton Period, the Ofcer will contnue to be eligible for:</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Version No. 2.0 | Effective Date: 01.01.2024</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 of 3</w:t>
      </w:r>
    </w:p>
    <w:p>
      <w:pPr>
        <w:sectPr>
          <w:pgSz w:w="11900" w:h="16838" w:orient="portrait"/>
          <w:cols w:equalWidth="0" w:num="1">
            <w:col w:w="11280"/>
          </w:cols>
          <w:pgMar w:left="300" w:top="1412" w:right="319" w:bottom="1440" w:gutter="0" w:footer="0" w:header="0"/>
        </w:sectPr>
      </w:pPr>
    </w:p>
    <w:bookmarkStart w:id="353" w:name="page354"/>
    <w:bookmarkEnd w:id="353"/>
    <w:p>
      <w:pPr>
        <w:ind w:left="520" w:hanging="260"/>
        <w:spacing w:after="0"/>
        <w:tabs>
          <w:tab w:leader="none" w:pos="520" w:val="left"/>
        </w:tabs>
        <w:numPr>
          <w:ilvl w:val="0"/>
          <w:numId w:val="188"/>
        </w:numPr>
        <w:rPr>
          <w:rFonts w:ascii="Times New Roman" w:cs="Times New Roman" w:eastAsia="Times New Roman" w:hAnsi="Times New Roman"/>
          <w:sz w:val="14"/>
          <w:szCs w:val="14"/>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193675</wp:posOffset>
            </wp:positionH>
            <wp:positionV relativeFrom="page">
              <wp:posOffset>452755</wp:posOffset>
            </wp:positionV>
            <wp:extent cx="1293495" cy="1416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0">
                      <a:clrChange>
                        <a:clrFrom>
                          <a:srgbClr val="FFFFFF"/>
                        </a:clrFrom>
                        <a:clrTo>
                          <a:srgbClr val="FFFFFF">
                            <a:alpha val="0"/>
                          </a:srgbClr>
                        </a:clrTo>
                      </a:clrChange>
                      <a:extLst>
                        <a:ext uri="{28A0092B-C50C-407E-A947-70E740481C1C}"/>
                      </a:extLst>
                    </a:blip>
                    <a:srcRect/>
                    <a:stretch>
                      <a:fillRect/>
                    </a:stretch>
                  </pic:blipFill>
                  <pic:spPr bwMode="auto">
                    <a:xfrm>
                      <a:off x="0" y="0"/>
                      <a:ext cx="1293495" cy="141605"/>
                    </a:xfrm>
                    <a:prstGeom prst="rect">
                      <a:avLst/>
                    </a:prstGeom>
                    <a:noFill/>
                  </pic:spPr>
                </pic:pic>
              </a:graphicData>
            </a:graphic>
          </wp:anchor>
        </w:drawing>
        <w:t>Current medical and other insurance and beneft programs in which they are enrolled on the Transiton Efectve Date.</w:t>
      </w:r>
    </w:p>
    <w:p>
      <w:pPr>
        <w:spacing w:after="0" w:line="8" w:lineRule="exact"/>
        <w:rPr>
          <w:sz w:val="20"/>
          <w:szCs w:val="20"/>
          <w:color w:val="auto"/>
        </w:rPr>
      </w:pPr>
    </w:p>
    <w:p>
      <w:pPr>
        <w:ind w:left="1020" w:right="60"/>
        <w:spacing w:after="0" w:line="232" w:lineRule="auto"/>
        <w:rPr>
          <w:sz w:val="20"/>
          <w:szCs w:val="20"/>
          <w:color w:val="auto"/>
        </w:rPr>
      </w:pPr>
      <w:r>
        <w:rPr>
          <w:rFonts w:ascii="Calibri" w:cs="Calibri" w:eastAsia="Calibri" w:hAnsi="Calibri"/>
          <w:sz w:val="14"/>
          <w:szCs w:val="14"/>
          <w:color w:val="auto"/>
        </w:rPr>
        <w:t xml:space="preserve">Partcipaton in the frm’s retrement ECAP program; </w:t>
      </w:r>
      <w:r>
        <w:rPr>
          <w:rFonts w:ascii="Calibri" w:cs="Calibri" w:eastAsia="Calibri" w:hAnsi="Calibri"/>
          <w:sz w:val="14"/>
          <w:szCs w:val="14"/>
          <w:i w:val="1"/>
          <w:iCs w:val="1"/>
          <w:color w:val="auto"/>
        </w:rPr>
        <w:t>provided</w:t>
      </w:r>
      <w:r>
        <w:rPr>
          <w:rFonts w:ascii="Calibri" w:cs="Calibri" w:eastAsia="Calibri" w:hAnsi="Calibri"/>
          <w:sz w:val="14"/>
          <w:szCs w:val="14"/>
          <w:color w:val="auto"/>
        </w:rPr>
        <w:t xml:space="preserve">, </w:t>
      </w:r>
      <w:r>
        <w:rPr>
          <w:rFonts w:ascii="Calibri" w:cs="Calibri" w:eastAsia="Calibri" w:hAnsi="Calibri"/>
          <w:sz w:val="14"/>
          <w:szCs w:val="14"/>
          <w:i w:val="1"/>
          <w:iCs w:val="1"/>
          <w:color w:val="auto"/>
        </w:rPr>
        <w:t>however</w:t>
      </w:r>
      <w:r>
        <w:rPr>
          <w:rFonts w:ascii="Calibri" w:cs="Calibri" w:eastAsia="Calibri" w:hAnsi="Calibri"/>
          <w:sz w:val="14"/>
          <w:szCs w:val="14"/>
          <w:color w:val="auto"/>
        </w:rPr>
        <w:t>, that the Ofcer must be employed on the date that the annual Ofcer Supplemental Retrement Plan payment is made to other eligible Ofcers in order to receive it.</w:t>
      </w:r>
    </w:p>
    <w:p>
      <w:pPr>
        <w:spacing w:after="0" w:line="11" w:lineRule="exact"/>
        <w:rPr>
          <w:sz w:val="20"/>
          <w:szCs w:val="20"/>
          <w:color w:val="auto"/>
        </w:rPr>
      </w:pPr>
    </w:p>
    <w:p>
      <w:pPr>
        <w:ind w:left="520" w:hanging="260"/>
        <w:spacing w:after="0"/>
        <w:tabs>
          <w:tab w:leader="none" w:pos="520" w:val="left"/>
        </w:tabs>
        <w:numPr>
          <w:ilvl w:val="0"/>
          <w:numId w:val="189"/>
        </w:numPr>
        <w:rPr>
          <w:rFonts w:ascii="Times New Roman" w:cs="Times New Roman" w:eastAsia="Times New Roman" w:hAnsi="Times New Roman"/>
          <w:sz w:val="14"/>
          <w:szCs w:val="14"/>
          <w:color w:val="auto"/>
        </w:rPr>
      </w:pPr>
      <w:r>
        <w:rPr>
          <w:rFonts w:ascii="Calibri" w:cs="Calibri" w:eastAsia="Calibri" w:hAnsi="Calibri"/>
          <w:sz w:val="14"/>
          <w:szCs w:val="14"/>
          <w:color w:val="auto"/>
        </w:rPr>
        <w:t>Reimbursement for existng Ofcer perquisites that were approved prior to the Transiton Efectve Date.</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Payment Afer Transiton Separaton Date</w:t>
      </w:r>
    </w:p>
    <w:p>
      <w:pPr>
        <w:spacing w:after="0" w:line="238" w:lineRule="auto"/>
        <w:rPr>
          <w:sz w:val="20"/>
          <w:szCs w:val="20"/>
          <w:color w:val="auto"/>
        </w:rPr>
      </w:pPr>
      <w:r>
        <w:rPr>
          <w:rFonts w:ascii="Calibri" w:cs="Calibri" w:eastAsia="Calibri" w:hAnsi="Calibri"/>
          <w:sz w:val="14"/>
          <w:szCs w:val="14"/>
          <w:color w:val="auto"/>
        </w:rPr>
        <w:t>Following the Transiton Separaton Date, the Ofcer may be eligible to receive:</w:t>
      </w:r>
    </w:p>
    <w:p>
      <w:pPr>
        <w:spacing w:after="0" w:line="10" w:lineRule="exact"/>
        <w:rPr>
          <w:sz w:val="20"/>
          <w:szCs w:val="20"/>
          <w:color w:val="auto"/>
        </w:rPr>
      </w:pPr>
    </w:p>
    <w:p>
      <w:pPr>
        <w:ind w:left="520" w:hanging="260"/>
        <w:spacing w:after="0"/>
        <w:tabs>
          <w:tab w:leader="none" w:pos="520" w:val="left"/>
        </w:tabs>
        <w:numPr>
          <w:ilvl w:val="0"/>
          <w:numId w:val="190"/>
        </w:numPr>
        <w:rPr>
          <w:rFonts w:ascii="Times New Roman" w:cs="Times New Roman" w:eastAsia="Times New Roman" w:hAnsi="Times New Roman"/>
          <w:sz w:val="14"/>
          <w:szCs w:val="14"/>
          <w:color w:val="auto"/>
        </w:rPr>
      </w:pPr>
      <w:r>
        <w:rPr>
          <w:rFonts w:ascii="Calibri" w:cs="Calibri" w:eastAsia="Calibri" w:hAnsi="Calibri"/>
          <w:sz w:val="14"/>
          <w:szCs w:val="14"/>
          <w:color w:val="auto"/>
        </w:rPr>
        <w:t>A lump sum payment equal to one-month’s base salary per completed year as an Ofcer with a minimum of two months and a maximum of nine months.</w:t>
      </w:r>
    </w:p>
    <w:p>
      <w:pPr>
        <w:spacing w:after="0" w:line="12" w:lineRule="exact"/>
        <w:rPr>
          <w:rFonts w:ascii="Times New Roman" w:cs="Times New Roman" w:eastAsia="Times New Roman" w:hAnsi="Times New Roman"/>
          <w:sz w:val="14"/>
          <w:szCs w:val="14"/>
          <w:color w:val="auto"/>
        </w:rPr>
      </w:pPr>
    </w:p>
    <w:p>
      <w:pPr>
        <w:ind w:left="520" w:right="160" w:hanging="260"/>
        <w:spacing w:after="0" w:line="237" w:lineRule="auto"/>
        <w:tabs>
          <w:tab w:leader="none" w:pos="516" w:val="left"/>
        </w:tabs>
        <w:numPr>
          <w:ilvl w:val="0"/>
          <w:numId w:val="190"/>
        </w:numPr>
        <w:rPr>
          <w:rFonts w:ascii="Times New Roman" w:cs="Times New Roman" w:eastAsia="Times New Roman" w:hAnsi="Times New Roman"/>
          <w:sz w:val="14"/>
          <w:szCs w:val="14"/>
          <w:color w:val="auto"/>
        </w:rPr>
      </w:pPr>
      <w:r>
        <w:rPr>
          <w:rFonts w:ascii="Calibri" w:cs="Calibri" w:eastAsia="Calibri" w:hAnsi="Calibri"/>
          <w:sz w:val="14"/>
          <w:szCs w:val="14"/>
          <w:color w:val="auto"/>
        </w:rPr>
        <w:t>Three month’s COBRA premium paid to our COBRA administrator for current medical/dental coverage. If the Ofcer secures alternate employment that ofers group medical/dental coverage, COBRA premium payments will be discontnued. An Ofcer is responsible for notfying the frm as soon as possible of such alternate employment.</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0"/>
        </w:numPr>
        <w:rPr>
          <w:rFonts w:ascii="Times New Roman" w:cs="Times New Roman" w:eastAsia="Times New Roman" w:hAnsi="Times New Roman"/>
          <w:sz w:val="14"/>
          <w:szCs w:val="14"/>
          <w:color w:val="auto"/>
        </w:rPr>
      </w:pPr>
      <w:r>
        <w:rPr>
          <w:rFonts w:ascii="Calibri" w:cs="Calibri" w:eastAsia="Calibri" w:hAnsi="Calibri"/>
          <w:sz w:val="14"/>
          <w:szCs w:val="14"/>
          <w:color w:val="auto"/>
        </w:rPr>
        <w:t>These payments will be made within 90 days of the Transiton Separaton Date.</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Transiton Services</w:t>
      </w:r>
    </w:p>
    <w:p>
      <w:pPr>
        <w:spacing w:after="0" w:line="2" w:lineRule="exact"/>
        <w:rPr>
          <w:sz w:val="20"/>
          <w:szCs w:val="20"/>
          <w:color w:val="auto"/>
        </w:rPr>
      </w:pPr>
    </w:p>
    <w:p>
      <w:pPr>
        <w:ind w:right="140"/>
        <w:spacing w:after="0" w:line="237" w:lineRule="auto"/>
        <w:rPr>
          <w:sz w:val="20"/>
          <w:szCs w:val="20"/>
          <w:color w:val="auto"/>
        </w:rPr>
      </w:pPr>
      <w:r>
        <w:rPr>
          <w:rFonts w:ascii="Calibri" w:cs="Calibri" w:eastAsia="Calibri" w:hAnsi="Calibri"/>
          <w:sz w:val="14"/>
          <w:szCs w:val="14"/>
          <w:color w:val="auto"/>
        </w:rPr>
        <w:t>The Ofcer is eligible for reimbursement for transiton assistance from a pre-approved provider up to a maximum of $30,000 for eligible services. Expenses must be incurred and submited prior to the Transiton Separaton Date.</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Annual Bonus Payment</w:t>
      </w:r>
    </w:p>
    <w:p>
      <w:pPr>
        <w:spacing w:after="0" w:line="2" w:lineRule="exact"/>
        <w:rPr>
          <w:sz w:val="20"/>
          <w:szCs w:val="20"/>
          <w:color w:val="auto"/>
        </w:rPr>
      </w:pPr>
    </w:p>
    <w:p>
      <w:pPr>
        <w:ind w:right="120"/>
        <w:spacing w:after="0" w:line="238" w:lineRule="auto"/>
        <w:rPr>
          <w:sz w:val="20"/>
          <w:szCs w:val="20"/>
          <w:color w:val="auto"/>
        </w:rPr>
      </w:pPr>
      <w:r>
        <w:rPr>
          <w:rFonts w:ascii="Calibri" w:cs="Calibri" w:eastAsia="Calibri" w:hAnsi="Calibri"/>
          <w:sz w:val="14"/>
          <w:szCs w:val="14"/>
          <w:color w:val="auto"/>
        </w:rPr>
        <w:t xml:space="preserve">Bonus eligibility will end on the Transiton Efectve Date. At the sole discreton of the frm, upon recommendaton of management, and with the approval of the Compensaton, Culture and People Commitee of the Board of Directors in the case of Secton 16 Ofcers, a bonus payment for the porton of the fscal year prior to the Transiton Efectve Date may be made to a departng Ofcer based on performance and in consideraton of successful discharge/transfer of Ofcer-related responsibilites. (Refer to the </w:t>
      </w:r>
      <w:r>
        <w:rPr>
          <w:rFonts w:ascii="Calibri" w:cs="Calibri" w:eastAsia="Calibri" w:hAnsi="Calibri"/>
          <w:sz w:val="14"/>
          <w:szCs w:val="14"/>
          <w:i w:val="1"/>
          <w:iCs w:val="1"/>
          <w:color w:val="auto"/>
        </w:rPr>
        <w:t>Ofcer Annual Performance Bonus policy.)</w:t>
      </w:r>
      <w:r>
        <w:rPr>
          <w:rFonts w:ascii="Calibri" w:cs="Calibri" w:eastAsia="Calibri" w:hAnsi="Calibri"/>
          <w:sz w:val="14"/>
          <w:szCs w:val="14"/>
          <w:color w:val="auto"/>
        </w:rPr>
        <w:t xml:space="preserve"> Departng Ofcers who are approved for bonuses during any fscal year will receive bonus payments when that fscal year's bonuses are paid to actve Ofcers, which will occur within two-and-a-half months of fscal year end; provided, however, that a departng Ofcer who previously elected to defer a porton of such bonus under the Booz Allen Hamilton Inc. the Nonqualifed Deferred Compensaton Plan will receive payment in accordance with the terms of such plan.</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Equity</w:t>
      </w:r>
    </w:p>
    <w:p>
      <w:pPr>
        <w:spacing w:after="0" w:line="2" w:lineRule="exact"/>
        <w:rPr>
          <w:sz w:val="20"/>
          <w:szCs w:val="20"/>
          <w:color w:val="auto"/>
        </w:rPr>
      </w:pPr>
    </w:p>
    <w:p>
      <w:pPr>
        <w:ind w:right="820"/>
        <w:spacing w:after="0" w:line="237" w:lineRule="auto"/>
        <w:rPr>
          <w:sz w:val="20"/>
          <w:szCs w:val="20"/>
          <w:color w:val="auto"/>
        </w:rPr>
      </w:pPr>
      <w:r>
        <w:rPr>
          <w:rFonts w:ascii="Calibri" w:cs="Calibri" w:eastAsia="Calibri" w:hAnsi="Calibri"/>
          <w:sz w:val="14"/>
          <w:szCs w:val="14"/>
          <w:color w:val="auto"/>
        </w:rPr>
        <w:t>Maters related to equity in Booz Allen Hamilton Holding Corporaton shall be governed by the Equity Incentve Plan (EIP), as may be amended from tme to tme, and the applicable Award Agreement(s).</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Other Payments</w:t>
      </w:r>
    </w:p>
    <w:p>
      <w:pPr>
        <w:spacing w:after="0" w:line="238" w:lineRule="auto"/>
        <w:rPr>
          <w:sz w:val="20"/>
          <w:szCs w:val="20"/>
          <w:color w:val="auto"/>
        </w:rPr>
      </w:pPr>
      <w:r>
        <w:rPr>
          <w:rFonts w:ascii="Calibri" w:cs="Calibri" w:eastAsia="Calibri" w:hAnsi="Calibri"/>
          <w:sz w:val="14"/>
          <w:szCs w:val="14"/>
          <w:color w:val="auto"/>
        </w:rPr>
        <w:t>Any payments and/or reimbursements in additon to those established by these guidelines must be approved by the CEO and Chief People Ofcer.</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Cost Allocaton</w:t>
      </w:r>
    </w:p>
    <w:p>
      <w:pPr>
        <w:spacing w:after="0" w:line="238" w:lineRule="auto"/>
        <w:rPr>
          <w:sz w:val="20"/>
          <w:szCs w:val="20"/>
          <w:color w:val="auto"/>
        </w:rPr>
      </w:pPr>
      <w:r>
        <w:rPr>
          <w:rFonts w:ascii="Calibri" w:cs="Calibri" w:eastAsia="Calibri" w:hAnsi="Calibri"/>
          <w:sz w:val="14"/>
          <w:szCs w:val="14"/>
          <w:color w:val="auto"/>
        </w:rPr>
        <w:t>Costs associated with the contnuaton of work, fringe, and transiton benefts are paid by the Ofcer's business unit.</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Release of Claims</w:t>
      </w:r>
    </w:p>
    <w:p>
      <w:pPr>
        <w:spacing w:after="0" w:line="2"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auto"/>
        </w:rPr>
        <w:t>To receive the transiton payments and benefts described in this policy, an Ofcer must sign, and not revoke, a release agreement (and subsequent reafrmaton, as applicable) with the frm. All transiton payments and benefts will be paid and provided in accordance with applicable laws, subject to any required tax withholding and applicable deductons (e.g., garnishments, support orders, and levies; beneft premiums; and 401(k) deferrals and loan repayments) as in efect on the Transiton Efectve Date. Notwithstanding anything in this policy to the contrary, if the period during which you have discreton to execute or revoke the release agreement straddles two calendar years, any payment(s) and/or beneft(s) that would otherwise be payable in the frst of such two calendar years shall not be paid or begin untl the frst day of the second calendar year to the extent required by Secton</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Version No. 2.0 | Effective Date: 01.01.2024</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2 of 3</w:t>
      </w:r>
    </w:p>
    <w:p>
      <w:pPr>
        <w:sectPr>
          <w:pgSz w:w="11900" w:h="16838" w:orient="portrait"/>
          <w:cols w:equalWidth="0" w:num="1">
            <w:col w:w="11280"/>
          </w:cols>
          <w:pgMar w:left="300" w:top="1382" w:right="319" w:bottom="1440" w:gutter="0" w:footer="0" w:header="0"/>
        </w:sectPr>
      </w:pPr>
    </w:p>
    <w:bookmarkStart w:id="354" w:name="page355"/>
    <w:bookmarkEnd w:id="354"/>
    <w:p>
      <w:pPr>
        <w:spacing w:after="0" w:line="237"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193675</wp:posOffset>
            </wp:positionH>
            <wp:positionV relativeFrom="page">
              <wp:posOffset>452755</wp:posOffset>
            </wp:positionV>
            <wp:extent cx="1293495" cy="1416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1293495" cy="141605"/>
                    </a:xfrm>
                    <a:prstGeom prst="rect">
                      <a:avLst/>
                    </a:prstGeom>
                    <a:noFill/>
                  </pic:spPr>
                </pic:pic>
              </a:graphicData>
            </a:graphic>
          </wp:anchor>
        </w:drawing>
        <w:t>409A of the Code. Failure by an Ofcer to execute an irrevocable release agreement (and subsequent reafrmaton, as applicable) within the tme frame established by the frm will result in the Ofcer’s forfeiture of any right to any payments or benefts otherwise payable under this Policy.</w:t>
      </w:r>
    </w:p>
    <w:p>
      <w:pPr>
        <w:spacing w:after="0" w:line="193" w:lineRule="exact"/>
        <w:rPr>
          <w:sz w:val="20"/>
          <w:szCs w:val="20"/>
          <w:color w:val="auto"/>
        </w:rPr>
      </w:pPr>
    </w:p>
    <w:p>
      <w:pPr>
        <w:ind w:right="20"/>
        <w:spacing w:after="0" w:line="237" w:lineRule="auto"/>
        <w:rPr>
          <w:sz w:val="20"/>
          <w:szCs w:val="20"/>
          <w:color w:val="auto"/>
        </w:rPr>
      </w:pPr>
      <w:r>
        <w:rPr>
          <w:rFonts w:ascii="Calibri" w:cs="Calibri" w:eastAsia="Calibri" w:hAnsi="Calibri"/>
          <w:sz w:val="14"/>
          <w:szCs w:val="14"/>
          <w:color w:val="auto"/>
        </w:rPr>
        <w:t>The Benefts Plans Commitee (“BPC”), or its delegate, is responsible for administering the benefts described in this policy to the extent such benefts are subject to ERISA, including the lump sum transiton payment payable to each Ofcer. The lump sum transiton payment described in this policy is unfunded and provided by the frm primarily for the purpose of providing deferred compensaton for a select group of management or highly compensated employees. The lump sum transiton payment shall be made to an Ofcer only if the BPC, in its sole discreton, decides that the Ofcer is enttled to it. Ofcers who are denied a lump sum transiton payment, in part or in full, to which they believe they are enttled may fle a writen request for such payment with the BPC, or its delegate, and such request will be reviewed in accordance with applicable law, including the claims procedures under ERISA.</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00A6B7"/>
        </w:rPr>
        <w:t>RELATED POLICIES</w:t>
      </w:r>
    </w:p>
    <w:p>
      <w:pPr>
        <w:spacing w:after="0" w:line="99" w:lineRule="exact"/>
        <w:rPr>
          <w:sz w:val="20"/>
          <w:szCs w:val="20"/>
          <w:color w:val="auto"/>
        </w:rPr>
      </w:pPr>
    </w:p>
    <w:p>
      <w:pPr>
        <w:ind w:left="520" w:hanging="260"/>
        <w:spacing w:after="0"/>
        <w:tabs>
          <w:tab w:leader="none" w:pos="520" w:val="left"/>
        </w:tabs>
        <w:numPr>
          <w:ilvl w:val="0"/>
          <w:numId w:val="191"/>
        </w:numPr>
        <w:rPr>
          <w:rFonts w:ascii="Times New Roman" w:cs="Times New Roman" w:eastAsia="Times New Roman" w:hAnsi="Times New Roman"/>
          <w:sz w:val="14"/>
          <w:szCs w:val="14"/>
          <w:color w:val="auto"/>
        </w:rPr>
      </w:pPr>
      <w:r>
        <w:rPr>
          <w:rFonts w:ascii="Calibri" w:cs="Calibri" w:eastAsia="Calibri" w:hAnsi="Calibri"/>
          <w:sz w:val="14"/>
          <w:szCs w:val="14"/>
          <w:color w:val="auto"/>
        </w:rPr>
        <w:t>Ofcer Annual Performance Bonus Policy</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1"/>
        </w:numPr>
        <w:rPr>
          <w:rFonts w:ascii="Times New Roman" w:cs="Times New Roman" w:eastAsia="Times New Roman" w:hAnsi="Times New Roman"/>
          <w:sz w:val="14"/>
          <w:szCs w:val="14"/>
          <w:color w:val="auto"/>
        </w:rPr>
      </w:pPr>
      <w:r>
        <w:rPr>
          <w:rFonts w:ascii="Calibri" w:cs="Calibri" w:eastAsia="Calibri" w:hAnsi="Calibri"/>
          <w:sz w:val="14"/>
          <w:szCs w:val="14"/>
          <w:color w:val="auto"/>
        </w:rPr>
        <w:t>Ofcer Perquisites</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00A6B7"/>
        </w:rPr>
        <w:t>POINTS OF CONTACT AND ADDITIONAL RESOURCES</w:t>
      </w:r>
    </w:p>
    <w:p>
      <w:pPr>
        <w:spacing w:after="0" w:line="88" w:lineRule="exact"/>
        <w:rPr>
          <w:sz w:val="20"/>
          <w:szCs w:val="20"/>
          <w:color w:val="auto"/>
        </w:rPr>
      </w:pPr>
    </w:p>
    <w:p>
      <w:pPr>
        <w:spacing w:after="0"/>
        <w:rPr>
          <w:sz w:val="20"/>
          <w:szCs w:val="20"/>
          <w:color w:val="auto"/>
        </w:rPr>
      </w:pPr>
      <w:r>
        <w:rPr>
          <w:rFonts w:ascii="Calibri" w:cs="Calibri" w:eastAsia="Calibri" w:hAnsi="Calibri"/>
          <w:sz w:val="14"/>
          <w:szCs w:val="14"/>
          <w:color w:val="auto"/>
        </w:rPr>
        <w:t>General questons or exceptons regarding this policy can be directed to the Chief People Ofcer or Talent Strategy Ofcer.</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00A6B7"/>
        </w:rPr>
        <w:t>REPORTING CONCERNS</w:t>
      </w:r>
    </w:p>
    <w:p>
      <w:pPr>
        <w:spacing w:after="0" w:line="91" w:lineRule="exact"/>
        <w:rPr>
          <w:sz w:val="20"/>
          <w:szCs w:val="20"/>
          <w:color w:val="auto"/>
        </w:rPr>
      </w:pPr>
    </w:p>
    <w:p>
      <w:pPr>
        <w:ind w:right="4840"/>
        <w:spacing w:after="0" w:line="256" w:lineRule="auto"/>
        <w:rPr>
          <w:sz w:val="20"/>
          <w:szCs w:val="20"/>
          <w:color w:val="auto"/>
        </w:rPr>
      </w:pPr>
      <w:r>
        <w:rPr>
          <w:rFonts w:ascii="Calibri" w:cs="Calibri" w:eastAsia="Calibri" w:hAnsi="Calibri"/>
          <w:sz w:val="13"/>
          <w:szCs w:val="13"/>
          <w:color w:val="auto"/>
        </w:rPr>
        <w:t>We expect Booz Allen people to comply with our policies and Code of Ethics and Business Conduct. As outlined in the Mandatory Reportng and Non-Retaliaton Policy, if you observe or have reasonable suspicion that a Booz Allen</w:t>
      </w:r>
    </w:p>
    <w:p>
      <w:pPr>
        <w:spacing w:after="0" w:line="237" w:lineRule="auto"/>
        <w:rPr>
          <w:sz w:val="20"/>
          <w:szCs w:val="20"/>
          <w:color w:val="auto"/>
        </w:rPr>
      </w:pPr>
      <w:r>
        <w:rPr>
          <w:rFonts w:ascii="Calibri" w:cs="Calibri" w:eastAsia="Calibri" w:hAnsi="Calibri"/>
          <w:sz w:val="14"/>
          <w:szCs w:val="14"/>
          <w:color w:val="auto"/>
        </w:rPr>
        <w:t>policy or the Code has been violated, you have a responsibility as part of your employment to promptly report your concerns via one of our ofcial frm reportng channels:</w:t>
      </w:r>
    </w:p>
    <w:p>
      <w:pPr>
        <w:spacing w:after="0" w:line="201" w:lineRule="exact"/>
        <w:rPr>
          <w:sz w:val="20"/>
          <w:szCs w:val="20"/>
          <w:color w:val="auto"/>
        </w:rPr>
      </w:pPr>
    </w:p>
    <w:p>
      <w:pPr>
        <w:ind w:left="520" w:hanging="260"/>
        <w:spacing w:after="0"/>
        <w:tabs>
          <w:tab w:leader="none" w:pos="520" w:val="left"/>
        </w:tabs>
        <w:numPr>
          <w:ilvl w:val="0"/>
          <w:numId w:val="192"/>
        </w:numPr>
        <w:rPr>
          <w:rFonts w:ascii="Times New Roman" w:cs="Times New Roman" w:eastAsia="Times New Roman" w:hAnsi="Times New Roman"/>
          <w:sz w:val="14"/>
          <w:szCs w:val="14"/>
          <w:color w:val="auto"/>
        </w:rPr>
      </w:pPr>
      <w:r>
        <w:rPr>
          <w:rFonts w:ascii="Calibri" w:cs="Calibri" w:eastAsia="Calibri" w:hAnsi="Calibri"/>
          <w:sz w:val="14"/>
          <w:szCs w:val="14"/>
          <w:color w:val="auto"/>
        </w:rPr>
        <w:t>Your Job Leader or Career Manager</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2"/>
        </w:numPr>
        <w:rPr>
          <w:rFonts w:ascii="Times New Roman" w:cs="Times New Roman" w:eastAsia="Times New Roman" w:hAnsi="Times New Roman"/>
          <w:sz w:val="14"/>
          <w:szCs w:val="14"/>
          <w:color w:val="auto"/>
        </w:rPr>
      </w:pPr>
      <w:r>
        <w:rPr>
          <w:rFonts w:ascii="Calibri" w:cs="Calibri" w:eastAsia="Calibri" w:hAnsi="Calibri"/>
          <w:sz w:val="14"/>
          <w:szCs w:val="14"/>
          <w:color w:val="auto"/>
        </w:rPr>
        <w:t>An Ethics Advisor</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2"/>
        </w:numPr>
        <w:rPr>
          <w:rFonts w:ascii="Times New Roman" w:cs="Times New Roman" w:eastAsia="Times New Roman" w:hAnsi="Times New Roman"/>
          <w:sz w:val="14"/>
          <w:szCs w:val="14"/>
          <w:color w:val="auto"/>
        </w:rPr>
      </w:pPr>
      <w:r>
        <w:rPr>
          <w:rFonts w:ascii="Calibri" w:cs="Calibri" w:eastAsia="Calibri" w:hAnsi="Calibri"/>
          <w:sz w:val="14"/>
          <w:szCs w:val="14"/>
          <w:color w:val="auto"/>
        </w:rPr>
        <w:t>Employee Relatons</w:t>
      </w:r>
    </w:p>
    <w:p>
      <w:pPr>
        <w:spacing w:after="0" w:line="7" w:lineRule="exact"/>
        <w:rPr>
          <w:rFonts w:ascii="Times New Roman" w:cs="Times New Roman" w:eastAsia="Times New Roman" w:hAnsi="Times New Roman"/>
          <w:sz w:val="14"/>
          <w:szCs w:val="14"/>
          <w:color w:val="auto"/>
        </w:rPr>
      </w:pPr>
    </w:p>
    <w:p>
      <w:pPr>
        <w:ind w:left="520" w:hanging="260"/>
        <w:spacing w:after="0" w:line="231" w:lineRule="auto"/>
        <w:tabs>
          <w:tab w:leader="none" w:pos="520" w:val="left"/>
        </w:tabs>
        <w:numPr>
          <w:ilvl w:val="0"/>
          <w:numId w:val="192"/>
        </w:numPr>
        <w:rPr>
          <w:rFonts w:ascii="Times New Roman" w:cs="Times New Roman" w:eastAsia="Times New Roman" w:hAnsi="Times New Roman"/>
          <w:sz w:val="14"/>
          <w:szCs w:val="14"/>
          <w:color w:val="auto"/>
        </w:rPr>
      </w:pPr>
      <w:r>
        <w:rPr>
          <w:rFonts w:ascii="Calibri" w:cs="Calibri" w:eastAsia="Calibri" w:hAnsi="Calibri"/>
          <w:sz w:val="14"/>
          <w:szCs w:val="14"/>
          <w:color w:val="auto"/>
        </w:rPr>
        <w:t>The frm’s Ethics &amp; Compliance Team (ethics@bah.com</w:t>
      </w:r>
      <w:r>
        <w:rPr>
          <w:rFonts w:ascii="Calibri" w:cs="Calibri" w:eastAsia="Calibri" w:hAnsi="Calibri"/>
          <w:sz w:val="15"/>
          <w:szCs w:val="15"/>
          <w:color w:val="auto"/>
        </w:rPr>
        <w:t>)</w:t>
      </w:r>
    </w:p>
    <w:p>
      <w:pPr>
        <w:spacing w:after="0" w:line="1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2"/>
        </w:numPr>
        <w:rPr>
          <w:rFonts w:ascii="Times New Roman" w:cs="Times New Roman" w:eastAsia="Times New Roman" w:hAnsi="Times New Roman"/>
          <w:sz w:val="14"/>
          <w:szCs w:val="14"/>
          <w:color w:val="auto"/>
        </w:rPr>
      </w:pPr>
      <w:r>
        <w:rPr>
          <w:rFonts w:ascii="Calibri" w:cs="Calibri" w:eastAsia="Calibri" w:hAnsi="Calibri"/>
          <w:sz w:val="14"/>
          <w:szCs w:val="14"/>
          <w:color w:val="auto"/>
        </w:rPr>
        <w:t>The frm’s Chief Ethics and Compliance Ofcer</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2"/>
        </w:numPr>
        <w:rPr>
          <w:rFonts w:ascii="Times New Roman" w:cs="Times New Roman" w:eastAsia="Times New Roman" w:hAnsi="Times New Roman"/>
          <w:sz w:val="14"/>
          <w:szCs w:val="14"/>
          <w:color w:val="auto"/>
        </w:rPr>
      </w:pPr>
      <w:r>
        <w:rPr>
          <w:rFonts w:ascii="Calibri" w:cs="Calibri" w:eastAsia="Calibri" w:hAnsi="Calibri"/>
          <w:sz w:val="14"/>
          <w:szCs w:val="14"/>
          <w:color w:val="auto"/>
        </w:rPr>
        <w:t>The frm’s Ethics Hotline (at +1-800-501-8755 (US) or +1-888-475-0009 (internatonal) or (htp://speakup.bah.com), Concerns may be raised anonymously</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color w:val="auto"/>
        </w:rPr>
        <w:t>We take all allegatons of misconduct seriously, investgate them promptly and strictly prohibit retaliaton against any person who raises a good faith ethical or legal concern</w:t>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Version No. 2.0 | Effective Date: 01.01.2024</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3 of 3</w:t>
      </w:r>
    </w:p>
    <w:p>
      <w:pPr>
        <w:sectPr>
          <w:pgSz w:w="11900" w:h="16838" w:orient="portrait"/>
          <w:cols w:equalWidth="0" w:num="1">
            <w:col w:w="11240"/>
          </w:cols>
          <w:pgMar w:left="300" w:top="1384" w:right="359" w:bottom="1440" w:gutter="0" w:footer="0" w:header="0"/>
        </w:sectPr>
      </w:pPr>
    </w:p>
    <w:bookmarkStart w:id="355" w:name="page356"/>
    <w:bookmarkEnd w:id="355"/>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2023 EQUITY INCENTIVE PLAN OF</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1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STOCK OPTION AGREEMENT</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GRANT NOTICE</w:t>
      </w:r>
    </w:p>
    <w:p>
      <w:pPr>
        <w:spacing w:after="0" w:line="16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6"/>
          <w:szCs w:val="16"/>
          <w:color w:val="auto"/>
        </w:rPr>
        <w:t>Unless otherwise defined herein, the terms defined in the 2023 Equity Incentive Plan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of Booz Allen Hamilton Holding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shall have the same defined meanings in this Stock Option Agreement, which includes the terms in this Grant Notice, including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(the “</w:t>
      </w:r>
      <w:r>
        <w:rPr>
          <w:rFonts w:ascii="Times New Roman" w:cs="Times New Roman" w:eastAsia="Times New Roman" w:hAnsi="Times New Roman"/>
          <w:sz w:val="16"/>
          <w:szCs w:val="16"/>
          <w:u w:val="single" w:color="auto"/>
          <w:color w:val="auto"/>
        </w:rPr>
        <w:t>Grant Notice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attached hereto, and any special terms and conditions set forth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attached hereto with respect to your country of employment and/or residence (collectively,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Capitalized terms used in this Grant Notice or in Appendix A without definition have the meanings given in the Plan.</w:t>
      </w:r>
    </w:p>
    <w:p>
      <w:pPr>
        <w:spacing w:after="0" w:line="155"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6"/>
          <w:szCs w:val="16"/>
          <w:color w:val="auto"/>
        </w:rPr>
        <w:t xml:space="preserve">You,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ParticipantName+C# (the “</w:t>
      </w:r>
      <w:r>
        <w:rPr>
          <w:rFonts w:ascii="Times New Roman" w:cs="Times New Roman" w:eastAsia="Times New Roman" w:hAnsi="Times New Roman"/>
          <w:sz w:val="16"/>
          <w:szCs w:val="16"/>
          <w:u w:val="single" w:color="auto"/>
          <w:color w:val="auto"/>
        </w:rPr>
        <w:t>Optionee</w:t>
      </w:r>
      <w:r>
        <w:rPr>
          <w:rFonts w:ascii="Times New Roman" w:cs="Times New Roman" w:eastAsia="Times New Roman" w:hAnsi="Times New Roman"/>
          <w:sz w:val="16"/>
          <w:szCs w:val="16"/>
          <w:color w:val="auto"/>
        </w:rPr>
        <w:t xml:space="preserve">”), have been granted an option to purchase #QuantityGranted# Shares of Company Common Stock, and with an Option Price of #Grant Price# and on #GrantDate# (the “Grant Date”), in each case as set forth on the Fidelity NetBenefits system at </w:t>
      </w:r>
      <w:r>
        <w:rPr>
          <w:rFonts w:ascii="Times New Roman" w:cs="Times New Roman" w:eastAsia="Times New Roman" w:hAnsi="Times New Roman"/>
          <w:sz w:val="16"/>
          <w:szCs w:val="16"/>
          <w:u w:val="single" w:color="auto"/>
          <w:color w:val="0000FF"/>
        </w:rPr>
        <w:t>www.netbenefits.com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5"/>
          <w:szCs w:val="15"/>
          <w:color w:val="auto"/>
        </w:rPr>
        <w:t>(the “</w:t>
      </w:r>
      <w:r>
        <w:rPr>
          <w:rFonts w:ascii="Times New Roman" w:cs="Times New Roman" w:eastAsia="Times New Roman" w:hAnsi="Times New Roman"/>
          <w:sz w:val="15"/>
          <w:szCs w:val="15"/>
          <w:u w:val="single" w:color="auto"/>
          <w:color w:val="auto"/>
        </w:rPr>
        <w:t>Option</w:t>
      </w: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5"/>
          <w:szCs w:val="15"/>
          <w:color w:val="auto"/>
        </w:rPr>
        <w:t xml:space="preserve">subject to the terms and conditions of the Plan and this Agreement, including but not limited to the vesting schedule as set forth on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to this Agreement, which shall be deemed part of and incorporated by reference into this Grant Notice, and the following terms:</w:t>
      </w:r>
    </w:p>
    <w:p>
      <w:pPr>
        <w:sectPr>
          <w:pgSz w:w="11900" w:h="16838" w:orient="portrait"/>
          <w:cols w:equalWidth="0" w:num="1">
            <w:col w:w="11160"/>
          </w:cols>
          <w:pgMar w:left="300" w:top="1306" w:right="439" w:bottom="1440" w:gutter="0" w:footer="0" w:header="0"/>
        </w:sectPr>
      </w:pP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Type of Option:</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Final Expiration Date: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Non-Qualified Stock Option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Ten (10) years from the Grant Date</w:t>
      </w:r>
    </w:p>
    <w:p>
      <w:pPr>
        <w:spacing w:after="0" w:line="200" w:lineRule="exact"/>
        <w:rPr>
          <w:sz w:val="20"/>
          <w:szCs w:val="20"/>
          <w:color w:val="auto"/>
        </w:rPr>
      </w:pPr>
    </w:p>
    <w:p>
      <w:pPr>
        <w:sectPr>
          <w:pgSz w:w="11900" w:h="16838" w:orient="portrait"/>
          <w:cols w:equalWidth="0" w:num="2">
            <w:col w:w="4460" w:space="720"/>
            <w:col w:w="5980"/>
          </w:cols>
          <w:pgMar w:left="300" w:top="1306" w:right="4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 acceptance of the Option indicates your agreement and understanding that the Option is subject to the terms and conditions contained in the Agreement and the Plan.</w:t>
      </w:r>
    </w:p>
    <w:p>
      <w:pPr>
        <w:spacing w:after="0" w:line="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b w:val="1"/>
          <w:bCs w:val="1"/>
          <w:color w:val="auto"/>
        </w:rPr>
        <w:t>ACCORDINGLY, PLEASE BE SURE TO READ THE PLAN AND THE AGREEMENT, EACH OF WHICH CONTAINS THE SPECIFIC TERMS AND CONDITIONS OF THIS OPTION. IN PARTICULAR, BY ACCEPTANCE OF THE OPTION, YOU AGREE TO THE TERMS AND CONDITIONS CONTAINED IN THE AGREEMENT RELATING TO ELECTRONIC DELIVERY OF ANY DOCUMENTS RELATED TO THE OPTION.</w:t>
      </w:r>
    </w:p>
    <w:p>
      <w:pPr>
        <w:sectPr>
          <w:pgSz w:w="11900" w:h="16838" w:orient="portrait"/>
          <w:cols w:equalWidth="0" w:num="1">
            <w:col w:w="11160"/>
          </w:cols>
          <w:pgMar w:left="300" w:top="1306" w:right="439" w:bottom="1440" w:gutter="0" w:footer="0" w:header="0"/>
          <w:type w:val="continuous"/>
        </w:sectPr>
      </w:pPr>
    </w:p>
    <w:bookmarkStart w:id="356" w:name="page357"/>
    <w:bookmarkEnd w:id="356"/>
    <w:p>
      <w:pPr>
        <w:jc w:val="center"/>
        <w:spacing w:after="0"/>
        <w:rPr>
          <w:sz w:val="20"/>
          <w:szCs w:val="20"/>
          <w:color w:val="auto"/>
        </w:rPr>
      </w:pPr>
      <w:r>
        <w:rPr>
          <w:rFonts w:ascii="Times New Roman" w:cs="Times New Roman" w:eastAsia="Times New Roman" w:hAnsi="Times New Roman"/>
          <w:sz w:val="16"/>
          <w:szCs w:val="16"/>
          <w:b w:val="1"/>
          <w:bCs w:val="1"/>
          <w:color w:val="auto"/>
        </w:rPr>
        <w:t>APPENDIX A TO STOCK OPTION AGREEMENT</w:t>
      </w:r>
    </w:p>
    <w:p>
      <w:pPr>
        <w:spacing w:after="0" w:line="1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b w:val="1"/>
          <w:bCs w:val="1"/>
          <w:u w:val="single" w:color="auto"/>
          <w:color w:val="auto"/>
        </w:rPr>
        <w:t>GRANT OF OPTION</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u w:val="single" w:color="auto"/>
          <w:color w:val="auto"/>
        </w:rPr>
        <w:t>Section 1.1 Grant of Option</w:t>
      </w:r>
      <w:r>
        <w:rPr>
          <w:rFonts w:ascii="Times New Roman" w:cs="Times New Roman" w:eastAsia="Times New Roman" w:hAnsi="Times New Roman"/>
          <w:sz w:val="16"/>
          <w:szCs w:val="16"/>
          <w:color w:val="auto"/>
        </w:rPr>
        <w:t xml:space="preserve">. The Company hereby grants to the Optionee, effective as of the Grant Date, the Option specified in the Grant Notice upon the terms and conditions set forth in the Plan and this Agreement (including the Grant Notice and any special terms and conditions applicable to the Optionee’s country set forth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to this Agreement). The Optionee hereby agrees that, except as required or permitted by Applicable Law, he or she will not disclose to any Person other than the Optionee’s spouse and/or tax or financial advisor (if any) the grant of the Option or any of the terms or provisions hereof without prior approval from the Administrator.</w:t>
      </w:r>
    </w:p>
    <w:p>
      <w:pPr>
        <w:spacing w:after="0" w:line="1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u w:val="single" w:color="auto"/>
          <w:color w:val="auto"/>
        </w:rPr>
        <w:t>Section 1.2 Option Subject to Plan</w:t>
      </w:r>
      <w:r>
        <w:rPr>
          <w:rFonts w:ascii="Times New Roman" w:cs="Times New Roman" w:eastAsia="Times New Roman" w:hAnsi="Times New Roman"/>
          <w:sz w:val="16"/>
          <w:szCs w:val="16"/>
          <w:color w:val="auto"/>
        </w:rPr>
        <w:t>. The Option granted hereunder is subject to the terms and provisions of the Plan, including, but not limited to, Article V, Article XI, Article XII, Article XIII and Article XIV thereof.</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u w:val="single" w:color="auto"/>
          <w:color w:val="auto"/>
        </w:rPr>
        <w:t>Section 1.3 Option Price</w:t>
      </w:r>
      <w:r>
        <w:rPr>
          <w:rFonts w:ascii="Times New Roman" w:cs="Times New Roman" w:eastAsia="Times New Roman" w:hAnsi="Times New Roman"/>
          <w:sz w:val="16"/>
          <w:szCs w:val="16"/>
          <w:color w:val="auto"/>
        </w:rPr>
        <w:t>. The Option Price of the Shares subject to the Option is equal to the Fair Market Value of a Share on the Grant Date, as determined by the Administrator in accordance with the provisions set forth in the Plan, and does not include any commission or other charges. The Option Price has been communicated to the Optionee in a communication accompanying the Grant Notice.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VESTING SCHEDULE; EXERCISABILITY</w:t>
      </w:r>
    </w:p>
    <w:p>
      <w:pPr>
        <w:spacing w:after="0" w:line="14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u w:val="single" w:color="auto"/>
          <w:color w:val="auto"/>
        </w:rPr>
        <w:t>Section 2.1</w:t>
      </w:r>
      <w:r>
        <w:rPr>
          <w:sz w:val="20"/>
          <w:szCs w:val="20"/>
          <w:color w:val="auto"/>
        </w:rPr>
        <w:tab/>
      </w:r>
      <w:r>
        <w:rPr>
          <w:rFonts w:ascii="Times New Roman" w:cs="Times New Roman" w:eastAsia="Times New Roman" w:hAnsi="Times New Roman"/>
          <w:sz w:val="14"/>
          <w:szCs w:val="14"/>
          <w:u w:val="single" w:color="auto"/>
          <w:color w:val="auto"/>
        </w:rPr>
        <w:t>Vesting and Exercisability of the Option.</w:t>
      </w:r>
    </w:p>
    <w:p>
      <w:pPr>
        <w:spacing w:after="0" w:line="154" w:lineRule="exact"/>
        <w:rPr>
          <w:sz w:val="20"/>
          <w:szCs w:val="20"/>
          <w:color w:val="auto"/>
        </w:rPr>
      </w:pPr>
    </w:p>
    <w:p>
      <w:pPr>
        <w:ind w:firstLine="514"/>
        <w:spacing w:after="0" w:line="275" w:lineRule="auto"/>
        <w:tabs>
          <w:tab w:leader="none" w:pos="837"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Vesting</w:t>
      </w:r>
      <w:r>
        <w:rPr>
          <w:rFonts w:ascii="Times New Roman" w:cs="Times New Roman" w:eastAsia="Times New Roman" w:hAnsi="Times New Roman"/>
          <w:sz w:val="16"/>
          <w:szCs w:val="16"/>
          <w:color w:val="auto"/>
        </w:rPr>
        <w:t>. Except as provided in this Section 2.1, the Option shall become vested and exercisable in the amount(s) and on the vesting date(s) set forth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(each,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so long as the Optionee remains continuously in service as a Service Provider through such Vesting Date.</w:t>
      </w:r>
    </w:p>
    <w:p>
      <w:pPr>
        <w:spacing w:after="0" w:line="119" w:lineRule="exact"/>
        <w:rPr>
          <w:rFonts w:ascii="Times New Roman" w:cs="Times New Roman" w:eastAsia="Times New Roman" w:hAnsi="Times New Roman"/>
          <w:sz w:val="16"/>
          <w:szCs w:val="16"/>
          <w:color w:val="auto"/>
        </w:rPr>
      </w:pPr>
    </w:p>
    <w:p>
      <w:pPr>
        <w:ind w:left="900" w:hanging="386"/>
        <w:spacing w:after="0"/>
        <w:tabs>
          <w:tab w:leader="none" w:pos="90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Discretionary Vesting</w:t>
      </w:r>
      <w:r>
        <w:rPr>
          <w:rFonts w:ascii="Times New Roman" w:cs="Times New Roman" w:eastAsia="Times New Roman" w:hAnsi="Times New Roman"/>
          <w:sz w:val="14"/>
          <w:szCs w:val="14"/>
          <w:color w:val="auto"/>
        </w:rPr>
        <w:t>. The Administrator in its sole discretion may accelerate the vesting of any portion of the Option that does not otherwise vest pursuant to this</w:t>
      </w:r>
    </w:p>
    <w:p>
      <w:pPr>
        <w:spacing w:after="0" w:line="4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Section 2.1.</w:t>
      </w:r>
    </w:p>
    <w:p>
      <w:pPr>
        <w:spacing w:after="0" w:line="14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u w:val="single" w:color="auto"/>
          <w:color w:val="auto"/>
        </w:rPr>
        <w:t>Section 2.2</w:t>
      </w:r>
      <w:r>
        <w:rPr>
          <w:sz w:val="20"/>
          <w:szCs w:val="20"/>
          <w:color w:val="auto"/>
        </w:rPr>
        <w:tab/>
      </w:r>
      <w:r>
        <w:rPr>
          <w:rFonts w:ascii="Times New Roman" w:cs="Times New Roman" w:eastAsia="Times New Roman" w:hAnsi="Times New Roman"/>
          <w:sz w:val="14"/>
          <w:szCs w:val="14"/>
          <w:u w:val="single" w:color="auto"/>
          <w:color w:val="auto"/>
        </w:rPr>
        <w:t>Termination of Employment or Service.</w:t>
      </w:r>
    </w:p>
    <w:p>
      <w:pPr>
        <w:spacing w:after="0" w:line="154" w:lineRule="exact"/>
        <w:rPr>
          <w:sz w:val="20"/>
          <w:szCs w:val="20"/>
          <w:color w:val="auto"/>
        </w:rPr>
      </w:pPr>
    </w:p>
    <w:p>
      <w:pPr>
        <w:jc w:val="both"/>
        <w:ind w:firstLine="514"/>
        <w:spacing w:after="0" w:line="231" w:lineRule="auto"/>
        <w:tabs>
          <w:tab w:leader="none" w:pos="859"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Termination Due to Death</w:t>
      </w:r>
      <w:r>
        <w:rPr>
          <w:rFonts w:ascii="Times New Roman" w:cs="Times New Roman" w:eastAsia="Times New Roman" w:hAnsi="Times New Roman"/>
          <w:sz w:val="16"/>
          <w:szCs w:val="16"/>
          <w:color w:val="auto"/>
        </w:rPr>
        <w:t>. If an Optionee’s employment or service terminates due to the Optionee’s death, any unvested portion of the Option shall immediately vest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shall remain outstanding until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the first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6"/>
          <w:szCs w:val="16"/>
          <w:color w:val="auto"/>
        </w:rPr>
        <w:t>) anniversary of the date of the Optionee’s death or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the Option’s Final Expiration Date, whichever is earlier, after which any unexercised portion of the Option shall immediately terminate.</w:t>
      </w:r>
    </w:p>
    <w:p>
      <w:pPr>
        <w:spacing w:after="0" w:line="156" w:lineRule="exact"/>
        <w:rPr>
          <w:rFonts w:ascii="Times New Roman" w:cs="Times New Roman" w:eastAsia="Times New Roman" w:hAnsi="Times New Roman"/>
          <w:sz w:val="16"/>
          <w:szCs w:val="16"/>
          <w:color w:val="auto"/>
        </w:rPr>
      </w:pPr>
    </w:p>
    <w:p>
      <w:pPr>
        <w:ind w:right="160" w:firstLine="514"/>
        <w:spacing w:after="0" w:line="235" w:lineRule="auto"/>
        <w:tabs>
          <w:tab w:leader="none" w:pos="846"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Termination Due to Disability</w:t>
      </w:r>
      <w:r>
        <w:rPr>
          <w:rFonts w:ascii="Times New Roman" w:cs="Times New Roman" w:eastAsia="Times New Roman" w:hAnsi="Times New Roman"/>
          <w:sz w:val="16"/>
          <w:szCs w:val="16"/>
          <w:color w:val="auto"/>
        </w:rPr>
        <w:t>. If an Optionee’s employment or service terminates due to the Optionee’s Disability, any unvested portion of the Option shall not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forfeited and instead shall continue to vest in accordance with Section 2.1(a) of this Agreement. Any vested portion of the Option shall remain outstanding until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the later of the first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6"/>
          <w:szCs w:val="16"/>
          <w:color w:val="auto"/>
        </w:rPr>
        <w:t>) anniversary of either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the date of termination due to Disability or (</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the date of vesting or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the Option’s Final Expiration Date, whichever is earlier, after which any unexercised portion of the Option shall immediately terminate.</w:t>
      </w:r>
    </w:p>
    <w:p>
      <w:pPr>
        <w:spacing w:after="0" w:line="146" w:lineRule="exact"/>
        <w:rPr>
          <w:rFonts w:ascii="Times New Roman" w:cs="Times New Roman" w:eastAsia="Times New Roman" w:hAnsi="Times New Roman"/>
          <w:sz w:val="16"/>
          <w:szCs w:val="16"/>
          <w:color w:val="auto"/>
        </w:rPr>
      </w:pPr>
    </w:p>
    <w:p>
      <w:pPr>
        <w:ind w:right="400" w:firstLine="514"/>
        <w:spacing w:after="0" w:line="275" w:lineRule="auto"/>
        <w:tabs>
          <w:tab w:leader="none" w:pos="837"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Termination for Cause</w:t>
      </w:r>
      <w:r>
        <w:rPr>
          <w:rFonts w:ascii="Times New Roman" w:cs="Times New Roman" w:eastAsia="Times New Roman" w:hAnsi="Times New Roman"/>
          <w:sz w:val="16"/>
          <w:szCs w:val="16"/>
          <w:color w:val="auto"/>
        </w:rPr>
        <w:t>. If the Optionee’s employment or service terminates for Cause, the Option, whether vested or unvested, shall be immediately forfeited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canceled, effective as of the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307" w:right="319" w:bottom="1440" w:gutter="0" w:footer="0" w:header="0"/>
        </w:sectPr>
      </w:pPr>
    </w:p>
    <w:bookmarkStart w:id="357" w:name="page358"/>
    <w:bookmarkEnd w:id="357"/>
    <w:p>
      <w:pPr>
        <w:ind w:right="100"/>
        <w:spacing w:after="0" w:line="252" w:lineRule="auto"/>
        <w:rPr>
          <w:sz w:val="20"/>
          <w:szCs w:val="20"/>
          <w:color w:val="auto"/>
        </w:rPr>
      </w:pPr>
      <w:r>
        <w:rPr>
          <w:rFonts w:ascii="Times New Roman" w:cs="Times New Roman" w:eastAsia="Times New Roman" w:hAnsi="Times New Roman"/>
          <w:sz w:val="16"/>
          <w:szCs w:val="16"/>
          <w:color w:val="auto"/>
        </w:rPr>
        <w:t>date of the Optionee’s termination of employment or service. Notwithstanding the foregoing, unless otherwise determined by the Administrator and set forth in writing, any portion of the Option that vested during the twenty-four (24) months prior to or any time after the Optionee engaged in the conduct that gave rise to the termination for Cause shall upon demand by the Administrator be immediately forfeited and disgorged or paid to the Company together with all gains earned or accrued due to the exercise of such Option or sale of Company Common Stock issued pursuant to such Option.</w:t>
      </w:r>
    </w:p>
    <w:p>
      <w:pPr>
        <w:spacing w:after="0" w:line="138" w:lineRule="exact"/>
        <w:rPr>
          <w:sz w:val="20"/>
          <w:szCs w:val="20"/>
          <w:color w:val="auto"/>
        </w:rPr>
      </w:pPr>
    </w:p>
    <w:p>
      <w:pPr>
        <w:jc w:val="both"/>
        <w:ind w:firstLine="514"/>
        <w:spacing w:after="0" w:line="238" w:lineRule="auto"/>
        <w:tabs>
          <w:tab w:leader="none" w:pos="867"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Termination for Any Other Reason</w:t>
      </w:r>
      <w:r>
        <w:rPr>
          <w:rFonts w:ascii="Times New Roman" w:cs="Times New Roman" w:eastAsia="Times New Roman" w:hAnsi="Times New Roman"/>
          <w:sz w:val="16"/>
          <w:szCs w:val="16"/>
          <w:color w:val="auto"/>
        </w:rPr>
        <w:t>. Unless otherwise determined by the Administrator and set forth in writing, if an Optionee’s employment or service terminates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reason other than death, Disability or by the Company or Employer for Cause, any portion of the Option that is unvested shall be immediately forfeited and canceled, effective as of the date of the Optionee’s termination of employment or service, and any portion of the Option that is vested shall remain outstanding until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day after the date of termination of Optionee’s employment or service or (</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the Final Expiration Date, whichever is earlier, after which any unexercised portion of the Option shall immediately terminate.</w:t>
      </w:r>
    </w:p>
    <w:p>
      <w:pPr>
        <w:spacing w:after="0" w:line="1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u w:val="single" w:color="auto"/>
          <w:color w:val="auto"/>
        </w:rPr>
        <w:t>Section 2.3 Additional Forfeiture Provisions</w:t>
      </w:r>
      <w:r>
        <w:rPr>
          <w:rFonts w:ascii="Times New Roman" w:cs="Times New Roman" w:eastAsia="Times New Roman" w:hAnsi="Times New Roman"/>
          <w:sz w:val="16"/>
          <w:szCs w:val="16"/>
          <w:color w:val="auto"/>
        </w:rPr>
        <w:t>. Subject to Section 11.4 of the Plan, the Optionee acknowledges and agrees that the Option shall be immediately forfeited and cease to be exercisable, and the Optionee shall be required to disgorge to the Company all gains earned or accrued due to the exercise of the Option or sale of any Shares issued pursuant to such Option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if the Optionee engages in or fails to prevent, as applicable, any financial or other misconduct (including but not limited to engaging in Competitive Activity (but excluding, only if the Optionee is located in California, clause (a) of the definition of Competitive Activity contained in the Plan)),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as required by Applicable Law or regulations or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as otherwise provided in Section 11.4 of the Plan or generally applicable Company policies as to forfeiture, disgorgement and recoupment of Awards, including but not limited to any clawback policy adopted to comply with Section 303A.14 of the New York Stock Exchange Listed Company Manual.</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u w:val="single" w:color="auto"/>
          <w:color w:val="auto"/>
        </w:rPr>
        <w:t>Section 2.4 Exercisability of the Option</w:t>
      </w:r>
      <w:r>
        <w:rPr>
          <w:rFonts w:ascii="Times New Roman" w:cs="Times New Roman" w:eastAsia="Times New Roman" w:hAnsi="Times New Roman"/>
          <w:sz w:val="16"/>
          <w:szCs w:val="16"/>
          <w:color w:val="auto"/>
        </w:rPr>
        <w:t>. The Optionee (or the Optionee’s Eligible Representative) shall not have the right to exercise any portion of the Option until the date such portion of the Option becomes vested and exercisable pursuant to Section 2.1 or Section 2.2 of this Agreement. The date that the applicable portion of the Option becomes vested and exercisable is referred to herein as the “Exercise Commencement Date.” Subject to Section 14.1 of the Plan, following the Exercise Commencement Date, such applicable portion of the Option shall remain exercisable by the Optionee (or the Optionee’s Eligible Representative) until it becomes unexercisable under Section 2.5 of this Agreement. Once the Option becomes unexercisable, it shall be forfeited immediately.</w:t>
      </w:r>
    </w:p>
    <w:p>
      <w:pPr>
        <w:spacing w:after="0" w:line="15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u w:val="single" w:color="auto"/>
          <w:color w:val="auto"/>
        </w:rPr>
        <w:t>Section 2.5</w:t>
      </w:r>
      <w:r>
        <w:rPr>
          <w:sz w:val="20"/>
          <w:szCs w:val="20"/>
          <w:color w:val="auto"/>
        </w:rPr>
        <w:tab/>
      </w:r>
      <w:r>
        <w:rPr>
          <w:rFonts w:ascii="Times New Roman" w:cs="Times New Roman" w:eastAsia="Times New Roman" w:hAnsi="Times New Roman"/>
          <w:sz w:val="14"/>
          <w:szCs w:val="14"/>
          <w:u w:val="single" w:color="auto"/>
          <w:color w:val="auto"/>
        </w:rPr>
        <w:t>Expiration of Option</w:t>
      </w:r>
      <w:r>
        <w:rPr>
          <w:rFonts w:ascii="Times New Roman" w:cs="Times New Roman" w:eastAsia="Times New Roman" w:hAnsi="Times New Roman"/>
          <w:sz w:val="14"/>
          <w:szCs w:val="14"/>
          <w:color w:val="auto"/>
        </w:rPr>
        <w:t>. The Option may not be exercised after the first to occur of the following events:</w:t>
      </w:r>
    </w:p>
    <w:p>
      <w:pPr>
        <w:spacing w:after="0" w:line="166" w:lineRule="exact"/>
        <w:rPr>
          <w:sz w:val="20"/>
          <w:szCs w:val="20"/>
          <w:color w:val="auto"/>
        </w:rPr>
      </w:pPr>
    </w:p>
    <w:p>
      <w:pPr>
        <w:ind w:left="1020" w:hanging="506"/>
        <w:spacing w:after="0"/>
        <w:tabs>
          <w:tab w:leader="none" w:pos="102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Final Expiration Date;</w:t>
      </w:r>
    </w:p>
    <w:p>
      <w:pPr>
        <w:spacing w:after="0" w:line="176" w:lineRule="exact"/>
        <w:rPr>
          <w:rFonts w:ascii="Times New Roman" w:cs="Times New Roman" w:eastAsia="Times New Roman" w:hAnsi="Times New Roman"/>
          <w:sz w:val="16"/>
          <w:szCs w:val="16"/>
          <w:color w:val="auto"/>
        </w:rPr>
      </w:pPr>
    </w:p>
    <w:p>
      <w:pPr>
        <w:ind w:right="60" w:firstLine="514"/>
        <w:spacing w:after="0" w:line="273" w:lineRule="auto"/>
        <w:tabs>
          <w:tab w:leader="none" w:pos="1009"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such longer period of time as the Administrator may otherwise approve, ninety (90) days following the date of the Optionee’s termination of employment or service as a Service Provider for any reason other than Cause, death, or Disability;</w:t>
      </w:r>
    </w:p>
    <w:p>
      <w:pPr>
        <w:spacing w:after="0" w:line="122" w:lineRule="exact"/>
        <w:rPr>
          <w:rFonts w:ascii="Times New Roman" w:cs="Times New Roman" w:eastAsia="Times New Roman" w:hAnsi="Times New Roman"/>
          <w:sz w:val="16"/>
          <w:szCs w:val="16"/>
          <w:color w:val="auto"/>
        </w:rPr>
      </w:pPr>
    </w:p>
    <w:p>
      <w:pPr>
        <w:ind w:right="420" w:firstLine="514"/>
        <w:spacing w:after="0" w:line="273" w:lineRule="auto"/>
        <w:tabs>
          <w:tab w:leader="none" w:pos="1011"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the Administrator may otherwise approve, the date that the Company or the Employer terminates the Optionee’s employment or service as a Service Provider for Cause;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309" w:right="319" w:bottom="1440" w:gutter="0" w:footer="0" w:header="0"/>
        </w:sectPr>
      </w:pPr>
    </w:p>
    <w:bookmarkStart w:id="358" w:name="page359"/>
    <w:bookmarkEnd w:id="358"/>
    <w:p>
      <w:pPr>
        <w:ind w:right="60" w:firstLine="514"/>
        <w:spacing w:after="0" w:line="228" w:lineRule="auto"/>
        <w:tabs>
          <w:tab w:leader="none" w:pos="1009"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such longer period of time as the Administrator may otherwise approve, the first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6"/>
          <w:szCs w:val="16"/>
          <w:color w:val="auto"/>
        </w:rPr>
        <w:t>) anniversary of the Optionee’s termination of employment or service as a Service Provider by reason of the Optionee’s death;</w:t>
      </w:r>
    </w:p>
    <w:p>
      <w:pPr>
        <w:spacing w:after="0" w:line="147" w:lineRule="exact"/>
        <w:rPr>
          <w:rFonts w:ascii="Times New Roman" w:cs="Times New Roman" w:eastAsia="Times New Roman" w:hAnsi="Times New Roman"/>
          <w:sz w:val="16"/>
          <w:szCs w:val="16"/>
          <w:color w:val="auto"/>
        </w:rPr>
      </w:pPr>
    </w:p>
    <w:p>
      <w:pPr>
        <w:jc w:val="both"/>
        <w:ind w:right="80" w:firstLine="514"/>
        <w:spacing w:after="0" w:line="230" w:lineRule="auto"/>
        <w:tabs>
          <w:tab w:leader="none" w:pos="1011"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such longer period of time as the Administrator may otherwise approve, in the event of the Optionee’s termination of employment or service as a Service Provider by reason of the Optionee’s Disability, the first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6"/>
          <w:szCs w:val="16"/>
          <w:color w:val="auto"/>
        </w:rPr>
        <w:t>) anniversary of the later of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the Optionee’s termination of employment or service due to the Optionee’s Disability or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the date of vesting of the applicable Option; or</w:t>
      </w:r>
    </w:p>
    <w:p>
      <w:pPr>
        <w:spacing w:after="0" w:line="159"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forfeiture of an Option as provided in Section 2.3 of this Agreement and Section 11.4 of the Plan.</w:t>
      </w:r>
    </w:p>
    <w:p>
      <w:pPr>
        <w:spacing w:after="0" w:line="1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u w:val="single" w:color="auto"/>
          <w:color w:val="auto"/>
        </w:rPr>
        <w:t>Section 2.6 Partial Exercise</w:t>
      </w:r>
      <w:r>
        <w:rPr>
          <w:rFonts w:ascii="Times New Roman" w:cs="Times New Roman" w:eastAsia="Times New Roman" w:hAnsi="Times New Roman"/>
          <w:sz w:val="16"/>
          <w:szCs w:val="16"/>
          <w:color w:val="auto"/>
        </w:rPr>
        <w:t>. Any exercisable portion of the Option or the entire Option, if then wholly exercisable, may be exercised in whole or in part at any time prior to the date on which the Option or portion thereof becomes unexercisable under Section 2.5 of this Agreement.</w:t>
      </w:r>
    </w:p>
    <w:p>
      <w:pPr>
        <w:spacing w:after="0" w:line="14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u w:val="single" w:color="auto"/>
          <w:color w:val="auto"/>
        </w:rPr>
        <w:t>Section 2.7 Exercise of Option</w:t>
      </w:r>
      <w:r>
        <w:rPr>
          <w:rFonts w:ascii="Times New Roman" w:cs="Times New Roman" w:eastAsia="Times New Roman" w:hAnsi="Times New Roman"/>
          <w:sz w:val="16"/>
          <w:szCs w:val="16"/>
          <w:color w:val="auto"/>
        </w:rPr>
        <w:t>. The exercise of the Option shall be governed by the terms of this Agreement and the terms of the Plan, including, without limitation, the provisions of Article V of the Plan.</w:t>
      </w:r>
    </w:p>
    <w:p>
      <w:pPr>
        <w:spacing w:after="0" w:line="14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u w:val="single" w:color="auto"/>
          <w:color w:val="auto"/>
        </w:rPr>
        <w:t>Section 2.8</w:t>
      </w:r>
      <w:r>
        <w:rPr>
          <w:sz w:val="20"/>
          <w:szCs w:val="20"/>
          <w:color w:val="auto"/>
        </w:rPr>
        <w:tab/>
      </w:r>
      <w:r>
        <w:rPr>
          <w:rFonts w:ascii="Times New Roman" w:cs="Times New Roman" w:eastAsia="Times New Roman" w:hAnsi="Times New Roman"/>
          <w:sz w:val="14"/>
          <w:szCs w:val="14"/>
          <w:u w:val="single" w:color="auto"/>
          <w:color w:val="auto"/>
        </w:rPr>
        <w:t>Manner of Exercise</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both"/>
        <w:ind w:firstLine="514"/>
        <w:spacing w:after="0" w:line="247" w:lineRule="auto"/>
        <w:tabs>
          <w:tab w:leader="none" w:pos="833"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condition to the exercise of the Option or any portion thereof, the Optionee shall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notify the Company at least three (3) days prior to exercise and no earlier than ninety (90) days prior to exercise that the Optionee intends to exercise and specifically stating the number of Shares with respect to such Option is being exercised,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provide the Company with payment of the aggregate Option Price of the Shares with respect to which such Option is being exercised, together with any amounts necessary to satisfy all Tax-Related Items (as defined in Section 3.1 below), which shall be payable to the Company in full as set forth in this Section 2.8.</w:t>
      </w:r>
    </w:p>
    <w:p>
      <w:pPr>
        <w:spacing w:after="0" w:line="155" w:lineRule="exact"/>
        <w:rPr>
          <w:rFonts w:ascii="Times New Roman" w:cs="Times New Roman" w:eastAsia="Times New Roman" w:hAnsi="Times New Roman"/>
          <w:sz w:val="16"/>
          <w:szCs w:val="16"/>
          <w:color w:val="auto"/>
        </w:rPr>
      </w:pPr>
    </w:p>
    <w:p>
      <w:pPr>
        <w:jc w:val="both"/>
        <w:ind w:firstLine="514"/>
        <w:spacing w:after="0" w:line="245" w:lineRule="auto"/>
        <w:tabs>
          <w:tab w:leader="none" w:pos="857"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law or the applicable listing rules, if any, the Optionee may pay for the Shares with respect to which such Option or portion of such Option is exercised through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payment in cash;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with the consent of the Administrator, the delivery of Shares which are owned by the Optionee, duly endorsed for transfer to the Company with a Fair Market Value on the date of delivery equal to the aggregate Option Price of such Shares with respect to which the Option is being exercised;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with the consent of the Administrator, the surrender of Shares then-issuable upon exercise of the Option having a Fair Market Value on the date of the exercise of the Option equal to the aggregate Option Price of such Shares with respect to which the Option is being exercised; (</w:t>
      </w:r>
      <w:r>
        <w:rPr>
          <w:rFonts w:ascii="Times New Roman" w:cs="Times New Roman" w:eastAsia="Times New Roman" w:hAnsi="Times New Roman"/>
          <w:sz w:val="16"/>
          <w:szCs w:val="16"/>
          <w:u w:val="single" w:color="auto"/>
          <w:color w:val="auto"/>
        </w:rPr>
        <w:t>iv</w:t>
      </w:r>
      <w:r>
        <w:rPr>
          <w:rFonts w:ascii="Times New Roman" w:cs="Times New Roman" w:eastAsia="Times New Roman" w:hAnsi="Times New Roman"/>
          <w:sz w:val="16"/>
          <w:szCs w:val="16"/>
          <w:color w:val="auto"/>
        </w:rPr>
        <w:t>) with the consent of the Administrator, a broker-assisted cashless exercise program established by the Company; or (</w:t>
      </w:r>
      <w:r>
        <w:rPr>
          <w:rFonts w:ascii="Times New Roman" w:cs="Times New Roman" w:eastAsia="Times New Roman" w:hAnsi="Times New Roman"/>
          <w:sz w:val="16"/>
          <w:szCs w:val="16"/>
          <w:u w:val="single" w:color="auto"/>
          <w:color w:val="auto"/>
        </w:rPr>
        <w:t>v</w:t>
      </w:r>
      <w:r>
        <w:rPr>
          <w:rFonts w:ascii="Times New Roman" w:cs="Times New Roman" w:eastAsia="Times New Roman" w:hAnsi="Times New Roman"/>
          <w:sz w:val="16"/>
          <w:szCs w:val="16"/>
          <w:color w:val="auto"/>
        </w:rPr>
        <w:t xml:space="preserve">) with the consent of the Administrator, delivery of a notice that the Optionee has placed a market sell order with a broker with respect to Shares then-issuable upon exercise of the Option, and that the broker has been directed to pay a sufficient portion of the net proceeds of the sale to the Company in satisfaction of the aggregate Option Price;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payment of such proceeds is then made to the Company upon settlement of such sale. Notwithstanding the foregoing, the consent of the Administrator shall not be required with respect to clauses (iii) and (v) of this Section 2.8(b) if the Optionee exercises such Option on or after the date of the Optionee’s Retirement (as defined in the Company’s Retirement Policy).</w:t>
      </w:r>
    </w:p>
    <w:p>
      <w:pPr>
        <w:spacing w:after="0" w:line="158" w:lineRule="exact"/>
        <w:rPr>
          <w:rFonts w:ascii="Times New Roman" w:cs="Times New Roman" w:eastAsia="Times New Roman" w:hAnsi="Times New Roman"/>
          <w:sz w:val="16"/>
          <w:szCs w:val="16"/>
          <w:color w:val="auto"/>
        </w:rPr>
      </w:pPr>
    </w:p>
    <w:p>
      <w:pPr>
        <w:ind w:firstLine="514"/>
        <w:spacing w:after="0" w:line="259" w:lineRule="auto"/>
        <w:tabs>
          <w:tab w:leader="none" w:pos="859"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provision of the Agreement to the contrary, if the Optionee resides and/or works outside of the United States, the Company may require that the Optionee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exercise the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309" w:right="319" w:bottom="1440" w:gutter="0" w:footer="0" w:header="0"/>
        </w:sectPr>
      </w:pPr>
    </w:p>
    <w:bookmarkStart w:id="359" w:name="page360"/>
    <w:bookmarkEnd w:id="359"/>
    <w:p>
      <w:pPr>
        <w:jc w:val="both"/>
        <w:spacing w:after="0" w:line="252" w:lineRule="auto"/>
        <w:rPr>
          <w:sz w:val="20"/>
          <w:szCs w:val="20"/>
          <w:color w:val="auto"/>
        </w:rPr>
      </w:pPr>
      <w:r>
        <w:rPr>
          <w:rFonts w:ascii="Times New Roman" w:cs="Times New Roman" w:eastAsia="Times New Roman" w:hAnsi="Times New Roman"/>
          <w:sz w:val="16"/>
          <w:szCs w:val="16"/>
          <w:color w:val="auto"/>
        </w:rPr>
        <w:t>Option in a method other than specified above,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exercise the Option only by means of a “same day sale” transaction (either a sell-all transaction or a sell-to-cover transaction) as it determines in its sole discretion, or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sell any Shares he or she acquires under the Plan immediately or within a specified period following the termination of the Optionee’s employment or service with the Company, the Employer or any Subsidiary (in which case, the Optionee hereby agrees that the Company shall have the authority to issue sale instructions in relation to such Shares on the Optionee’s behalf).</w:t>
      </w:r>
    </w:p>
    <w:p>
      <w:pPr>
        <w:spacing w:after="0" w:line="14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u w:val="single" w:color="auto"/>
          <w:color w:val="auto"/>
        </w:rPr>
        <w:t>Section 2.9 Exercise by the Administrator</w:t>
      </w:r>
      <w:r>
        <w:rPr>
          <w:rFonts w:ascii="Times New Roman" w:cs="Times New Roman" w:eastAsia="Times New Roman" w:hAnsi="Times New Roman"/>
          <w:sz w:val="16"/>
          <w:szCs w:val="16"/>
          <w:color w:val="auto"/>
        </w:rPr>
        <w:t>. If the Optionee has not exercised the Option or any portion thereof immediately prior to the expiration of the Option under Section 2.5 of this Agreement, and the Fair Market Value on the date of expiration exceeds the Option Price of such Option, the Administrator may, in its sole discretion, exercise the Option on behalf of the Optionee by causing the Option Price to be paid through a broker-assisted cashless exercise program established by the Company. For the avoidance of doubt, the Administrator will not be required to obtain the Optionee’s consent prior to such exercise.</w:t>
      </w:r>
    </w:p>
    <w:p>
      <w:pPr>
        <w:spacing w:after="0" w:line="15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u w:val="single" w:color="auto"/>
          <w:color w:val="auto"/>
        </w:rPr>
        <w:t>Section 2.10 Change in Control</w:t>
      </w:r>
      <w:r>
        <w:rPr>
          <w:rFonts w:ascii="Times New Roman" w:cs="Times New Roman" w:eastAsia="Times New Roman" w:hAnsi="Times New Roman"/>
          <w:sz w:val="16"/>
          <w:szCs w:val="16"/>
          <w:color w:val="auto"/>
        </w:rPr>
        <w:t xml:space="preserve">. In the event of a Change in Control prior to the Vesting Date, notwithstanding anything in Article XIII of the Plan to the contrary, any unvested Options shall remain outstanding and shall vest on the applicable Vesting Date, subject to the continued employment or service of the Participant by the Company or any Subsidiary thereof through such date;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if the Participant’s employment or service is terminated by the Company or the Employer without Cause or by the Participant for Good Reason (each, a “</w:t>
      </w:r>
      <w:r>
        <w:rPr>
          <w:rFonts w:ascii="Times New Roman" w:cs="Times New Roman" w:eastAsia="Times New Roman" w:hAnsi="Times New Roman"/>
          <w:sz w:val="16"/>
          <w:szCs w:val="16"/>
          <w:u w:val="single" w:color="auto"/>
          <w:color w:val="auto"/>
        </w:rPr>
        <w:t>Qualifying CIC Termination</w:t>
      </w:r>
      <w:r>
        <w:rPr>
          <w:rFonts w:ascii="Times New Roman" w:cs="Times New Roman" w:eastAsia="Times New Roman" w:hAnsi="Times New Roman"/>
          <w:sz w:val="16"/>
          <w:szCs w:val="16"/>
          <w:color w:val="auto"/>
        </w:rPr>
        <w:t>”) within two (2) years following the effective date of the Change in Control, such outstanding Options shall vest as of the date of such Qualifying CIC Termination.</w:t>
      </w:r>
    </w:p>
    <w:p>
      <w:pPr>
        <w:spacing w:after="0" w:line="1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b w:val="1"/>
          <w:bCs w:val="1"/>
          <w:u w:val="single" w:color="auto"/>
          <w:color w:val="auto"/>
        </w:rPr>
        <w:t>OTHER PROVISIONS</w:t>
      </w:r>
    </w:p>
    <w:p>
      <w:pPr>
        <w:spacing w:after="0" w:line="159"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u w:val="single" w:color="auto"/>
          <w:color w:val="auto"/>
        </w:rPr>
        <w:t>Section 3.1 Tax Withholding</w:t>
      </w:r>
      <w:r>
        <w:rPr>
          <w:rFonts w:ascii="Times New Roman" w:cs="Times New Roman" w:eastAsia="Times New Roman" w:hAnsi="Times New Roman"/>
          <w:sz w:val="14"/>
          <w:szCs w:val="14"/>
          <w:color w:val="auto"/>
        </w:rPr>
        <w:t>. The Optionee acknowledges that, regardless of any action taken by the Company or, if different, the Optionee’s employer (the “</w:t>
      </w:r>
      <w:r>
        <w:rPr>
          <w:rFonts w:ascii="Times New Roman" w:cs="Times New Roman" w:eastAsia="Times New Roman" w:hAnsi="Times New Roman"/>
          <w:sz w:val="14"/>
          <w:szCs w:val="14"/>
          <w:u w:val="single" w:color="auto"/>
          <w:color w:val="auto"/>
        </w:rPr>
        <w:t>Employer</w:t>
      </w:r>
      <w:r>
        <w:rPr>
          <w:rFonts w:ascii="Times New Roman" w:cs="Times New Roman" w:eastAsia="Times New Roman" w:hAnsi="Times New Roman"/>
          <w:sz w:val="14"/>
          <w:szCs w:val="14"/>
          <w:color w:val="auto"/>
        </w:rPr>
        <w:t>”) with respect to any or all income tax (including U.S. federal, state and local taxes and/or non-U.S. taxes), social insurance, payroll tax, fringe benefits tax, payment on account or other tax-related items related to the Optionee’s participation in the Plan and legally applicable to the Optionee (“</w:t>
      </w:r>
      <w:r>
        <w:rPr>
          <w:rFonts w:ascii="Times New Roman" w:cs="Times New Roman" w:eastAsia="Times New Roman" w:hAnsi="Times New Roman"/>
          <w:sz w:val="14"/>
          <w:szCs w:val="14"/>
          <w:u w:val="single" w:color="auto"/>
          <w:color w:val="auto"/>
        </w:rPr>
        <w:t>Tax-Related Items</w:t>
      </w:r>
      <w:r>
        <w:rPr>
          <w:rFonts w:ascii="Times New Roman" w:cs="Times New Roman" w:eastAsia="Times New Roman" w:hAnsi="Times New Roman"/>
          <w:sz w:val="14"/>
          <w:szCs w:val="14"/>
          <w:color w:val="auto"/>
        </w:rPr>
        <w:t>”), the ultimate liability for all Tax-Related Items is and remains the Optionee’s personal responsibility and may exceed the amount, if any, actually withheld by the Company or the Employer. The Optionee further acknowledges that the Company and/or the Employer (</w:t>
      </w:r>
      <w:r>
        <w:rPr>
          <w:rFonts w:ascii="Times New Roman" w:cs="Times New Roman" w:eastAsia="Times New Roman" w:hAnsi="Times New Roman"/>
          <w:sz w:val="14"/>
          <w:szCs w:val="14"/>
          <w:u w:val="single" w:color="auto"/>
          <w:color w:val="auto"/>
        </w:rPr>
        <w:t>a</w:t>
      </w:r>
      <w:r>
        <w:rPr>
          <w:rFonts w:ascii="Times New Roman" w:cs="Times New Roman" w:eastAsia="Times New Roman" w:hAnsi="Times New Roman"/>
          <w:sz w:val="14"/>
          <w:szCs w:val="14"/>
          <w:color w:val="auto"/>
        </w:rPr>
        <w:t>) make no representations or undertakings regarding the treatment of any Tax-Related Items in connection with any aspect of the Optionee’s participation in the Plan, including, but not limited to, the grant of the Option, the vesting of the Option, the exercise of the Option, the issuance or sale of Shares, or the receipt of any dividends;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do not commit to and are under no obligation to structure the terms of the Option or any aspect of the Plan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spacing w:after="0" w:line="12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6"/>
          <w:szCs w:val="16"/>
          <w:color w:val="auto"/>
        </w:rPr>
        <w:t>Prior to any relevant taxable or tax withholding event, as applicable, the Optionee agrees to make arrangements satisfactory to the Company and/or the Employer to satisfy all Tax-Related Items. In this regard, the Optionee authorizes the Company and/or the Employer, or their respective agents, at their discretion, to satisfy their withholding obligations with regard to any Tax-Related Items by one or a combination of the following: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withholding from the Optionee’s wages or other cash compensation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308" w:right="319" w:bottom="1440" w:gutter="0" w:footer="0" w:header="0"/>
        </w:sectPr>
      </w:pPr>
    </w:p>
    <w:bookmarkStart w:id="360" w:name="page361"/>
    <w:bookmarkEnd w:id="360"/>
    <w:p>
      <w:pPr>
        <w:ind w:right="120"/>
        <w:spacing w:after="0" w:line="254" w:lineRule="auto"/>
        <w:rPr>
          <w:sz w:val="20"/>
          <w:szCs w:val="20"/>
          <w:color w:val="auto"/>
        </w:rPr>
      </w:pPr>
      <w:r>
        <w:rPr>
          <w:rFonts w:ascii="Times New Roman" w:cs="Times New Roman" w:eastAsia="Times New Roman" w:hAnsi="Times New Roman"/>
          <w:sz w:val="16"/>
          <w:szCs w:val="16"/>
          <w:color w:val="auto"/>
        </w:rPr>
        <w:t>payable to the Optionee by the Company and/or the Employer,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withholding from proceeds of the sale of Shares under the Plan, either through a voluntary sale or through a mandatory sale arranged by the Company (on the Optionee’s behalf pursuant to this authorization without further consent) to cover the Tax-Related Items required to be withheld, and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withholding in Shares to be issued upon exercise of the Option.</w:t>
      </w:r>
    </w:p>
    <w:p>
      <w:pPr>
        <w:spacing w:after="0" w:line="148"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6"/>
          <w:szCs w:val="16"/>
          <w:color w:val="auto"/>
        </w:rPr>
        <w:t>If the obligation for Tax-Related Items is satisfied by withholding in Shares, for tax purposes, the Optionee will be deemed to have been issued the full number of Shares, notwithstanding that a number of the Shares are held back solely for the purpose of paying the Tax-Related Items.</w:t>
      </w:r>
    </w:p>
    <w:p>
      <w:pPr>
        <w:spacing w:after="0" w:line="144" w:lineRule="exact"/>
        <w:rPr>
          <w:sz w:val="20"/>
          <w:szCs w:val="20"/>
          <w:color w:val="auto"/>
        </w:rPr>
      </w:pPr>
    </w:p>
    <w:p>
      <w:pPr>
        <w:ind w:left="520"/>
        <w:spacing w:after="0"/>
        <w:tabs>
          <w:tab w:leader="none" w:pos="1380" w:val="left"/>
        </w:tabs>
        <w:rPr>
          <w:sz w:val="20"/>
          <w:szCs w:val="20"/>
          <w:color w:val="auto"/>
        </w:rPr>
      </w:pPr>
      <w:r>
        <w:rPr>
          <w:rFonts w:ascii="Times New Roman" w:cs="Times New Roman" w:eastAsia="Times New Roman" w:hAnsi="Times New Roman"/>
          <w:sz w:val="16"/>
          <w:szCs w:val="16"/>
          <w:u w:val="single" w:color="auto"/>
          <w:color w:val="auto"/>
        </w:rPr>
        <w:t>Section 3.2</w:t>
      </w:r>
      <w:r>
        <w:rPr>
          <w:sz w:val="20"/>
          <w:szCs w:val="20"/>
          <w:color w:val="auto"/>
        </w:rPr>
        <w:tab/>
      </w:r>
      <w:r>
        <w:rPr>
          <w:rFonts w:ascii="Times New Roman" w:cs="Times New Roman" w:eastAsia="Times New Roman" w:hAnsi="Times New Roman"/>
          <w:sz w:val="14"/>
          <w:szCs w:val="14"/>
          <w:u w:val="single" w:color="auto"/>
          <w:color w:val="auto"/>
        </w:rPr>
        <w:t>Nature of Grant</w:t>
      </w:r>
      <w:r>
        <w:rPr>
          <w:rFonts w:ascii="Times New Roman" w:cs="Times New Roman" w:eastAsia="Times New Roman" w:hAnsi="Times New Roman"/>
          <w:sz w:val="14"/>
          <w:szCs w:val="14"/>
          <w:color w:val="auto"/>
        </w:rPr>
        <w:t>. By accepting the Option, the Optionee acknowledges, understands and agrees that:</w:t>
      </w:r>
    </w:p>
    <w:p>
      <w:pPr>
        <w:spacing w:after="0" w:line="177" w:lineRule="exact"/>
        <w:rPr>
          <w:sz w:val="20"/>
          <w:szCs w:val="20"/>
          <w:color w:val="auto"/>
        </w:rPr>
      </w:pPr>
    </w:p>
    <w:p>
      <w:pPr>
        <w:ind w:firstLine="514"/>
        <w:spacing w:after="0" w:line="259" w:lineRule="auto"/>
        <w:tabs>
          <w:tab w:leader="none" w:pos="1011"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established voluntarily by the Company, it is discretionary in nature and it may be terminated, suspended or amended by the Company at any time, to the extent permitted by the Plan;</w:t>
      </w:r>
    </w:p>
    <w:p>
      <w:pPr>
        <w:spacing w:after="0" w:line="143" w:lineRule="exact"/>
        <w:rPr>
          <w:rFonts w:ascii="Times New Roman" w:cs="Times New Roman" w:eastAsia="Times New Roman" w:hAnsi="Times New Roman"/>
          <w:sz w:val="16"/>
          <w:szCs w:val="16"/>
          <w:color w:val="auto"/>
        </w:rPr>
      </w:pPr>
    </w:p>
    <w:p>
      <w:pPr>
        <w:ind w:right="140" w:firstLine="514"/>
        <w:spacing w:after="0" w:line="259" w:lineRule="auto"/>
        <w:tabs>
          <w:tab w:leader="none" w:pos="1009"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Option is voluntary and does not create any contractual or other right to receive future Options or benefits in lieu of Options, even if Options have been granted in the past;</w:t>
      </w:r>
    </w:p>
    <w:p>
      <w:pPr>
        <w:spacing w:after="0" w:line="143"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decisions with respect to future Options or other grants, if any, will be at the sole discretion of the Administrator;</w:t>
      </w:r>
    </w:p>
    <w:p>
      <w:pPr>
        <w:spacing w:after="0" w:line="176" w:lineRule="exact"/>
        <w:rPr>
          <w:rFonts w:ascii="Times New Roman" w:cs="Times New Roman" w:eastAsia="Times New Roman" w:hAnsi="Times New Roman"/>
          <w:sz w:val="16"/>
          <w:szCs w:val="16"/>
          <w:color w:val="auto"/>
        </w:rPr>
      </w:pPr>
    </w:p>
    <w:p>
      <w:pPr>
        <w:jc w:val="both"/>
        <w:ind w:right="240" w:firstLine="514"/>
        <w:spacing w:after="0" w:line="254" w:lineRule="auto"/>
        <w:tabs>
          <w:tab w:leader="none" w:pos="1009"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Option and the Optionee’s participation in the Plan shall not create a right to employment or be interpreted as forming an employment or service contract with the Company, the Employer or any other Subsidiary and shall not interfere with the ability of the Company, the Employer or any other Subsidiary to terminate the Optionee’s employment or service relationship (if any);</w:t>
      </w:r>
    </w:p>
    <w:p>
      <w:pPr>
        <w:spacing w:after="0" w:line="137"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is voluntarily participating in the Plan;</w:t>
      </w:r>
    </w:p>
    <w:p>
      <w:pPr>
        <w:spacing w:after="0" w:line="176"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Shares acquired pursuant to such Option, and the income from and value of the same, are not intended to replace any pension rights or</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w:t>
      </w:r>
    </w:p>
    <w:p>
      <w:pPr>
        <w:spacing w:after="0" w:line="154" w:lineRule="exact"/>
        <w:rPr>
          <w:rFonts w:ascii="Times New Roman" w:cs="Times New Roman" w:eastAsia="Times New Roman" w:hAnsi="Times New Roman"/>
          <w:sz w:val="16"/>
          <w:szCs w:val="16"/>
          <w:color w:val="auto"/>
        </w:rPr>
      </w:pPr>
    </w:p>
    <w:p>
      <w:pPr>
        <w:ind w:right="100" w:firstLine="514"/>
        <w:spacing w:after="0" w:line="254" w:lineRule="auto"/>
        <w:tabs>
          <w:tab w:leader="none" w:pos="1009"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Shares acquired pursuant to such Option, and the income from and value of the same, are extraordinary items that do not constitute compensation of any kind for services of any kind rendered to the Company, the Employer or any other Subsidiary, and which are outside the scope of the Optionee’s employment or service and the Optionee’s employment or service agreement, if any;</w:t>
      </w:r>
    </w:p>
    <w:p>
      <w:pPr>
        <w:spacing w:after="0" w:line="147" w:lineRule="exact"/>
        <w:rPr>
          <w:rFonts w:ascii="Times New Roman" w:cs="Times New Roman" w:eastAsia="Times New Roman" w:hAnsi="Times New Roman"/>
          <w:sz w:val="16"/>
          <w:szCs w:val="16"/>
          <w:color w:val="auto"/>
        </w:rPr>
      </w:pPr>
    </w:p>
    <w:p>
      <w:pPr>
        <w:ind w:right="20" w:firstLine="514"/>
        <w:spacing w:after="0" w:line="254" w:lineRule="auto"/>
        <w:tabs>
          <w:tab w:leader="none" w:pos="1009"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Shares acquired pursuant to such Option,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47" w:lineRule="exact"/>
        <w:rPr>
          <w:rFonts w:ascii="Times New Roman" w:cs="Times New Roman" w:eastAsia="Times New Roman" w:hAnsi="Times New Roman"/>
          <w:sz w:val="16"/>
          <w:szCs w:val="16"/>
          <w:color w:val="auto"/>
        </w:rPr>
      </w:pPr>
    </w:p>
    <w:p>
      <w:pPr>
        <w:ind w:right="100" w:firstLine="514"/>
        <w:spacing w:after="0" w:line="259" w:lineRule="auto"/>
        <w:tabs>
          <w:tab w:leader="none" w:pos="1017"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value of the Shares underlying the Option is unknown, indeterminable and cannot be predicted with certainty and the value of such Shares may increase or decrease in the future;</w:t>
      </w:r>
    </w:p>
    <w:p>
      <w:pPr>
        <w:spacing w:after="0" w:line="143"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underlying Shares do not increase in value, the Option will have no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20"/>
          </w:cols>
          <w:pgMar w:left="300" w:top="1308" w:right="379" w:bottom="1440" w:gutter="0" w:footer="0" w:header="0"/>
        </w:sectPr>
      </w:pPr>
    </w:p>
    <w:bookmarkStart w:id="361" w:name="page362"/>
    <w:bookmarkEnd w:id="361"/>
    <w:p>
      <w:pPr>
        <w:ind w:left="1020" w:hanging="506"/>
        <w:spacing w:after="0"/>
        <w:tabs>
          <w:tab w:leader="none" w:pos="102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Optionee exercises the Option and acquires Shares, the value of such Shares may increase or decrease in value, even below the Option Price;</w:t>
      </w:r>
    </w:p>
    <w:p>
      <w:pPr>
        <w:spacing w:after="0" w:line="176" w:lineRule="exact"/>
        <w:rPr>
          <w:rFonts w:ascii="Times New Roman" w:cs="Times New Roman" w:eastAsia="Times New Roman" w:hAnsi="Times New Roman"/>
          <w:sz w:val="16"/>
          <w:szCs w:val="16"/>
          <w:color w:val="auto"/>
        </w:rPr>
      </w:pPr>
    </w:p>
    <w:p>
      <w:pPr>
        <w:ind w:right="40" w:firstLine="514"/>
        <w:spacing w:after="0" w:line="248" w:lineRule="auto"/>
        <w:tabs>
          <w:tab w:leader="none" w:pos="1017"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or entitlement to compensation or damages shall arise from forfeiture of the Option or recoupment of any gains earned or accrued due to the sale of Shares acquired upon exercise of the Option resulting from, but not limited to, the (</w:t>
      </w:r>
      <w:r>
        <w:rPr>
          <w:rFonts w:ascii="Times New Roman" w:cs="Times New Roman" w:eastAsia="Times New Roman" w:hAnsi="Times New Roman"/>
          <w:sz w:val="16"/>
          <w:szCs w:val="16"/>
          <w:u w:val="single" w:color="auto"/>
          <w:color w:val="auto"/>
        </w:rPr>
        <w:t>1</w:t>
      </w:r>
      <w:r>
        <w:rPr>
          <w:rFonts w:ascii="Times New Roman" w:cs="Times New Roman" w:eastAsia="Times New Roman" w:hAnsi="Times New Roman"/>
          <w:sz w:val="16"/>
          <w:szCs w:val="16"/>
          <w:color w:val="auto"/>
        </w:rPr>
        <w:t>) termination of the Optionee’s employment or service (regardless of the reason for the termination and whether or not the termination is later found to be invalid or in breach of employment laws in the jurisdiction where the Optionee is employed or the terms of the Optionee’s employment or service agreement, if any) and/or (</w:t>
      </w:r>
      <w:r>
        <w:rPr>
          <w:rFonts w:ascii="Times New Roman" w:cs="Times New Roman" w:eastAsia="Times New Roman" w:hAnsi="Times New Roman"/>
          <w:sz w:val="16"/>
          <w:szCs w:val="16"/>
          <w:u w:val="single" w:color="auto"/>
          <w:color w:val="auto"/>
        </w:rPr>
        <w:t>2</w:t>
      </w:r>
      <w:r>
        <w:rPr>
          <w:rFonts w:ascii="Times New Roman" w:cs="Times New Roman" w:eastAsia="Times New Roman" w:hAnsi="Times New Roman"/>
          <w:sz w:val="16"/>
          <w:szCs w:val="16"/>
          <w:color w:val="auto"/>
        </w:rPr>
        <w:t>) the application of any Applicable Law or regulations, or any recoupment policy or any recovery or clawback policy maintained by the Company or otherwise required by Applicable Law; and</w:t>
      </w:r>
    </w:p>
    <w:p>
      <w:pPr>
        <w:spacing w:after="0" w:line="152" w:lineRule="exact"/>
        <w:rPr>
          <w:rFonts w:ascii="Times New Roman" w:cs="Times New Roman" w:eastAsia="Times New Roman" w:hAnsi="Times New Roman"/>
          <w:sz w:val="16"/>
          <w:szCs w:val="16"/>
          <w:color w:val="auto"/>
        </w:rPr>
      </w:pPr>
    </w:p>
    <w:p>
      <w:pPr>
        <w:jc w:val="both"/>
        <w:ind w:right="80" w:firstLine="514"/>
        <w:spacing w:after="0" w:line="254" w:lineRule="auto"/>
        <w:tabs>
          <w:tab w:leader="none" w:pos="101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the Employer nor any other Subsidiary shall be liable for any foreign exchange rate fluctuation between the Optionee’s local currency and the United States Dollar that may affect the value of the Shares or any amounts due pursuant to the issuance of the Shares, or the subsequent sale of any Shares acquired pursuant to the Option.</w:t>
      </w:r>
    </w:p>
    <w:p>
      <w:pPr>
        <w:spacing w:after="0" w:line="137"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u w:val="single" w:color="auto"/>
          <w:color w:val="auto"/>
        </w:rPr>
        <w:t>Section 3.3 Shares Subject to Plan; Restrictions on the Transfer of Option and Company Common Stock</w:t>
      </w:r>
      <w:r>
        <w:rPr>
          <w:rFonts w:ascii="Times New Roman" w:cs="Times New Roman" w:eastAsia="Times New Roman" w:hAnsi="Times New Roman"/>
          <w:sz w:val="16"/>
          <w:szCs w:val="16"/>
          <w:color w:val="auto"/>
        </w:rPr>
        <w:t>. The Optionee acknowledges that this Option and any Shares acquired upon exercise of the Option are subject to the terms of the Plan, including, without limitation, the restrictions set forth in Section 5.8 and Section 5.9 of the Plan.</w:t>
      </w:r>
    </w:p>
    <w:p>
      <w:pPr>
        <w:spacing w:after="0" w:line="133"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u w:val="single" w:color="auto"/>
          <w:color w:val="auto"/>
        </w:rPr>
        <w:t>Section 3.4 Registration of Shares</w:t>
      </w:r>
      <w:r>
        <w:rPr>
          <w:rFonts w:ascii="Times New Roman" w:cs="Times New Roman" w:eastAsia="Times New Roman" w:hAnsi="Times New Roman"/>
          <w:sz w:val="16"/>
          <w:szCs w:val="16"/>
          <w:color w:val="auto"/>
        </w:rPr>
        <w:t>. The Company may postpone the issuance and delivery of Company Common Stock upon the exercise of the Option until such Shares may be issued in compliance with any applicable state or federal law, rule or regulation. Notwithstanding any other provision in this Agreement, the Optionee may not sell the Shares acquired upon exercise of the Option unless such Shares are registered under the Securities Act, or, if such Shares are not then so registered, such sale would be exempt from the registration requirements of the Securities Act. The sale must also comply with other Applicable Law and regulations governing the Shares, and the Optionee shall not sell the Shares if the Administrator determines that such sale would not be in compliance with such laws and regulations.</w:t>
      </w:r>
    </w:p>
    <w:p>
      <w:pPr>
        <w:spacing w:after="0" w:line="153" w:lineRule="exact"/>
        <w:rPr>
          <w:sz w:val="20"/>
          <w:szCs w:val="20"/>
          <w:color w:val="auto"/>
        </w:rPr>
      </w:pPr>
    </w:p>
    <w:p>
      <w:pPr>
        <w:ind w:left="520"/>
        <w:spacing w:after="0"/>
        <w:tabs>
          <w:tab w:leader="none" w:pos="1380" w:val="left"/>
        </w:tabs>
        <w:rPr>
          <w:sz w:val="20"/>
          <w:szCs w:val="20"/>
          <w:color w:val="auto"/>
        </w:rPr>
      </w:pPr>
      <w:r>
        <w:rPr>
          <w:rFonts w:ascii="Times New Roman" w:cs="Times New Roman" w:eastAsia="Times New Roman" w:hAnsi="Times New Roman"/>
          <w:sz w:val="16"/>
          <w:szCs w:val="16"/>
          <w:u w:val="single" w:color="auto"/>
          <w:color w:val="auto"/>
        </w:rPr>
        <w:t>Section 3.5</w:t>
      </w:r>
      <w:r>
        <w:rPr>
          <w:sz w:val="20"/>
          <w:szCs w:val="20"/>
          <w:color w:val="auto"/>
        </w:rPr>
        <w:tab/>
      </w:r>
      <w:r>
        <w:rPr>
          <w:rFonts w:ascii="Times New Roman" w:cs="Times New Roman" w:eastAsia="Times New Roman" w:hAnsi="Times New Roman"/>
          <w:sz w:val="14"/>
          <w:szCs w:val="14"/>
          <w:u w:val="single" w:color="auto"/>
          <w:color w:val="auto"/>
        </w:rPr>
        <w:t>Construction</w:t>
      </w:r>
      <w:r>
        <w:rPr>
          <w:rFonts w:ascii="Times New Roman" w:cs="Times New Roman" w:eastAsia="Times New Roman" w:hAnsi="Times New Roman"/>
          <w:sz w:val="14"/>
          <w:szCs w:val="14"/>
          <w:color w:val="auto"/>
        </w:rPr>
        <w:t>. This Agreement shall be administered, interpreted and enforced under the laws of the State of Delaware.</w:t>
      </w:r>
    </w:p>
    <w:p>
      <w:pPr>
        <w:spacing w:after="0" w:line="166"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u w:val="single" w:color="auto"/>
          <w:color w:val="auto"/>
        </w:rPr>
        <w:t>Section 3.6 Conformity to Securities Laws</w:t>
      </w:r>
      <w:r>
        <w:rPr>
          <w:rFonts w:ascii="Times New Roman" w:cs="Times New Roman" w:eastAsia="Times New Roman" w:hAnsi="Times New Roman"/>
          <w:sz w:val="16"/>
          <w:szCs w:val="16"/>
          <w:color w:val="auto"/>
        </w:rPr>
        <w:t>. The Optionee acknowledges that the Plan is intended to conform to the extent necessary with all provisions of the Securities Act and the Exchange Act and any and all regulations and rules promulgated thereunder by the Securities and Exchange Commission, including without limitation Rule 16b-3. Notwithstanding anything herein to the contrary, the Plan and this Agreement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153"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u w:val="single" w:color="auto"/>
          <w:color w:val="auto"/>
        </w:rPr>
        <w:t>Section 3.7 Amendment, Suspension and Termination</w:t>
      </w:r>
      <w:r>
        <w:rPr>
          <w:rFonts w:ascii="Times New Roman" w:cs="Times New Roman" w:eastAsia="Times New Roman" w:hAnsi="Times New Roman"/>
          <w:sz w:val="16"/>
          <w:szCs w:val="16"/>
          <w:color w:val="auto"/>
        </w:rPr>
        <w:t xml:space="preserve">. This Agreement may be wholly or partially amended or otherwise modified, suspended or terminated at any time or from time to time by the Administrator,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except as provided by Section 14.1 of the Plan, neither the amendment,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309" w:right="319" w:bottom="1440" w:gutter="0" w:footer="0" w:header="0"/>
        </w:sectPr>
      </w:pPr>
    </w:p>
    <w:bookmarkStart w:id="362" w:name="page363"/>
    <w:bookmarkEnd w:id="362"/>
    <w:p>
      <w:pPr>
        <w:jc w:val="both"/>
        <w:spacing w:after="0" w:line="273" w:lineRule="auto"/>
        <w:rPr>
          <w:sz w:val="20"/>
          <w:szCs w:val="20"/>
          <w:color w:val="auto"/>
        </w:rPr>
      </w:pPr>
      <w:r>
        <w:rPr>
          <w:rFonts w:ascii="Times New Roman" w:cs="Times New Roman" w:eastAsia="Times New Roman" w:hAnsi="Times New Roman"/>
          <w:sz w:val="16"/>
          <w:szCs w:val="16"/>
          <w:color w:val="auto"/>
        </w:rPr>
        <w:t>modification, suspension nor termination of this Agreement (including the Grant Notice) shall, without the consent of the Optionee, materially alter or impair any rights or obligations under this Agreement.</w:t>
      </w:r>
    </w:p>
    <w:p>
      <w:pPr>
        <w:spacing w:after="0" w:line="123"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u w:val="single" w:color="auto"/>
          <w:color w:val="auto"/>
        </w:rPr>
        <w:t>Section 3.8 Employee Data Privacy</w:t>
      </w:r>
      <w:r>
        <w:rPr>
          <w:rFonts w:ascii="Times New Roman" w:cs="Times New Roman" w:eastAsia="Times New Roman" w:hAnsi="Times New Roman"/>
          <w:sz w:val="16"/>
          <w:szCs w:val="16"/>
          <w:color w:val="auto"/>
        </w:rPr>
        <w:t>. The collection, use, disclosure and transfer, in electronic or other form, of personally identifiable information by and among, as applicable, the Company, the Employer and its Subsidiaries and Affiliates, or any agent of the Company administering or providing Plan services, for the purpose of implementing, administering and managing the Optionee’s participation in the Plan is governed by the Employee Privacy Notice (the “</w:t>
      </w:r>
      <w:r>
        <w:rPr>
          <w:rFonts w:ascii="Times New Roman" w:cs="Times New Roman" w:eastAsia="Times New Roman" w:hAnsi="Times New Roman"/>
          <w:sz w:val="16"/>
          <w:szCs w:val="16"/>
          <w:u w:val="single" w:color="auto"/>
          <w:color w:val="auto"/>
        </w:rPr>
        <w:t>Privacy Notice</w:t>
      </w:r>
      <w:r>
        <w:rPr>
          <w:rFonts w:ascii="Times New Roman" w:cs="Times New Roman" w:eastAsia="Times New Roman" w:hAnsi="Times New Roman"/>
          <w:sz w:val="16"/>
          <w:szCs w:val="16"/>
          <w:color w:val="auto"/>
        </w:rPr>
        <w:t xml:space="preserve">”) that Optionee received in the course of his or her relationship with the Company. The Optionee understands that he or she may review the </w:t>
      </w:r>
      <w:r>
        <w:rPr>
          <w:rFonts w:ascii="Times New Roman" w:cs="Times New Roman" w:eastAsia="Times New Roman" w:hAnsi="Times New Roman"/>
          <w:sz w:val="16"/>
          <w:szCs w:val="16"/>
          <w:u w:val="single" w:color="auto"/>
          <w:color w:val="0000FF"/>
        </w:rPr>
        <w:t>Privacy Notice</w:t>
      </w:r>
      <w:r>
        <w:rPr>
          <w:rFonts w:ascii="Times New Roman" w:cs="Times New Roman" w:eastAsia="Times New Roman" w:hAnsi="Times New Roman"/>
          <w:sz w:val="16"/>
          <w:szCs w:val="16"/>
          <w:color w:val="auto"/>
        </w:rPr>
        <w:t xml:space="preserve"> or contact his or her local human resources representative to request a copy of the Privacy Notice. Please contact </w:t>
      </w:r>
      <w:r>
        <w:rPr>
          <w:rFonts w:ascii="Times New Roman" w:cs="Times New Roman" w:eastAsia="Times New Roman" w:hAnsi="Times New Roman"/>
          <w:sz w:val="16"/>
          <w:szCs w:val="16"/>
          <w:u w:val="single" w:color="auto"/>
          <w:color w:val="0000FF"/>
        </w:rPr>
        <w:t>ethics@bah.com</w:t>
      </w:r>
      <w:r>
        <w:rPr>
          <w:rFonts w:ascii="Times New Roman" w:cs="Times New Roman" w:eastAsia="Times New Roman" w:hAnsi="Times New Roman"/>
          <w:sz w:val="16"/>
          <w:szCs w:val="16"/>
          <w:color w:val="auto"/>
        </w:rPr>
        <w:t xml:space="preserve"> if the Optionee has any questions or concerns about how the Company or its Subsidiaries and Affiliates process personally identifiable information.</w:t>
      </w:r>
    </w:p>
    <w:p>
      <w:pPr>
        <w:spacing w:after="0" w:line="1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u w:val="single" w:color="auto"/>
          <w:color w:val="auto"/>
        </w:rPr>
        <w:t>Section 3.9 No Advice Regarding Grant</w:t>
      </w:r>
      <w:r>
        <w:rPr>
          <w:rFonts w:ascii="Times New Roman" w:cs="Times New Roman" w:eastAsia="Times New Roman" w:hAnsi="Times New Roman"/>
          <w:sz w:val="16"/>
          <w:szCs w:val="16"/>
          <w:color w:val="auto"/>
        </w:rPr>
        <w:t>. The Optionee acknowledges that neither the Company nor the Employer are providing any tax, legal or financial advice, or making any recommendations regarding the Optionee’s participation in the Plan. The Optionee should consult his or her own personal tax, legal and financial advisors regarding the Optionee’s participation in the Plan before taking any action related to the Plan.</w:t>
      </w:r>
    </w:p>
    <w:p>
      <w:pPr>
        <w:spacing w:after="0" w:line="14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6"/>
          <w:szCs w:val="16"/>
          <w:u w:val="single" w:color="auto"/>
          <w:color w:val="auto"/>
        </w:rPr>
        <w:t>Section 3.10 Country-Specific Provisions</w:t>
      </w:r>
      <w:r>
        <w:rPr>
          <w:rFonts w:ascii="Times New Roman" w:cs="Times New Roman" w:eastAsia="Times New Roman" w:hAnsi="Times New Roman"/>
          <w:sz w:val="16"/>
          <w:szCs w:val="16"/>
          <w:color w:val="auto"/>
        </w:rPr>
        <w:t xml:space="preserve">. The Optionee’s participation in the Plan shall be subject to any special terms and conditions set forth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attached hereto applicable to the Optionee’s country. Moreover, if the Optionee relocates to one of the countries included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the special terms and conditions applicable to such country will apply to the Optionee, to the extent the Company determines that the application of such terms and conditions is necessary or advisable for legal or administrative reasons.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constitutes a part of this Agreement.</w:t>
      </w:r>
    </w:p>
    <w:p>
      <w:pPr>
        <w:spacing w:after="0" w:line="15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u w:val="single" w:color="auto"/>
          <w:color w:val="auto"/>
        </w:rPr>
        <w:t>Section 3.11 Other Requirements</w:t>
      </w:r>
      <w:r>
        <w:rPr>
          <w:rFonts w:ascii="Times New Roman" w:cs="Times New Roman" w:eastAsia="Times New Roman" w:hAnsi="Times New Roman"/>
          <w:sz w:val="16"/>
          <w:szCs w:val="16"/>
          <w:color w:val="auto"/>
        </w:rPr>
        <w:t>. The Company reserves the right to impose other requirements on the Optionee’s participation in the Plan and on any Shares acquired upon exercise of the Option granted hereunder, to the extent the Company determines it is necessary or advisable for legal or administrative reasons, and to require the Optionee to sign any additional agreements or undertakings that may be necessary to accomplish the foregoing.</w:t>
      </w:r>
    </w:p>
    <w:p>
      <w:pPr>
        <w:spacing w:after="0" w:line="14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6"/>
          <w:szCs w:val="16"/>
          <w:u w:val="single" w:color="auto"/>
          <w:color w:val="auto"/>
        </w:rPr>
        <w:t>Section 3.12 Electronic Delivery</w:t>
      </w:r>
      <w:r>
        <w:rPr>
          <w:rFonts w:ascii="Times New Roman" w:cs="Times New Roman" w:eastAsia="Times New Roman" w:hAnsi="Times New Roman"/>
          <w:sz w:val="16"/>
          <w:szCs w:val="16"/>
          <w:color w:val="auto"/>
        </w:rPr>
        <w:t>. The Company may, in its sole discretion, decide to deliver any documents related to any Option granted under the Plan, including this Agreement, by electronic means or request the Optionee’s consent to participate in the Plan by electronic means. The Optionee hereby explicitly and unambiguously consents to receive such documents (including, without limitation, information required to be delivered to the Optionee pursuant to applicable securities laws) by electronic delivery and, if requested, agrees to participate in the Plan through an on-line or electronic system established and maintained by the Company or another third-party designated by the Company, and such consent shall remain in effect throughout the Optionee’s term of employment or service with the Company and thereafter until withdrawn in writing by the Optionee. The Optionee acknowledges that he or she may receive from the Company a paper copy of any documents delivered electronically at no cost to the Optionee by contacting the Company by telephone or in writing. The Optionee further acknowledges that the Optionee will be provided with a paper copy of any documents if the attempted electronic delivery of such documents fails. Similarly, the Optionee understands that the Optionee must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308" w:right="31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6"/>
          <w:szCs w:val="16"/>
          <w:color w:val="auto"/>
        </w:rPr>
        <w:t>provide the Company or any designated third-party administrator with a paper copy of any documents if the attempted electronic delivery of such documents fails.</w:t>
      </w:r>
    </w:p>
    <w:p>
      <w:pPr>
        <w:spacing w:after="0" w:line="177" w:lineRule="exact"/>
        <w:rPr>
          <w:sz w:val="20"/>
          <w:szCs w:val="20"/>
          <w:color w:val="auto"/>
        </w:rPr>
      </w:pPr>
    </w:p>
    <w:p>
      <w:pPr>
        <w:ind w:left="520"/>
        <w:spacing w:after="0"/>
        <w:tabs>
          <w:tab w:leader="none" w:pos="1460" w:val="left"/>
        </w:tabs>
        <w:rPr>
          <w:sz w:val="20"/>
          <w:szCs w:val="20"/>
          <w:color w:val="auto"/>
        </w:rPr>
      </w:pPr>
      <w:r>
        <w:rPr>
          <w:rFonts w:ascii="Times New Roman" w:cs="Times New Roman" w:eastAsia="Times New Roman" w:hAnsi="Times New Roman"/>
          <w:sz w:val="16"/>
          <w:szCs w:val="16"/>
          <w:u w:val="single" w:color="auto"/>
          <w:color w:val="auto"/>
        </w:rPr>
        <w:t>Section 3.13</w:t>
      </w:r>
      <w:r>
        <w:rPr>
          <w:sz w:val="20"/>
          <w:szCs w:val="20"/>
          <w:color w:val="auto"/>
        </w:rPr>
        <w:tab/>
      </w: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firstLine="514"/>
        <w:spacing w:after="0" w:line="273" w:lineRule="auto"/>
        <w:tabs>
          <w:tab w:leader="none" w:pos="858"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shall have no rights as a stockholder of the Company with respect to the Shares subject to the Option until such time as the Option Price has been paid and the other requirements of Section 2.8 above have been satisfied, and the Shares have been issued and delivered to the Optionee.</w:t>
      </w:r>
    </w:p>
    <w:p>
      <w:pPr>
        <w:spacing w:after="0" w:line="122" w:lineRule="exact"/>
        <w:rPr>
          <w:rFonts w:ascii="Times New Roman" w:cs="Times New Roman" w:eastAsia="Times New Roman" w:hAnsi="Times New Roman"/>
          <w:sz w:val="16"/>
          <w:szCs w:val="16"/>
          <w:color w:val="auto"/>
        </w:rPr>
      </w:pPr>
    </w:p>
    <w:p>
      <w:pPr>
        <w:ind w:firstLine="514"/>
        <w:spacing w:after="0" w:line="273" w:lineRule="auto"/>
        <w:tabs>
          <w:tab w:leader="none" w:pos="93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subject to all applicable laws, rules, and regulations, and to such approvals by any governmental agencies or United States or foreign securities exchanges as may be required.</w:t>
      </w:r>
    </w:p>
    <w:p>
      <w:pPr>
        <w:spacing w:after="0" w:line="133" w:lineRule="exact"/>
        <w:rPr>
          <w:rFonts w:ascii="Times New Roman" w:cs="Times New Roman" w:eastAsia="Times New Roman" w:hAnsi="Times New Roman"/>
          <w:sz w:val="16"/>
          <w:szCs w:val="16"/>
          <w:color w:val="auto"/>
        </w:rPr>
      </w:pPr>
    </w:p>
    <w:p>
      <w:pPr>
        <w:jc w:val="both"/>
        <w:ind w:firstLine="514"/>
        <w:spacing w:after="0" w:line="254" w:lineRule="auto"/>
        <w:tabs>
          <w:tab w:leader="none" w:pos="837"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acknowledges that the Company is organized under the laws of the State of Delaware. The Optionee and the Company agree that this Agreement shall be construed in accordance with and governed by the laws of the State of Delaware, without reference to principles of conflict of laws that would apply the laws of any other jurisdiction.</w:t>
      </w:r>
    </w:p>
    <w:p>
      <w:pPr>
        <w:spacing w:after="0" w:line="137" w:lineRule="exact"/>
        <w:rPr>
          <w:rFonts w:ascii="Times New Roman" w:cs="Times New Roman" w:eastAsia="Times New Roman" w:hAnsi="Times New Roman"/>
          <w:sz w:val="16"/>
          <w:szCs w:val="16"/>
          <w:color w:val="auto"/>
        </w:rPr>
      </w:pPr>
    </w:p>
    <w:p>
      <w:pPr>
        <w:jc w:val="both"/>
        <w:ind w:firstLine="514"/>
        <w:spacing w:after="0" w:line="248" w:lineRule="auto"/>
        <w:tabs>
          <w:tab w:leader="none" w:pos="971"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acknowledges that the Company’s principal place of business is in, and a substantial portion of the Company’s business is based out of, the Commonwealth of Virginia, U.S.A. The Optionee also acknowledges that, as such, during the course of the Optionee’s service with the Company and its Subsidiaries, the Optionee shall have substantial contacts with the Commonwealth of Virginia, U.S.A. Accordingly, the Optionee and the Company agree that the exclusive forum for any action, demand, claim or counterclaim relating to the terms and provisions of this Agreement, or to their breach, shall be in the appropriate state or federal court located in the Commonwealth of Virginia, U.S.A. The Optionee and the Company hereby consent to the personal jurisdiction of such courts over the parties to this Agreement. The Optionee expressly waives any defense that such courts lack personal jurisdiction or are inconvenient. The Optionee and the Company further agree that in any such action for breach or enforcement of this Agreement, no party will seek to challenge the validity or enforceability of any part of this Agreement.</w:t>
      </w:r>
    </w:p>
    <w:p>
      <w:pPr>
        <w:spacing w:after="0" w:line="154" w:lineRule="exact"/>
        <w:rPr>
          <w:rFonts w:ascii="Times New Roman" w:cs="Times New Roman" w:eastAsia="Times New Roman" w:hAnsi="Times New Roman"/>
          <w:sz w:val="16"/>
          <w:szCs w:val="16"/>
          <w:color w:val="auto"/>
        </w:rPr>
      </w:pPr>
    </w:p>
    <w:p>
      <w:pPr>
        <w:jc w:val="both"/>
        <w:ind w:firstLine="514"/>
        <w:spacing w:after="0" w:line="254" w:lineRule="auto"/>
        <w:tabs>
          <w:tab w:leader="none" w:pos="903"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Neither this Agreement nor any right, remedy, obligation or liability arising hereunder or by reason hereof shall be assignable by the Company or the Participant without the prior written consent of the other party,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Company may assign all or any portion of its rights or obligations under this Agreement to one or more Persons or other entities designated by it.</w:t>
      </w:r>
    </w:p>
    <w:p>
      <w:pPr>
        <w:spacing w:after="0" w:line="137" w:lineRule="exact"/>
        <w:rPr>
          <w:rFonts w:ascii="Times New Roman" w:cs="Times New Roman" w:eastAsia="Times New Roman" w:hAnsi="Times New Roman"/>
          <w:sz w:val="16"/>
          <w:szCs w:val="16"/>
          <w:color w:val="auto"/>
        </w:rPr>
      </w:pPr>
    </w:p>
    <w:p>
      <w:pPr>
        <w:ind w:firstLine="514"/>
        <w:spacing w:after="0" w:line="346" w:lineRule="auto"/>
        <w:tabs>
          <w:tab w:leader="none" w:pos="812"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of the Company under this Agreement and the Plan, with respect to the Option,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76" w:lineRule="exact"/>
        <w:rPr>
          <w:rFonts w:ascii="Times New Roman" w:cs="Times New Roman" w:eastAsia="Times New Roman" w:hAnsi="Times New Roman"/>
          <w:sz w:val="14"/>
          <w:szCs w:val="14"/>
          <w:color w:val="auto"/>
        </w:rPr>
      </w:pPr>
    </w:p>
    <w:p>
      <w:pPr>
        <w:ind w:firstLine="514"/>
        <w:spacing w:after="0" w:line="273" w:lineRule="auto"/>
        <w:tabs>
          <w:tab w:leader="none" w:pos="877"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any provision of this Agreement shall be held illegal or invalid for any reason, the illegality or invalidity shall not affect the remaining parts of this Agreement, and this Agreement shall be construed and enforced as if the illegal or invalid provision had not been included.</w:t>
      </w:r>
    </w:p>
    <w:p>
      <w:pPr>
        <w:spacing w:after="0" w:line="133" w:lineRule="exact"/>
        <w:rPr>
          <w:rFonts w:ascii="Times New Roman" w:cs="Times New Roman" w:eastAsia="Times New Roman" w:hAnsi="Times New Roman"/>
          <w:sz w:val="16"/>
          <w:szCs w:val="16"/>
          <w:color w:val="auto"/>
        </w:rPr>
      </w:pPr>
    </w:p>
    <w:p>
      <w:pPr>
        <w:ind w:firstLine="514"/>
        <w:spacing w:after="0" w:line="259" w:lineRule="auto"/>
        <w:tabs>
          <w:tab w:leader="none" w:pos="85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may be executed in any number of counterparts, each of which shall be deemed to be an original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309" w:right="319" w:bottom="1440" w:gutter="0" w:footer="0" w:header="0"/>
        </w:sectPr>
      </w:pPr>
    </w:p>
    <w:bookmarkStart w:id="364" w:name="page365"/>
    <w:bookmarkEnd w:id="36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2023 EQUITY INCENTIVE PLAN OF</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GRANT NOTICE</w:t>
      </w:r>
    </w:p>
    <w:p>
      <w:pPr>
        <w:spacing w:after="0" w:line="17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6"/>
          <w:szCs w:val="16"/>
          <w:color w:val="auto"/>
        </w:rPr>
        <w:t>Unless otherwise defined herein, the terms defined in the 2023 Equity Incentive Plan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of Booz Allen Hamilton Holding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shall have the same defined meanings in this Restricted Stock Unit Agreement, which includes the terms in this Grant Notice, including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(the “</w:t>
      </w:r>
      <w:r>
        <w:rPr>
          <w:rFonts w:ascii="Times New Roman" w:cs="Times New Roman" w:eastAsia="Times New Roman" w:hAnsi="Times New Roman"/>
          <w:sz w:val="16"/>
          <w:szCs w:val="16"/>
          <w:u w:val="single" w:color="auto"/>
          <w:color w:val="auto"/>
        </w:rPr>
        <w:t>Grant Notice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attached hereto, and any special terms and conditions set forth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attached hereto with respect to your country of employment and/or residence (collectively,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Capitalized terms used in this Grant Notice or in Appendix A without definition have the meanings given in the Plan.</w:t>
      </w:r>
    </w:p>
    <w:p>
      <w:pPr>
        <w:spacing w:after="0" w:line="140" w:lineRule="exact"/>
        <w:rPr>
          <w:sz w:val="20"/>
          <w:szCs w:val="20"/>
          <w:color w:val="auto"/>
        </w:rPr>
      </w:pPr>
    </w:p>
    <w:p>
      <w:pPr>
        <w:jc w:val="both"/>
        <w:ind w:right="160" w:firstLine="509"/>
        <w:spacing w:after="0" w:line="315" w:lineRule="auto"/>
        <w:rPr>
          <w:sz w:val="20"/>
          <w:szCs w:val="20"/>
          <w:color w:val="auto"/>
        </w:rPr>
      </w:pPr>
      <w:r>
        <w:rPr>
          <w:rFonts w:ascii="Times New Roman" w:cs="Times New Roman" w:eastAsia="Times New Roman" w:hAnsi="Times New Roman"/>
          <w:sz w:val="14"/>
          <w:szCs w:val="14"/>
          <w:color w:val="auto"/>
        </w:rPr>
        <w:t>You, #ParticipantName+C# (the “</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have been granted #QuantityGranted+C# restricted stock units on #GrantDate+C# (the “</w:t>
      </w:r>
      <w:r>
        <w:rPr>
          <w:rFonts w:ascii="Times New Roman" w:cs="Times New Roman" w:eastAsia="Times New Roman" w:hAnsi="Times New Roman"/>
          <w:sz w:val="14"/>
          <w:szCs w:val="14"/>
          <w:u w:val="single" w:color="auto"/>
          <w:color w:val="auto"/>
        </w:rPr>
        <w:t>Grant Date</w:t>
      </w:r>
      <w:r>
        <w:rPr>
          <w:rFonts w:ascii="Times New Roman" w:cs="Times New Roman" w:eastAsia="Times New Roman" w:hAnsi="Times New Roman"/>
          <w:sz w:val="14"/>
          <w:szCs w:val="14"/>
          <w:color w:val="auto"/>
        </w:rPr>
        <w:t xml:space="preserve">”), in each case as set forth on the Fidelity NetBenefits system at </w:t>
      </w:r>
      <w:r>
        <w:rPr>
          <w:rFonts w:ascii="Times New Roman" w:cs="Times New Roman" w:eastAsia="Times New Roman" w:hAnsi="Times New Roman"/>
          <w:sz w:val="14"/>
          <w:szCs w:val="14"/>
          <w:u w:val="single" w:color="auto"/>
          <w:color w:val="0000FF"/>
        </w:rPr>
        <w:t>www.netbenefits.com</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Restricted Stock Units</w:t>
      </w:r>
      <w:r>
        <w:rPr>
          <w:rFonts w:ascii="Times New Roman" w:cs="Times New Roman" w:eastAsia="Times New Roman" w:hAnsi="Times New Roman"/>
          <w:sz w:val="14"/>
          <w:szCs w:val="14"/>
          <w:color w:val="auto"/>
        </w:rPr>
        <w:t xml:space="preserve">”), subject to the terms and conditions of the Plan and this Agreement, including but not limited to the vesting schedule as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to this Agreement, which shall be deemed part of and incorporated by reference into this Grant Notice.</w:t>
      </w:r>
    </w:p>
    <w:p>
      <w:pPr>
        <w:spacing w:after="0" w:line="9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6"/>
          <w:szCs w:val="16"/>
          <w:color w:val="auto"/>
        </w:rPr>
        <w:t xml:space="preserve">Your acceptance of this grant indicates your agreement and understanding that the Restricted Stock Units granted herein are subject to the terms and conditions contained in the Agreement and the Plan. </w:t>
      </w:r>
      <w:r>
        <w:rPr>
          <w:rFonts w:ascii="Times New Roman" w:cs="Times New Roman" w:eastAsia="Times New Roman" w:hAnsi="Times New Roman"/>
          <w:sz w:val="16"/>
          <w:szCs w:val="16"/>
          <w:b w:val="1"/>
          <w:bCs w:val="1"/>
          <w:color w:val="auto"/>
        </w:rPr>
        <w:t>ACCORDINGLY, PLEASE BE SURE TO READ THE PLAN AND THE AGREEMENT, EACH OF WHICH CONTAINS THE SPECIFIC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TERMS AND CONDITIONS OF THE RESTRICTED STOCK UNITS. </w:t>
      </w:r>
      <w:r>
        <w:rPr>
          <w:rFonts w:ascii="Times New Roman" w:cs="Times New Roman" w:eastAsia="Times New Roman" w:hAnsi="Times New Roman"/>
          <w:sz w:val="16"/>
          <w:szCs w:val="16"/>
          <w:color w:val="auto"/>
        </w:rPr>
        <w:t>In order to view the grant details and to accept this grant, please go to Fidelity NetBenefits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0000FF"/>
        </w:rPr>
        <w:t>www.netbenefits.com</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and follow the instructions regarding this grant.</w:t>
      </w:r>
    </w:p>
    <w:p>
      <w:pPr>
        <w:sectPr>
          <w:pgSz w:w="11900" w:h="16838" w:orient="portrait"/>
          <w:cols w:equalWidth="0" w:num="1">
            <w:col w:w="11240"/>
          </w:cols>
          <w:pgMar w:left="300" w:top="1313" w:right="359" w:bottom="1440" w:gutter="0" w:footer="0" w:header="0"/>
        </w:sectPr>
      </w:pPr>
    </w:p>
    <w:bookmarkStart w:id="365" w:name="page366"/>
    <w:bookmarkEnd w:id="36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APPENDIX A TO RESTRICTED STOCK UNIT AGREEMENT</w:t>
      </w:r>
    </w:p>
    <w:p>
      <w:pPr>
        <w:spacing w:after="0" w:line="193" w:lineRule="exact"/>
        <w:rPr>
          <w:sz w:val="20"/>
          <w:szCs w:val="20"/>
          <w:color w:val="auto"/>
        </w:rPr>
      </w:pPr>
    </w:p>
    <w:p>
      <w:pPr>
        <w:ind w:right="60" w:firstLine="514"/>
        <w:spacing w:after="0" w:line="247" w:lineRule="auto"/>
        <w:tabs>
          <w:tab w:leader="none" w:pos="1019"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Grant of Restricted Stock Units</w:t>
      </w:r>
      <w:r>
        <w:rPr>
          <w:rFonts w:ascii="Times New Roman" w:cs="Times New Roman" w:eastAsia="Times New Roman" w:hAnsi="Times New Roman"/>
          <w:sz w:val="16"/>
          <w:szCs w:val="16"/>
          <w:color w:val="auto"/>
        </w:rPr>
        <w:t xml:space="preserve">. Subject to the terms, conditions, and restrictions set forth in the Plan and this Agreement (including the Grant Notice and any special terms and conditions applicable to the Participant’s country set forth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to this Agreement), the Company hereby evidences and confirms its grant to the Participant, effective as of the Grant Date, of the number of Restricted Stock Units specified in the Grant Notice. The Participant hereby agrees that, except as required or permitted by Applicable Law, he or she will not disclose to any Person other than the Participant’s spouse and/or tax or financial advisor (if any) the grant of the Restricted Stock Units or any of the terms or provisions hereof without prior approval from the Administrator.</w:t>
      </w:r>
    </w:p>
    <w:p>
      <w:pPr>
        <w:spacing w:after="0" w:line="166" w:lineRule="exact"/>
        <w:rPr>
          <w:rFonts w:ascii="Times New Roman" w:cs="Times New Roman" w:eastAsia="Times New Roman" w:hAnsi="Times New Roman"/>
          <w:sz w:val="17"/>
          <w:szCs w:val="17"/>
          <w:color w:val="auto"/>
        </w:rPr>
      </w:pPr>
    </w:p>
    <w:p>
      <w:pPr>
        <w:ind w:firstLine="514"/>
        <w:spacing w:after="0" w:line="246" w:lineRule="auto"/>
        <w:tabs>
          <w:tab w:leader="none" w:pos="1019"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Restricted Stock Units Subject to Plan</w:t>
      </w:r>
      <w:r>
        <w:rPr>
          <w:rFonts w:ascii="Times New Roman" w:cs="Times New Roman" w:eastAsia="Times New Roman" w:hAnsi="Times New Roman"/>
          <w:sz w:val="16"/>
          <w:szCs w:val="16"/>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w:t>
      </w:r>
    </w:p>
    <w:p>
      <w:pPr>
        <w:spacing w:after="0" w:line="17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Vesting of Restricted Stock Units</w:t>
      </w:r>
      <w:r>
        <w:rPr>
          <w:rFonts w:ascii="Times New Roman" w:cs="Times New Roman" w:eastAsia="Times New Roman" w:hAnsi="Times New Roman"/>
          <w:sz w:val="16"/>
          <w:szCs w:val="16"/>
          <w:color w:val="auto"/>
        </w:rPr>
        <w:t>.</w:t>
      </w:r>
    </w:p>
    <w:p>
      <w:pPr>
        <w:spacing w:after="0" w:line="186" w:lineRule="exact"/>
        <w:rPr>
          <w:sz w:val="20"/>
          <w:szCs w:val="20"/>
          <w:color w:val="auto"/>
        </w:rPr>
      </w:pPr>
    </w:p>
    <w:p>
      <w:pPr>
        <w:ind w:right="140" w:firstLine="514"/>
        <w:spacing w:after="0" w:line="246" w:lineRule="auto"/>
        <w:tabs>
          <w:tab w:leader="none" w:pos="1016"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xml:space="preserve">. Except as otherwise provided in this Section 3, the Restricted Stock Units shall become vested in the amount(s) and on the vesting date(s) as set forth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(each, a “</w:t>
      </w: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subject to the continued employment or service of the Participant with the Company or any Subsidiary thereof through such applicable Vesting Date.</w:t>
      </w:r>
    </w:p>
    <w:p>
      <w:pPr>
        <w:spacing w:after="0" w:line="16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Termination of Employment or Service</w:t>
      </w:r>
      <w:r>
        <w:rPr>
          <w:rFonts w:ascii="Times New Roman" w:cs="Times New Roman" w:eastAsia="Times New Roman" w:hAnsi="Times New Roman"/>
          <w:sz w:val="16"/>
          <w:szCs w:val="16"/>
          <w:color w:val="auto"/>
        </w:rPr>
        <w:t>.</w:t>
      </w:r>
    </w:p>
    <w:p>
      <w:pPr>
        <w:spacing w:after="0" w:line="186"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Termination Due to Death</w:t>
      </w:r>
      <w:r>
        <w:rPr>
          <w:rFonts w:ascii="Times New Roman" w:cs="Times New Roman" w:eastAsia="Times New Roman" w:hAnsi="Times New Roman"/>
          <w:sz w:val="16"/>
          <w:szCs w:val="16"/>
          <w:color w:val="auto"/>
        </w:rPr>
        <w:t>. If a Participant’s employment or service terminates due to the Participant’s death, all unvested Restricted Stock Units shall</w:t>
      </w:r>
    </w:p>
    <w:p>
      <w:pPr>
        <w:spacing w:after="0" w:line="1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immediately vest.</w:t>
      </w:r>
    </w:p>
    <w:p>
      <w:pPr>
        <w:spacing w:after="0" w:line="171" w:lineRule="exact"/>
        <w:rPr>
          <w:rFonts w:ascii="Times New Roman" w:cs="Times New Roman" w:eastAsia="Times New Roman" w:hAnsi="Times New Roman"/>
          <w:sz w:val="17"/>
          <w:szCs w:val="17"/>
          <w:color w:val="auto"/>
        </w:rPr>
      </w:pPr>
    </w:p>
    <w:p>
      <w:pPr>
        <w:ind w:right="520" w:firstLine="1023"/>
        <w:spacing w:after="0" w:line="258" w:lineRule="auto"/>
        <w:tabs>
          <w:tab w:leader="none" w:pos="1523"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Termination Due to Disability</w:t>
      </w:r>
      <w:r>
        <w:rPr>
          <w:rFonts w:ascii="Times New Roman" w:cs="Times New Roman" w:eastAsia="Times New Roman" w:hAnsi="Times New Roman"/>
          <w:sz w:val="16"/>
          <w:szCs w:val="16"/>
          <w:color w:val="auto"/>
        </w:rPr>
        <w:t>. If a Participant’s employment or service terminates due to Disability, all unvested Restricted Stock Units shall not be forfeited upon such termination and instead shall continue to vest in accordance with Section 3(a) of this Agreement.</w:t>
      </w:r>
    </w:p>
    <w:p>
      <w:pPr>
        <w:spacing w:after="0" w:line="154" w:lineRule="exact"/>
        <w:rPr>
          <w:rFonts w:ascii="Times New Roman" w:cs="Times New Roman" w:eastAsia="Times New Roman" w:hAnsi="Times New Roman"/>
          <w:sz w:val="17"/>
          <w:szCs w:val="17"/>
          <w:color w:val="auto"/>
        </w:rPr>
      </w:pPr>
    </w:p>
    <w:p>
      <w:pPr>
        <w:ind w:firstLine="1023"/>
        <w:spacing w:after="0" w:line="247" w:lineRule="auto"/>
        <w:tabs>
          <w:tab w:leader="none" w:pos="1528"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Termination for Cause</w:t>
      </w:r>
      <w:r>
        <w:rPr>
          <w:rFonts w:ascii="Times New Roman" w:cs="Times New Roman" w:eastAsia="Times New Roman" w:hAnsi="Times New Roman"/>
          <w:sz w:val="16"/>
          <w:szCs w:val="16"/>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twenty-four (24) months prior to or any time after the Participant engaged in the conduct that gave rise to the termination for Cause (and any stock or cash issued in settlement of such Restricted Stock Units) shall upon demand by the Administrator be immediately forfeited and disgorged or paid to the Company together with all gains earned or accrued due to the sale of Company Common Stock issued in settlement of any Restricted Stock Units.</w:t>
      </w:r>
    </w:p>
    <w:p>
      <w:pPr>
        <w:spacing w:after="0" w:line="166" w:lineRule="exact"/>
        <w:rPr>
          <w:rFonts w:ascii="Times New Roman" w:cs="Times New Roman" w:eastAsia="Times New Roman" w:hAnsi="Times New Roman"/>
          <w:sz w:val="17"/>
          <w:szCs w:val="17"/>
          <w:color w:val="auto"/>
        </w:rPr>
      </w:pPr>
    </w:p>
    <w:p>
      <w:pPr>
        <w:ind w:right="80" w:firstLine="1023"/>
        <w:spacing w:after="0" w:line="291" w:lineRule="auto"/>
        <w:tabs>
          <w:tab w:leader="none" w:pos="1518" w:val="left"/>
        </w:tabs>
        <w:numPr>
          <w:ilvl w:val="1"/>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u w:val="single" w:color="auto"/>
          <w:color w:val="auto"/>
        </w:rPr>
        <w:t>Termination for Any Other Reason</w:t>
      </w:r>
      <w:r>
        <w:rPr>
          <w:rFonts w:ascii="Times New Roman" w:cs="Times New Roman" w:eastAsia="Times New Roman" w:hAnsi="Times New Roman"/>
          <w:sz w:val="15"/>
          <w:szCs w:val="15"/>
          <w:color w:val="auto"/>
        </w:rPr>
        <w:t>. If a Participant’s employment or service is terminated for any reason other than death, Disability or by the Company or Employer for Cause, all unvested Restricted Stock Units shall immediately be forfeited and canceled, effective as of the date of the Participant’s termination of service.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60"/>
          </w:cols>
          <w:pgMar w:left="300" w:top="1313" w:right="339" w:bottom="1440" w:gutter="0" w:footer="0" w:header="0"/>
        </w:sectPr>
      </w:pPr>
    </w:p>
    <w:bookmarkStart w:id="366" w:name="page367"/>
    <w:bookmarkEnd w:id="366"/>
    <w:p>
      <w:pPr>
        <w:ind w:left="-20" w:firstLine="514"/>
        <w:spacing w:after="0" w:line="264" w:lineRule="auto"/>
        <w:tabs>
          <w:tab w:leader="none" w:pos="996"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u w:val="single" w:color="auto"/>
          <w:color w:val="auto"/>
        </w:rPr>
        <w:t>Change in Control</w:t>
      </w:r>
      <w:r>
        <w:rPr>
          <w:rFonts w:ascii="Times New Roman" w:cs="Times New Roman" w:eastAsia="Times New Roman" w:hAnsi="Times New Roman"/>
          <w:sz w:val="15"/>
          <w:szCs w:val="15"/>
          <w:color w:val="auto"/>
        </w:rPr>
        <w:t xml:space="preserve">. In the event of a Change in Control prior to the applicable Vesting Date, notwithstanding anything in Article XIII of the Plan to the contrary, any unvested Restricted Stock Units shall remain outstanding and shall vest on the applicable Vesting Date, subject to the continued employment or service of the Participant with the Company, the Employer or any other Subsidiary through such date; </w:t>
      </w:r>
      <w:r>
        <w:rPr>
          <w:rFonts w:ascii="Times New Roman" w:cs="Times New Roman" w:eastAsia="Times New Roman" w:hAnsi="Times New Roman"/>
          <w:sz w:val="15"/>
          <w:szCs w:val="15"/>
          <w:u w:val="single" w:color="auto"/>
          <w:color w:val="auto"/>
        </w:rPr>
        <w:t>provided, that</w:t>
      </w:r>
      <w:r>
        <w:rPr>
          <w:rFonts w:ascii="Times New Roman" w:cs="Times New Roman" w:eastAsia="Times New Roman" w:hAnsi="Times New Roman"/>
          <w:sz w:val="15"/>
          <w:szCs w:val="15"/>
          <w:color w:val="auto"/>
        </w:rPr>
        <w:t>, if the Participant’s employment or service is terminated by the Company or the Employer without Cause or by the Participant for Good Reason (each, a “</w:t>
      </w:r>
      <w:r>
        <w:rPr>
          <w:rFonts w:ascii="Times New Roman" w:cs="Times New Roman" w:eastAsia="Times New Roman" w:hAnsi="Times New Roman"/>
          <w:sz w:val="15"/>
          <w:szCs w:val="15"/>
          <w:u w:val="single" w:color="auto"/>
          <w:color w:val="auto"/>
        </w:rPr>
        <w:t>Qualifying CIC Termination</w:t>
      </w:r>
      <w:r>
        <w:rPr>
          <w:rFonts w:ascii="Times New Roman" w:cs="Times New Roman" w:eastAsia="Times New Roman" w:hAnsi="Times New Roman"/>
          <w:sz w:val="15"/>
          <w:szCs w:val="15"/>
          <w:color w:val="auto"/>
        </w:rPr>
        <w:t>”) within two (2) years following the effective date of the Change in Control, such outstanding Restricted Stock Units shall vest as of the date of such Qualifying CIC Termination. Vested Restricted Stock Units shall be settled as set forth in Section 4 of this Agreement.</w:t>
      </w:r>
    </w:p>
    <w:p>
      <w:pPr>
        <w:spacing w:after="0" w:line="163" w:lineRule="exact"/>
        <w:rPr>
          <w:rFonts w:ascii="Times New Roman" w:cs="Times New Roman" w:eastAsia="Times New Roman" w:hAnsi="Times New Roman"/>
          <w:sz w:val="16"/>
          <w:szCs w:val="16"/>
          <w:color w:val="auto"/>
        </w:rPr>
      </w:pPr>
    </w:p>
    <w:p>
      <w:pPr>
        <w:ind w:left="-20" w:right="120" w:firstLine="514"/>
        <w:spacing w:after="0" w:line="245" w:lineRule="auto"/>
        <w:tabs>
          <w:tab w:leader="none" w:pos="995"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Other Forfeiture Provisions</w:t>
      </w:r>
      <w:r>
        <w:rPr>
          <w:rFonts w:ascii="Times New Roman" w:cs="Times New Roman" w:eastAsia="Times New Roman" w:hAnsi="Times New Roman"/>
          <w:sz w:val="16"/>
          <w:szCs w:val="16"/>
          <w:color w:val="auto"/>
        </w:rPr>
        <w:t>. Subject to Section 11.4 of the Plan, the Restricted Stock Units (including any gains earned or accrued due to the sale of Company Common Stock issued in settlement of such Restricted Stock Units) shall also be forfeited and subject to disgorgement and/or repayment to the Company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in the event the Participant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engages in or fails to prevent, as applicable, any financial or other misconduct (including but not limited to engaging in Competitive Activity (but excluding, only if the Participant is located in California, clause (a) of the definition of Competitive Activity contained in the Plan)) or (</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materially violates any restrictive covenant agreement (or any other agreement containing restrictive covenants) that the Participant has entered into with the Company,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as required by Applicable Law or regulations or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as otherwise provided in Section 11.4 of the Plan or generally applicable Company policies as to forfeiture, disgorgement and recoupment of Awards, including but not limited to any clawback policy adopted to comply with Section 303A.14 of the New York Stock Exchange Listed Company Manual.</w:t>
      </w:r>
    </w:p>
    <w:p>
      <w:pPr>
        <w:spacing w:after="0" w:line="169" w:lineRule="exact"/>
        <w:rPr>
          <w:rFonts w:ascii="Times New Roman" w:cs="Times New Roman" w:eastAsia="Times New Roman" w:hAnsi="Times New Roman"/>
          <w:sz w:val="17"/>
          <w:szCs w:val="17"/>
          <w:color w:val="auto"/>
        </w:rPr>
      </w:pPr>
    </w:p>
    <w:p>
      <w:pPr>
        <w:ind w:left="-20" w:right="260" w:firstLine="514"/>
        <w:spacing w:after="0" w:line="247" w:lineRule="auto"/>
        <w:tabs>
          <w:tab w:leader="none" w:pos="996"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Administrator Discretion</w:t>
      </w:r>
      <w:r>
        <w:rPr>
          <w:rFonts w:ascii="Times New Roman" w:cs="Times New Roman" w:eastAsia="Times New Roman" w:hAnsi="Times New Roman"/>
          <w:sz w:val="16"/>
          <w:szCs w:val="16"/>
          <w:color w:val="auto"/>
        </w:rPr>
        <w:t xml:space="preserve">. Notwithstanding anything contained in this Agreement to the contrary, subject to Article XII of the Plan, the Administrator, in its sole discretion, may waive forfeiture provisions or accelerate the vesting with respect to any Restricted Stock Units under this Agreement, at such times and upon such terms and conditions as the Administrator shall determine;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such waiver or acceleration of vesting shall not change the settlement date of the Restricted Stock Units provided in Section 4 of this Agreement.</w:t>
      </w:r>
    </w:p>
    <w:p>
      <w:pPr>
        <w:spacing w:after="0" w:line="175" w:lineRule="exact"/>
        <w:rPr>
          <w:rFonts w:ascii="Times New Roman" w:cs="Times New Roman" w:eastAsia="Times New Roman" w:hAnsi="Times New Roman"/>
          <w:sz w:val="17"/>
          <w:szCs w:val="17"/>
          <w:color w:val="auto"/>
        </w:rPr>
      </w:pPr>
    </w:p>
    <w:p>
      <w:pPr>
        <w:ind w:left="-20" w:right="20" w:firstLine="514"/>
        <w:spacing w:after="0" w:line="244" w:lineRule="auto"/>
        <w:tabs>
          <w:tab w:leader="none" w:pos="998"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Post-Termination Informational Requirements</w:t>
      </w:r>
      <w:r>
        <w:rPr>
          <w:rFonts w:ascii="Times New Roman" w:cs="Times New Roman" w:eastAsia="Times New Roman" w:hAnsi="Times New Roman"/>
          <w:sz w:val="16"/>
          <w:szCs w:val="16"/>
          <w:color w:val="auto"/>
        </w:rPr>
        <w:t>. Before the settlement of any Restricted Stock Units following termination of employment or service, the Administrator may require the Participant (or the Participant’s Eligible Representative, if applicable) to make such representations and provide such documents as the Administrator deems necessary or advisable to effect compliance with Applicable Law and determine whether Section 3(b)(iii) or Section 3(d) of this Agreement apply. Such representations and documents may include tax returns and all other relevant information and records from which the Administrator can determine the current or former employment status of the Participant during the vesting period. Notwithstanding anything in this Agreement to the contrary, the settlement of the Restricted Stock Units may be withheld until information deemed sufficient by the Administrator is delivered to it, and any unvested Restricted Stock Units shall be forfeited if the requested information is not provided in sufficient detail to the Administrator before the earlier of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ninety (90) calendar days after the issuance of a request from the Administrator for such information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December 31 of the calendar year in which the applicable Vesting Date occurs.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330" w:right="339" w:bottom="1440" w:gutter="0" w:footer="0" w:header="0"/>
        </w:sectPr>
      </w:pPr>
    </w:p>
    <w:bookmarkStart w:id="367" w:name="page368"/>
    <w:bookmarkEnd w:id="367"/>
    <w:p>
      <w:pPr>
        <w:ind w:right="60" w:firstLine="514"/>
        <w:spacing w:after="0" w:line="259" w:lineRule="auto"/>
        <w:tabs>
          <w:tab w:leader="none" w:pos="1019"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u w:val="single" w:color="auto"/>
          <w:color w:val="auto"/>
        </w:rPr>
        <w:t>Settlement of Restricted Stock Units</w:t>
      </w:r>
      <w:r>
        <w:rPr>
          <w:rFonts w:ascii="Times New Roman" w:cs="Times New Roman" w:eastAsia="Times New Roman" w:hAnsi="Times New Roman"/>
          <w:sz w:val="15"/>
          <w:szCs w:val="15"/>
          <w:color w:val="auto"/>
        </w:rPr>
        <w:t>. Subject to Section 3(f) and Section 9 of this Agreement, the Company shall deliver to the Participant one (1) Share (or the value thereof) in settlement of each outstanding Restricted Stock Unit granted hereunder that has vested as provided in Section 3 on the first to occur of (</w:t>
      </w:r>
      <w:r>
        <w:rPr>
          <w:rFonts w:ascii="Times New Roman" w:cs="Times New Roman" w:eastAsia="Times New Roman" w:hAnsi="Times New Roman"/>
          <w:sz w:val="15"/>
          <w:szCs w:val="15"/>
          <w:u w:val="single" w:color="auto"/>
          <w:color w:val="auto"/>
        </w:rPr>
        <w:t>i</w:t>
      </w:r>
      <w:r>
        <w:rPr>
          <w:rFonts w:ascii="Times New Roman" w:cs="Times New Roman" w:eastAsia="Times New Roman" w:hAnsi="Times New Roman"/>
          <w:sz w:val="15"/>
          <w:szCs w:val="15"/>
          <w:color w:val="auto"/>
        </w:rPr>
        <w:t>) the applicable Vesting Date (or within thirty (30) days thereafter),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color w:val="auto"/>
        </w:rPr>
        <w:t>) in the event of a termination of employment or service due to death, as soon as practicable following the Participant’s termination of employment or service by reason of death or (</w:t>
      </w:r>
      <w:r>
        <w:rPr>
          <w:rFonts w:ascii="Times New Roman" w:cs="Times New Roman" w:eastAsia="Times New Roman" w:hAnsi="Times New Roman"/>
          <w:sz w:val="15"/>
          <w:szCs w:val="15"/>
          <w:u w:val="single" w:color="auto"/>
          <w:color w:val="auto"/>
        </w:rPr>
        <w:t>iii</w:t>
      </w:r>
      <w:r>
        <w:rPr>
          <w:rFonts w:ascii="Times New Roman" w:cs="Times New Roman" w:eastAsia="Times New Roman" w:hAnsi="Times New Roman"/>
          <w:sz w:val="15"/>
          <w:szCs w:val="15"/>
          <w:color w:val="auto"/>
        </w:rPr>
        <w:t>) in the event of a Qualifying CIC Termination, within thirty (30) days following the effective date of the Participant’s Qualifying CIC Termination, in each case (</w:t>
      </w:r>
      <w:r>
        <w:rPr>
          <w:rFonts w:ascii="Times New Roman" w:cs="Times New Roman" w:eastAsia="Times New Roman" w:hAnsi="Times New Roman"/>
          <w:sz w:val="15"/>
          <w:szCs w:val="15"/>
          <w:u w:val="single" w:color="auto"/>
          <w:color w:val="auto"/>
        </w:rPr>
        <w:t>A</w:t>
      </w:r>
      <w:r>
        <w:rPr>
          <w:rFonts w:ascii="Times New Roman" w:cs="Times New Roman" w:eastAsia="Times New Roman" w:hAnsi="Times New Roman"/>
          <w:sz w:val="15"/>
          <w:szCs w:val="15"/>
          <w:color w:val="auto"/>
        </w:rPr>
        <w:t>) in Company Common Stock by either, (</w:t>
      </w:r>
      <w:r>
        <w:rPr>
          <w:rFonts w:ascii="Times New Roman" w:cs="Times New Roman" w:eastAsia="Times New Roman" w:hAnsi="Times New Roman"/>
          <w:sz w:val="15"/>
          <w:szCs w:val="15"/>
          <w:u w:val="single" w:color="auto"/>
          <w:color w:val="auto"/>
        </w:rPr>
        <w:t>x</w:t>
      </w:r>
      <w:r>
        <w:rPr>
          <w:rFonts w:ascii="Times New Roman" w:cs="Times New Roman" w:eastAsia="Times New Roman" w:hAnsi="Times New Roman"/>
          <w:sz w:val="15"/>
          <w:szCs w:val="15"/>
          <w:color w:val="auto"/>
        </w:rPr>
        <w:t>) issuing one or more certificates evidencing the Company Common Stock to the Participant or</w:t>
      </w:r>
    </w:p>
    <w:p>
      <w:pPr>
        <w:spacing w:after="0" w:line="2" w:lineRule="exact"/>
        <w:rPr>
          <w:rFonts w:ascii="Times New Roman" w:cs="Times New Roman" w:eastAsia="Times New Roman" w:hAnsi="Times New Roman"/>
          <w:sz w:val="16"/>
          <w:szCs w:val="16"/>
          <w:color w:val="auto"/>
        </w:rPr>
      </w:pPr>
    </w:p>
    <w:p>
      <w:pPr>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registering the issuance of the Company Common Stock in the name of the Participant through a book entry credit in the records of the Company’s transfer agent, or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in the event of settlement upon a Change in Control, a cash payment equal to the Change in Control Price, multiplied by the number of vested Restricted Stock Units. No fractional Shares shall be issued in settlement of the Restricted Stock Units. Fractional Shares shall be rounded up to the nearest whole share;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Participant may not vest in more than the number of Restricted Stock Units specified in the Grant Notice.</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Notwithstanding the foregoing, the Administrator, in its sole discretion, may provide for the settlement of the Restricted Stock Units in the form of Company Common Stock, but require the Participant to sell such Common Stock immediately or within a specified period following the Participant’s termination of service (in which case, the Participant hereby agrees that the Company shall have the authority to issue sale instructions in relation to such Common Stock on the Participant’s behalf).</w:t>
      </w:r>
    </w:p>
    <w:p>
      <w:pPr>
        <w:spacing w:after="0" w:line="153" w:lineRule="exact"/>
        <w:rPr>
          <w:sz w:val="20"/>
          <w:szCs w:val="20"/>
          <w:color w:val="auto"/>
        </w:rPr>
      </w:pPr>
    </w:p>
    <w:p>
      <w:pPr>
        <w:jc w:val="both"/>
        <w:ind w:right="40" w:firstLine="514"/>
        <w:spacing w:after="0" w:line="247" w:lineRule="auto"/>
        <w:tabs>
          <w:tab w:leader="none" w:pos="1019"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Securities Law Compliance</w:t>
      </w:r>
      <w:r>
        <w:rPr>
          <w:rFonts w:ascii="Times New Roman" w:cs="Times New Roman" w:eastAsia="Times New Roman" w:hAnsi="Times New Roman"/>
          <w:sz w:val="16"/>
          <w:szCs w:val="16"/>
          <w:color w:val="auto"/>
        </w:rPr>
        <w:t>. Notwithstanding any other provision of this Agreement, the Participant may not sell the Shares acquired upon vesting of the Restricted Stock Units unless such Shares are registered under the Securities Act, or, if such Shares are not then so registered, such sale would be exempt from the registration requirements of the Securities Act. The sale of such Shares must also comply with other Applicable Law and regulations governing the Shares, and the Participant may not sell the Shares if the Company determines that such sale would not be in material compliance with such laws and regulations.</w:t>
      </w:r>
    </w:p>
    <w:p>
      <w:pPr>
        <w:spacing w:after="0" w:line="17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Participant’s Rights with Respect to the Restricted Stock Units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ind w:right="20" w:firstLine="514"/>
        <w:spacing w:after="0" w:line="244" w:lineRule="auto"/>
        <w:tabs>
          <w:tab w:leader="none" w:pos="1016"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Restrictions on Transferability</w:t>
      </w:r>
      <w:r>
        <w:rPr>
          <w:rFonts w:ascii="Times New Roman" w:cs="Times New Roman" w:eastAsia="Times New Roman" w:hAnsi="Times New Roman"/>
          <w:sz w:val="16"/>
          <w:szCs w:val="16"/>
          <w:color w:val="auto"/>
        </w:rPr>
        <w:t xml:space="preserve">.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177" w:lineRule="exact"/>
        <w:rPr>
          <w:rFonts w:ascii="Times New Roman" w:cs="Times New Roman" w:eastAsia="Times New Roman" w:hAnsi="Times New Roman"/>
          <w:sz w:val="17"/>
          <w:szCs w:val="17"/>
          <w:color w:val="auto"/>
        </w:rPr>
      </w:pPr>
    </w:p>
    <w:p>
      <w:pPr>
        <w:ind w:right="60" w:firstLine="514"/>
        <w:spacing w:after="0" w:line="291" w:lineRule="auto"/>
        <w:tabs>
          <w:tab w:leader="none" w:pos="1015"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u w:val="single" w:color="auto"/>
          <w:color w:val="auto"/>
        </w:rPr>
        <w:t>No Rights as Stockholder</w:t>
      </w:r>
      <w:r>
        <w:rPr>
          <w:rFonts w:ascii="Times New Roman" w:cs="Times New Roman" w:eastAsia="Times New Roman" w:hAnsi="Times New Roman"/>
          <w:sz w:val="15"/>
          <w:szCs w:val="15"/>
          <w:color w:val="auto"/>
        </w:rPr>
        <w:t>. The Participant shall not have any rights as a stockholder, including any voting, dividend or other rights or privileges as a stockholder of the Company with respect to Shares underlying the Restricted Stock Units granted hereby unless and until such Shares are issued to the Participant in respect thereof.</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00" w:top="1330" w:right="359" w:bottom="1440" w:gutter="0" w:footer="0" w:header="0"/>
        </w:sectPr>
      </w:pPr>
    </w:p>
    <w:bookmarkStart w:id="368" w:name="page369"/>
    <w:bookmarkEnd w:id="368"/>
    <w:p>
      <w:pPr>
        <w:ind w:left="-60" w:right="20" w:firstLine="514"/>
        <w:spacing w:after="0" w:line="244" w:lineRule="auto"/>
        <w:tabs>
          <w:tab w:leader="none" w:pos="956"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Dividend Equivalents</w:t>
      </w:r>
      <w:r>
        <w:rPr>
          <w:rFonts w:ascii="Times New Roman" w:cs="Times New Roman" w:eastAsia="Times New Roman" w:hAnsi="Times New Roman"/>
          <w:sz w:val="16"/>
          <w:szCs w:val="16"/>
          <w:color w:val="auto"/>
        </w:rPr>
        <w:t>. The Restricted Stock Units granted hereunder include the right for the Participant to be credited with Dividend Equivalents in the form of a right to a cash payment when cash dividends are paid on the Company Common Stock. Such cash payment shall equal the amount obtained by multiplying the amount of the dividend declared and paid for each Share by the number of Restricted Stock Units held by the Participant on the record date for such dividend. Notwithstanding anything in the Plan to the contrary, any cash amounts in respect of the Dividend Equivalents credited to the Participant’s account shall be paid to the Participant on the applicable payment date for the related cash dividend.</w:t>
      </w:r>
    </w:p>
    <w:p>
      <w:pPr>
        <w:spacing w:after="0" w:line="178" w:lineRule="exact"/>
        <w:rPr>
          <w:sz w:val="20"/>
          <w:szCs w:val="20"/>
          <w:color w:val="auto"/>
        </w:rPr>
      </w:pPr>
    </w:p>
    <w:p>
      <w:pPr>
        <w:ind w:left="960" w:hanging="506"/>
        <w:spacing w:after="0"/>
        <w:tabs>
          <w:tab w:leader="none" w:pos="96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Participant’s Representations, Warranties and Covenants</w:t>
      </w:r>
      <w:r>
        <w:rPr>
          <w:rFonts w:ascii="Times New Roman" w:cs="Times New Roman" w:eastAsia="Times New Roman" w:hAnsi="Times New Roman"/>
          <w:sz w:val="16"/>
          <w:szCs w:val="16"/>
          <w:color w:val="auto"/>
        </w:rPr>
        <w:t>.</w:t>
      </w:r>
    </w:p>
    <w:p>
      <w:pPr>
        <w:spacing w:after="0" w:line="186" w:lineRule="exact"/>
        <w:rPr>
          <w:sz w:val="20"/>
          <w:szCs w:val="20"/>
          <w:color w:val="auto"/>
        </w:rPr>
      </w:pPr>
    </w:p>
    <w:p>
      <w:pPr>
        <w:ind w:left="-60" w:right="120" w:firstLine="514"/>
        <w:spacing w:after="0" w:line="264" w:lineRule="auto"/>
        <w:tabs>
          <w:tab w:leader="none" w:pos="956"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u w:val="single" w:color="auto"/>
          <w:color w:val="auto"/>
        </w:rPr>
        <w:t>No Conflicts; No Consents</w:t>
      </w:r>
      <w:r>
        <w:rPr>
          <w:rFonts w:ascii="Times New Roman" w:cs="Times New Roman" w:eastAsia="Times New Roman" w:hAnsi="Times New Roman"/>
          <w:sz w:val="15"/>
          <w:szCs w:val="15"/>
          <w:color w:val="auto"/>
        </w:rPr>
        <w:t>. The execution and delivery by the Participant of this Agreement, the consummation of the transactions contemplated hereby and the performance of the Participant’s obligations hereunder do not and will not (</w:t>
      </w:r>
      <w:r>
        <w:rPr>
          <w:rFonts w:ascii="Times New Roman" w:cs="Times New Roman" w:eastAsia="Times New Roman" w:hAnsi="Times New Roman"/>
          <w:sz w:val="15"/>
          <w:szCs w:val="15"/>
          <w:u w:val="single" w:color="auto"/>
          <w:color w:val="auto"/>
        </w:rPr>
        <w:t>i</w:t>
      </w:r>
      <w:r>
        <w:rPr>
          <w:rFonts w:ascii="Times New Roman" w:cs="Times New Roman" w:eastAsia="Times New Roman" w:hAnsi="Times New Roman"/>
          <w:sz w:val="15"/>
          <w:szCs w:val="15"/>
          <w:color w:val="auto"/>
        </w:rPr>
        <w:t>) materially conflict with or result in a material violation or breach of any term or provision of any law applicable to either the Participant or the Restricted Stock Units or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color w:val="auto"/>
        </w:rPr>
        <w:t>) violate in any material respect, conflict with in any material respect or result in any material breach of, or constitute (with or without notice or lapse of time or both) a material default under, or require the Participant to obtain any consent, approval or action of, make any filing with or give any notice to any Person as a result or under the terms of, any contract, agreement, instrument, commitment, arrangement or understanding to which the Participant is a party.</w:t>
      </w:r>
    </w:p>
    <w:p>
      <w:pPr>
        <w:spacing w:after="0" w:line="163" w:lineRule="exact"/>
        <w:rPr>
          <w:rFonts w:ascii="Times New Roman" w:cs="Times New Roman" w:eastAsia="Times New Roman" w:hAnsi="Times New Roman"/>
          <w:sz w:val="16"/>
          <w:szCs w:val="16"/>
          <w:color w:val="auto"/>
        </w:rPr>
      </w:pPr>
    </w:p>
    <w:p>
      <w:pPr>
        <w:jc w:val="both"/>
        <w:ind w:left="-60" w:firstLine="514"/>
        <w:spacing w:after="0" w:line="270" w:lineRule="auto"/>
        <w:tabs>
          <w:tab w:leader="none" w:pos="955"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u w:val="single" w:color="auto"/>
          <w:color w:val="auto"/>
        </w:rPr>
        <w:t>Compliance with Rule 144</w:t>
      </w:r>
      <w:r>
        <w:rPr>
          <w:rFonts w:ascii="Times New Roman" w:cs="Times New Roman" w:eastAsia="Times New Roman" w:hAnsi="Times New Roman"/>
          <w:sz w:val="15"/>
          <w:szCs w:val="15"/>
          <w:color w:val="auto"/>
        </w:rPr>
        <w:t>. If any Shares issued in respect of the Restricted Stock Units are to be disposed of in accordance with Rule 144 of the Securities Act, the Participant shall transmit to the Company an executed copy of Form 144 (if required by Rule 144) no later than the time such form is required to be transmitted to the Securities and Exchange Commission for filing and such other documentation as the Company may reasonably require to assure compliance with Rule 144 in connection with such disposition.</w:t>
      </w:r>
    </w:p>
    <w:p>
      <w:pPr>
        <w:spacing w:after="0" w:line="147" w:lineRule="exact"/>
        <w:rPr>
          <w:rFonts w:ascii="Times New Roman" w:cs="Times New Roman" w:eastAsia="Times New Roman" w:hAnsi="Times New Roman"/>
          <w:sz w:val="16"/>
          <w:szCs w:val="16"/>
          <w:color w:val="auto"/>
        </w:rPr>
      </w:pPr>
    </w:p>
    <w:p>
      <w:pPr>
        <w:ind w:left="-60" w:right="320" w:firstLine="514"/>
        <w:spacing w:after="0" w:line="258" w:lineRule="auto"/>
        <w:tabs>
          <w:tab w:leader="none" w:pos="956"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Participant Status</w:t>
      </w:r>
      <w:r>
        <w:rPr>
          <w:rFonts w:ascii="Times New Roman" w:cs="Times New Roman" w:eastAsia="Times New Roman" w:hAnsi="Times New Roman"/>
          <w:sz w:val="16"/>
          <w:szCs w:val="16"/>
          <w:color w:val="auto"/>
        </w:rPr>
        <w:t>. The Participant represents and warrants that, as of the date hereof, the Participant is an officer or other Service Provider of the Company, the Employer or a Subsidiary.</w:t>
      </w:r>
    </w:p>
    <w:p>
      <w:pPr>
        <w:spacing w:after="0" w:line="165" w:lineRule="exact"/>
        <w:rPr>
          <w:sz w:val="20"/>
          <w:szCs w:val="20"/>
          <w:color w:val="auto"/>
        </w:rPr>
      </w:pPr>
    </w:p>
    <w:p>
      <w:pPr>
        <w:ind w:left="-60" w:right="300" w:firstLine="514"/>
        <w:spacing w:after="0" w:line="242" w:lineRule="auto"/>
        <w:tabs>
          <w:tab w:leader="none" w:pos="959"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Adjustment in Capitalization</w:t>
      </w:r>
      <w:r>
        <w:rPr>
          <w:rFonts w:ascii="Times New Roman" w:cs="Times New Roman" w:eastAsia="Times New Roman" w:hAnsi="Times New Roman"/>
          <w:sz w:val="16"/>
          <w:szCs w:val="16"/>
          <w:color w:val="auto"/>
        </w:rPr>
        <w:t>. Subject to Section 14.1 of the Plan, the number and kind of Shares subject to any outstanding Restricted Stock Units, or the other terms and conditions of any such Restricted Stock Units, shall be adjusted by the Administrator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pacing w:after="0" w:line="179" w:lineRule="exact"/>
        <w:rPr>
          <w:rFonts w:ascii="Times New Roman" w:cs="Times New Roman" w:eastAsia="Times New Roman" w:hAnsi="Times New Roman"/>
          <w:sz w:val="17"/>
          <w:szCs w:val="17"/>
          <w:color w:val="auto"/>
        </w:rPr>
      </w:pPr>
    </w:p>
    <w:p>
      <w:pPr>
        <w:ind w:left="-60" w:right="100" w:firstLine="514"/>
        <w:spacing w:after="0" w:line="244" w:lineRule="auto"/>
        <w:tabs>
          <w:tab w:leader="none" w:pos="959"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Tax Withholding</w:t>
      </w:r>
      <w:r>
        <w:rPr>
          <w:rFonts w:ascii="Times New Roman" w:cs="Times New Roman" w:eastAsia="Times New Roman" w:hAnsi="Times New Roman"/>
          <w:sz w:val="16"/>
          <w:szCs w:val="16"/>
          <w:color w:val="auto"/>
        </w:rPr>
        <w:t>. The Participant acknowledges that, regardless of any action taken by the Company or the Employer with respect to any or all income tax (including U.S. federal, state and local taxes and/or non-U.S. taxes), social insurance, payroll tax, fringe benefits tax, payment on account or other tax-related items related to the Participant's participation in the Plan and legally applicable to the Participant (“</w:t>
      </w:r>
      <w:r>
        <w:rPr>
          <w:rFonts w:ascii="Times New Roman" w:cs="Times New Roman" w:eastAsia="Times New Roman" w:hAnsi="Times New Roman"/>
          <w:sz w:val="16"/>
          <w:szCs w:val="16"/>
          <w:u w:val="single" w:color="auto"/>
          <w:color w:val="auto"/>
        </w:rPr>
        <w:t>Tax-Related Items</w:t>
      </w:r>
      <w:r>
        <w:rPr>
          <w:rFonts w:ascii="Times New Roman" w:cs="Times New Roman" w:eastAsia="Times New Roman" w:hAnsi="Times New Roman"/>
          <w:sz w:val="16"/>
          <w:szCs w:val="16"/>
          <w:color w:val="auto"/>
        </w:rPr>
        <w:t>”), the ultimate liability for all Tax-Related Items is and remains the Participant’s personal responsibility and may exceed the amount, if any, actually withheld by the Company or the Employer. The Participant further acknowledges that the Company and/or the Employer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make no representations or undertakings regarding the treatment of any Tax-Related Items in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180"/>
          </w:cols>
          <w:pgMar w:left="360" w:top="1330" w:right="359" w:bottom="1440" w:gutter="0" w:footer="0" w:header="0"/>
        </w:sectPr>
      </w:pPr>
    </w:p>
    <w:bookmarkStart w:id="369" w:name="page370"/>
    <w:bookmarkEnd w:id="369"/>
    <w:p>
      <w:pPr>
        <w:ind w:right="100"/>
        <w:spacing w:after="0" w:line="248" w:lineRule="auto"/>
        <w:rPr>
          <w:sz w:val="20"/>
          <w:szCs w:val="20"/>
          <w:color w:val="auto"/>
        </w:rPr>
      </w:pPr>
      <w:r>
        <w:rPr>
          <w:rFonts w:ascii="Times New Roman" w:cs="Times New Roman" w:eastAsia="Times New Roman" w:hAnsi="Times New Roman"/>
          <w:sz w:val="16"/>
          <w:szCs w:val="16"/>
          <w:color w:val="auto"/>
        </w:rPr>
        <w:t>connection with any aspect of the Participant’s participation in the Plan, including, but not limited to, the grant of the Restricted Stock Units, the vesting of the Restricted Stock Units, the issuance or sale of Shares, or the receipt of any dividends or Dividend Equivalents;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do not commit to and are under no obligation to structure the terms of the Restricted Stock Units or any aspect of the Plan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53"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6"/>
          <w:szCs w:val="16"/>
          <w:color w:val="auto"/>
        </w:rPr>
        <w:t>Prior to any relevant taxable or tax withholding event, as applicable, the Participant agrees to make arrangements satisfactory to the Company and/or the Employer to satisfy all Tax-Related Items. In this regard, the Participant authorizes the Company and/or the Employer, or their respective agents, at their discretion, to satisfy their withholding obligations with regard to any Tax-Related Items by one or a combination of the following: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withholding from the Participant’s wages or other cash compensation payable to the Participant by the Company and/or the Employer,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withholding from proceeds of the sale of Shares under the Plan, either through a voluntary sale or through a mandatory sale arranged by the Company (on the Participant’s behalf pursuant to this authorization without further consent) to cover the Tax-Related Items required to be withheld, and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withholding in Shares to be issued upon vesting of the Restricted Stock Units.</w:t>
      </w:r>
    </w:p>
    <w:p>
      <w:pPr>
        <w:spacing w:after="0" w:line="154"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6"/>
          <w:szCs w:val="16"/>
          <w:color w:val="auto"/>
        </w:rPr>
        <w:t>If the obligation for Tax-Related Items is satisfied by withholding in Shares, for tax purposes, the Participant will be deemed to have been issued the full number of Shares, notwithstanding that a number of the Shares are held back solely for the purpose of paying the Tax-Related Items.</w:t>
      </w:r>
    </w:p>
    <w:p>
      <w:pPr>
        <w:spacing w:after="0" w:line="144" w:lineRule="exact"/>
        <w:rPr>
          <w:sz w:val="20"/>
          <w:szCs w:val="20"/>
          <w:color w:val="auto"/>
        </w:rPr>
      </w:pPr>
    </w:p>
    <w:p>
      <w:pPr>
        <w:ind w:firstLine="509"/>
        <w:spacing w:after="0" w:line="330" w:lineRule="auto"/>
        <w:rPr>
          <w:sz w:val="20"/>
          <w:szCs w:val="20"/>
          <w:color w:val="auto"/>
        </w:rPr>
      </w:pPr>
      <w:r>
        <w:rPr>
          <w:rFonts w:ascii="Times New Roman" w:cs="Times New Roman" w:eastAsia="Times New Roman" w:hAnsi="Times New Roman"/>
          <w:sz w:val="14"/>
          <w:szCs w:val="14"/>
          <w:color w:val="auto"/>
        </w:rPr>
        <w:t>The Company or the Employer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w:t>
      </w:r>
    </w:p>
    <w:p>
      <w:pPr>
        <w:spacing w:after="0" w:line="120" w:lineRule="exact"/>
        <w:rPr>
          <w:sz w:val="20"/>
          <w:szCs w:val="20"/>
          <w:color w:val="auto"/>
        </w:rPr>
      </w:pPr>
    </w:p>
    <w:p>
      <w:pPr>
        <w:ind w:left="1020" w:hanging="506"/>
        <w:spacing w:after="0"/>
        <w:tabs>
          <w:tab w:leader="none" w:pos="1020"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Nature of Grant</w:t>
      </w:r>
      <w:r>
        <w:rPr>
          <w:rFonts w:ascii="Times New Roman" w:cs="Times New Roman" w:eastAsia="Times New Roman" w:hAnsi="Times New Roman"/>
          <w:sz w:val="16"/>
          <w:szCs w:val="16"/>
          <w:color w:val="auto"/>
        </w:rPr>
        <w:t>. By accepting the Restricted Stock Units, the Participant acknowledges, understands and agrees that:</w:t>
      </w:r>
    </w:p>
    <w:p>
      <w:pPr>
        <w:spacing w:after="0" w:line="186" w:lineRule="exact"/>
        <w:rPr>
          <w:sz w:val="20"/>
          <w:szCs w:val="20"/>
          <w:color w:val="auto"/>
        </w:rPr>
      </w:pPr>
    </w:p>
    <w:p>
      <w:pPr>
        <w:ind w:right="60" w:firstLine="514"/>
        <w:spacing w:after="0" w:line="244" w:lineRule="auto"/>
        <w:tabs>
          <w:tab w:leader="none" w:pos="1016"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Plan is established voluntarily by the Company, it is discretionary in nature and it may be terminated, suspended or amended by the Company at any time, to the extent permitted by the Plan;</w:t>
      </w:r>
    </w:p>
    <w:p>
      <w:pPr>
        <w:spacing w:after="0" w:line="176" w:lineRule="exact"/>
        <w:rPr>
          <w:rFonts w:ascii="Times New Roman" w:cs="Times New Roman" w:eastAsia="Times New Roman" w:hAnsi="Times New Roman"/>
          <w:sz w:val="17"/>
          <w:szCs w:val="17"/>
          <w:color w:val="auto"/>
        </w:rPr>
      </w:pPr>
    </w:p>
    <w:p>
      <w:pPr>
        <w:ind w:right="220" w:firstLine="514"/>
        <w:spacing w:after="0" w:line="244" w:lineRule="auto"/>
        <w:tabs>
          <w:tab w:leader="none" w:pos="1015"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grant of the Restricted Stock Units is voluntary and does not create any contractual or other right to receive future Restricted Stock Units or benefits in lieu of Restricted Stock Units, even if Restricted Stock Units have been granted in the past;</w:t>
      </w:r>
    </w:p>
    <w:p>
      <w:pPr>
        <w:spacing w:after="0" w:line="176"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all decisions with respect to future Restricted Stock Units or other grants, if any, will be at the sole discretion of the Administrator;</w:t>
      </w:r>
    </w:p>
    <w:p>
      <w:pPr>
        <w:spacing w:after="0" w:line="175" w:lineRule="exact"/>
        <w:rPr>
          <w:rFonts w:ascii="Times New Roman" w:cs="Times New Roman" w:eastAsia="Times New Roman" w:hAnsi="Times New Roman"/>
          <w:sz w:val="17"/>
          <w:szCs w:val="17"/>
          <w:color w:val="auto"/>
        </w:rPr>
      </w:pPr>
    </w:p>
    <w:p>
      <w:pPr>
        <w:ind w:right="680" w:firstLine="514"/>
        <w:spacing w:after="0" w:line="258" w:lineRule="auto"/>
        <w:tabs>
          <w:tab w:leader="none" w:pos="1015"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grant of the Restricted Stock Units and the Participant’s participation in the Plan shall not create a right to employment or be interpreted as forming an employment or service contract with the Company, the Employer or any other Subsidiary and shall not interfere with the ability of the Company,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309" w:right="31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6"/>
          <w:szCs w:val="16"/>
          <w:color w:val="auto"/>
        </w:rPr>
        <w:t>the Employer or any other Subsidiary to terminate the Participant’s employment or service relationship (if any);</w:t>
      </w:r>
    </w:p>
    <w:p>
      <w:pPr>
        <w:spacing w:after="0" w:line="198" w:lineRule="exact"/>
        <w:rPr>
          <w:sz w:val="20"/>
          <w:szCs w:val="20"/>
          <w:color w:val="auto"/>
        </w:rPr>
      </w:pPr>
    </w:p>
    <w:p>
      <w:pPr>
        <w:ind w:left="1020" w:hanging="506"/>
        <w:spacing w:after="0"/>
        <w:tabs>
          <w:tab w:leader="none" w:pos="102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Participant is voluntarily participating in the Plan;</w:t>
      </w:r>
    </w:p>
    <w:p>
      <w:pPr>
        <w:spacing w:after="0" w:line="175" w:lineRule="exact"/>
        <w:rPr>
          <w:rFonts w:ascii="Times New Roman" w:cs="Times New Roman" w:eastAsia="Times New Roman" w:hAnsi="Times New Roman"/>
          <w:sz w:val="17"/>
          <w:szCs w:val="17"/>
          <w:color w:val="auto"/>
        </w:rPr>
      </w:pPr>
    </w:p>
    <w:p>
      <w:pPr>
        <w:ind w:right="60" w:firstLine="514"/>
        <w:spacing w:after="0" w:line="258" w:lineRule="auto"/>
        <w:tabs>
          <w:tab w:leader="none" w:pos="1018"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Restricted Stock Units and any Shares acquired pursuant to such Restricted Stock Units, and the income from and value of the same, are not intended to replace any pension rights or compensation;</w:t>
      </w:r>
    </w:p>
    <w:p>
      <w:pPr>
        <w:spacing w:after="0" w:line="154" w:lineRule="exact"/>
        <w:rPr>
          <w:rFonts w:ascii="Times New Roman" w:cs="Times New Roman" w:eastAsia="Times New Roman" w:hAnsi="Times New Roman"/>
          <w:sz w:val="17"/>
          <w:szCs w:val="17"/>
          <w:color w:val="auto"/>
        </w:rPr>
      </w:pPr>
    </w:p>
    <w:p>
      <w:pPr>
        <w:ind w:firstLine="514"/>
        <w:spacing w:after="0" w:line="253" w:lineRule="auto"/>
        <w:tabs>
          <w:tab w:leader="none" w:pos="1015"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Restricted Stock Units and any Shares acquired pursuant to such Restricted Stock Units, and the income from and value of the same, are extraordinary items that do not constitute compensation of any kind for services of any kind rendered to the Company, the Employer or any other Subsidiary, and which are outside the scope of the Participant’s employment or service and the Participant’s employment or service agreement, if any;</w:t>
      </w:r>
    </w:p>
    <w:p>
      <w:pPr>
        <w:spacing w:after="0" w:line="159" w:lineRule="exact"/>
        <w:rPr>
          <w:rFonts w:ascii="Times New Roman" w:cs="Times New Roman" w:eastAsia="Times New Roman" w:hAnsi="Times New Roman"/>
          <w:sz w:val="17"/>
          <w:szCs w:val="17"/>
          <w:color w:val="auto"/>
        </w:rPr>
      </w:pPr>
    </w:p>
    <w:p>
      <w:pPr>
        <w:ind w:firstLine="514"/>
        <w:spacing w:after="0" w:line="246" w:lineRule="auto"/>
        <w:tabs>
          <w:tab w:leader="none" w:pos="1015"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Restricted Stock Units and any Shares acquired pursuant to such Restricted Stock Units,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75" w:lineRule="exact"/>
        <w:rPr>
          <w:rFonts w:ascii="Times New Roman" w:cs="Times New Roman" w:eastAsia="Times New Roman" w:hAnsi="Times New Roman"/>
          <w:sz w:val="17"/>
          <w:szCs w:val="17"/>
          <w:color w:val="auto"/>
        </w:rPr>
      </w:pPr>
    </w:p>
    <w:p>
      <w:pPr>
        <w:ind w:right="40" w:firstLine="514"/>
        <w:spacing w:after="0" w:line="258" w:lineRule="auto"/>
        <w:tabs>
          <w:tab w:leader="none" w:pos="1009"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future value of the Shares underlying the Restricted Stock Units is unknown, indeterminable and cannot be predicted with certainty and the value of such Shares may increase or decrease in the future;</w:t>
      </w:r>
    </w:p>
    <w:p>
      <w:pPr>
        <w:spacing w:after="0" w:line="154" w:lineRule="exact"/>
        <w:rPr>
          <w:rFonts w:ascii="Times New Roman" w:cs="Times New Roman" w:eastAsia="Times New Roman" w:hAnsi="Times New Roman"/>
          <w:sz w:val="17"/>
          <w:szCs w:val="17"/>
          <w:color w:val="auto"/>
        </w:rPr>
      </w:pPr>
    </w:p>
    <w:p>
      <w:pPr>
        <w:ind w:firstLine="514"/>
        <w:spacing w:after="0" w:line="247" w:lineRule="auto"/>
        <w:tabs>
          <w:tab w:leader="none" w:pos="1009"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no claim or entitlement to compensation or damages shall arise from forfeiture of the Restricted Stock Units or recoupment of any gains earned or accrued due to the sale of Shares acquired in settlement of such Restricted Stock Units resulting from, but not limited to, the (</w:t>
      </w:r>
      <w:r>
        <w:rPr>
          <w:rFonts w:ascii="Times New Roman" w:cs="Times New Roman" w:eastAsia="Times New Roman" w:hAnsi="Times New Roman"/>
          <w:sz w:val="16"/>
          <w:szCs w:val="16"/>
          <w:u w:val="single" w:color="auto"/>
          <w:color w:val="auto"/>
        </w:rPr>
        <w:t>1</w:t>
      </w:r>
      <w:r>
        <w:rPr>
          <w:rFonts w:ascii="Times New Roman" w:cs="Times New Roman" w:eastAsia="Times New Roman" w:hAnsi="Times New Roman"/>
          <w:sz w:val="16"/>
          <w:szCs w:val="16"/>
          <w:color w:val="auto"/>
        </w:rPr>
        <w:t>) termination of the Participant’s employment or service (regardless of the reason for the termination and whether or not the termination is later found to be invalid or in breach of employment laws in the jurisdiction where the Participant is employed or the terms of the Participant’s employment or service agreement, if any) and/or (</w:t>
      </w:r>
      <w:r>
        <w:rPr>
          <w:rFonts w:ascii="Times New Roman" w:cs="Times New Roman" w:eastAsia="Times New Roman" w:hAnsi="Times New Roman"/>
          <w:sz w:val="16"/>
          <w:szCs w:val="16"/>
          <w:u w:val="single" w:color="auto"/>
          <w:color w:val="auto"/>
        </w:rPr>
        <w:t>2</w:t>
      </w:r>
      <w:r>
        <w:rPr>
          <w:rFonts w:ascii="Times New Roman" w:cs="Times New Roman" w:eastAsia="Times New Roman" w:hAnsi="Times New Roman"/>
          <w:sz w:val="16"/>
          <w:szCs w:val="16"/>
          <w:color w:val="auto"/>
        </w:rPr>
        <w:t>) application of any Applicable Law or regulations, or any recoupment policy or any recovery or clawback policy maintained by the Company or otherwise required by Applicable Law; and</w:t>
      </w:r>
    </w:p>
    <w:p>
      <w:pPr>
        <w:spacing w:after="0" w:line="166" w:lineRule="exact"/>
        <w:rPr>
          <w:rFonts w:ascii="Times New Roman" w:cs="Times New Roman" w:eastAsia="Times New Roman" w:hAnsi="Times New Roman"/>
          <w:sz w:val="17"/>
          <w:szCs w:val="17"/>
          <w:color w:val="auto"/>
        </w:rPr>
      </w:pPr>
    </w:p>
    <w:p>
      <w:pPr>
        <w:ind w:right="60" w:firstLine="514"/>
        <w:spacing w:after="0" w:line="246" w:lineRule="auto"/>
        <w:tabs>
          <w:tab w:leader="none" w:pos="1015"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neither the Company, the Employer nor any other Subsidiary shall be liable for any foreign exchange rate fluctuation between the Participant’s local currency and the United States Dollar that may affect the value of the Shares or any amounts due pursuant to the issuance of the Shares, or the subsequent sale of any Shares acquired pursuant to the Restricted Stock Units.</w:t>
      </w:r>
    </w:p>
    <w:p>
      <w:pPr>
        <w:spacing w:after="0" w:line="176" w:lineRule="exact"/>
        <w:rPr>
          <w:sz w:val="20"/>
          <w:szCs w:val="20"/>
          <w:color w:val="auto"/>
        </w:rPr>
      </w:pPr>
    </w:p>
    <w:p>
      <w:pPr>
        <w:ind w:right="20" w:firstLine="514"/>
        <w:spacing w:after="0" w:line="244" w:lineRule="auto"/>
        <w:tabs>
          <w:tab w:leader="none" w:pos="1012"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Employee Data Privacy</w:t>
      </w:r>
      <w:r>
        <w:rPr>
          <w:rFonts w:ascii="Times New Roman" w:cs="Times New Roman" w:eastAsia="Times New Roman" w:hAnsi="Times New Roman"/>
          <w:sz w:val="16"/>
          <w:szCs w:val="16"/>
          <w:color w:val="auto"/>
        </w:rPr>
        <w:t>. The collection, use, disclosure and transfer, in electronic or other form, of personally identifiable information to facilitate the grant of the Restricted Stock Units and the administration of the Plan by and among, as applicable, the Company and the Employer, if different, any of the Company’s Subsidiaries or Affiliates, or any agent of the Company administering or providing Plan services is governed by the Employee Privacy Notice (the “</w:t>
      </w:r>
      <w:r>
        <w:rPr>
          <w:rFonts w:ascii="Times New Roman" w:cs="Times New Roman" w:eastAsia="Times New Roman" w:hAnsi="Times New Roman"/>
          <w:sz w:val="16"/>
          <w:szCs w:val="16"/>
          <w:u w:val="single" w:color="auto"/>
          <w:color w:val="auto"/>
        </w:rPr>
        <w:t>Privacy Notice</w:t>
      </w:r>
      <w:r>
        <w:rPr>
          <w:rFonts w:ascii="Times New Roman" w:cs="Times New Roman" w:eastAsia="Times New Roman" w:hAnsi="Times New Roman"/>
          <w:sz w:val="16"/>
          <w:szCs w:val="16"/>
          <w:color w:val="auto"/>
        </w:rPr>
        <w:t xml:space="preserve">”) that Participant received in the course of his or her relationship with Company. The Participant understands that he or she may review the </w:t>
      </w:r>
      <w:r>
        <w:rPr>
          <w:rFonts w:ascii="Times New Roman" w:cs="Times New Roman" w:eastAsia="Times New Roman" w:hAnsi="Times New Roman"/>
          <w:sz w:val="16"/>
          <w:szCs w:val="16"/>
          <w:color w:val="0000FF"/>
        </w:rPr>
        <w:t>Privacy Notice</w:t>
      </w:r>
      <w:r>
        <w:rPr>
          <w:rFonts w:ascii="Times New Roman" w:cs="Times New Roman" w:eastAsia="Times New Roman" w:hAnsi="Times New Roman"/>
          <w:sz w:val="16"/>
          <w:szCs w:val="16"/>
          <w:color w:val="auto"/>
        </w:rPr>
        <w:t xml:space="preserve"> or contact his or her local human resources representative to request 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60"/>
          </w:cols>
          <w:pgMar w:left="300" w:top="1308" w:right="339" w:bottom="1440" w:gutter="0" w:footer="0" w:header="0"/>
        </w:sectPr>
      </w:pPr>
    </w:p>
    <w:bookmarkStart w:id="371" w:name="page372"/>
    <w:bookmarkEnd w:id="371"/>
    <w:p>
      <w:pPr>
        <w:ind w:right="460"/>
        <w:spacing w:after="0" w:line="273" w:lineRule="auto"/>
        <w:rPr>
          <w:sz w:val="20"/>
          <w:szCs w:val="20"/>
          <w:color w:val="auto"/>
        </w:rPr>
      </w:pPr>
      <w:r>
        <w:rPr>
          <w:rFonts w:ascii="Times New Roman" w:cs="Times New Roman" w:eastAsia="Times New Roman" w:hAnsi="Times New Roman"/>
          <w:sz w:val="16"/>
          <w:szCs w:val="16"/>
          <w:color w:val="auto"/>
        </w:rPr>
        <w:t xml:space="preserve">copy of the Privacy Notice. Please contact </w:t>
      </w:r>
      <w:r>
        <w:rPr>
          <w:rFonts w:ascii="Times New Roman" w:cs="Times New Roman" w:eastAsia="Times New Roman" w:hAnsi="Times New Roman"/>
          <w:sz w:val="16"/>
          <w:szCs w:val="16"/>
          <w:color w:val="0000FF"/>
        </w:rPr>
        <w:t>ethics@bah.com</w:t>
      </w:r>
      <w:r>
        <w:rPr>
          <w:rFonts w:ascii="Times New Roman" w:cs="Times New Roman" w:eastAsia="Times New Roman" w:hAnsi="Times New Roman"/>
          <w:sz w:val="16"/>
          <w:szCs w:val="16"/>
          <w:color w:val="auto"/>
        </w:rPr>
        <w:t xml:space="preserve"> if the Participant has any questions or concerns about how the Company or its Subsidiaries and Affiliates process personally identifiable information.</w:t>
      </w:r>
    </w:p>
    <w:p>
      <w:pPr>
        <w:spacing w:after="0" w:line="144" w:lineRule="exact"/>
        <w:rPr>
          <w:sz w:val="20"/>
          <w:szCs w:val="20"/>
          <w:color w:val="auto"/>
        </w:rPr>
      </w:pPr>
    </w:p>
    <w:p>
      <w:pPr>
        <w:ind w:left="1020" w:hanging="506"/>
        <w:spacing w:after="0"/>
        <w:tabs>
          <w:tab w:leader="none" w:pos="102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86" w:lineRule="exact"/>
        <w:rPr>
          <w:sz w:val="20"/>
          <w:szCs w:val="20"/>
          <w:color w:val="auto"/>
        </w:rPr>
      </w:pPr>
    </w:p>
    <w:p>
      <w:pPr>
        <w:jc w:val="both"/>
        <w:ind w:firstLine="514"/>
        <w:spacing w:after="0" w:line="246" w:lineRule="auto"/>
        <w:tabs>
          <w:tab w:leader="none" w:pos="1016"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Binding Effect; Benefits</w:t>
      </w:r>
      <w:r>
        <w:rPr>
          <w:rFonts w:ascii="Times New Roman" w:cs="Times New Roman" w:eastAsia="Times New Roman" w:hAnsi="Times New Roman"/>
          <w:sz w:val="16"/>
          <w:szCs w:val="16"/>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75" w:lineRule="exact"/>
        <w:rPr>
          <w:rFonts w:ascii="Times New Roman" w:cs="Times New Roman" w:eastAsia="Times New Roman" w:hAnsi="Times New Roman"/>
          <w:sz w:val="17"/>
          <w:szCs w:val="17"/>
          <w:color w:val="auto"/>
        </w:rPr>
      </w:pPr>
    </w:p>
    <w:p>
      <w:pPr>
        <w:ind w:right="120" w:firstLine="514"/>
        <w:spacing w:after="0" w:line="246" w:lineRule="auto"/>
        <w:tabs>
          <w:tab w:leader="none" w:pos="1015"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Participant acknowledges that neither the Company nor the Employer are providing any tax, legal or financial advice, or making any recommendations regarding the Participant’s participation in the Plan. The Participant should consult his or her own personal tax, legal and financial advisors regarding the Participant’s participation in the Plan before taking any action related to the Plan.</w:t>
      </w:r>
    </w:p>
    <w:p>
      <w:pPr>
        <w:spacing w:after="0" w:line="165" w:lineRule="exact"/>
        <w:rPr>
          <w:rFonts w:ascii="Times New Roman" w:cs="Times New Roman" w:eastAsia="Times New Roman" w:hAnsi="Times New Roman"/>
          <w:sz w:val="17"/>
          <w:szCs w:val="17"/>
          <w:color w:val="auto"/>
        </w:rPr>
      </w:pPr>
    </w:p>
    <w:p>
      <w:pPr>
        <w:ind w:firstLine="514"/>
        <w:spacing w:after="0" w:line="264" w:lineRule="auto"/>
        <w:tabs>
          <w:tab w:leader="none" w:pos="1016"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u w:val="single" w:color="auto"/>
          <w:color w:val="auto"/>
        </w:rPr>
        <w:t>Interpretation</w:t>
      </w:r>
      <w:r>
        <w:rPr>
          <w:rFonts w:ascii="Times New Roman" w:cs="Times New Roman" w:eastAsia="Times New Roman" w:hAnsi="Times New Roman"/>
          <w:sz w:val="15"/>
          <w:szCs w:val="15"/>
          <w:color w:val="auto"/>
        </w:rPr>
        <w:t>. For purposes of this Agreement, if the Participant is not employed by the Company, “</w:t>
      </w:r>
      <w:r>
        <w:rPr>
          <w:rFonts w:ascii="Times New Roman" w:cs="Times New Roman" w:eastAsia="Times New Roman" w:hAnsi="Times New Roman"/>
          <w:sz w:val="15"/>
          <w:szCs w:val="15"/>
          <w:u w:val="single" w:color="auto"/>
          <w:color w:val="auto"/>
        </w:rPr>
        <w:t>Employer</w:t>
      </w:r>
      <w:r>
        <w:rPr>
          <w:rFonts w:ascii="Times New Roman" w:cs="Times New Roman" w:eastAsia="Times New Roman" w:hAnsi="Times New Roman"/>
          <w:sz w:val="15"/>
          <w:szCs w:val="15"/>
          <w:color w:val="auto"/>
        </w:rPr>
        <w:t>” means the Subsidiary that employs the Participant. This Agreement and the Restricted Stock Units granted hereunder are subject to the terms and conditions of the Plan, which are incorporated by reference herein.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156" w:lineRule="exact"/>
        <w:rPr>
          <w:rFonts w:ascii="Times New Roman" w:cs="Times New Roman" w:eastAsia="Times New Roman" w:hAnsi="Times New Roman"/>
          <w:sz w:val="16"/>
          <w:szCs w:val="16"/>
          <w:color w:val="auto"/>
        </w:rPr>
      </w:pPr>
    </w:p>
    <w:p>
      <w:pPr>
        <w:ind w:right="80" w:firstLine="514"/>
        <w:spacing w:after="0" w:line="247" w:lineRule="auto"/>
        <w:tabs>
          <w:tab w:leader="none" w:pos="1015"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Country-Specific Provisions</w:t>
      </w:r>
      <w:r>
        <w:rPr>
          <w:rFonts w:ascii="Times New Roman" w:cs="Times New Roman" w:eastAsia="Times New Roman" w:hAnsi="Times New Roman"/>
          <w:sz w:val="16"/>
          <w:szCs w:val="16"/>
          <w:color w:val="auto"/>
        </w:rPr>
        <w:t xml:space="preserve">. The Participant’s participation in the Plan shall be subject to any special terms and conditions set forth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attached hereto applicable to the Participant’s country. Moreover, if the Participant relocates to one of the countries included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the special terms and conditions applicable to such country will apply to the Participant, to the extent the Company determines that the application of such terms and conditions is necessary or advisable for legal or administrative reasons.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constitutes a part of this Agreement.</w:t>
      </w:r>
    </w:p>
    <w:p>
      <w:pPr>
        <w:spacing w:after="0" w:line="164" w:lineRule="exact"/>
        <w:rPr>
          <w:rFonts w:ascii="Times New Roman" w:cs="Times New Roman" w:eastAsia="Times New Roman" w:hAnsi="Times New Roman"/>
          <w:sz w:val="17"/>
          <w:szCs w:val="17"/>
          <w:color w:val="auto"/>
        </w:rPr>
      </w:pPr>
    </w:p>
    <w:p>
      <w:pPr>
        <w:ind w:right="120" w:firstLine="514"/>
        <w:spacing w:after="0" w:line="253" w:lineRule="auto"/>
        <w:tabs>
          <w:tab w:leader="none" w:pos="1016"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Other Requirements</w:t>
      </w:r>
      <w:r>
        <w:rPr>
          <w:rFonts w:ascii="Times New Roman" w:cs="Times New Roman" w:eastAsia="Times New Roman" w:hAnsi="Times New Roman"/>
          <w:sz w:val="16"/>
          <w:szCs w:val="16"/>
          <w:color w:val="auto"/>
        </w:rPr>
        <w:t>. The Company reserves the right to impose other requirements on the Participant’s participation in the Plan and on any Shares acquired in settlement of the Restricted Stock Units granted hereunder, to the extent the Company determines it is necessary or advisable for legal or administrative reasons, and to require the Participant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00" w:top="1309" w:right="359" w:bottom="1440" w:gutter="0" w:footer="0" w:header="0"/>
        </w:sectPr>
      </w:pPr>
    </w:p>
    <w:bookmarkStart w:id="372" w:name="page373"/>
    <w:bookmarkEnd w:id="372"/>
    <w:p>
      <w:pPr>
        <w:ind w:left="-20" w:right="60" w:firstLine="514"/>
        <w:spacing w:after="0" w:line="246" w:lineRule="auto"/>
        <w:tabs>
          <w:tab w:leader="none" w:pos="998"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Applicable Law</w:t>
      </w:r>
      <w:r>
        <w:rPr>
          <w:rFonts w:ascii="Times New Roman" w:cs="Times New Roman" w:eastAsia="Times New Roman" w:hAnsi="Times New Roman"/>
          <w:sz w:val="16"/>
          <w:szCs w:val="16"/>
          <w:color w:val="auto"/>
        </w:rPr>
        <w:t>. The Participant acknowledges that the Company is organized under the laws of the State of Delaware. The Participant and the Company agree that this Agreement shall be construed in accordance with and governed by the laws of the State of Delaware, without reference to principles of conflict of laws that would apply the laws of any other jurisdiction.</w:t>
      </w:r>
    </w:p>
    <w:p>
      <w:pPr>
        <w:spacing w:after="0" w:line="175" w:lineRule="exact"/>
        <w:rPr>
          <w:rFonts w:ascii="Times New Roman" w:cs="Times New Roman" w:eastAsia="Times New Roman" w:hAnsi="Times New Roman"/>
          <w:sz w:val="17"/>
          <w:szCs w:val="17"/>
          <w:color w:val="auto"/>
        </w:rPr>
      </w:pPr>
    </w:p>
    <w:p>
      <w:pPr>
        <w:ind w:left="-20" w:firstLine="514"/>
        <w:spacing w:after="0" w:line="243" w:lineRule="auto"/>
        <w:tabs>
          <w:tab w:leader="none" w:pos="995"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Forum Selection</w:t>
      </w:r>
      <w:r>
        <w:rPr>
          <w:rFonts w:ascii="Times New Roman" w:cs="Times New Roman" w:eastAsia="Times New Roman" w:hAnsi="Times New Roman"/>
          <w:sz w:val="16"/>
          <w:szCs w:val="16"/>
          <w:color w:val="auto"/>
        </w:rPr>
        <w:t>. The Participant acknowledges that the Company’s principal place of business is in, and a substantial portion of the Company’s business is based out of, the Commonwealth of Virginia. The Participant also acknowledges that, as such, during the course of the Participant’s service with the Company, the Employer or any other Subsidiary, the Participant shall have substantial contacts with the Commonwealth of Virginia. Accordingly, the Participant and the Company agree that the exclusive forum for any action, demand, claim or counterclaim relating to the terms and provisions of this Agreement, or to their breach, shall be in the appropriate state or federal court located in the Commonwealth of Virginia. The Participant and the Company hereby consent to the personal jurisdiction of such courts over the parties to this Agreement. The Participant expressly waives any defense that such courts lack personal jurisdiction or are inconvenient. The Participant and the Company further agree that in any such action for breach or enforcement of this Agreement, no party will seek to challenge the validity or enforceability of any part of this Agreement.</w:t>
      </w:r>
    </w:p>
    <w:p>
      <w:pPr>
        <w:spacing w:after="0" w:line="180" w:lineRule="exact"/>
        <w:rPr>
          <w:rFonts w:ascii="Times New Roman" w:cs="Times New Roman" w:eastAsia="Times New Roman" w:hAnsi="Times New Roman"/>
          <w:sz w:val="17"/>
          <w:szCs w:val="17"/>
          <w:color w:val="auto"/>
        </w:rPr>
      </w:pPr>
    </w:p>
    <w:p>
      <w:pPr>
        <w:ind w:left="1000" w:hanging="506"/>
        <w:spacing w:after="0"/>
        <w:tabs>
          <w:tab w:leader="none" w:pos="100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u w:val="single" w:color="auto"/>
          <w:color w:val="auto"/>
        </w:rPr>
        <w:t>Amendment</w:t>
      </w:r>
      <w:r>
        <w:rPr>
          <w:rFonts w:ascii="Times New Roman" w:cs="Times New Roman" w:eastAsia="Times New Roman" w:hAnsi="Times New Roman"/>
          <w:sz w:val="15"/>
          <w:szCs w:val="15"/>
          <w:color w:val="auto"/>
        </w:rPr>
        <w:t>. This Agreement may not be amended, modified or supplemented orally, but only by a written instrument executed by the Participant and the Company.</w:t>
      </w:r>
    </w:p>
    <w:p>
      <w:pPr>
        <w:spacing w:after="0" w:line="197" w:lineRule="exact"/>
        <w:rPr>
          <w:rFonts w:ascii="Times New Roman" w:cs="Times New Roman" w:eastAsia="Times New Roman" w:hAnsi="Times New Roman"/>
          <w:sz w:val="16"/>
          <w:szCs w:val="16"/>
          <w:color w:val="auto"/>
        </w:rPr>
      </w:pPr>
    </w:p>
    <w:p>
      <w:pPr>
        <w:ind w:left="-20" w:right="80" w:firstLine="514"/>
        <w:spacing w:after="0" w:line="246" w:lineRule="auto"/>
        <w:tabs>
          <w:tab w:leader="none" w:pos="989"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Assignability</w:t>
      </w:r>
      <w:r>
        <w:rPr>
          <w:rFonts w:ascii="Times New Roman" w:cs="Times New Roman" w:eastAsia="Times New Roman" w:hAnsi="Times New Roman"/>
          <w:sz w:val="16"/>
          <w:szCs w:val="16"/>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Company may assign all or any portion of its rights or obligations under this Agreement to one or more Persons or other entities designated by it.</w:t>
      </w:r>
    </w:p>
    <w:p>
      <w:pPr>
        <w:spacing w:after="0" w:line="165" w:lineRule="exact"/>
        <w:rPr>
          <w:rFonts w:ascii="Times New Roman" w:cs="Times New Roman" w:eastAsia="Times New Roman" w:hAnsi="Times New Roman"/>
          <w:sz w:val="17"/>
          <w:szCs w:val="17"/>
          <w:color w:val="auto"/>
        </w:rPr>
      </w:pPr>
    </w:p>
    <w:p>
      <w:pPr>
        <w:ind w:left="-20" w:right="160" w:firstLine="514"/>
        <w:spacing w:after="0" w:line="258" w:lineRule="auto"/>
        <w:tabs>
          <w:tab w:leader="none" w:pos="989"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Severability; Blue Pencil</w:t>
      </w:r>
      <w:r>
        <w:rPr>
          <w:rFonts w:ascii="Times New Roman" w:cs="Times New Roman" w:eastAsia="Times New Roman" w:hAnsi="Times New Roman"/>
          <w:sz w:val="16"/>
          <w:szCs w:val="16"/>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165" w:lineRule="exact"/>
        <w:rPr>
          <w:rFonts w:ascii="Times New Roman" w:cs="Times New Roman" w:eastAsia="Times New Roman" w:hAnsi="Times New Roman"/>
          <w:sz w:val="17"/>
          <w:szCs w:val="17"/>
          <w:color w:val="auto"/>
        </w:rPr>
      </w:pPr>
    </w:p>
    <w:p>
      <w:pPr>
        <w:ind w:left="-20" w:right="100" w:firstLine="514"/>
        <w:spacing w:after="0" w:line="242" w:lineRule="auto"/>
        <w:tabs>
          <w:tab w:leader="none" w:pos="995"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Consent to Electronic Delivery</w:t>
      </w:r>
      <w:r>
        <w:rPr>
          <w:rFonts w:ascii="Times New Roman" w:cs="Times New Roman" w:eastAsia="Times New Roman" w:hAnsi="Times New Roman"/>
          <w:sz w:val="16"/>
          <w:szCs w:val="16"/>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the Company’s website, the Fidelity NetBenefits website or any other online access system of the Company’s third-party Plan administrator, email or other form of electronic delivery.</w:t>
      </w:r>
    </w:p>
    <w:p>
      <w:pPr>
        <w:spacing w:after="0" w:line="179" w:lineRule="exact"/>
        <w:rPr>
          <w:rFonts w:ascii="Times New Roman" w:cs="Times New Roman" w:eastAsia="Times New Roman" w:hAnsi="Times New Roman"/>
          <w:sz w:val="17"/>
          <w:szCs w:val="17"/>
          <w:color w:val="auto"/>
        </w:rPr>
      </w:pPr>
    </w:p>
    <w:p>
      <w:pPr>
        <w:ind w:left="-20" w:right="60" w:firstLine="514"/>
        <w:spacing w:after="0" w:line="264" w:lineRule="auto"/>
        <w:tabs>
          <w:tab w:leader="none" w:pos="989"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u w:val="single" w:color="auto"/>
          <w:color w:val="auto"/>
        </w:rPr>
        <w:t>Section 409A of the Code</w:t>
      </w:r>
      <w:r>
        <w:rPr>
          <w:rFonts w:ascii="Times New Roman" w:cs="Times New Roman" w:eastAsia="Times New Roman" w:hAnsi="Times New Roman"/>
          <w:sz w:val="15"/>
          <w:szCs w:val="15"/>
          <w:color w:val="auto"/>
        </w:rPr>
        <w:t>. This Agreement is intended to be administered in a manner consistent with the requirements, where applicable, of Section 409A of the Code and the regulations promulgated thereunder (“</w:t>
      </w:r>
      <w:r>
        <w:rPr>
          <w:rFonts w:ascii="Times New Roman" w:cs="Times New Roman" w:eastAsia="Times New Roman" w:hAnsi="Times New Roman"/>
          <w:sz w:val="15"/>
          <w:szCs w:val="15"/>
          <w:u w:val="single" w:color="auto"/>
          <w:color w:val="auto"/>
        </w:rPr>
        <w:t>Section 409A</w:t>
      </w:r>
      <w:r>
        <w:rPr>
          <w:rFonts w:ascii="Times New Roman" w:cs="Times New Roman" w:eastAsia="Times New Roman" w:hAnsi="Times New Roman"/>
          <w:sz w:val="15"/>
          <w:szCs w:val="15"/>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60"/>
          </w:cols>
          <w:pgMar w:left="320" w:top="1330" w:right="319" w:bottom="1440" w:gutter="0" w:footer="0" w:header="0"/>
        </w:sectPr>
      </w:pPr>
    </w:p>
    <w:bookmarkStart w:id="373" w:name="page374"/>
    <w:bookmarkEnd w:id="373"/>
    <w:p>
      <w:pPr>
        <w:ind w:left="-20" w:firstLine="514"/>
        <w:spacing w:after="0" w:line="244" w:lineRule="auto"/>
        <w:tabs>
          <w:tab w:leader="none" w:pos="989"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Specified Employee Delay</w:t>
      </w:r>
      <w:r>
        <w:rPr>
          <w:rFonts w:ascii="Times New Roman" w:cs="Times New Roman" w:eastAsia="Times New Roman" w:hAnsi="Times New Roman"/>
          <w:sz w:val="16"/>
          <w:szCs w:val="16"/>
          <w:color w:val="auto"/>
        </w:rPr>
        <w:t>. Subject to Section 14.13 of the Plan, if the Participant is deemed a “specified employee” within the meaning of Section 409A, as determined by the Administrator, at a time when the Participant becomes eligible for settlement of the Restricted Stock Units upon his or her “separation from service” within the meaning of Section 409A, then to the extent necessary to comply with, and avoid the imposition on the Participant of any accelerated or additional tax, under Section 409A, such settlement will be delayed until the earlier of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the six (6)-month anniversary of the Participant’s termination of service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 (6)-month anniversary of the Participant’s termination of service (or, if earlier, upon the Participant’s death), or as soon thereafter as practicable (but no later than ninety (90) days thereafter).</w:t>
      </w:r>
    </w:p>
    <w:p>
      <w:pPr>
        <w:spacing w:after="0" w:line="178" w:lineRule="exact"/>
        <w:rPr>
          <w:rFonts w:ascii="Times New Roman" w:cs="Times New Roman" w:eastAsia="Times New Roman" w:hAnsi="Times New Roman"/>
          <w:sz w:val="17"/>
          <w:szCs w:val="17"/>
          <w:color w:val="auto"/>
        </w:rPr>
      </w:pPr>
    </w:p>
    <w:p>
      <w:pPr>
        <w:ind w:left="-20" w:right="820" w:firstLine="514"/>
        <w:spacing w:after="0" w:line="244" w:lineRule="auto"/>
        <w:tabs>
          <w:tab w:leader="none" w:pos="995"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Headings and Captions</w:t>
      </w:r>
      <w:r>
        <w:rPr>
          <w:rFonts w:ascii="Times New Roman" w:cs="Times New Roman" w:eastAsia="Times New Roman" w:hAnsi="Times New Roman"/>
          <w:sz w:val="16"/>
          <w:szCs w:val="16"/>
          <w:color w:val="auto"/>
        </w:rPr>
        <w:t>. The section and other headings contained in this Agreement are for reference purposes only and shall not affect the meaning or interpretation of this Agreement.</w:t>
      </w:r>
    </w:p>
    <w:p>
      <w:pPr>
        <w:spacing w:after="0" w:line="176" w:lineRule="exact"/>
        <w:rPr>
          <w:rFonts w:ascii="Times New Roman" w:cs="Times New Roman" w:eastAsia="Times New Roman" w:hAnsi="Times New Roman"/>
          <w:sz w:val="17"/>
          <w:szCs w:val="17"/>
          <w:color w:val="auto"/>
        </w:rPr>
      </w:pPr>
    </w:p>
    <w:p>
      <w:pPr>
        <w:jc w:val="both"/>
        <w:ind w:left="-20" w:right="20" w:firstLine="514"/>
        <w:spacing w:after="0" w:line="247" w:lineRule="auto"/>
        <w:tabs>
          <w:tab w:leader="none" w:pos="995"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under this Agreement shall be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delivered by hand,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sent by commercial overnight courier service,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sent by registered or certified mail, return receipt requested, and first-class postage prepaid, (</w:t>
      </w:r>
      <w:r>
        <w:rPr>
          <w:rFonts w:ascii="Times New Roman" w:cs="Times New Roman" w:eastAsia="Times New Roman" w:hAnsi="Times New Roman"/>
          <w:sz w:val="16"/>
          <w:szCs w:val="16"/>
          <w:u w:val="single" w:color="auto"/>
          <w:color w:val="auto"/>
        </w:rPr>
        <w:t>iv</w:t>
      </w:r>
      <w:r>
        <w:rPr>
          <w:rFonts w:ascii="Times New Roman" w:cs="Times New Roman" w:eastAsia="Times New Roman" w:hAnsi="Times New Roman"/>
          <w:sz w:val="16"/>
          <w:szCs w:val="16"/>
          <w:color w:val="auto"/>
        </w:rPr>
        <w:t>) sent by e-mail or any other form of electronic transfer or delivery approved by the Administrator, or (</w:t>
      </w:r>
      <w:r>
        <w:rPr>
          <w:rFonts w:ascii="Times New Roman" w:cs="Times New Roman" w:eastAsia="Times New Roman" w:hAnsi="Times New Roman"/>
          <w:sz w:val="16"/>
          <w:szCs w:val="16"/>
          <w:u w:val="single" w:color="auto"/>
          <w:color w:val="auto"/>
        </w:rPr>
        <w:t>v</w:t>
      </w:r>
      <w:r>
        <w:rPr>
          <w:rFonts w:ascii="Times New Roman" w:cs="Times New Roman" w:eastAsia="Times New Roman" w:hAnsi="Times New Roman"/>
          <w:sz w:val="16"/>
          <w:szCs w:val="16"/>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164" w:lineRule="exact"/>
        <w:rPr>
          <w:rFonts w:ascii="Times New Roman" w:cs="Times New Roman" w:eastAsia="Times New Roman" w:hAnsi="Times New Roman"/>
          <w:sz w:val="17"/>
          <w:szCs w:val="17"/>
          <w:color w:val="auto"/>
        </w:rPr>
      </w:pPr>
    </w:p>
    <w:p>
      <w:pPr>
        <w:ind w:left="-20" w:right="380" w:firstLine="514"/>
        <w:spacing w:after="0" w:line="258" w:lineRule="auto"/>
        <w:tabs>
          <w:tab w:leader="none" w:pos="995"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any number of counterparts, each of which shall be deemed to be an original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330" w:right="339" w:bottom="1440" w:gutter="0" w:footer="0" w:header="0"/>
        </w:sectPr>
      </w:pPr>
    </w:p>
    <w:bookmarkStart w:id="374" w:name="page375"/>
    <w:bookmarkEnd w:id="374"/>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2023 EQUITY INCENTIVE PLAN OF</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GRANT NOTICE</w:t>
      </w:r>
    </w:p>
    <w:p>
      <w:pPr>
        <w:spacing w:after="0" w:line="1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6"/>
          <w:szCs w:val="16"/>
          <w:color w:val="auto"/>
        </w:rPr>
        <w:t>Unless otherwise defined herein, the terms defined in the 2023 Equity Incentive Plan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of Booz Allen Hamilton Holding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shall have the same defined meanings in this Performance Restricted Stock Unit Agreement, which includes the terms in this Grant Notice, including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(the “</w:t>
      </w:r>
      <w:r>
        <w:rPr>
          <w:rFonts w:ascii="Times New Roman" w:cs="Times New Roman" w:eastAsia="Times New Roman" w:hAnsi="Times New Roman"/>
          <w:sz w:val="16"/>
          <w:szCs w:val="16"/>
          <w:u w:val="single" w:color="auto"/>
          <w:color w:val="auto"/>
        </w:rPr>
        <w:t>Grant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attached hereto, and any special terms and conditions set forth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attached hereto with respect to your country of employment and/or residence (collectively,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6"/>
          <w:szCs w:val="16"/>
          <w:color w:val="auto"/>
        </w:rPr>
        <w:t>You, #ParticipantName+C# (the “</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 have been granted #QuantityGranted+C# target performance-based restricted stock units on #GrantDate+C# (the “</w:t>
      </w:r>
      <w:r>
        <w:rPr>
          <w:rFonts w:ascii="Times New Roman" w:cs="Times New Roman" w:eastAsia="Times New Roman" w:hAnsi="Times New Roman"/>
          <w:sz w:val="16"/>
          <w:szCs w:val="16"/>
          <w:u w:val="single" w:color="auto"/>
          <w:color w:val="auto"/>
        </w:rPr>
        <w:t>Grant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Date</w:t>
      </w:r>
      <w:r>
        <w:rPr>
          <w:rFonts w:ascii="Times New Roman" w:cs="Times New Roman" w:eastAsia="Times New Roman" w:hAnsi="Times New Roman"/>
          <w:sz w:val="16"/>
          <w:szCs w:val="16"/>
          <w:color w:val="auto"/>
        </w:rPr>
        <w:t xml:space="preserve">”), in each case as set forth on the Fidelity NetBenefits system at </w:t>
      </w:r>
      <w:r>
        <w:rPr>
          <w:rFonts w:ascii="Times New Roman" w:cs="Times New Roman" w:eastAsia="Times New Roman" w:hAnsi="Times New Roman"/>
          <w:sz w:val="16"/>
          <w:szCs w:val="16"/>
          <w:u w:val="single" w:color="auto"/>
          <w:color w:val="0000FF"/>
        </w:rPr>
        <w:t>www.netbenefits.com</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Restricted Stock Units</w:t>
      </w:r>
      <w:r>
        <w:rPr>
          <w:rFonts w:ascii="Times New Roman" w:cs="Times New Roman" w:eastAsia="Times New Roman" w:hAnsi="Times New Roman"/>
          <w:sz w:val="16"/>
          <w:szCs w:val="16"/>
          <w:color w:val="auto"/>
        </w:rPr>
        <w:t xml:space="preserve">”), subject to the terms and conditions of the Plan and this Agreement, including but not limited to the vesting schedule and the satisfaction of the performance goals for the applicable performance period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to this Agreement, as delivered and made available to you by the Company, which shall be deemed part of and incorporated by reference into this Grant Notice.</w:t>
      </w:r>
    </w:p>
    <w:p>
      <w:pPr>
        <w:spacing w:after="0" w:line="15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6"/>
          <w:szCs w:val="16"/>
          <w:color w:val="auto"/>
        </w:rPr>
        <w:t xml:space="preserve">Your acceptance of this grant indicates your agreement and understanding that the Restricted Stock Units granted herein are subject to the terms and conditions contained in the Agreement and the Plan. </w:t>
      </w:r>
      <w:r>
        <w:rPr>
          <w:rFonts w:ascii="Times New Roman" w:cs="Times New Roman" w:eastAsia="Times New Roman" w:hAnsi="Times New Roman"/>
          <w:sz w:val="16"/>
          <w:szCs w:val="16"/>
          <w:b w:val="1"/>
          <w:bCs w:val="1"/>
          <w:color w:val="auto"/>
        </w:rPr>
        <w:t>ACCORDINGLY, PLEASE BE SURE TO READ THE PLAN AND THE AGREEMENT, EACH OF WHICH CONTAINS THE SPECIFIC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TERMS AND CONDITIONS OF THE RESTRICTED STOCK UNITS. </w:t>
      </w:r>
      <w:r>
        <w:rPr>
          <w:rFonts w:ascii="Times New Roman" w:cs="Times New Roman" w:eastAsia="Times New Roman" w:hAnsi="Times New Roman"/>
          <w:sz w:val="16"/>
          <w:szCs w:val="16"/>
          <w:color w:val="auto"/>
        </w:rPr>
        <w:t>In order to view the grant details and to accept this grant, please go to Fidelity NetBenefits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0000FF"/>
        </w:rPr>
        <w:t>www.netbenefits.com</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and follow the instructions regarding this grant.</w:t>
      </w:r>
    </w:p>
    <w:p>
      <w:pPr>
        <w:sectPr>
          <w:pgSz w:w="11900" w:h="16838" w:orient="portrait"/>
          <w:cols w:equalWidth="0" w:num="1">
            <w:col w:w="11240"/>
          </w:cols>
          <w:pgMar w:left="300" w:top="1307" w:right="359" w:bottom="1440" w:gutter="0" w:footer="0" w:header="0"/>
        </w:sectPr>
      </w:pPr>
    </w:p>
    <w:bookmarkStart w:id="375" w:name="page376"/>
    <w:bookmarkEnd w:id="375"/>
    <w:p>
      <w:pPr>
        <w:jc w:val="center"/>
        <w:spacing w:after="0"/>
        <w:rPr>
          <w:sz w:val="20"/>
          <w:szCs w:val="20"/>
          <w:color w:val="auto"/>
        </w:rPr>
      </w:pPr>
      <w:r>
        <w:rPr>
          <w:rFonts w:ascii="Times New Roman" w:cs="Times New Roman" w:eastAsia="Times New Roman" w:hAnsi="Times New Roman"/>
          <w:sz w:val="16"/>
          <w:szCs w:val="16"/>
          <w:b w:val="1"/>
          <w:bCs w:val="1"/>
          <w:color w:val="auto"/>
        </w:rPr>
        <w:t>APPENDIX A TO PERFORMANCE RESTRICTED STOCK UNIT AGREEMENT</w:t>
      </w:r>
    </w:p>
    <w:p>
      <w:pPr>
        <w:spacing w:after="0" w:line="179" w:lineRule="exact"/>
        <w:rPr>
          <w:sz w:val="20"/>
          <w:szCs w:val="20"/>
          <w:color w:val="auto"/>
        </w:rPr>
      </w:pPr>
    </w:p>
    <w:p>
      <w:pPr>
        <w:ind w:firstLine="514"/>
        <w:spacing w:after="0" w:line="286" w:lineRule="auto"/>
        <w:tabs>
          <w:tab w:leader="none" w:pos="1018"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Grant of Restricted Stock Units</w:t>
      </w:r>
      <w:r>
        <w:rPr>
          <w:rFonts w:ascii="Times New Roman" w:cs="Times New Roman" w:eastAsia="Times New Roman" w:hAnsi="Times New Roman"/>
          <w:sz w:val="14"/>
          <w:szCs w:val="14"/>
          <w:color w:val="auto"/>
        </w:rPr>
        <w:t xml:space="preserve">. Subject to the terms, conditions, and restrictions set forth in the Plan and this Agreement (including the Grant Notice and any special terms and conditions applicable to the Participant’s country set forth in </w:t>
      </w:r>
      <w:r>
        <w:rPr>
          <w:rFonts w:ascii="Times New Roman" w:cs="Times New Roman" w:eastAsia="Times New Roman" w:hAnsi="Times New Roman"/>
          <w:sz w:val="14"/>
          <w:szCs w:val="14"/>
          <w:u w:val="single" w:color="auto"/>
          <w:color w:val="auto"/>
        </w:rPr>
        <w:t>Appendix B</w:t>
      </w:r>
      <w:r>
        <w:rPr>
          <w:rFonts w:ascii="Times New Roman" w:cs="Times New Roman" w:eastAsia="Times New Roman" w:hAnsi="Times New Roman"/>
          <w:sz w:val="14"/>
          <w:szCs w:val="14"/>
          <w:color w:val="auto"/>
        </w:rPr>
        <w:t xml:space="preserve"> to this Agreement), the Company hereby evidences and confirms its grant to the Participant, effective as of the Grant Date, of the Restricted Stock Units specified in the Grant Notice. Each Restricted Stock Unit represents the right to receive a number of Shares (which could be less than or greater than one Share), subject to the terms and conditions set forth in the Plan and this Agreement (including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Appendix B</w:t>
      </w:r>
      <w:r>
        <w:rPr>
          <w:rFonts w:ascii="Times New Roman" w:cs="Times New Roman" w:eastAsia="Times New Roman" w:hAnsi="Times New Roman"/>
          <w:sz w:val="14"/>
          <w:szCs w:val="14"/>
          <w:color w:val="auto"/>
        </w:rPr>
        <w:t xml:space="preserve">). Except as otherwise provided in Section 3 below, the number of Restricted Stock Units that the Participant shall actually earn for the Performance Period (up to the maximum specified in the Grant Notice) will be determined by the Administrator based on the level of achievement of the performance goals specified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hereto (the “</w:t>
      </w:r>
      <w:r>
        <w:rPr>
          <w:rFonts w:ascii="Times New Roman" w:cs="Times New Roman" w:eastAsia="Times New Roman" w:hAnsi="Times New Roman"/>
          <w:sz w:val="14"/>
          <w:szCs w:val="14"/>
          <w:u w:val="single" w:color="auto"/>
          <w:color w:val="auto"/>
        </w:rPr>
        <w:t>Performance Goals</w:t>
      </w:r>
      <w:r>
        <w:rPr>
          <w:rFonts w:ascii="Times New Roman" w:cs="Times New Roman" w:eastAsia="Times New Roman" w:hAnsi="Times New Roman"/>
          <w:sz w:val="14"/>
          <w:szCs w:val="14"/>
          <w:color w:val="auto"/>
        </w:rPr>
        <w:t>”). The Participant hereby agrees that, except as required or permitted by Applicable Law, the Participant will not disclose to any Person other than the Participant’s spouse and/or tax or financial advisor (if any) the grant of the Restricted Stock Units or any of the terms or provisions hereof without prior approval from the Administrator.</w:t>
      </w:r>
    </w:p>
    <w:p>
      <w:pPr>
        <w:spacing w:after="0" w:line="120" w:lineRule="exact"/>
        <w:rPr>
          <w:rFonts w:ascii="Times New Roman" w:cs="Times New Roman" w:eastAsia="Times New Roman" w:hAnsi="Times New Roman"/>
          <w:sz w:val="14"/>
          <w:szCs w:val="14"/>
          <w:color w:val="auto"/>
        </w:rPr>
      </w:pPr>
    </w:p>
    <w:p>
      <w:pPr>
        <w:ind w:right="20" w:firstLine="514"/>
        <w:spacing w:after="0" w:line="261" w:lineRule="auto"/>
        <w:tabs>
          <w:tab w:leader="none" w:pos="1018"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Restricted Stock Units Subject to Plan</w:t>
      </w:r>
      <w:r>
        <w:rPr>
          <w:rFonts w:ascii="Times New Roman" w:cs="Times New Roman" w:eastAsia="Times New Roman" w:hAnsi="Times New Roman"/>
          <w:sz w:val="16"/>
          <w:szCs w:val="16"/>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 Any capitalized terms used herein without definition shall have the meanings set forth in the Plan.</w:t>
      </w:r>
    </w:p>
    <w:p>
      <w:pPr>
        <w:spacing w:after="0" w:line="131"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of Restricted Stock Units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right="20" w:firstLine="514"/>
        <w:spacing w:after="0" w:line="300" w:lineRule="auto"/>
        <w:tabs>
          <w:tab w:leader="none" w:pos="1011"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w:t>
      </w:r>
      <w:r>
        <w:rPr>
          <w:rFonts w:ascii="Times New Roman" w:cs="Times New Roman" w:eastAsia="Times New Roman" w:hAnsi="Times New Roman"/>
          <w:sz w:val="14"/>
          <w:szCs w:val="14"/>
          <w:color w:val="auto"/>
        </w:rPr>
        <w:t>. For purposes of this Agreement, the term “</w:t>
      </w:r>
      <w:r>
        <w:rPr>
          <w:rFonts w:ascii="Times New Roman" w:cs="Times New Roman" w:eastAsia="Times New Roman" w:hAnsi="Times New Roman"/>
          <w:sz w:val="14"/>
          <w:szCs w:val="14"/>
          <w:u w:val="single" w:color="auto"/>
          <w:color w:val="auto"/>
        </w:rPr>
        <w:t>Performance Period</w:t>
      </w:r>
      <w:r>
        <w:rPr>
          <w:rFonts w:ascii="Times New Roman" w:cs="Times New Roman" w:eastAsia="Times New Roman" w:hAnsi="Times New Roman"/>
          <w:sz w:val="14"/>
          <w:szCs w:val="14"/>
          <w:color w:val="auto"/>
        </w:rPr>
        <w:t xml:space="preserve">” shall mean the period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Except as otherwise provided in this Section 3, the Restricted Stock Units shall become vested as of the vesting date specified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Vesting Date</w:t>
      </w:r>
      <w:r>
        <w:rPr>
          <w:rFonts w:ascii="Times New Roman" w:cs="Times New Roman" w:eastAsia="Times New Roman" w:hAnsi="Times New Roman"/>
          <w:sz w:val="14"/>
          <w:szCs w:val="14"/>
          <w:color w:val="auto"/>
        </w:rPr>
        <w:t xml:space="preserve">”), subject to the continued employment or service of the Participant with the Company or any Subsidiary thereof through the Vesting Date, and to the achievement of the Performance Goals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for the Performance Period as determined by the Administrator pursuant to Section 4(a) of this Agreement. Restricted Stock Units that do not vest in accordance with this Section 3 shall be forfeited.</w:t>
      </w:r>
    </w:p>
    <w:p>
      <w:pPr>
        <w:spacing w:after="0" w:line="107"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Employment or Service</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ind w:right="460" w:firstLine="1023"/>
        <w:spacing w:after="0" w:line="254" w:lineRule="auto"/>
        <w:tabs>
          <w:tab w:leader="none" w:pos="1526"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Due to Death</w:t>
      </w:r>
      <w:r>
        <w:rPr>
          <w:rFonts w:ascii="Times New Roman" w:cs="Times New Roman" w:eastAsia="Times New Roman" w:hAnsi="Times New Roman"/>
          <w:sz w:val="16"/>
          <w:szCs w:val="16"/>
          <w:color w:val="auto"/>
        </w:rPr>
        <w:t xml:space="preserve">. If a Participant’s employment or service terminates due to the Participant’s death prior to the Vesting Date, all unvested Restricted Stock Units shall vest on the effective date of such termination of employment or service at Target Award levels (as specified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Vested Restricted Stock Units shall be settled as set forth in Section 4.</w:t>
      </w:r>
    </w:p>
    <w:p>
      <w:pPr>
        <w:spacing w:after="0" w:line="137" w:lineRule="exact"/>
        <w:rPr>
          <w:rFonts w:ascii="Times New Roman" w:cs="Times New Roman" w:eastAsia="Times New Roman" w:hAnsi="Times New Roman"/>
          <w:sz w:val="16"/>
          <w:szCs w:val="16"/>
          <w:color w:val="auto"/>
        </w:rPr>
      </w:pPr>
    </w:p>
    <w:p>
      <w:pPr>
        <w:ind w:right="120" w:firstLine="1023"/>
        <w:spacing w:after="0" w:line="251" w:lineRule="auto"/>
        <w:tabs>
          <w:tab w:leader="none" w:pos="1527"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by Reason of Disability</w:t>
      </w:r>
      <w:r>
        <w:rPr>
          <w:rFonts w:ascii="Times New Roman" w:cs="Times New Roman" w:eastAsia="Times New Roman" w:hAnsi="Times New Roman"/>
          <w:sz w:val="16"/>
          <w:szCs w:val="16"/>
          <w:color w:val="auto"/>
        </w:rPr>
        <w:t xml:space="preserve">. If a Participant’s employment or service terminates prior to the Vesting Date by reason of the Participant’s Disability, all unvested Restricted Stock Units shall vest as of the Vesting Date in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amount of the Restricted Stock Units that would have been earned and vested in accordance with Section 3(a) based on actual achievement of the Performance Goals as if the Participant’s employment or service had not terminated, with such amount prorated for the portion of the Performance Period that lapsed prior to the Participant’s termination of employment or service;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any “transition period” (within the meaning of the Company’s Transition Policy, as may be amended from time to time) shall not be considered a period of employment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306" w:right="31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6"/>
          <w:szCs w:val="16"/>
          <w:color w:val="auto"/>
        </w:rPr>
        <w:t xml:space="preserve">or service for purposes of calculating the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amount. Vested Restricted Stock Units shall be settled as set forth in Section 4 of this Agreement.</w:t>
      </w:r>
    </w:p>
    <w:p>
      <w:pPr>
        <w:spacing w:after="0" w:line="179" w:lineRule="exact"/>
        <w:rPr>
          <w:sz w:val="20"/>
          <w:szCs w:val="20"/>
          <w:color w:val="auto"/>
        </w:rPr>
      </w:pPr>
    </w:p>
    <w:p>
      <w:pPr>
        <w:ind w:firstLine="1023"/>
        <w:spacing w:after="0" w:line="245" w:lineRule="auto"/>
        <w:tabs>
          <w:tab w:leader="none" w:pos="1528" w:val="left"/>
        </w:tabs>
        <w:numPr>
          <w:ilvl w:val="1"/>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by Reason of Retirement</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xml:space="preserve">) If a Participant’s employment or service terminates prior to the Vesting Date by reason of a Participant’s Qualifying Permanent Retirement (as defined below),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such termination occurs on or after March 31 (or if March 31 is not a business day, the last business day prior to March 31) of the first fiscal year of the Performance Period, the unvested Restricted Stock Units shall vest in accordance with Section 3(a) based on actual achievement of the Performance Goals as if the Participant’s employment or service had not terminated;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if a Participant’s employment or service terminates prior to March 31 (or if March 31 is not a business day, the last business day prior to March 31) of the first fiscal year of the Performance Period by reason of a Participant’s retirement (notwithstanding that such retirement may otherwise qualify as a Qualifying Permanent Retirement), all unvested Restricted Stock Units shall immediately be forfeited as of the termination date; and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if a Participant’s employment or service terminates at any point prior to the Vesting Date by reason of a Participant’s retirement that at any point during the Performance Period does not constitute a Qualifying Permanent Retirement, all unvested Restricted Stock Units shall immediately be forfeited as of the termination date or, if later, the date such retirement does not constitute a Qualifying Permanent Retirement. Vested Restricted Stock Units shall be settled as set forth in Section 4 of this Agreement. “</w:t>
      </w:r>
      <w:r>
        <w:rPr>
          <w:rFonts w:ascii="Times New Roman" w:cs="Times New Roman" w:eastAsia="Times New Roman" w:hAnsi="Times New Roman"/>
          <w:sz w:val="16"/>
          <w:szCs w:val="16"/>
          <w:u w:val="single" w:color="auto"/>
          <w:color w:val="auto"/>
        </w:rPr>
        <w:t>Qualifying Permanent Retirement</w:t>
      </w:r>
      <w:r>
        <w:rPr>
          <w:rFonts w:ascii="Times New Roman" w:cs="Times New Roman" w:eastAsia="Times New Roman" w:hAnsi="Times New Roman"/>
          <w:sz w:val="16"/>
          <w:szCs w:val="16"/>
          <w:color w:val="auto"/>
        </w:rPr>
        <w:t>” means a termination of the Participant’s employment or service by reason of a retirement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in accordance with the applicable Company retirement policy (as may be amended from time to time)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that is a permanent retirement from all current and future employment, including but not limited to self-employment, unless such employment is approved by the Company in writing in advance of the Participant commencing such employment.</w:t>
      </w:r>
    </w:p>
    <w:p>
      <w:pPr>
        <w:spacing w:after="0" w:line="154" w:lineRule="exact"/>
        <w:rPr>
          <w:rFonts w:ascii="Times New Roman" w:cs="Times New Roman" w:eastAsia="Times New Roman" w:hAnsi="Times New Roman"/>
          <w:sz w:val="16"/>
          <w:szCs w:val="16"/>
          <w:color w:val="auto"/>
        </w:rPr>
      </w:pPr>
    </w:p>
    <w:p>
      <w:pPr>
        <w:ind w:right="20" w:firstLine="1023"/>
        <w:spacing w:after="0" w:line="248" w:lineRule="auto"/>
        <w:tabs>
          <w:tab w:leader="none" w:pos="1519" w:val="left"/>
        </w:tabs>
        <w:numPr>
          <w:ilvl w:val="1"/>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for Cause</w:t>
      </w:r>
      <w:r>
        <w:rPr>
          <w:rFonts w:ascii="Times New Roman" w:cs="Times New Roman" w:eastAsia="Times New Roman" w:hAnsi="Times New Roman"/>
          <w:sz w:val="16"/>
          <w:szCs w:val="16"/>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twenty-four (24) months prior to or any time after the Participant engaged in the conduct that gave rise to the termination for Cause (and any stock or cash issued to the Participant in settlement of such Restricted Stock Units) shall upon demand by the Administrator be immediately forfeited and disgorged or paid to the Company together with all gains earned or accrued due to the sale of Company Common Stock issued in settlement of any Restricted Stock Units.</w:t>
      </w:r>
    </w:p>
    <w:p>
      <w:pPr>
        <w:spacing w:after="0" w:line="152" w:lineRule="exact"/>
        <w:rPr>
          <w:rFonts w:ascii="Times New Roman" w:cs="Times New Roman" w:eastAsia="Times New Roman" w:hAnsi="Times New Roman"/>
          <w:sz w:val="16"/>
          <w:szCs w:val="16"/>
          <w:color w:val="auto"/>
        </w:rPr>
      </w:pPr>
    </w:p>
    <w:p>
      <w:pPr>
        <w:ind w:right="280" w:firstLine="1023"/>
        <w:spacing w:after="0" w:line="254" w:lineRule="auto"/>
        <w:tabs>
          <w:tab w:leader="none" w:pos="1518" w:val="left"/>
        </w:tabs>
        <w:numPr>
          <w:ilvl w:val="1"/>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for Any Other Reason</w:t>
      </w:r>
      <w:r>
        <w:rPr>
          <w:rFonts w:ascii="Times New Roman" w:cs="Times New Roman" w:eastAsia="Times New Roman" w:hAnsi="Times New Roman"/>
          <w:sz w:val="16"/>
          <w:szCs w:val="16"/>
          <w:color w:val="auto"/>
        </w:rPr>
        <w:t>. If a Participant’s employment or service terminates for any reason other than death, Disability, in a Qualifying Permanent Retirement or by the Company or Employer for Cause, all unvested Restricted Stock Units shall immediately be forfeited and canceled, effective as of the date of the Participant’s termination of service.</w:t>
      </w:r>
    </w:p>
    <w:p>
      <w:pPr>
        <w:spacing w:after="0" w:line="137" w:lineRule="exact"/>
        <w:rPr>
          <w:rFonts w:ascii="Times New Roman" w:cs="Times New Roman" w:eastAsia="Times New Roman" w:hAnsi="Times New Roman"/>
          <w:sz w:val="16"/>
          <w:szCs w:val="16"/>
          <w:color w:val="auto"/>
        </w:rPr>
      </w:pPr>
    </w:p>
    <w:p>
      <w:pPr>
        <w:ind w:right="80" w:firstLine="514"/>
        <w:spacing w:after="0" w:line="248" w:lineRule="auto"/>
        <w:tabs>
          <w:tab w:leader="none" w:pos="1011"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 in Control</w:t>
      </w:r>
      <w:r>
        <w:rPr>
          <w:rFonts w:ascii="Times New Roman" w:cs="Times New Roman" w:eastAsia="Times New Roman" w:hAnsi="Times New Roman"/>
          <w:sz w:val="16"/>
          <w:szCs w:val="16"/>
          <w:color w:val="auto"/>
        </w:rPr>
        <w:t xml:space="preserve">. In the event of a Change in Control prior to the Vesting Date, notwithstanding anything in Article XIII of the Plan to the contrary, an amount of Restricted Stock Units equal to the Target Award (as specified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shall remain outstanding and shall vest on the Vesting Date, subject to the continued employment or service of the Participant with the Company, the Employer or any other Subsidiary through such date, but without regard to achievement of any Performance Goals;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if the Participant’s employment or service is terminated by the Company or the Employer without Cause or by the Participant for Good Reason (each, a “</w:t>
      </w:r>
      <w:r>
        <w:rPr>
          <w:rFonts w:ascii="Times New Roman" w:cs="Times New Roman" w:eastAsia="Times New Roman" w:hAnsi="Times New Roman"/>
          <w:sz w:val="16"/>
          <w:szCs w:val="16"/>
          <w:u w:val="single" w:color="auto"/>
          <w:color w:val="auto"/>
        </w:rPr>
        <w:t>Qualifying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CIC Termination</w:t>
      </w:r>
      <w:r>
        <w:rPr>
          <w:rFonts w:ascii="Times New Roman" w:cs="Times New Roman" w:eastAsia="Times New Roman" w:hAnsi="Times New Roman"/>
          <w:sz w:val="16"/>
          <w:szCs w:val="16"/>
          <w:color w:val="auto"/>
        </w:rPr>
        <w:t>”) within two (2) years following the effective date of the Change in Control, such outstanding Restricted Stock Units shall vest as of the date of such Qualifying CIC Termination. Vested Restricted Stock Units shall be settled as set forth in Section 4 of this Agreement.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307" w:right="319" w:bottom="1440" w:gutter="0" w:footer="0" w:header="0"/>
        </w:sectPr>
      </w:pPr>
    </w:p>
    <w:bookmarkStart w:id="377" w:name="page378"/>
    <w:bookmarkEnd w:id="377"/>
    <w:p>
      <w:pPr>
        <w:ind w:left="-60" w:right="80" w:firstLine="514"/>
        <w:spacing w:after="0" w:line="248" w:lineRule="auto"/>
        <w:tabs>
          <w:tab w:leader="none" w:pos="949"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Forfeiture Provisions</w:t>
      </w:r>
      <w:r>
        <w:rPr>
          <w:rFonts w:ascii="Times New Roman" w:cs="Times New Roman" w:eastAsia="Times New Roman" w:hAnsi="Times New Roman"/>
          <w:sz w:val="16"/>
          <w:szCs w:val="16"/>
          <w:color w:val="auto"/>
        </w:rPr>
        <w:t>. Subject to Section 11.4 of the Plan, the Restricted Stock Units (including any gains earned or accrued due to the sale of Company Common Stock issued in settlement of such Restricted Stock Units) shall also be forfeited and subject to disgorgement and/or repayment to the Company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in the event the Participant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engages in or fails to prevent, as applicable, any financial or other misconduct (including but not limited to engaging in Competitive Activity (but excluding, only if the Participant is located in California, clause (a) of the definition of Competitive Activity contained in the Plan)) or (</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materially violates any restrictive covenant agreement (or any other agreement containing restrictive covenants) that the Participant has entered into with the Company,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as required by Applicable Law or regulations or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as otherwise provided in Section 11.4 of the Plan or generally applicable Company policies as to forfeiture, disgorgement and recoupment of Awards, including but not limited to any clawback policy adopted to comply with Section 303A.14 of the New York Stock Exchange Listed Company Manual.</w:t>
      </w:r>
    </w:p>
    <w:p>
      <w:pPr>
        <w:spacing w:after="0" w:line="143" w:lineRule="exact"/>
        <w:rPr>
          <w:rFonts w:ascii="Times New Roman" w:cs="Times New Roman" w:eastAsia="Times New Roman" w:hAnsi="Times New Roman"/>
          <w:sz w:val="16"/>
          <w:szCs w:val="16"/>
          <w:color w:val="auto"/>
        </w:rPr>
      </w:pPr>
    </w:p>
    <w:p>
      <w:pPr>
        <w:ind w:left="-60" w:right="220" w:firstLine="514"/>
        <w:spacing w:after="0" w:line="252" w:lineRule="auto"/>
        <w:tabs>
          <w:tab w:leader="none" w:pos="951"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Administrator Discretion</w:t>
      </w:r>
      <w:r>
        <w:rPr>
          <w:rFonts w:ascii="Times New Roman" w:cs="Times New Roman" w:eastAsia="Times New Roman" w:hAnsi="Times New Roman"/>
          <w:sz w:val="16"/>
          <w:szCs w:val="16"/>
          <w:color w:val="auto"/>
        </w:rPr>
        <w:t xml:space="preserve">. Notwithstanding anything contained in this Agreement to the contrary, subject to Article XII of the Plan, the Administrator, in its sole discretion, may waive forfeiture provisions or accelerate the vesting with respect to any Restricted Stock Units under this Agreement, at such times and upon such terms and conditions as the Administrator shall determine;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that such waiver or acceleration of vesting shall not change the settlement date of the Restricted Stock Units provided in Section 4 of this Agreement.</w:t>
      </w:r>
    </w:p>
    <w:p>
      <w:pPr>
        <w:spacing w:after="0" w:line="150" w:lineRule="exact"/>
        <w:rPr>
          <w:rFonts w:ascii="Times New Roman" w:cs="Times New Roman" w:eastAsia="Times New Roman" w:hAnsi="Times New Roman"/>
          <w:sz w:val="16"/>
          <w:szCs w:val="16"/>
          <w:color w:val="auto"/>
        </w:rPr>
      </w:pPr>
    </w:p>
    <w:p>
      <w:pPr>
        <w:ind w:left="-60" w:firstLine="514"/>
        <w:spacing w:after="0" w:line="246" w:lineRule="auto"/>
        <w:tabs>
          <w:tab w:leader="none" w:pos="955"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Post-Termination Informational Requirements</w:t>
      </w:r>
      <w:r>
        <w:rPr>
          <w:rFonts w:ascii="Times New Roman" w:cs="Times New Roman" w:eastAsia="Times New Roman" w:hAnsi="Times New Roman"/>
          <w:sz w:val="16"/>
          <w:szCs w:val="16"/>
          <w:color w:val="auto"/>
        </w:rPr>
        <w:t>. Before the settlement of any Restricted Stock Units following termination of employment or service, the Administrator may require the Participant (or the Participant’s Eligible Representative, if applicable) to make such representations and provide such documents as the Administrator deems necessary or advisable to effect compliance with Applicable Law and determine whether Section 3(b)(iii), 3(b)(iv) or 3(d) of this Agreement apply. Such representations and documents may include tax returns and all other relevant information and records from which the Administrator can determine the current or former employment status of the Participant during the Performance Period. Notwithstanding anything in this Agreement to the contrary, the settlement of the Restricted Stock Units may be withheld until information deemed sufficient by the Administrator is delivered to it, and any unvested Restricted Stock Units shall be forfeited if the requested information is not provided in sufficient detail to the Administrator before the earlier of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ninety (90) calendar days after the issuance of a request from the Administrator for such information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December 31 of the calendar year in which the Vesting Date occurs.</w:t>
      </w:r>
    </w:p>
    <w:p>
      <w:pPr>
        <w:spacing w:after="0" w:line="146" w:lineRule="exact"/>
        <w:rPr>
          <w:sz w:val="20"/>
          <w:szCs w:val="20"/>
          <w:color w:val="auto"/>
        </w:rPr>
      </w:pPr>
    </w:p>
    <w:p>
      <w:pPr>
        <w:ind w:left="960" w:hanging="506"/>
        <w:spacing w:after="0"/>
        <w:tabs>
          <w:tab w:leader="none" w:pos="96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Administrator Certification; Settlement of Restricted Stock Units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left="-60" w:right="20" w:firstLine="514"/>
        <w:spacing w:after="0" w:line="248" w:lineRule="auto"/>
        <w:tabs>
          <w:tab w:leader="none" w:pos="951"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Certification</w:t>
      </w:r>
      <w:r>
        <w:rPr>
          <w:rFonts w:ascii="Times New Roman" w:cs="Times New Roman" w:eastAsia="Times New Roman" w:hAnsi="Times New Roman"/>
          <w:sz w:val="16"/>
          <w:szCs w:val="16"/>
          <w:color w:val="auto"/>
        </w:rPr>
        <w:t>. As soon as practicable following completion of the Performance Period, the Administrator will review and determine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whether, and to what extent, the Performance Goals for the Performance Period have been achieved, in whole or in part,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the number of Restricted Stock Units that the Participant shall earn, if any, subject to compliance with the requirements of Section 3 (the “</w:t>
      </w:r>
      <w:r>
        <w:rPr>
          <w:rFonts w:ascii="Times New Roman" w:cs="Times New Roman" w:eastAsia="Times New Roman" w:hAnsi="Times New Roman"/>
          <w:sz w:val="16"/>
          <w:szCs w:val="16"/>
          <w:u w:val="single" w:color="auto"/>
          <w:color w:val="auto"/>
        </w:rPr>
        <w:t>Administrator Certification</w:t>
      </w:r>
      <w:r>
        <w:rPr>
          <w:rFonts w:ascii="Times New Roman" w:cs="Times New Roman" w:eastAsia="Times New Roman" w:hAnsi="Times New Roman"/>
          <w:sz w:val="16"/>
          <w:szCs w:val="16"/>
          <w:color w:val="auto"/>
        </w:rPr>
        <w:t>”). All determinations of whether the Performance Goals have been achieved, the number of Restricted Stock Units earned by the Participant, and all other matters related to this Section 4(a) shall be made by the Administrator in its sole discretion and shall be final, conclusive and binding on the Participant.</w:t>
      </w:r>
    </w:p>
    <w:p>
      <w:pPr>
        <w:spacing w:after="0" w:line="152" w:lineRule="exact"/>
        <w:rPr>
          <w:rFonts w:ascii="Times New Roman" w:cs="Times New Roman" w:eastAsia="Times New Roman" w:hAnsi="Times New Roman"/>
          <w:sz w:val="16"/>
          <w:szCs w:val="16"/>
          <w:color w:val="auto"/>
        </w:rPr>
      </w:pPr>
    </w:p>
    <w:p>
      <w:pPr>
        <w:jc w:val="both"/>
        <w:ind w:left="-60" w:right="240" w:firstLine="514"/>
        <w:spacing w:after="0" w:line="254" w:lineRule="auto"/>
        <w:tabs>
          <w:tab w:leader="none" w:pos="949"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Settlement of Restricted Stock Units</w:t>
      </w:r>
      <w:r>
        <w:rPr>
          <w:rFonts w:ascii="Times New Roman" w:cs="Times New Roman" w:eastAsia="Times New Roman" w:hAnsi="Times New Roman"/>
          <w:sz w:val="16"/>
          <w:szCs w:val="16"/>
          <w:color w:val="auto"/>
        </w:rPr>
        <w:t>. Subject to Section 3(f), Section 4(a) and Section 9 of this Agreement, the Company shall deliver to the Participant one (1) Share (or the value thereof) in settlement of each Restricted Stock Unit granted hereunder that has become earned and vested as provided in Section 3 on the first to occur of the following: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on or as soon as practicable following the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160"/>
          </w:cols>
          <w:pgMar w:left="360" w:top="1309" w:right="379" w:bottom="1440" w:gutter="0" w:footer="0" w:header="0"/>
        </w:sectPr>
      </w:pPr>
    </w:p>
    <w:bookmarkStart w:id="378" w:name="page379"/>
    <w:bookmarkEnd w:id="378"/>
    <w:p>
      <w:pPr>
        <w:ind w:right="20"/>
        <w:spacing w:after="0" w:line="248" w:lineRule="auto"/>
        <w:rPr>
          <w:sz w:val="20"/>
          <w:szCs w:val="20"/>
          <w:color w:val="auto"/>
        </w:rPr>
      </w:pPr>
      <w:r>
        <w:rPr>
          <w:rFonts w:ascii="Times New Roman" w:cs="Times New Roman" w:eastAsia="Times New Roman" w:hAnsi="Times New Roman"/>
          <w:sz w:val="16"/>
          <w:szCs w:val="16"/>
          <w:color w:val="auto"/>
        </w:rPr>
        <w:t>date of the Administrator Certification (but in no event later than 2½ months after the Vesting Date);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in the event of a termination of employment or service due to death, as soon as practicable following the Participant’s termination of employment or service by reason of death; or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in the event of a Qualifying CIC Termination, within thirty (30) days following the effective date of the Participant’s Qualifying CIC Termination, in each case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in Company Common Stock by either,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issuing one or more certificates evidencing the Company Common Stock to the Participant or (</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registering the issuance of the Company Common Stock in the name of the Participant through a book entry credit in the records of the Company’s transfer agent, or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in the event of settlement upon a Change in Control, a cash payment equal to the Change in Control Price, multiplied by the number of vested Restricted Stock Units. No fractional Shares shall be issued in settlement of the Restricted Stock Units. Fractional Shares shall be rounded up to the nearest whole share;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Participant may not vest in more than the maximum number of Restricted Stock Units specified in the Grant Notice.</w:t>
      </w:r>
    </w:p>
    <w:p>
      <w:pPr>
        <w:spacing w:after="0" w:line="14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Notwithstanding the foregoing, the Administrator, in its sole discretion, may provide for the settlement of the Restricted Stock Units in the form of Company Common Stock, but require the Participant to sell such Common Stock immediately or within a specified period following the Participant’s termination of service (in which case, the Participant hereby agrees that the Company shall have the authority to issue sale instructions in relation to such Common Stock on the Participant’s behalf).</w:t>
      </w:r>
    </w:p>
    <w:p>
      <w:pPr>
        <w:spacing w:after="0" w:line="148" w:lineRule="exact"/>
        <w:rPr>
          <w:sz w:val="20"/>
          <w:szCs w:val="20"/>
          <w:color w:val="auto"/>
        </w:rPr>
      </w:pPr>
    </w:p>
    <w:p>
      <w:pPr>
        <w:jc w:val="both"/>
        <w:ind w:right="60" w:firstLine="514"/>
        <w:spacing w:after="0" w:line="252" w:lineRule="auto"/>
        <w:tabs>
          <w:tab w:leader="none" w:pos="1018"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Securities Law Compliance</w:t>
      </w:r>
      <w:r>
        <w:rPr>
          <w:rFonts w:ascii="Times New Roman" w:cs="Times New Roman" w:eastAsia="Times New Roman" w:hAnsi="Times New Roman"/>
          <w:sz w:val="16"/>
          <w:szCs w:val="16"/>
          <w:color w:val="auto"/>
        </w:rPr>
        <w:t>. Notwithstanding any other provision of this Agreement, the Participant may not sell the Shares acquired upon vesting of the Restricted Stock Units unless such Shares are registered under the Securities Act, or, if such Shares are not then so registered, such sale would be exempt from the registration requirements of the Securities Act. The sale of such Shares must also comply with other Applicable Law and regulations governing the Shares, and the Participant may not sell the Shares if the Company determines that such sale would not be in material compliance with such laws and regulations.</w:t>
      </w:r>
    </w:p>
    <w:p>
      <w:pPr>
        <w:spacing w:after="0" w:line="139"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Rights with Respect to the Restricted Stock Units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right="40" w:firstLine="514"/>
        <w:spacing w:after="0" w:line="248" w:lineRule="auto"/>
        <w:tabs>
          <w:tab w:leader="none" w:pos="1011"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Transferability</w:t>
      </w:r>
      <w:r>
        <w:rPr>
          <w:rFonts w:ascii="Times New Roman" w:cs="Times New Roman" w:eastAsia="Times New Roman" w:hAnsi="Times New Roman"/>
          <w:sz w:val="16"/>
          <w:szCs w:val="16"/>
          <w:color w:val="auto"/>
        </w:rPr>
        <w:t xml:space="preserve">.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152" w:lineRule="exact"/>
        <w:rPr>
          <w:rFonts w:ascii="Times New Roman" w:cs="Times New Roman" w:eastAsia="Times New Roman" w:hAnsi="Times New Roman"/>
          <w:sz w:val="16"/>
          <w:szCs w:val="16"/>
          <w:color w:val="auto"/>
        </w:rPr>
      </w:pPr>
    </w:p>
    <w:p>
      <w:pPr>
        <w:ind w:right="100" w:firstLine="514"/>
        <w:spacing w:after="0" w:line="330" w:lineRule="auto"/>
        <w:tabs>
          <w:tab w:leader="none" w:pos="1009"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Rights as Stockholder</w:t>
      </w:r>
      <w:r>
        <w:rPr>
          <w:rFonts w:ascii="Times New Roman" w:cs="Times New Roman" w:eastAsia="Times New Roman" w:hAnsi="Times New Roman"/>
          <w:sz w:val="14"/>
          <w:szCs w:val="14"/>
          <w:color w:val="auto"/>
        </w:rPr>
        <w:t>. The Participant shall not have any rights as a stockholder, including any voting, dividend or other rights or privileges as a stockholder of the Company with respect to Shares underlying the Restricted Stock Units granted hereby unless and until such Shares are issued to the Participant in respect thereof.</w:t>
      </w:r>
    </w:p>
    <w:p>
      <w:pPr>
        <w:spacing w:after="0" w:line="98" w:lineRule="exact"/>
        <w:rPr>
          <w:rFonts w:ascii="Times New Roman" w:cs="Times New Roman" w:eastAsia="Times New Roman" w:hAnsi="Times New Roman"/>
          <w:sz w:val="14"/>
          <w:szCs w:val="14"/>
          <w:color w:val="auto"/>
        </w:rPr>
      </w:pPr>
    </w:p>
    <w:p>
      <w:pPr>
        <w:ind w:firstLine="514"/>
        <w:spacing w:after="0" w:line="252" w:lineRule="auto"/>
        <w:tabs>
          <w:tab w:leader="none" w:pos="1011"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Dividend Equivalents</w:t>
      </w:r>
      <w:r>
        <w:rPr>
          <w:rFonts w:ascii="Times New Roman" w:cs="Times New Roman" w:eastAsia="Times New Roman" w:hAnsi="Times New Roman"/>
          <w:sz w:val="16"/>
          <w:szCs w:val="16"/>
          <w:color w:val="auto"/>
        </w:rPr>
        <w:t>. If the Company declares a cash dividend on the Company Common Stock, then the Participant shall be credited with Dividend Equivalents in the form of a right to a cash payment equal to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the amount of the dividend declared and paid for each Share, multiplied by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the number of Restricted Stock Units earned by the Participant as determined by the Administrator pursuant to Section 4(a) or (</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in the case of a termination of employment or service by reason of Death or a Qualifying CIC Termination, the number of Restricted Stock Units equal to the Target Award (as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60"/>
          </w:cols>
          <w:pgMar w:left="300" w:top="1309" w:right="339" w:bottom="1440" w:gutter="0" w:footer="0" w:header="0"/>
        </w:sectPr>
      </w:pPr>
    </w:p>
    <w:bookmarkStart w:id="379" w:name="page380"/>
    <w:bookmarkEnd w:id="379"/>
    <w:p>
      <w:pPr>
        <w:spacing w:after="0" w:line="252" w:lineRule="auto"/>
        <w:rPr>
          <w:sz w:val="20"/>
          <w:szCs w:val="20"/>
          <w:color w:val="auto"/>
        </w:rPr>
      </w:pPr>
      <w:r>
        <w:rPr>
          <w:rFonts w:ascii="Times New Roman" w:cs="Times New Roman" w:eastAsia="Times New Roman" w:hAnsi="Times New Roman"/>
          <w:sz w:val="16"/>
          <w:szCs w:val="16"/>
          <w:color w:val="auto"/>
        </w:rPr>
        <w:t xml:space="preserve">specified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Any Dividend Equivalents shall be subject to the same forfeiture restrictions as the Restricted Stock Units to which they are attributable and shall be paid on the same date the Restricted Stock Units to which they are attributable are settled in accordance with Section 4 hereof. Dividend Equivalents credited to a Participant’s account shall be distributed in cash or, at the discretion of the Administrator, in Shares having a Fair Market Value equal to the amount of the Dividend Equivalents, if any.</w:t>
      </w:r>
    </w:p>
    <w:p>
      <w:pPr>
        <w:spacing w:after="0" w:line="140" w:lineRule="exact"/>
        <w:rPr>
          <w:sz w:val="20"/>
          <w:szCs w:val="20"/>
          <w:color w:val="auto"/>
        </w:rPr>
      </w:pPr>
    </w:p>
    <w:p>
      <w:pPr>
        <w:ind w:left="1020" w:hanging="506"/>
        <w:spacing w:after="0"/>
        <w:tabs>
          <w:tab w:leader="none" w:pos="102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Representations, Warranties and Covenants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right="120" w:firstLine="514"/>
        <w:spacing w:after="0" w:line="292" w:lineRule="auto"/>
        <w:tabs>
          <w:tab w:leader="none" w:pos="1011"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Conflicts; No Consents</w:t>
      </w:r>
      <w:r>
        <w:rPr>
          <w:rFonts w:ascii="Times New Roman" w:cs="Times New Roman" w:eastAsia="Times New Roman" w:hAnsi="Times New Roman"/>
          <w:sz w:val="14"/>
          <w:szCs w:val="14"/>
          <w:color w:val="auto"/>
        </w:rPr>
        <w:t>. The execution and delivery by the Participant of this Agreement, the consummation of the transactions contemplated hereby and the performance of the Participant’s obligations hereunder do not and will not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materially conflict with or result in a material violation or breach of any term or provision of any law applicable to either the Participant or the Restricted Stock Units or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violate in any material respect, conflict with in any material respect or result in any material breach of, or constitute (with or without notice or lapse of time or both) a material default under, or require the Participant to obtain any consent, approval or action of, make any filing with or give any notice to any Person as a result or under the terms of, any contract, agreement, instrument, commitment, arrangement or understanding to which the Participant is a party.</w:t>
      </w:r>
    </w:p>
    <w:p>
      <w:pPr>
        <w:spacing w:after="0" w:line="124" w:lineRule="exact"/>
        <w:rPr>
          <w:rFonts w:ascii="Times New Roman" w:cs="Times New Roman" w:eastAsia="Times New Roman" w:hAnsi="Times New Roman"/>
          <w:sz w:val="14"/>
          <w:szCs w:val="14"/>
          <w:color w:val="auto"/>
        </w:rPr>
      </w:pPr>
    </w:p>
    <w:p>
      <w:pPr>
        <w:jc w:val="both"/>
        <w:ind w:firstLine="514"/>
        <w:spacing w:after="0" w:line="307" w:lineRule="auto"/>
        <w:tabs>
          <w:tab w:leader="none" w:pos="1009"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 with Rule 144</w:t>
      </w:r>
      <w:r>
        <w:rPr>
          <w:rFonts w:ascii="Times New Roman" w:cs="Times New Roman" w:eastAsia="Times New Roman" w:hAnsi="Times New Roman"/>
          <w:sz w:val="14"/>
          <w:szCs w:val="14"/>
          <w:color w:val="auto"/>
        </w:rPr>
        <w:t>. If any Shares issued in respect of the Restricted Stock Units are to be disposed of in accordance with Rule 144 of the Securities Act, the Participant shall transmit to the Company an executed copy of Form 144 (if required by Rule 144) no later than the time such form is required to be transmitted to the Securities and Exchange Commission for filing and such other documentation as the Company may reasonably require to assure compliance with Rule 144 in connection with such disposition.</w:t>
      </w:r>
    </w:p>
    <w:p>
      <w:pPr>
        <w:spacing w:after="0" w:line="114" w:lineRule="exact"/>
        <w:rPr>
          <w:rFonts w:ascii="Times New Roman" w:cs="Times New Roman" w:eastAsia="Times New Roman" w:hAnsi="Times New Roman"/>
          <w:sz w:val="14"/>
          <w:szCs w:val="14"/>
          <w:color w:val="auto"/>
        </w:rPr>
      </w:pPr>
    </w:p>
    <w:p>
      <w:pPr>
        <w:ind w:right="320" w:firstLine="514"/>
        <w:spacing w:after="0" w:line="259" w:lineRule="auto"/>
        <w:tabs>
          <w:tab w:leader="none" w:pos="1011"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 Status</w:t>
      </w:r>
      <w:r>
        <w:rPr>
          <w:rFonts w:ascii="Times New Roman" w:cs="Times New Roman" w:eastAsia="Times New Roman" w:hAnsi="Times New Roman"/>
          <w:sz w:val="16"/>
          <w:szCs w:val="16"/>
          <w:color w:val="auto"/>
        </w:rPr>
        <w:t>. The Participant represents and warrants that, as of the date hereof, the Participant is an officer or other Service Provider of the Company, the Employer or a Subsidiary.</w:t>
      </w:r>
    </w:p>
    <w:p>
      <w:pPr>
        <w:spacing w:after="0" w:line="144" w:lineRule="exact"/>
        <w:rPr>
          <w:sz w:val="20"/>
          <w:szCs w:val="20"/>
          <w:color w:val="auto"/>
        </w:rPr>
      </w:pPr>
    </w:p>
    <w:p>
      <w:pPr>
        <w:ind w:right="300" w:firstLine="514"/>
        <w:spacing w:after="0" w:line="252" w:lineRule="auto"/>
        <w:tabs>
          <w:tab w:leader="none" w:pos="1018"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 in Capitalization</w:t>
      </w:r>
      <w:r>
        <w:rPr>
          <w:rFonts w:ascii="Times New Roman" w:cs="Times New Roman" w:eastAsia="Times New Roman" w:hAnsi="Times New Roman"/>
          <w:sz w:val="16"/>
          <w:szCs w:val="16"/>
          <w:color w:val="auto"/>
        </w:rPr>
        <w:t>. Subject to Section 14.1 of the Plan, the number and kind of Shares subject to any outstanding Restricted Stock Units, or the other terms and conditions of any such Restricted Stock Units, shall be adjusted by the Administrator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pacing w:after="0" w:line="139" w:lineRule="exact"/>
        <w:rPr>
          <w:rFonts w:ascii="Times New Roman" w:cs="Times New Roman" w:eastAsia="Times New Roman" w:hAnsi="Times New Roman"/>
          <w:sz w:val="16"/>
          <w:szCs w:val="16"/>
          <w:color w:val="auto"/>
        </w:rPr>
      </w:pPr>
    </w:p>
    <w:p>
      <w:pPr>
        <w:ind w:right="80" w:firstLine="514"/>
        <w:spacing w:after="0" w:line="246" w:lineRule="auto"/>
        <w:tabs>
          <w:tab w:leader="none" w:pos="1018"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Withholding</w:t>
      </w:r>
      <w:r>
        <w:rPr>
          <w:rFonts w:ascii="Times New Roman" w:cs="Times New Roman" w:eastAsia="Times New Roman" w:hAnsi="Times New Roman"/>
          <w:sz w:val="16"/>
          <w:szCs w:val="16"/>
          <w:color w:val="auto"/>
        </w:rPr>
        <w:t>. The Participant acknowledges that, regardless of any action taken by the Company or the Employer with respect to any or all income tax (including U.S. federal, state and local taxes and/or non-U.S. taxes), social insurance, payroll tax, fringe benefits tax, payment on account or other tax-related items related to the Participant's participation in the Plan and legally applicable to the Participant (“</w:t>
      </w:r>
      <w:r>
        <w:rPr>
          <w:rFonts w:ascii="Times New Roman" w:cs="Times New Roman" w:eastAsia="Times New Roman" w:hAnsi="Times New Roman"/>
          <w:sz w:val="16"/>
          <w:szCs w:val="16"/>
          <w:u w:val="single" w:color="auto"/>
          <w:color w:val="auto"/>
        </w:rPr>
        <w:t>Tax-Related Items</w:t>
      </w:r>
      <w:r>
        <w:rPr>
          <w:rFonts w:ascii="Times New Roman" w:cs="Times New Roman" w:eastAsia="Times New Roman" w:hAnsi="Times New Roman"/>
          <w:sz w:val="16"/>
          <w:szCs w:val="16"/>
          <w:color w:val="auto"/>
        </w:rPr>
        <w:t>”), the ultimate liability for all Tax-Related Items is and remains the Participant’s personal responsibility and may exceed the amount, if any, actually withheld by the Company or the Employer. The Participant further acknowledges that the Company and/or the Employer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make no representations or undertakings regarding the treatment of any Tax-Related Items in connection with any aspect of the Participant’s participation in the Plan, including, but not limited to, the grant of the Restricted Stock Units, the vesting of the Restricted Stock Units, the issuance or sale of Shares, or the receipt of any dividends or Dividend Equivalents;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do not commit to and are under no obligation to structure the terms of the Restricted Stock Units or any aspect of the Plan to reduce or eliminate the Participant’s liability for Tax-Related Items or achieve any particular tax result. Further, if</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00" w:top="1309" w:right="359" w:bottom="1440" w:gutter="0" w:footer="0" w:header="0"/>
        </w:sectPr>
      </w:pPr>
    </w:p>
    <w:bookmarkStart w:id="380" w:name="page381"/>
    <w:bookmarkEnd w:id="380"/>
    <w:p>
      <w:pPr>
        <w:ind w:right="700"/>
        <w:spacing w:after="0" w:line="273" w:lineRule="auto"/>
        <w:rPr>
          <w:sz w:val="20"/>
          <w:szCs w:val="20"/>
          <w:color w:val="auto"/>
        </w:rPr>
      </w:pPr>
      <w:r>
        <w:rPr>
          <w:rFonts w:ascii="Times New Roman" w:cs="Times New Roman" w:eastAsia="Times New Roman" w:hAnsi="Times New Roman"/>
          <w:sz w:val="16"/>
          <w:szCs w:val="16"/>
          <w:color w:val="auto"/>
        </w:rPr>
        <w:t>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23"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6"/>
          <w:szCs w:val="16"/>
          <w:color w:val="auto"/>
        </w:rPr>
        <w:t>Prior to any relevant taxable or tax withholding event, as applicable, the Participant agrees to make arrangements satisfactory to the Company and/or the Employer to satisfy all Tax-Related Items. In this regard, the Participant authorizes the Company and/or the Employer, or their respective agents, at their discretion, to satisfy their withholding obligations with regard to any Tax-Related Items by one or a combination of the following: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withholding from the Participant’s wages or other cash compensation payable to the Participant by the Company and/or the Employer,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withholding from proceeds of the sale of Shares under the Plan, either through a voluntary sale or through a mandatory sale arranged by the Company (on the Participant’s behalf pursuant to this authorization without further consent) to cover the Tax-Related Items required to be withheld, and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withholding in Shares to be issued upon vesting of the Restricted Stock Units.</w:t>
      </w:r>
    </w:p>
    <w:p>
      <w:pPr>
        <w:spacing w:after="0" w:line="154"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6"/>
          <w:szCs w:val="16"/>
          <w:color w:val="auto"/>
        </w:rPr>
        <w:t>If the obligation for Tax-Related Items is satisfied by withholding in Shares, for tax purposes, the Participant will be deemed to have been issued the full number of Shares, notwithstanding that a number of the Shares are held back solely for the purpose of paying the Tax-Related Items.</w:t>
      </w:r>
    </w:p>
    <w:p>
      <w:pPr>
        <w:spacing w:after="0" w:line="144" w:lineRule="exact"/>
        <w:rPr>
          <w:sz w:val="20"/>
          <w:szCs w:val="20"/>
          <w:color w:val="auto"/>
        </w:rPr>
      </w:pPr>
    </w:p>
    <w:p>
      <w:pPr>
        <w:ind w:firstLine="509"/>
        <w:spacing w:after="0" w:line="346" w:lineRule="auto"/>
        <w:rPr>
          <w:sz w:val="20"/>
          <w:szCs w:val="20"/>
          <w:color w:val="auto"/>
        </w:rPr>
      </w:pPr>
      <w:r>
        <w:rPr>
          <w:rFonts w:ascii="Times New Roman" w:cs="Times New Roman" w:eastAsia="Times New Roman" w:hAnsi="Times New Roman"/>
          <w:sz w:val="14"/>
          <w:szCs w:val="14"/>
          <w:color w:val="auto"/>
        </w:rPr>
        <w:t>The Company or the Employer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w:t>
      </w:r>
    </w:p>
    <w:p>
      <w:pPr>
        <w:spacing w:after="0" w:line="77" w:lineRule="exact"/>
        <w:rPr>
          <w:sz w:val="20"/>
          <w:szCs w:val="20"/>
          <w:color w:val="auto"/>
        </w:rPr>
      </w:pPr>
    </w:p>
    <w:p>
      <w:pPr>
        <w:ind w:left="1020" w:hanging="506"/>
        <w:spacing w:after="0"/>
        <w:tabs>
          <w:tab w:leader="none" w:pos="10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Nature of Grant</w:t>
      </w:r>
      <w:r>
        <w:rPr>
          <w:rFonts w:ascii="Times New Roman" w:cs="Times New Roman" w:eastAsia="Times New Roman" w:hAnsi="Times New Roman"/>
          <w:sz w:val="16"/>
          <w:szCs w:val="16"/>
          <w:color w:val="auto"/>
        </w:rPr>
        <w:t>. By accepting the Restricted Stock Units, the Participant acknowledges, understands and agrees that:</w:t>
      </w:r>
    </w:p>
    <w:p>
      <w:pPr>
        <w:spacing w:after="0" w:line="177" w:lineRule="exact"/>
        <w:rPr>
          <w:sz w:val="20"/>
          <w:szCs w:val="20"/>
          <w:color w:val="auto"/>
        </w:rPr>
      </w:pPr>
    </w:p>
    <w:p>
      <w:pPr>
        <w:ind w:right="60" w:firstLine="514"/>
        <w:spacing w:after="0" w:line="259" w:lineRule="auto"/>
        <w:tabs>
          <w:tab w:leader="none" w:pos="1011"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established voluntarily by the Company, it is discretionary in nature and it may be terminated, suspended or amended by the Company at any time, to the extent permitted by the Plan;</w:t>
      </w:r>
    </w:p>
    <w:p>
      <w:pPr>
        <w:spacing w:after="0" w:line="143" w:lineRule="exact"/>
        <w:rPr>
          <w:rFonts w:ascii="Times New Roman" w:cs="Times New Roman" w:eastAsia="Times New Roman" w:hAnsi="Times New Roman"/>
          <w:sz w:val="16"/>
          <w:szCs w:val="16"/>
          <w:color w:val="auto"/>
        </w:rPr>
      </w:pPr>
    </w:p>
    <w:p>
      <w:pPr>
        <w:ind w:right="220" w:firstLine="514"/>
        <w:spacing w:after="0" w:line="273" w:lineRule="auto"/>
        <w:tabs>
          <w:tab w:leader="none" w:pos="1009"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Restricted Stock Units is voluntary and does not create any contractual or other right to receive future Restricted Stock Units or benefits in lieu of Restricted Stock Units, even if Restricted Stock Units have been granted in the past;</w:t>
      </w:r>
    </w:p>
    <w:p>
      <w:pPr>
        <w:spacing w:after="0" w:line="122"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decisions with respect to future Restricted Stock Units or other grants, if any, will be at the sole discretion of the Administrator;</w:t>
      </w:r>
    </w:p>
    <w:p>
      <w:pPr>
        <w:spacing w:after="0" w:line="176" w:lineRule="exact"/>
        <w:rPr>
          <w:rFonts w:ascii="Times New Roman" w:cs="Times New Roman" w:eastAsia="Times New Roman" w:hAnsi="Times New Roman"/>
          <w:sz w:val="16"/>
          <w:szCs w:val="16"/>
          <w:color w:val="auto"/>
        </w:rPr>
      </w:pPr>
    </w:p>
    <w:p>
      <w:pPr>
        <w:ind w:right="40" w:firstLine="514"/>
        <w:spacing w:after="0" w:line="254" w:lineRule="auto"/>
        <w:tabs>
          <w:tab w:leader="none" w:pos="1009"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Restricted Stock Units and the Participant’s participation in the Plan shall not create a right to employment or service or be interpreted as forming an employment or service contract with the Company, the Employer or any other Subsidiary and shall not interfere with the ability of the Company, the Employer or any other Subsidiary to terminate the Participant’s employment or service relationship (if any);</w:t>
      </w:r>
    </w:p>
    <w:p>
      <w:pPr>
        <w:spacing w:after="0" w:line="137"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is voluntarily participating in the Plan;</w:t>
      </w:r>
    </w:p>
    <w:p>
      <w:pPr>
        <w:spacing w:after="0" w:line="176" w:lineRule="exact"/>
        <w:rPr>
          <w:rFonts w:ascii="Times New Roman" w:cs="Times New Roman" w:eastAsia="Times New Roman" w:hAnsi="Times New Roman"/>
          <w:sz w:val="16"/>
          <w:szCs w:val="16"/>
          <w:color w:val="auto"/>
        </w:rPr>
      </w:pPr>
    </w:p>
    <w:p>
      <w:pPr>
        <w:ind w:right="100" w:firstLine="514"/>
        <w:spacing w:after="0" w:line="273" w:lineRule="auto"/>
        <w:tabs>
          <w:tab w:leader="none" w:pos="1015"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Stock Units and any Shares acquired pursuant to such Restricted Stock Units, and the income from and value of the same, are not intended to replace any pension rights or compensation;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309" w:right="319" w:bottom="1440" w:gutter="0" w:footer="0" w:header="0"/>
        </w:sectPr>
      </w:pPr>
    </w:p>
    <w:bookmarkStart w:id="381" w:name="page382"/>
    <w:bookmarkEnd w:id="381"/>
    <w:p>
      <w:pPr>
        <w:ind w:left="-20" w:right="20" w:firstLine="514"/>
        <w:spacing w:after="0" w:line="254" w:lineRule="auto"/>
        <w:tabs>
          <w:tab w:leader="none" w:pos="989"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Stock Units and any Shares acquired pursuant to such Restricted Stock Units, and the income from and value of the same, are extraordinary items that do not constitute compensation of any kind for services of any kind rendered to the Company, the Employer or any other Subsidiary, and which are outside the scope of the Participant’s employment or service and the Participant’s employment or service agreement, if any;</w:t>
      </w:r>
    </w:p>
    <w:p>
      <w:pPr>
        <w:spacing w:after="0" w:line="147" w:lineRule="exact"/>
        <w:rPr>
          <w:rFonts w:ascii="Times New Roman" w:cs="Times New Roman" w:eastAsia="Times New Roman" w:hAnsi="Times New Roman"/>
          <w:sz w:val="16"/>
          <w:szCs w:val="16"/>
          <w:color w:val="auto"/>
        </w:rPr>
      </w:pPr>
    </w:p>
    <w:p>
      <w:pPr>
        <w:ind w:left="-20" w:firstLine="514"/>
        <w:spacing w:after="0" w:line="254" w:lineRule="auto"/>
        <w:tabs>
          <w:tab w:leader="none" w:pos="989"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Stock Units and any Shares acquired pursuant to such Restricted Stock Units,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47" w:lineRule="exact"/>
        <w:rPr>
          <w:rFonts w:ascii="Times New Roman" w:cs="Times New Roman" w:eastAsia="Times New Roman" w:hAnsi="Times New Roman"/>
          <w:sz w:val="16"/>
          <w:szCs w:val="16"/>
          <w:color w:val="auto"/>
        </w:rPr>
      </w:pPr>
    </w:p>
    <w:p>
      <w:pPr>
        <w:ind w:left="-20" w:right="40" w:firstLine="514"/>
        <w:spacing w:after="0" w:line="259" w:lineRule="auto"/>
        <w:tabs>
          <w:tab w:leader="none" w:pos="997"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value of the Shares underlying the Restricted Stock Units is unknown, indeterminable and cannot be predicted with certainty and the value of such Shares may increase or decrease in the future;</w:t>
      </w:r>
    </w:p>
    <w:p>
      <w:pPr>
        <w:spacing w:after="0" w:line="143" w:lineRule="exact"/>
        <w:rPr>
          <w:rFonts w:ascii="Times New Roman" w:cs="Times New Roman" w:eastAsia="Times New Roman" w:hAnsi="Times New Roman"/>
          <w:sz w:val="16"/>
          <w:szCs w:val="16"/>
          <w:color w:val="auto"/>
        </w:rPr>
      </w:pPr>
    </w:p>
    <w:p>
      <w:pPr>
        <w:ind w:left="-20" w:firstLine="514"/>
        <w:spacing w:after="0" w:line="248" w:lineRule="auto"/>
        <w:tabs>
          <w:tab w:leader="none" w:pos="997"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or entitlement to compensation or damages shall arise from forfeiture of the Restricted Stock Units or recoupment of any gains earned or accrued due to the sale of Shares acquired in settlement of such Restricted Stock Units resulting from, but not limited to, the (</w:t>
      </w:r>
      <w:r>
        <w:rPr>
          <w:rFonts w:ascii="Times New Roman" w:cs="Times New Roman" w:eastAsia="Times New Roman" w:hAnsi="Times New Roman"/>
          <w:sz w:val="16"/>
          <w:szCs w:val="16"/>
          <w:u w:val="single" w:color="auto"/>
          <w:color w:val="auto"/>
        </w:rPr>
        <w:t>1</w:t>
      </w:r>
      <w:r>
        <w:rPr>
          <w:rFonts w:ascii="Times New Roman" w:cs="Times New Roman" w:eastAsia="Times New Roman" w:hAnsi="Times New Roman"/>
          <w:sz w:val="16"/>
          <w:szCs w:val="16"/>
          <w:color w:val="auto"/>
        </w:rPr>
        <w:t>) termination of the Participant’s employment or service (regardless of the reason for the termination and whether or not the termination is later found to be invalid or in breach of employment laws in the jurisdiction where the Participant is employed or the terms of the Participant’s employment or service agreement, if any) and/or (</w:t>
      </w:r>
      <w:r>
        <w:rPr>
          <w:rFonts w:ascii="Times New Roman" w:cs="Times New Roman" w:eastAsia="Times New Roman" w:hAnsi="Times New Roman"/>
          <w:sz w:val="16"/>
          <w:szCs w:val="16"/>
          <w:u w:val="single" w:color="auto"/>
          <w:color w:val="auto"/>
        </w:rPr>
        <w:t>2</w:t>
      </w:r>
      <w:r>
        <w:rPr>
          <w:rFonts w:ascii="Times New Roman" w:cs="Times New Roman" w:eastAsia="Times New Roman" w:hAnsi="Times New Roman"/>
          <w:sz w:val="16"/>
          <w:szCs w:val="16"/>
          <w:color w:val="auto"/>
        </w:rPr>
        <w:t>) application of any Applicable Law or regulations, or any recoupment policy or any recovery or clawback policy maintained by the Company or otherwise required by Applicable Law; and</w:t>
      </w:r>
    </w:p>
    <w:p>
      <w:pPr>
        <w:spacing w:after="0" w:line="152" w:lineRule="exact"/>
        <w:rPr>
          <w:rFonts w:ascii="Times New Roman" w:cs="Times New Roman" w:eastAsia="Times New Roman" w:hAnsi="Times New Roman"/>
          <w:sz w:val="16"/>
          <w:szCs w:val="16"/>
          <w:color w:val="auto"/>
        </w:rPr>
      </w:pPr>
    </w:p>
    <w:p>
      <w:pPr>
        <w:ind w:left="-20" w:right="60" w:firstLine="514"/>
        <w:spacing w:after="0" w:line="254" w:lineRule="auto"/>
        <w:tabs>
          <w:tab w:leader="none" w:pos="989"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the Employer nor any other Subsidiary shall be liable for any foreign exchange rate fluctuation between the Participant’s local currency and the United States Dollar that may affect the value of the Shares or any amounts due pursuant to the issuance of the Shares, or the subsequent sale of any Shares acquired pursuant to the Restricted Stock Units.</w:t>
      </w:r>
    </w:p>
    <w:p>
      <w:pPr>
        <w:spacing w:after="0" w:line="148" w:lineRule="exact"/>
        <w:rPr>
          <w:sz w:val="20"/>
          <w:szCs w:val="20"/>
          <w:color w:val="auto"/>
        </w:rPr>
      </w:pPr>
    </w:p>
    <w:p>
      <w:pPr>
        <w:ind w:left="-20" w:right="20" w:firstLine="514"/>
        <w:spacing w:after="0" w:line="245" w:lineRule="auto"/>
        <w:tabs>
          <w:tab w:leader="none" w:pos="986"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Employee Data Privacy</w:t>
      </w:r>
      <w:r>
        <w:rPr>
          <w:rFonts w:ascii="Times New Roman" w:cs="Times New Roman" w:eastAsia="Times New Roman" w:hAnsi="Times New Roman"/>
          <w:sz w:val="16"/>
          <w:szCs w:val="16"/>
          <w:color w:val="auto"/>
        </w:rPr>
        <w:t>. The collection, use, disclosure and transfer, in electronic or other form, of personally identifiable information to facilitate the grant of the Restricted Stock Units and the administration of the Plan by and among, as applicable, the Company and the Employer, if different, any of the Company’s Subsidiaries or Affiliates, or any agent of the Company administering or providing Plan services is governed by the Employee Privacy Notice (the “</w:t>
      </w:r>
      <w:r>
        <w:rPr>
          <w:rFonts w:ascii="Times New Roman" w:cs="Times New Roman" w:eastAsia="Times New Roman" w:hAnsi="Times New Roman"/>
          <w:sz w:val="16"/>
          <w:szCs w:val="16"/>
          <w:u w:val="single" w:color="auto"/>
          <w:color w:val="auto"/>
        </w:rPr>
        <w:t>Privacy Notice</w:t>
      </w:r>
      <w:r>
        <w:rPr>
          <w:rFonts w:ascii="Times New Roman" w:cs="Times New Roman" w:eastAsia="Times New Roman" w:hAnsi="Times New Roman"/>
          <w:sz w:val="16"/>
          <w:szCs w:val="16"/>
          <w:color w:val="auto"/>
        </w:rPr>
        <w:t xml:space="preserve">”) that the Participant received in the course of his or her relationship with Company. The Participant understands that he or she may review the </w:t>
      </w:r>
      <w:r>
        <w:rPr>
          <w:rFonts w:ascii="Times New Roman" w:cs="Times New Roman" w:eastAsia="Times New Roman" w:hAnsi="Times New Roman"/>
          <w:sz w:val="16"/>
          <w:szCs w:val="16"/>
          <w:u w:val="single" w:color="auto"/>
          <w:color w:val="0000FF"/>
        </w:rPr>
        <w:t>Privacy Notice</w:t>
      </w:r>
      <w:r>
        <w:rPr>
          <w:rFonts w:ascii="Times New Roman" w:cs="Times New Roman" w:eastAsia="Times New Roman" w:hAnsi="Times New Roman"/>
          <w:sz w:val="16"/>
          <w:szCs w:val="16"/>
          <w:color w:val="auto"/>
        </w:rPr>
        <w:t xml:space="preserve"> or contact his or her local human resources representative to request a copy of the Privacy Notice. Please contact </w:t>
      </w:r>
      <w:r>
        <w:rPr>
          <w:rFonts w:ascii="Times New Roman" w:cs="Times New Roman" w:eastAsia="Times New Roman" w:hAnsi="Times New Roman"/>
          <w:sz w:val="16"/>
          <w:szCs w:val="16"/>
          <w:u w:val="single" w:color="auto"/>
          <w:color w:val="0000FF"/>
        </w:rPr>
        <w:t>ethics@bah.com</w:t>
      </w:r>
      <w:r>
        <w:rPr>
          <w:rFonts w:ascii="Times New Roman" w:cs="Times New Roman" w:eastAsia="Times New Roman" w:hAnsi="Times New Roman"/>
          <w:sz w:val="16"/>
          <w:szCs w:val="16"/>
          <w:color w:val="auto"/>
        </w:rPr>
        <w:t xml:space="preserve"> if the Participant has any questions or concerns about how the Company or its Subsidiaries and Affiliates process personally identifiable information.</w:t>
      </w:r>
    </w:p>
    <w:p>
      <w:pPr>
        <w:spacing w:after="0" w:line="156" w:lineRule="exact"/>
        <w:rPr>
          <w:rFonts w:ascii="Times New Roman" w:cs="Times New Roman" w:eastAsia="Times New Roman" w:hAnsi="Times New Roman"/>
          <w:sz w:val="16"/>
          <w:szCs w:val="16"/>
          <w:color w:val="auto"/>
        </w:rPr>
      </w:pPr>
    </w:p>
    <w:p>
      <w:pPr>
        <w:ind w:left="1000" w:hanging="506"/>
        <w:spacing w:after="0"/>
        <w:tabs>
          <w:tab w:leader="none" w:pos="100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both"/>
        <w:ind w:left="-20" w:right="40" w:firstLine="514"/>
        <w:spacing w:after="0" w:line="254" w:lineRule="auto"/>
        <w:tabs>
          <w:tab w:leader="none" w:pos="991"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 Benefits</w:t>
      </w:r>
      <w:r>
        <w:rPr>
          <w:rFonts w:ascii="Times New Roman" w:cs="Times New Roman" w:eastAsia="Times New Roman" w:hAnsi="Times New Roman"/>
          <w:sz w:val="16"/>
          <w:szCs w:val="16"/>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37" w:lineRule="exact"/>
        <w:rPr>
          <w:rFonts w:ascii="Times New Roman" w:cs="Times New Roman" w:eastAsia="Times New Roman" w:hAnsi="Times New Roman"/>
          <w:sz w:val="16"/>
          <w:szCs w:val="16"/>
          <w:color w:val="auto"/>
        </w:rPr>
      </w:pPr>
    </w:p>
    <w:p>
      <w:pPr>
        <w:ind w:left="-20" w:right="140" w:firstLine="514"/>
        <w:spacing w:after="0" w:line="273" w:lineRule="auto"/>
        <w:tabs>
          <w:tab w:leader="none" w:pos="989"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Participant acknowledges that neither the Company nor the Employer are providing any tax, legal or financial advice, or making any recommendations regarding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308" w:right="339" w:bottom="1440" w:gutter="0" w:footer="0" w:header="0"/>
        </w:sectPr>
      </w:pPr>
    </w:p>
    <w:bookmarkStart w:id="382" w:name="page383"/>
    <w:bookmarkEnd w:id="382"/>
    <w:p>
      <w:pPr>
        <w:ind w:right="40"/>
        <w:spacing w:after="0" w:line="273" w:lineRule="auto"/>
        <w:rPr>
          <w:sz w:val="20"/>
          <w:szCs w:val="20"/>
          <w:color w:val="auto"/>
        </w:rPr>
      </w:pPr>
      <w:r>
        <w:rPr>
          <w:rFonts w:ascii="Times New Roman" w:cs="Times New Roman" w:eastAsia="Times New Roman" w:hAnsi="Times New Roman"/>
          <w:sz w:val="16"/>
          <w:szCs w:val="16"/>
          <w:color w:val="auto"/>
        </w:rPr>
        <w:t>the Participant’s participation in the Plan. The Participant should consult his or her own personal tax, legal and financial advisors regarding the Participant’s participation in the Plan before taking any action related to the Plan.</w:t>
      </w:r>
    </w:p>
    <w:p>
      <w:pPr>
        <w:spacing w:after="0" w:line="123" w:lineRule="exact"/>
        <w:rPr>
          <w:sz w:val="20"/>
          <w:szCs w:val="20"/>
          <w:color w:val="auto"/>
        </w:rPr>
      </w:pPr>
    </w:p>
    <w:p>
      <w:pPr>
        <w:ind w:right="40" w:firstLine="514"/>
        <w:spacing w:after="0" w:line="286" w:lineRule="auto"/>
        <w:tabs>
          <w:tab w:leader="none" w:pos="1011"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For purposes of this Agreement, if the Participant is not employed by the Company, “</w:t>
      </w:r>
      <w:r>
        <w:rPr>
          <w:rFonts w:ascii="Times New Roman" w:cs="Times New Roman" w:eastAsia="Times New Roman" w:hAnsi="Times New Roman"/>
          <w:sz w:val="14"/>
          <w:szCs w:val="14"/>
          <w:u w:val="single" w:color="auto"/>
          <w:color w:val="auto"/>
        </w:rPr>
        <w:t>Employer</w:t>
      </w:r>
      <w:r>
        <w:rPr>
          <w:rFonts w:ascii="Times New Roman" w:cs="Times New Roman" w:eastAsia="Times New Roman" w:hAnsi="Times New Roman"/>
          <w:sz w:val="14"/>
          <w:szCs w:val="14"/>
          <w:color w:val="auto"/>
        </w:rPr>
        <w:t>” means the Subsidiary that employs the Participant. This Agreement and the Restricted Stock Units granted hereunder are subject to the terms and conditions of the Plan, which are incorporated by reference herein.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131" w:lineRule="exact"/>
        <w:rPr>
          <w:rFonts w:ascii="Times New Roman" w:cs="Times New Roman" w:eastAsia="Times New Roman" w:hAnsi="Times New Roman"/>
          <w:sz w:val="14"/>
          <w:szCs w:val="14"/>
          <w:color w:val="auto"/>
        </w:rPr>
      </w:pPr>
    </w:p>
    <w:p>
      <w:pPr>
        <w:ind w:right="120" w:firstLine="514"/>
        <w:spacing w:after="0" w:line="252" w:lineRule="auto"/>
        <w:tabs>
          <w:tab w:leader="none" w:pos="1009"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Country-Specific Provisions</w:t>
      </w:r>
      <w:r>
        <w:rPr>
          <w:rFonts w:ascii="Times New Roman" w:cs="Times New Roman" w:eastAsia="Times New Roman" w:hAnsi="Times New Roman"/>
          <w:sz w:val="16"/>
          <w:szCs w:val="16"/>
          <w:color w:val="auto"/>
        </w:rPr>
        <w:t xml:space="preserve">. The Participant’s participation in the Plan shall be subject to any special terms and conditions set forth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attached hereto applicable to the Participant’s country. Moreover, if the Participant relocates to one of the countries included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the special terms and conditions applicable to such country will apply to the Participant, to the extent the Company determines that the application of such terms and conditions is necessary or advisable for legal or administrative reasons.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constitutes a part of this Agreement.</w:t>
      </w:r>
    </w:p>
    <w:p>
      <w:pPr>
        <w:spacing w:after="0" w:line="139" w:lineRule="exact"/>
        <w:rPr>
          <w:rFonts w:ascii="Times New Roman" w:cs="Times New Roman" w:eastAsia="Times New Roman" w:hAnsi="Times New Roman"/>
          <w:sz w:val="16"/>
          <w:szCs w:val="16"/>
          <w:color w:val="auto"/>
        </w:rPr>
      </w:pPr>
    </w:p>
    <w:p>
      <w:pPr>
        <w:ind w:right="160" w:firstLine="514"/>
        <w:spacing w:after="0" w:line="261" w:lineRule="auto"/>
        <w:tabs>
          <w:tab w:leader="none" w:pos="1011"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Requirements</w:t>
      </w:r>
      <w:r>
        <w:rPr>
          <w:rFonts w:ascii="Times New Roman" w:cs="Times New Roman" w:eastAsia="Times New Roman" w:hAnsi="Times New Roman"/>
          <w:sz w:val="16"/>
          <w:szCs w:val="16"/>
          <w:color w:val="auto"/>
        </w:rPr>
        <w:t>. The Company reserves the right to impose other requirements on the Participant’s participation in the Plan and on any Shares acquired in settlement of the Restricted Stock Units granted hereunder, to the extent the Company determines it is necessary or advisable for legal or administrative reasons, and to require the Participant to sign any additional agreements or undertakings that may be necessary to accomplish the foregoing.</w:t>
      </w:r>
    </w:p>
    <w:p>
      <w:pPr>
        <w:spacing w:after="0" w:line="131" w:lineRule="exact"/>
        <w:rPr>
          <w:rFonts w:ascii="Times New Roman" w:cs="Times New Roman" w:eastAsia="Times New Roman" w:hAnsi="Times New Roman"/>
          <w:sz w:val="16"/>
          <w:szCs w:val="16"/>
          <w:color w:val="auto"/>
        </w:rPr>
      </w:pPr>
    </w:p>
    <w:p>
      <w:pPr>
        <w:ind w:right="60" w:firstLine="514"/>
        <w:spacing w:after="0" w:line="254" w:lineRule="auto"/>
        <w:tabs>
          <w:tab w:leader="none" w:pos="1015"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Applicable Law</w:t>
      </w:r>
      <w:r>
        <w:rPr>
          <w:rFonts w:ascii="Times New Roman" w:cs="Times New Roman" w:eastAsia="Times New Roman" w:hAnsi="Times New Roman"/>
          <w:sz w:val="16"/>
          <w:szCs w:val="16"/>
          <w:color w:val="auto"/>
        </w:rPr>
        <w:t>. The Participant acknowledges that the Company is organized under the laws of the State of Delaware. The Participant and the Company agree that this Agreement shall be construed in accordance with and governed by the laws of the State of Delaware, without reference to principles of conflict of laws that would apply the laws of any other jurisdiction.</w:t>
      </w:r>
    </w:p>
    <w:p>
      <w:pPr>
        <w:spacing w:after="0" w:line="147" w:lineRule="exact"/>
        <w:rPr>
          <w:rFonts w:ascii="Times New Roman" w:cs="Times New Roman" w:eastAsia="Times New Roman" w:hAnsi="Times New Roman"/>
          <w:sz w:val="16"/>
          <w:szCs w:val="16"/>
          <w:color w:val="auto"/>
        </w:rPr>
      </w:pPr>
    </w:p>
    <w:p>
      <w:pPr>
        <w:ind w:firstLine="514"/>
        <w:spacing w:after="0" w:line="246" w:lineRule="auto"/>
        <w:tabs>
          <w:tab w:leader="none" w:pos="1009"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Forum Selection</w:t>
      </w:r>
      <w:r>
        <w:rPr>
          <w:rFonts w:ascii="Times New Roman" w:cs="Times New Roman" w:eastAsia="Times New Roman" w:hAnsi="Times New Roman"/>
          <w:sz w:val="16"/>
          <w:szCs w:val="16"/>
          <w:color w:val="auto"/>
        </w:rPr>
        <w:t>. The Participant acknowledges that the Company’s principal place of business is in, and a substantial portion of the Company’s business is based out of, the Commonwealth of Virginia. The Participant also acknowledges that, as such, during the course of the Participant’s service with the Company, the Employer or any other Subsidiary, the Participant shall have substantial contacts with the Commonwealth of Virginia. Accordingly, the Participant and the Company agree that the exclusive forum for any action, demand, claim or counterclaim relating to the terms and provisions of this Agreement, or to their breach, shall be in the appropriate state or federal court located in the Commonwealth of Virginia. The Participant and the Company hereby consent to the personal jurisdiction of such courts over the parties to this Agreement. The Participant expressly waives any defense that such courts lack personal jurisdiction or are inconvenient. The Participant and the Company further agree that in any such action for breach or enforcement of this Agreement, no party will seek to challenge the validity or enforceability of any part of this Agreement.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308" w:right="319" w:bottom="1440" w:gutter="0" w:footer="0" w:header="0"/>
        </w:sectPr>
      </w:pPr>
    </w:p>
    <w:bookmarkStart w:id="383" w:name="page384"/>
    <w:bookmarkEnd w:id="383"/>
    <w:p>
      <w:pPr>
        <w:ind w:left="1000" w:hanging="506"/>
        <w:spacing w:after="0"/>
        <w:tabs>
          <w:tab w:leader="none" w:pos="1000"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This Agreement may not be amended, modified or supplemented orally, but only by a written instrument executed by the Participant and the Company.</w:t>
      </w:r>
    </w:p>
    <w:p>
      <w:pPr>
        <w:spacing w:after="0" w:line="199" w:lineRule="exact"/>
        <w:rPr>
          <w:rFonts w:ascii="Times New Roman" w:cs="Times New Roman" w:eastAsia="Times New Roman" w:hAnsi="Times New Roman"/>
          <w:sz w:val="14"/>
          <w:szCs w:val="14"/>
          <w:color w:val="auto"/>
        </w:rPr>
      </w:pPr>
    </w:p>
    <w:p>
      <w:pPr>
        <w:ind w:left="-20" w:right="60" w:firstLine="514"/>
        <w:spacing w:after="0" w:line="254" w:lineRule="auto"/>
        <w:tabs>
          <w:tab w:leader="none" w:pos="997"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Assignability</w:t>
      </w:r>
      <w:r>
        <w:rPr>
          <w:rFonts w:ascii="Times New Roman" w:cs="Times New Roman" w:eastAsia="Times New Roman" w:hAnsi="Times New Roman"/>
          <w:sz w:val="16"/>
          <w:szCs w:val="16"/>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Company may assign all or any portion of its rights or obligations under this Agreement to one or more Persons or other entities designated by it.</w:t>
      </w:r>
    </w:p>
    <w:p>
      <w:pPr>
        <w:spacing w:after="0" w:line="137" w:lineRule="exact"/>
        <w:rPr>
          <w:rFonts w:ascii="Times New Roman" w:cs="Times New Roman" w:eastAsia="Times New Roman" w:hAnsi="Times New Roman"/>
          <w:sz w:val="16"/>
          <w:szCs w:val="16"/>
          <w:color w:val="auto"/>
        </w:rPr>
      </w:pPr>
    </w:p>
    <w:p>
      <w:pPr>
        <w:ind w:left="-20" w:right="120" w:firstLine="514"/>
        <w:spacing w:after="0" w:line="273" w:lineRule="auto"/>
        <w:tabs>
          <w:tab w:leader="none" w:pos="997"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 Blue Pencil</w:t>
      </w:r>
      <w:r>
        <w:rPr>
          <w:rFonts w:ascii="Times New Roman" w:cs="Times New Roman" w:eastAsia="Times New Roman" w:hAnsi="Times New Roman"/>
          <w:sz w:val="16"/>
          <w:szCs w:val="16"/>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133" w:lineRule="exact"/>
        <w:rPr>
          <w:rFonts w:ascii="Times New Roman" w:cs="Times New Roman" w:eastAsia="Times New Roman" w:hAnsi="Times New Roman"/>
          <w:sz w:val="16"/>
          <w:szCs w:val="16"/>
          <w:color w:val="auto"/>
        </w:rPr>
      </w:pPr>
    </w:p>
    <w:p>
      <w:pPr>
        <w:ind w:left="-20" w:right="80" w:firstLine="514"/>
        <w:spacing w:after="0" w:line="247" w:lineRule="auto"/>
        <w:tabs>
          <w:tab w:leader="none" w:pos="989"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 to Electronic Delivery</w:t>
      </w:r>
      <w:r>
        <w:rPr>
          <w:rFonts w:ascii="Times New Roman" w:cs="Times New Roman" w:eastAsia="Times New Roman" w:hAnsi="Times New Roman"/>
          <w:sz w:val="16"/>
          <w:szCs w:val="16"/>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the Company’s website, the Fidelity NetBenefits website or any other online access system of the Company’s third-party Plan administrator, email or other form of electronic delivery.</w:t>
      </w:r>
    </w:p>
    <w:p>
      <w:pPr>
        <w:spacing w:after="0" w:line="155" w:lineRule="exact"/>
        <w:rPr>
          <w:rFonts w:ascii="Times New Roman" w:cs="Times New Roman" w:eastAsia="Times New Roman" w:hAnsi="Times New Roman"/>
          <w:sz w:val="16"/>
          <w:szCs w:val="16"/>
          <w:color w:val="auto"/>
        </w:rPr>
      </w:pPr>
    </w:p>
    <w:p>
      <w:pPr>
        <w:ind w:left="-20" w:right="40" w:firstLine="514"/>
        <w:spacing w:after="0" w:line="292" w:lineRule="auto"/>
        <w:tabs>
          <w:tab w:leader="none" w:pos="997"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409A of the Code</w:t>
      </w:r>
      <w:r>
        <w:rPr>
          <w:rFonts w:ascii="Times New Roman" w:cs="Times New Roman" w:eastAsia="Times New Roman" w:hAnsi="Times New Roman"/>
          <w:sz w:val="14"/>
          <w:szCs w:val="14"/>
          <w:color w:val="auto"/>
        </w:rPr>
        <w:t>. This Agreement is intended to be administered in a manner consistent with the requirements, where applicable, of Section 409A of the Code and the regulations promulgated thereunder (“</w:t>
      </w:r>
      <w:r>
        <w:rPr>
          <w:rFonts w:ascii="Times New Roman" w:cs="Times New Roman" w:eastAsia="Times New Roman" w:hAnsi="Times New Roman"/>
          <w:sz w:val="14"/>
          <w:szCs w:val="14"/>
          <w:u w:val="single" w:color="auto"/>
          <w:color w:val="auto"/>
        </w:rPr>
        <w:t>Section 409A</w:t>
      </w:r>
      <w:r>
        <w:rPr>
          <w:rFonts w:ascii="Times New Roman" w:cs="Times New Roman" w:eastAsia="Times New Roman" w:hAnsi="Times New Roman"/>
          <w:sz w:val="14"/>
          <w:szCs w:val="14"/>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124" w:lineRule="exact"/>
        <w:rPr>
          <w:rFonts w:ascii="Times New Roman" w:cs="Times New Roman" w:eastAsia="Times New Roman" w:hAnsi="Times New Roman"/>
          <w:sz w:val="14"/>
          <w:szCs w:val="14"/>
          <w:color w:val="auto"/>
        </w:rPr>
      </w:pPr>
    </w:p>
    <w:p>
      <w:pPr>
        <w:ind w:left="-20" w:firstLine="514"/>
        <w:spacing w:after="0" w:line="246" w:lineRule="auto"/>
        <w:tabs>
          <w:tab w:leader="none" w:pos="99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Specified Employee Delay</w:t>
      </w:r>
      <w:r>
        <w:rPr>
          <w:rFonts w:ascii="Times New Roman" w:cs="Times New Roman" w:eastAsia="Times New Roman" w:hAnsi="Times New Roman"/>
          <w:sz w:val="16"/>
          <w:szCs w:val="16"/>
          <w:color w:val="auto"/>
        </w:rPr>
        <w:t>. Subject to Section 14.13 of the Plan, if the Participant is deemed a “specified employee” within the meaning of Section 409A, as determined by the Administrator, at a time when the Participant becomes eligible for settlement of the Restricted Stock Units upon his or her “separation from service” within the meaning of Section 409A, then to the extent necessary to comply with, and avoid the imposition on the Participant of any accelerated or additional tax, under Section 409A, such settlement will be delayed until the earlier of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the six (6)-month anniversary of the Participant’s termination of service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 (6)-month anniversary of the Participant’s termination of service (or, if earlier, upon the Participant’s death), or as soon thereafter as practicable (but no later than ninety (90) days thereafter).</w:t>
      </w:r>
    </w:p>
    <w:p>
      <w:pPr>
        <w:spacing w:after="0" w:line="157" w:lineRule="exact"/>
        <w:rPr>
          <w:rFonts w:ascii="Times New Roman" w:cs="Times New Roman" w:eastAsia="Times New Roman" w:hAnsi="Times New Roman"/>
          <w:sz w:val="16"/>
          <w:szCs w:val="16"/>
          <w:color w:val="auto"/>
        </w:rPr>
      </w:pPr>
    </w:p>
    <w:p>
      <w:pPr>
        <w:ind w:left="-20" w:right="820" w:firstLine="514"/>
        <w:spacing w:after="0" w:line="259" w:lineRule="auto"/>
        <w:tabs>
          <w:tab w:leader="none" w:pos="989"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 and Captions</w:t>
      </w:r>
      <w:r>
        <w:rPr>
          <w:rFonts w:ascii="Times New Roman" w:cs="Times New Roman" w:eastAsia="Times New Roman" w:hAnsi="Times New Roman"/>
          <w:sz w:val="16"/>
          <w:szCs w:val="16"/>
          <w:color w:val="auto"/>
        </w:rPr>
        <w:t>. The section and other headings contained in this Agreement are for reference purposes only and shall not affect the meaning or interpretation of this Agreement.</w:t>
      </w:r>
    </w:p>
    <w:p>
      <w:pPr>
        <w:spacing w:after="0" w:line="143" w:lineRule="exact"/>
        <w:rPr>
          <w:rFonts w:ascii="Times New Roman" w:cs="Times New Roman" w:eastAsia="Times New Roman" w:hAnsi="Times New Roman"/>
          <w:sz w:val="16"/>
          <w:szCs w:val="16"/>
          <w:color w:val="auto"/>
        </w:rPr>
      </w:pPr>
    </w:p>
    <w:p>
      <w:pPr>
        <w:ind w:left="-20" w:right="120" w:firstLine="514"/>
        <w:spacing w:after="0" w:line="259" w:lineRule="auto"/>
        <w:tabs>
          <w:tab w:leader="none" w:pos="989"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under this Agreement shall be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delivered by hand,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sent by commercial overnight courier service,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sent by registered or certified mail, return receipt requested, and first-class postage prepaid, (</w:t>
      </w:r>
      <w:r>
        <w:rPr>
          <w:rFonts w:ascii="Times New Roman" w:cs="Times New Roman" w:eastAsia="Times New Roman" w:hAnsi="Times New Roman"/>
          <w:sz w:val="16"/>
          <w:szCs w:val="16"/>
          <w:u w:val="single" w:color="auto"/>
          <w:color w:val="auto"/>
        </w:rPr>
        <w:t>iv</w:t>
      </w:r>
      <w:r>
        <w:rPr>
          <w:rFonts w:ascii="Times New Roman" w:cs="Times New Roman" w:eastAsia="Times New Roman" w:hAnsi="Times New Roman"/>
          <w:sz w:val="16"/>
          <w:szCs w:val="16"/>
          <w:color w:val="auto"/>
        </w:rPr>
        <w:t>) sent by e-mail or any other form of electronic transfer or delivery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309" w:right="339" w:bottom="1440" w:gutter="0" w:footer="0" w:header="0"/>
        </w:sectPr>
      </w:pPr>
    </w:p>
    <w:bookmarkStart w:id="384" w:name="page385"/>
    <w:bookmarkEnd w:id="384"/>
    <w:p>
      <w:pPr>
        <w:spacing w:after="0" w:line="273" w:lineRule="auto"/>
        <w:rPr>
          <w:sz w:val="20"/>
          <w:szCs w:val="20"/>
          <w:color w:val="auto"/>
        </w:rPr>
      </w:pPr>
      <w:r>
        <w:rPr>
          <w:rFonts w:ascii="Times New Roman" w:cs="Times New Roman" w:eastAsia="Times New Roman" w:hAnsi="Times New Roman"/>
          <w:sz w:val="16"/>
          <w:szCs w:val="16"/>
          <w:color w:val="auto"/>
        </w:rPr>
        <w:t>approved by the Administrator, or (</w:t>
      </w:r>
      <w:r>
        <w:rPr>
          <w:rFonts w:ascii="Times New Roman" w:cs="Times New Roman" w:eastAsia="Times New Roman" w:hAnsi="Times New Roman"/>
          <w:sz w:val="16"/>
          <w:szCs w:val="16"/>
          <w:u w:val="single" w:color="auto"/>
          <w:color w:val="auto"/>
        </w:rPr>
        <w:t>v</w:t>
      </w:r>
      <w:r>
        <w:rPr>
          <w:rFonts w:ascii="Times New Roman" w:cs="Times New Roman" w:eastAsia="Times New Roman" w:hAnsi="Times New Roman"/>
          <w:sz w:val="16"/>
          <w:szCs w:val="16"/>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123" w:lineRule="exact"/>
        <w:rPr>
          <w:sz w:val="20"/>
          <w:szCs w:val="20"/>
          <w:color w:val="auto"/>
        </w:rPr>
      </w:pPr>
    </w:p>
    <w:p>
      <w:pPr>
        <w:ind w:right="240" w:firstLine="514"/>
        <w:spacing w:after="0" w:line="273" w:lineRule="auto"/>
        <w:tabs>
          <w:tab w:leader="none" w:pos="1009"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any number of counterparts, each of which shall be deemed to be an original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100"/>
          </w:cols>
          <w:pgMar w:left="300" w:top="1309" w:right="499" w:bottom="1440" w:gutter="0" w:footer="0" w:header="0"/>
        </w:sectPr>
      </w:pPr>
    </w:p>
    <w:bookmarkStart w:id="385" w:name="page386"/>
    <w:bookmarkEnd w:id="385"/>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2023 EQUITY INCENTIVE PLAN OF</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GRANT NOTICE</w:t>
      </w:r>
    </w:p>
    <w:p>
      <w:pPr>
        <w:spacing w:after="0" w:line="1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6"/>
          <w:szCs w:val="16"/>
          <w:color w:val="auto"/>
        </w:rPr>
        <w:t>Unless otherwise defined herein, the terms defined in the 2023 Equity Incentive Plan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of Booz Allen Hamilton Holding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shall have the same defined meanings in this Performance Restricted Stock Unit Agreement, which includes the terms in this Grant Notice, including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(the “</w:t>
      </w:r>
      <w:r>
        <w:rPr>
          <w:rFonts w:ascii="Times New Roman" w:cs="Times New Roman" w:eastAsia="Times New Roman" w:hAnsi="Times New Roman"/>
          <w:sz w:val="16"/>
          <w:szCs w:val="16"/>
          <w:u w:val="single" w:color="auto"/>
          <w:color w:val="auto"/>
        </w:rPr>
        <w:t>Grant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attached hereto, and any special terms and conditions set forth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attached hereto with respect to your country of employment and/or residence (collectively,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6"/>
          <w:szCs w:val="16"/>
          <w:color w:val="auto"/>
        </w:rPr>
        <w:t>You, #ParticipantName+C# (the “</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 have been granted #QuantityGranted+C# target performance-based restricted stock units on #GrantDate+C# (the “</w:t>
      </w:r>
      <w:r>
        <w:rPr>
          <w:rFonts w:ascii="Times New Roman" w:cs="Times New Roman" w:eastAsia="Times New Roman" w:hAnsi="Times New Roman"/>
          <w:sz w:val="16"/>
          <w:szCs w:val="16"/>
          <w:u w:val="single" w:color="auto"/>
          <w:color w:val="auto"/>
        </w:rPr>
        <w:t>Grant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Date</w:t>
      </w:r>
      <w:r>
        <w:rPr>
          <w:rFonts w:ascii="Times New Roman" w:cs="Times New Roman" w:eastAsia="Times New Roman" w:hAnsi="Times New Roman"/>
          <w:sz w:val="16"/>
          <w:szCs w:val="16"/>
          <w:color w:val="auto"/>
        </w:rPr>
        <w:t xml:space="preserve">”), in each case as set forth on the Fidelity NetBenefits system at </w:t>
      </w:r>
      <w:r>
        <w:rPr>
          <w:rFonts w:ascii="Times New Roman" w:cs="Times New Roman" w:eastAsia="Times New Roman" w:hAnsi="Times New Roman"/>
          <w:sz w:val="16"/>
          <w:szCs w:val="16"/>
          <w:u w:val="single" w:color="auto"/>
          <w:color w:val="0000FF"/>
        </w:rPr>
        <w:t>www.netbenefits.com</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Restricted Stock Units</w:t>
      </w:r>
      <w:r>
        <w:rPr>
          <w:rFonts w:ascii="Times New Roman" w:cs="Times New Roman" w:eastAsia="Times New Roman" w:hAnsi="Times New Roman"/>
          <w:sz w:val="16"/>
          <w:szCs w:val="16"/>
          <w:color w:val="auto"/>
        </w:rPr>
        <w:t xml:space="preserve">”), subject to the terms and conditions of the Plan and this Agreement, including but not limited to the vesting schedule and the satisfaction of the performance goals for the applicable performance period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to this Agreement, as delivered and made available to you by the Company, which shall be deemed part of and incorporated by reference into this Grant Notice.</w:t>
      </w:r>
    </w:p>
    <w:p>
      <w:pPr>
        <w:spacing w:after="0" w:line="15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6"/>
          <w:szCs w:val="16"/>
          <w:color w:val="auto"/>
        </w:rPr>
        <w:t xml:space="preserve">Your acceptance of this grant indicates your agreement and understanding that the Restricted Stock Units granted herein are subject to the terms and conditions contained in the Agreement and the Plan. </w:t>
      </w:r>
      <w:r>
        <w:rPr>
          <w:rFonts w:ascii="Times New Roman" w:cs="Times New Roman" w:eastAsia="Times New Roman" w:hAnsi="Times New Roman"/>
          <w:sz w:val="16"/>
          <w:szCs w:val="16"/>
          <w:b w:val="1"/>
          <w:bCs w:val="1"/>
          <w:color w:val="auto"/>
        </w:rPr>
        <w:t>ACCORDINGLY, PLEASE BE SURE TO READ THE PLAN AND THE AGREEMENT, EACH OF WHICH CONTAINS THE SPECIFIC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TERMS AND CONDITIONS OF THE RESTRICTED STOCK UNITS. </w:t>
      </w:r>
      <w:r>
        <w:rPr>
          <w:rFonts w:ascii="Times New Roman" w:cs="Times New Roman" w:eastAsia="Times New Roman" w:hAnsi="Times New Roman"/>
          <w:sz w:val="16"/>
          <w:szCs w:val="16"/>
          <w:color w:val="auto"/>
        </w:rPr>
        <w:t>In order to view the grant details and to accept this grant, please go to Fidelity NetBenefits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0000FF"/>
        </w:rPr>
        <w:t>www.netbenefits.com</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and follow the instructions regarding this grant.</w:t>
      </w:r>
    </w:p>
    <w:p>
      <w:pPr>
        <w:sectPr>
          <w:pgSz w:w="11900" w:h="16838" w:orient="portrait"/>
          <w:cols w:equalWidth="0" w:num="1">
            <w:col w:w="11240"/>
          </w:cols>
          <w:pgMar w:left="300" w:top="1306" w:right="359" w:bottom="1440" w:gutter="0" w:footer="0" w:header="0"/>
        </w:sectPr>
      </w:pPr>
    </w:p>
    <w:bookmarkStart w:id="386" w:name="page387"/>
    <w:bookmarkEnd w:id="386"/>
    <w:p>
      <w:pPr>
        <w:jc w:val="center"/>
        <w:spacing w:after="0"/>
        <w:rPr>
          <w:sz w:val="20"/>
          <w:szCs w:val="20"/>
          <w:color w:val="auto"/>
        </w:rPr>
      </w:pPr>
      <w:r>
        <w:rPr>
          <w:rFonts w:ascii="Times New Roman" w:cs="Times New Roman" w:eastAsia="Times New Roman" w:hAnsi="Times New Roman"/>
          <w:sz w:val="16"/>
          <w:szCs w:val="16"/>
          <w:b w:val="1"/>
          <w:bCs w:val="1"/>
          <w:color w:val="auto"/>
        </w:rPr>
        <w:t>APPENDIX A TO PERFORMANCE RESTRICTED STOCK UNIT AGREEMENT</w:t>
      </w:r>
    </w:p>
    <w:p>
      <w:pPr>
        <w:spacing w:after="0" w:line="179" w:lineRule="exact"/>
        <w:rPr>
          <w:sz w:val="20"/>
          <w:szCs w:val="20"/>
          <w:color w:val="auto"/>
        </w:rPr>
      </w:pPr>
    </w:p>
    <w:p>
      <w:pPr>
        <w:ind w:firstLine="514"/>
        <w:spacing w:after="0" w:line="286" w:lineRule="auto"/>
        <w:tabs>
          <w:tab w:leader="none" w:pos="1018"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Grant of Restricted Stock Units</w:t>
      </w:r>
      <w:r>
        <w:rPr>
          <w:rFonts w:ascii="Times New Roman" w:cs="Times New Roman" w:eastAsia="Times New Roman" w:hAnsi="Times New Roman"/>
          <w:sz w:val="14"/>
          <w:szCs w:val="14"/>
          <w:color w:val="auto"/>
        </w:rPr>
        <w:t xml:space="preserve">. Subject to the terms, conditions, and restrictions set forth in the Plan and this Agreement (including the Grant Notice and any special terms and conditions applicable to the Participant’s country set forth in </w:t>
      </w:r>
      <w:r>
        <w:rPr>
          <w:rFonts w:ascii="Times New Roman" w:cs="Times New Roman" w:eastAsia="Times New Roman" w:hAnsi="Times New Roman"/>
          <w:sz w:val="14"/>
          <w:szCs w:val="14"/>
          <w:u w:val="single" w:color="auto"/>
          <w:color w:val="auto"/>
        </w:rPr>
        <w:t>Appendix B</w:t>
      </w:r>
      <w:r>
        <w:rPr>
          <w:rFonts w:ascii="Times New Roman" w:cs="Times New Roman" w:eastAsia="Times New Roman" w:hAnsi="Times New Roman"/>
          <w:sz w:val="14"/>
          <w:szCs w:val="14"/>
          <w:color w:val="auto"/>
        </w:rPr>
        <w:t xml:space="preserve"> to this Agreement), the Company hereby evidences and confirms its grant to the Participant, effective as of the Grant Date, of the Restricted Stock Units specified in the Grant Notice. Each Restricted Stock Unit represents the right to receive a number of Shares (which could be less than or greater than one Share), subject to the terms and conditions set forth in the Plan and this Agreement (including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Appendix B</w:t>
      </w:r>
      <w:r>
        <w:rPr>
          <w:rFonts w:ascii="Times New Roman" w:cs="Times New Roman" w:eastAsia="Times New Roman" w:hAnsi="Times New Roman"/>
          <w:sz w:val="14"/>
          <w:szCs w:val="14"/>
          <w:color w:val="auto"/>
        </w:rPr>
        <w:t xml:space="preserve">). Except as otherwise provided in Section 3 below, the number of Restricted Stock Units that the Participant shall actually earn for the Performance Period (up to the maximum specified in the Grant Notice) will be determined by the Administrator based on the level of achievement of the performance goals specified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hereto (the “</w:t>
      </w:r>
      <w:r>
        <w:rPr>
          <w:rFonts w:ascii="Times New Roman" w:cs="Times New Roman" w:eastAsia="Times New Roman" w:hAnsi="Times New Roman"/>
          <w:sz w:val="14"/>
          <w:szCs w:val="14"/>
          <w:u w:val="single" w:color="auto"/>
          <w:color w:val="auto"/>
        </w:rPr>
        <w:t>Performance Goals</w:t>
      </w:r>
      <w:r>
        <w:rPr>
          <w:rFonts w:ascii="Times New Roman" w:cs="Times New Roman" w:eastAsia="Times New Roman" w:hAnsi="Times New Roman"/>
          <w:sz w:val="14"/>
          <w:szCs w:val="14"/>
          <w:color w:val="auto"/>
        </w:rPr>
        <w:t>”). The Participant hereby agrees that, except as required or permitted by Applicable Law, the Participant will not disclose to any Person other than the Participant’s spouse and/or tax or financial advisor (if any) the grant of the Restricted Stock Units or any of the terms or provisions hereof without prior approval from the Administrator.</w:t>
      </w:r>
    </w:p>
    <w:p>
      <w:pPr>
        <w:spacing w:after="0" w:line="120" w:lineRule="exact"/>
        <w:rPr>
          <w:rFonts w:ascii="Times New Roman" w:cs="Times New Roman" w:eastAsia="Times New Roman" w:hAnsi="Times New Roman"/>
          <w:sz w:val="14"/>
          <w:szCs w:val="14"/>
          <w:color w:val="auto"/>
        </w:rPr>
      </w:pPr>
    </w:p>
    <w:p>
      <w:pPr>
        <w:ind w:right="20" w:firstLine="514"/>
        <w:spacing w:after="0" w:line="261" w:lineRule="auto"/>
        <w:tabs>
          <w:tab w:leader="none" w:pos="1018"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Restricted Stock Units Subject to Plan</w:t>
      </w:r>
      <w:r>
        <w:rPr>
          <w:rFonts w:ascii="Times New Roman" w:cs="Times New Roman" w:eastAsia="Times New Roman" w:hAnsi="Times New Roman"/>
          <w:sz w:val="16"/>
          <w:szCs w:val="16"/>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 Any capitalized terms used herein without definition shall have the meanings set forth in the Plan.</w:t>
      </w:r>
    </w:p>
    <w:p>
      <w:pPr>
        <w:spacing w:after="0" w:line="131"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of Restricted Stock Units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right="20" w:firstLine="514"/>
        <w:spacing w:after="0" w:line="300" w:lineRule="auto"/>
        <w:tabs>
          <w:tab w:leader="none" w:pos="1011"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w:t>
      </w:r>
      <w:r>
        <w:rPr>
          <w:rFonts w:ascii="Times New Roman" w:cs="Times New Roman" w:eastAsia="Times New Roman" w:hAnsi="Times New Roman"/>
          <w:sz w:val="14"/>
          <w:szCs w:val="14"/>
          <w:color w:val="auto"/>
        </w:rPr>
        <w:t>. For purposes of this Agreement, the term “</w:t>
      </w:r>
      <w:r>
        <w:rPr>
          <w:rFonts w:ascii="Times New Roman" w:cs="Times New Roman" w:eastAsia="Times New Roman" w:hAnsi="Times New Roman"/>
          <w:sz w:val="14"/>
          <w:szCs w:val="14"/>
          <w:u w:val="single" w:color="auto"/>
          <w:color w:val="auto"/>
        </w:rPr>
        <w:t>Performance Period</w:t>
      </w:r>
      <w:r>
        <w:rPr>
          <w:rFonts w:ascii="Times New Roman" w:cs="Times New Roman" w:eastAsia="Times New Roman" w:hAnsi="Times New Roman"/>
          <w:sz w:val="14"/>
          <w:szCs w:val="14"/>
          <w:color w:val="auto"/>
        </w:rPr>
        <w:t xml:space="preserve">” shall mean the period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Except as otherwise provided in this Section 3, the Restricted Stock Units shall become vested as of the vesting date specified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Vesting Date</w:t>
      </w:r>
      <w:r>
        <w:rPr>
          <w:rFonts w:ascii="Times New Roman" w:cs="Times New Roman" w:eastAsia="Times New Roman" w:hAnsi="Times New Roman"/>
          <w:sz w:val="14"/>
          <w:szCs w:val="14"/>
          <w:color w:val="auto"/>
        </w:rPr>
        <w:t xml:space="preserve">”), subject to the continued employment or service of the Participant with the Company or any Subsidiary thereof through the Vesting Date, and to the achievement of the Performance Goals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for the Performance Period as determined by the Administrator pursuant to Section 4(a) of this Agreement. Restricted Stock Units that do not vest in accordance with this Section 3 shall be forfeited.</w:t>
      </w:r>
    </w:p>
    <w:p>
      <w:pPr>
        <w:spacing w:after="0" w:line="107"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Employment or Service</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ind w:right="460" w:firstLine="1023"/>
        <w:spacing w:after="0" w:line="254" w:lineRule="auto"/>
        <w:tabs>
          <w:tab w:leader="none" w:pos="1526"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Due to Death</w:t>
      </w:r>
      <w:r>
        <w:rPr>
          <w:rFonts w:ascii="Times New Roman" w:cs="Times New Roman" w:eastAsia="Times New Roman" w:hAnsi="Times New Roman"/>
          <w:sz w:val="16"/>
          <w:szCs w:val="16"/>
          <w:color w:val="auto"/>
        </w:rPr>
        <w:t xml:space="preserve">. If a Participant’s employment or service terminates due to the Participant’s death prior to the Vesting Date, all unvested Restricted Stock Units shall vest on the effective date of such termination of employment or service at Target Award levels (as specified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Vested Restricted Stock Units shall be settled as set forth in Section 4.</w:t>
      </w:r>
    </w:p>
    <w:p>
      <w:pPr>
        <w:spacing w:after="0" w:line="137" w:lineRule="exact"/>
        <w:rPr>
          <w:rFonts w:ascii="Times New Roman" w:cs="Times New Roman" w:eastAsia="Times New Roman" w:hAnsi="Times New Roman"/>
          <w:sz w:val="16"/>
          <w:szCs w:val="16"/>
          <w:color w:val="auto"/>
        </w:rPr>
      </w:pPr>
    </w:p>
    <w:p>
      <w:pPr>
        <w:ind w:right="120" w:firstLine="1023"/>
        <w:spacing w:after="0" w:line="251" w:lineRule="auto"/>
        <w:tabs>
          <w:tab w:leader="none" w:pos="1527"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by Reason of Disability</w:t>
      </w:r>
      <w:r>
        <w:rPr>
          <w:rFonts w:ascii="Times New Roman" w:cs="Times New Roman" w:eastAsia="Times New Roman" w:hAnsi="Times New Roman"/>
          <w:sz w:val="16"/>
          <w:szCs w:val="16"/>
          <w:color w:val="auto"/>
        </w:rPr>
        <w:t xml:space="preserve">. If a Participant’s employment or service terminates prior to the Vesting Date by reason of the Participant’s Disability, all unvested Restricted Stock Units shall vest as of the Vesting Date in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amount of the Restricted Stock Units that would have been earned and vested in accordance with Section 3(a) based on actual achievement of the Performance Goals as if the Participant’s employment or service had not terminated, with such amount prorated for the portion of the Performance Period that lapsed prior to the Participant’s termination of employment or service;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any “transition period” (within the meaning of the Company’s Transition Policy, as may be amended from time to time) shall not be considered a period of employment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307" w:right="31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6"/>
          <w:szCs w:val="16"/>
          <w:color w:val="auto"/>
        </w:rPr>
        <w:t xml:space="preserve">or service for purposes of calculating the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amount. Vested Restricted Stock Units shall be settled as set forth in Section 4 of this Agreement.</w:t>
      </w:r>
    </w:p>
    <w:p>
      <w:pPr>
        <w:spacing w:after="0" w:line="179" w:lineRule="exact"/>
        <w:rPr>
          <w:sz w:val="20"/>
          <w:szCs w:val="20"/>
          <w:color w:val="auto"/>
        </w:rPr>
      </w:pPr>
    </w:p>
    <w:p>
      <w:pPr>
        <w:ind w:firstLine="1023"/>
        <w:spacing w:after="0" w:line="248" w:lineRule="auto"/>
        <w:tabs>
          <w:tab w:leader="none" w:pos="1528" w:val="left"/>
        </w:tabs>
        <w:numPr>
          <w:ilvl w:val="1"/>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for Cause</w:t>
      </w:r>
      <w:r>
        <w:rPr>
          <w:rFonts w:ascii="Times New Roman" w:cs="Times New Roman" w:eastAsia="Times New Roman" w:hAnsi="Times New Roman"/>
          <w:sz w:val="16"/>
          <w:szCs w:val="16"/>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twenty-four (24) months prior to or any time after the Participant engaged in the conduct that gave rise to the termination for Cause (and any stock or cash issued to the Participant in settlement of such Restricted Stock Units) shall upon demand by the Administrator be immediately forfeited and disgorged or paid to the Company together with all gains earned or accrued due to the sale of Company Common Stock issued in settlement of any Restricted Stock Units.</w:t>
      </w:r>
    </w:p>
    <w:p>
      <w:pPr>
        <w:spacing w:after="0" w:line="152" w:lineRule="exact"/>
        <w:rPr>
          <w:rFonts w:ascii="Times New Roman" w:cs="Times New Roman" w:eastAsia="Times New Roman" w:hAnsi="Times New Roman"/>
          <w:sz w:val="16"/>
          <w:szCs w:val="16"/>
          <w:color w:val="auto"/>
        </w:rPr>
      </w:pPr>
    </w:p>
    <w:p>
      <w:pPr>
        <w:ind w:right="220" w:firstLine="1023"/>
        <w:spacing w:after="0" w:line="330" w:lineRule="auto"/>
        <w:tabs>
          <w:tab w:leader="none" w:pos="1519" w:val="left"/>
        </w:tabs>
        <w:numPr>
          <w:ilvl w:val="1"/>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for Any Other Reason</w:t>
      </w:r>
      <w:r>
        <w:rPr>
          <w:rFonts w:ascii="Times New Roman" w:cs="Times New Roman" w:eastAsia="Times New Roman" w:hAnsi="Times New Roman"/>
          <w:sz w:val="14"/>
          <w:szCs w:val="14"/>
          <w:color w:val="auto"/>
        </w:rPr>
        <w:t>. If a Participant’s employment or service terminates for any reason other than death, Disability, or by the Company or Employer for Cause, all unvested Restricted Stock Units shall immediately be forfeited and canceled, effective as of the date of the Participant’s termination of service.</w:t>
      </w:r>
    </w:p>
    <w:p>
      <w:pPr>
        <w:spacing w:after="0" w:line="98" w:lineRule="exact"/>
        <w:rPr>
          <w:rFonts w:ascii="Times New Roman" w:cs="Times New Roman" w:eastAsia="Times New Roman" w:hAnsi="Times New Roman"/>
          <w:sz w:val="14"/>
          <w:szCs w:val="14"/>
          <w:color w:val="auto"/>
        </w:rPr>
      </w:pPr>
    </w:p>
    <w:p>
      <w:pPr>
        <w:ind w:right="60" w:firstLine="514"/>
        <w:spacing w:after="0" w:line="248" w:lineRule="auto"/>
        <w:tabs>
          <w:tab w:leader="none" w:pos="1011"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 in Control</w:t>
      </w:r>
      <w:r>
        <w:rPr>
          <w:rFonts w:ascii="Times New Roman" w:cs="Times New Roman" w:eastAsia="Times New Roman" w:hAnsi="Times New Roman"/>
          <w:sz w:val="16"/>
          <w:szCs w:val="16"/>
          <w:color w:val="auto"/>
        </w:rPr>
        <w:t xml:space="preserve">. In the event of a Change in Control prior to the Vesting Date, notwithstanding anything in Article XIII of the Plan to the contrary, an amount of Restricted Stock Units equal to the Target Award (as specified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shall remain outstanding and shall vest on the Vesting Date, subject to the continued employment or service of the Participant with the Company, the Employer or any other Subsidiary through such date, but without regard to achievement of any Performance Goals;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if the Participant’s employment or service is terminated by the Company or the Employer without Cause or by the Participant for Good Reason (each, a “</w:t>
      </w:r>
      <w:r>
        <w:rPr>
          <w:rFonts w:ascii="Times New Roman" w:cs="Times New Roman" w:eastAsia="Times New Roman" w:hAnsi="Times New Roman"/>
          <w:sz w:val="16"/>
          <w:szCs w:val="16"/>
          <w:u w:val="single" w:color="auto"/>
          <w:color w:val="auto"/>
        </w:rPr>
        <w:t>Qualifying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CIC Termination</w:t>
      </w:r>
      <w:r>
        <w:rPr>
          <w:rFonts w:ascii="Times New Roman" w:cs="Times New Roman" w:eastAsia="Times New Roman" w:hAnsi="Times New Roman"/>
          <w:sz w:val="16"/>
          <w:szCs w:val="16"/>
          <w:color w:val="auto"/>
        </w:rPr>
        <w:t>”) within two (2) years following the effective date of the Change in Control, such outstanding Restricted Stock Units shall vest as of the date of such Qualifying CIC Termination. Vested Restricted Stock Units shall be settled as set forth in Section 4 of this Agreement.</w:t>
      </w:r>
    </w:p>
    <w:p>
      <w:pPr>
        <w:spacing w:after="0" w:line="143" w:lineRule="exact"/>
        <w:rPr>
          <w:rFonts w:ascii="Times New Roman" w:cs="Times New Roman" w:eastAsia="Times New Roman" w:hAnsi="Times New Roman"/>
          <w:sz w:val="16"/>
          <w:szCs w:val="16"/>
          <w:color w:val="auto"/>
        </w:rPr>
      </w:pPr>
    </w:p>
    <w:p>
      <w:pPr>
        <w:ind w:right="120" w:firstLine="514"/>
        <w:spacing w:after="0" w:line="248" w:lineRule="auto"/>
        <w:tabs>
          <w:tab w:leader="none" w:pos="1009"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Forfeiture Provisions</w:t>
      </w:r>
      <w:r>
        <w:rPr>
          <w:rFonts w:ascii="Times New Roman" w:cs="Times New Roman" w:eastAsia="Times New Roman" w:hAnsi="Times New Roman"/>
          <w:sz w:val="16"/>
          <w:szCs w:val="16"/>
          <w:color w:val="auto"/>
        </w:rPr>
        <w:t>. Subject to Section 11.4 of the Plan, the Restricted Stock Units (including any gains earned or accrued due to the sale of Company Common Stock issued in settlement of such Restricted Stock Units) shall also be forfeited and subject to disgorgement and/or repayment to the Company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in the event the Participant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engages in or fails to prevent, as applicable, any financial or other misconduct (including but not limited to engaging in Competitive Activity (but excluding, only if the Participant is located in California, clause (a) of the definition of Competitive Activity contained in the Plan)) or (</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materially violates any restrictive covenant agreement (or any other agreement containing restrictive covenants) that the Participant has entered into with the Company,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as required by Applicable Law or regulations or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as otherwise provided in Section 11.4 of the Plan or generally applicable Company policies as to forfeiture, disgorgement and recoupment of Awards, including but not limited to any clawback policy adopted to comply with Section 303A.14 of the New York Stock Exchange Listed Company Manual.</w:t>
      </w:r>
    </w:p>
    <w:p>
      <w:pPr>
        <w:spacing w:after="0" w:line="143" w:lineRule="exact"/>
        <w:rPr>
          <w:rFonts w:ascii="Times New Roman" w:cs="Times New Roman" w:eastAsia="Times New Roman" w:hAnsi="Times New Roman"/>
          <w:sz w:val="16"/>
          <w:szCs w:val="16"/>
          <w:color w:val="auto"/>
        </w:rPr>
      </w:pPr>
    </w:p>
    <w:p>
      <w:pPr>
        <w:ind w:right="260" w:firstLine="514"/>
        <w:spacing w:after="0" w:line="252" w:lineRule="auto"/>
        <w:tabs>
          <w:tab w:leader="none" w:pos="1011"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Administrator Discretion</w:t>
      </w:r>
      <w:r>
        <w:rPr>
          <w:rFonts w:ascii="Times New Roman" w:cs="Times New Roman" w:eastAsia="Times New Roman" w:hAnsi="Times New Roman"/>
          <w:sz w:val="16"/>
          <w:szCs w:val="16"/>
          <w:color w:val="auto"/>
        </w:rPr>
        <w:t xml:space="preserve">. Notwithstanding anything contained in this Agreement to the contrary, subject to Article XII of the Plan, the Administrator, in its sole discretion, may waive forfeiture provisions or accelerate the vesting with respect to any Restricted Stock Units under this Agreement, at such times and upon such terms and conditions as the Administrator shall determine;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that such waiver or acceleration of vesting shall not change the settlement date of the Restricted Stock Units provided in Section 4 of this Agreement.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60"/>
          </w:cols>
          <w:pgMar w:left="300" w:top="1307" w:right="339" w:bottom="1440" w:gutter="0" w:footer="0" w:header="0"/>
        </w:sectPr>
      </w:pPr>
    </w:p>
    <w:bookmarkStart w:id="388" w:name="page389"/>
    <w:bookmarkEnd w:id="388"/>
    <w:p>
      <w:pPr>
        <w:ind w:right="60" w:firstLine="514"/>
        <w:spacing w:after="0" w:line="246" w:lineRule="auto"/>
        <w:tabs>
          <w:tab w:leader="none" w:pos="1015"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Post-Termination Informational Requirements</w:t>
      </w:r>
      <w:r>
        <w:rPr>
          <w:rFonts w:ascii="Times New Roman" w:cs="Times New Roman" w:eastAsia="Times New Roman" w:hAnsi="Times New Roman"/>
          <w:sz w:val="16"/>
          <w:szCs w:val="16"/>
          <w:color w:val="auto"/>
        </w:rPr>
        <w:t>. Before the settlement of any Restricted Stock Units following termination of employment or service, the Administrator may require the Participant (or the Participant’s Eligible Representative, if applicable) to make such representations and provide such documents as the Administrator deems necessary or advisable to effect compliance with Applicable Law and determine whether Section 3(b)(iii) or 3(d) of this Agreement apply. Such representations and documents may include tax returns and all other relevant information and records from which the Administrator can determine the current or former employment status of the Participant during the Performance Period. Notwithstanding anything in this Agreement to the contrary, the settlement of the Restricted Stock Units may be withheld until information deemed sufficient by the Administrator is delivered to it, and any unvested Restricted Stock Units shall be forfeited if the requested information is not provided in sufficient detail to the Administrator before the earlier of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ninety (90) calendar days after the issuance of a request from the Administrator for such information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December 31 of the calendar year in which the Vesting Date occurs.</w:t>
      </w:r>
    </w:p>
    <w:p>
      <w:pPr>
        <w:spacing w:after="0" w:line="157" w:lineRule="exact"/>
        <w:rPr>
          <w:sz w:val="20"/>
          <w:szCs w:val="20"/>
          <w:color w:val="auto"/>
        </w:rPr>
      </w:pPr>
    </w:p>
    <w:p>
      <w:pPr>
        <w:ind w:left="1020" w:hanging="506"/>
        <w:spacing w:after="0"/>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Administrator Certification; Settlement of Restricted Stock Units</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right="80" w:firstLine="514"/>
        <w:spacing w:after="0" w:line="251" w:lineRule="auto"/>
        <w:tabs>
          <w:tab w:leader="none" w:pos="1011"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Certification</w:t>
      </w:r>
      <w:r>
        <w:rPr>
          <w:rFonts w:ascii="Times New Roman" w:cs="Times New Roman" w:eastAsia="Times New Roman" w:hAnsi="Times New Roman"/>
          <w:sz w:val="16"/>
          <w:szCs w:val="16"/>
          <w:color w:val="auto"/>
        </w:rPr>
        <w:t>. As soon as practicable following completion of the Performance Period, the Administrator will review and determine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whether, and to what extent, the Performance Goals for the Performance Period have been achieved, in whole or in part,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the number of Restricted Stock Units that the Participant shall earn, if any, subject to compliance with the requirements of Section 3 (the “</w:t>
      </w:r>
      <w:r>
        <w:rPr>
          <w:rFonts w:ascii="Times New Roman" w:cs="Times New Roman" w:eastAsia="Times New Roman" w:hAnsi="Times New Roman"/>
          <w:sz w:val="16"/>
          <w:szCs w:val="16"/>
          <w:u w:val="single" w:color="auto"/>
          <w:color w:val="auto"/>
        </w:rPr>
        <w:t>Administrator Certification</w:t>
      </w:r>
      <w:r>
        <w:rPr>
          <w:rFonts w:ascii="Times New Roman" w:cs="Times New Roman" w:eastAsia="Times New Roman" w:hAnsi="Times New Roman"/>
          <w:sz w:val="16"/>
          <w:szCs w:val="16"/>
          <w:color w:val="auto"/>
        </w:rPr>
        <w:t>”). All determinations of whether the Performance Goals have been achieved, the number of Restricted Stock Units earned by the Participant, and all other matters related to this Section 4(a) shall be made by the Administrator in its sole discretion and shall be final, conclusive and binding on the Participant.</w:t>
      </w:r>
    </w:p>
    <w:p>
      <w:pPr>
        <w:spacing w:after="0" w:line="141" w:lineRule="exact"/>
        <w:rPr>
          <w:rFonts w:ascii="Times New Roman" w:cs="Times New Roman" w:eastAsia="Times New Roman" w:hAnsi="Times New Roman"/>
          <w:sz w:val="16"/>
          <w:szCs w:val="16"/>
          <w:color w:val="auto"/>
        </w:rPr>
      </w:pPr>
    </w:p>
    <w:p>
      <w:pPr>
        <w:ind w:firstLine="514"/>
        <w:spacing w:after="0" w:line="247" w:lineRule="auto"/>
        <w:tabs>
          <w:tab w:leader="none" w:pos="1009"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Settlement of Restricted Stock Units</w:t>
      </w:r>
      <w:r>
        <w:rPr>
          <w:rFonts w:ascii="Times New Roman" w:cs="Times New Roman" w:eastAsia="Times New Roman" w:hAnsi="Times New Roman"/>
          <w:sz w:val="16"/>
          <w:szCs w:val="16"/>
          <w:color w:val="auto"/>
        </w:rPr>
        <w:t>. Subject to Section 3(f), Section 4(a) and Section 9 of this Agreement, the Company shall deliver to the Participant one (1) Share (or the value thereof) in settlement of each Restricted Stock Unit granted hereunder that has become earned and vested as provided in Section 3 on the first to occur of the following: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on or as soon as practicable following the date of the Administrator Certification (but in no event later than 2½ months after the Vesting Date);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in the event of a termination of employment or service due to death, as soon as practicable following the Participant’s termination of employment or service by reason of death; or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in the event of a Qualifying CIC Termination, within thirty (30) days following the effective date of the Participant’s Qualifying CIC Termination, in each case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in Company Common Stock by either,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issuing one or more certificates evidencing the Company Common Stock to the Participant or (</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registering the issuance of the Company Common Stock in the name of the Participant through a book entry credit in the records of the Company’s transfer agent, or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in the event of settlement upon a Change in Control, a cash payment equal to the Change in Control Price, multiplied by the number of vested Restricted Stock Units. No fractional Shares shall be issued in settlement of the Restricted Stock Units. Fractional Shares shall be rounded up to the nearest whole share;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Participant may not vest in more than the maximum number of Restricted Stock Units specified in the Grant Notice.</w:t>
      </w:r>
    </w:p>
    <w:p>
      <w:pPr>
        <w:spacing w:after="0" w:line="14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Notwithstanding the foregoing, the Administrator, in its sole discretion, may provide for the settlement of the Restricted Stock Units in the form of Company Common Stock, but require the Participant to sell such Common Stock immediately or within a specified period following the Participant’s termination of service (in which case, the Participant hereby agrees that the Company shall have the authority to issue sale instructions in relation to such Common Stock on the Participant’s behalf).</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309" w:right="319" w:bottom="1440" w:gutter="0" w:footer="0" w:header="0"/>
        </w:sectPr>
      </w:pPr>
    </w:p>
    <w:bookmarkStart w:id="389" w:name="page390"/>
    <w:bookmarkEnd w:id="389"/>
    <w:p>
      <w:pPr>
        <w:jc w:val="both"/>
        <w:ind w:left="-20" w:right="60" w:firstLine="514"/>
        <w:spacing w:after="0" w:line="252" w:lineRule="auto"/>
        <w:tabs>
          <w:tab w:leader="none" w:pos="998"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Securities Law Compliance</w:t>
      </w:r>
      <w:r>
        <w:rPr>
          <w:rFonts w:ascii="Times New Roman" w:cs="Times New Roman" w:eastAsia="Times New Roman" w:hAnsi="Times New Roman"/>
          <w:sz w:val="16"/>
          <w:szCs w:val="16"/>
          <w:color w:val="auto"/>
        </w:rPr>
        <w:t>. Notwithstanding any other provision of this Agreement, the Participant may not sell the Shares acquired upon vesting of the Restricted Stock Units unless such Shares are registered under the Securities Act, or, if such Shares are not then so registered, such sale would be exempt from the registration requirements of the Securities Act. The sale of such Shares must also comply with other Applicable Law and regulations governing the Shares, and the Participant may not sell the Shares if the Company determines that such sale would not be in material compliance with such laws and regulations.</w:t>
      </w:r>
    </w:p>
    <w:p>
      <w:pPr>
        <w:spacing w:after="0" w:line="139" w:lineRule="exact"/>
        <w:rPr>
          <w:rFonts w:ascii="Times New Roman" w:cs="Times New Roman" w:eastAsia="Times New Roman" w:hAnsi="Times New Roman"/>
          <w:sz w:val="16"/>
          <w:szCs w:val="16"/>
          <w:color w:val="auto"/>
        </w:rPr>
      </w:pPr>
    </w:p>
    <w:p>
      <w:pPr>
        <w:ind w:left="1000" w:hanging="506"/>
        <w:spacing w:after="0"/>
        <w:tabs>
          <w:tab w:leader="none" w:pos="100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Rights with Respect to the Restricted Stock Units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left="-20" w:right="40" w:firstLine="514"/>
        <w:spacing w:after="0" w:line="248" w:lineRule="auto"/>
        <w:tabs>
          <w:tab w:leader="none" w:pos="991"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Transferability</w:t>
      </w:r>
      <w:r>
        <w:rPr>
          <w:rFonts w:ascii="Times New Roman" w:cs="Times New Roman" w:eastAsia="Times New Roman" w:hAnsi="Times New Roman"/>
          <w:sz w:val="16"/>
          <w:szCs w:val="16"/>
          <w:color w:val="auto"/>
        </w:rPr>
        <w:t xml:space="preserve">.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152" w:lineRule="exact"/>
        <w:rPr>
          <w:rFonts w:ascii="Times New Roman" w:cs="Times New Roman" w:eastAsia="Times New Roman" w:hAnsi="Times New Roman"/>
          <w:sz w:val="16"/>
          <w:szCs w:val="16"/>
          <w:color w:val="auto"/>
        </w:rPr>
      </w:pPr>
    </w:p>
    <w:p>
      <w:pPr>
        <w:ind w:left="-20" w:right="100" w:firstLine="514"/>
        <w:spacing w:after="0" w:line="346" w:lineRule="auto"/>
        <w:tabs>
          <w:tab w:leader="none" w:pos="989"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Rights as Stockholder</w:t>
      </w:r>
      <w:r>
        <w:rPr>
          <w:rFonts w:ascii="Times New Roman" w:cs="Times New Roman" w:eastAsia="Times New Roman" w:hAnsi="Times New Roman"/>
          <w:sz w:val="14"/>
          <w:szCs w:val="14"/>
          <w:color w:val="auto"/>
        </w:rPr>
        <w:t>. The Participant shall not have any rights as a stockholder, including any voting, dividend or other rights or privileges as a stockholder of the Company with respect to Shares underlying the Restricted Stock Units granted hereby unless and until such Shares are issued to the Participant in respect thereof.</w:t>
      </w:r>
    </w:p>
    <w:p>
      <w:pPr>
        <w:spacing w:after="0" w:line="76" w:lineRule="exact"/>
        <w:rPr>
          <w:rFonts w:ascii="Times New Roman" w:cs="Times New Roman" w:eastAsia="Times New Roman" w:hAnsi="Times New Roman"/>
          <w:sz w:val="14"/>
          <w:szCs w:val="14"/>
          <w:color w:val="auto"/>
        </w:rPr>
      </w:pPr>
    </w:p>
    <w:p>
      <w:pPr>
        <w:ind w:left="-20" w:firstLine="514"/>
        <w:spacing w:after="0" w:line="248" w:lineRule="auto"/>
        <w:tabs>
          <w:tab w:leader="none" w:pos="991"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Dividend Equivalents</w:t>
      </w:r>
      <w:r>
        <w:rPr>
          <w:rFonts w:ascii="Times New Roman" w:cs="Times New Roman" w:eastAsia="Times New Roman" w:hAnsi="Times New Roman"/>
          <w:sz w:val="16"/>
          <w:szCs w:val="16"/>
          <w:color w:val="auto"/>
        </w:rPr>
        <w:t>. If the Company declares a cash dividend on the Company Common Stock, then the Participant shall be credited with Dividend Equivalents in the form of a right to a cash payment equal to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the amount of the dividend declared and paid for each Share, multiplied by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the number of Restricted Stock Units earned by the Participant as determined by the Administrator pursuant to Section 4(a) or (</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xml:space="preserve">) in the case of a termination of employment or service by reason of Death or a Qualifying CIC Termination, the number of Restricted Stock Units equal to the Target Award (as specified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Any Dividend Equivalents shall be subject to the same forfeiture restrictions as the Restricted Stock Units to which they are attributable and shall be paid on the same date the Restricted Stock Units to which they are attributable are settled in accordance with Section 4 hereof. Dividend Equivalents credited to a Participant’s account shall be distributed in cash or, at the discretion of the Administrator, in Shares having a Fair Market Value equal to the amount of the Dividend Equivalents, if any.</w:t>
      </w:r>
    </w:p>
    <w:p>
      <w:pPr>
        <w:spacing w:after="0" w:line="144" w:lineRule="exact"/>
        <w:rPr>
          <w:sz w:val="20"/>
          <w:szCs w:val="20"/>
          <w:color w:val="auto"/>
        </w:rPr>
      </w:pPr>
    </w:p>
    <w:p>
      <w:pPr>
        <w:ind w:left="1000" w:hanging="506"/>
        <w:spacing w:after="0"/>
        <w:tabs>
          <w:tab w:leader="none" w:pos="100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Representations, Warranties and Covenants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left="-20" w:right="140" w:firstLine="514"/>
        <w:spacing w:after="0" w:line="292" w:lineRule="auto"/>
        <w:tabs>
          <w:tab w:leader="none" w:pos="991"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Conflicts; No Consents</w:t>
      </w:r>
      <w:r>
        <w:rPr>
          <w:rFonts w:ascii="Times New Roman" w:cs="Times New Roman" w:eastAsia="Times New Roman" w:hAnsi="Times New Roman"/>
          <w:sz w:val="14"/>
          <w:szCs w:val="14"/>
          <w:color w:val="auto"/>
        </w:rPr>
        <w:t>. The execution and delivery by the Participant of this Agreement, the consummation of the transactions contemplated hereby and the performance of the Participant’s obligations hereunder do not and will not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materially conflict with or result in a material violation or breach of any term or provision of any law applicable to either the Participant or the Restricted Stock Units or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violate in any material respect, conflict with in any material respect or result in any material breach of, or constitute (with or without notice or lapse of time or both) a material default under, or require the Participant to obtain any consent, approval or action of, make any filing with or give any notice to any Person as a result or under the terms of, any contract, agreement, instrument, commitment, arrangement or understanding to which the Participant is a party.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309" w:right="339" w:bottom="1440" w:gutter="0" w:footer="0" w:header="0"/>
        </w:sectPr>
      </w:pPr>
    </w:p>
    <w:bookmarkStart w:id="390" w:name="page391"/>
    <w:bookmarkEnd w:id="390"/>
    <w:p>
      <w:pPr>
        <w:jc w:val="both"/>
        <w:ind w:right="40" w:firstLine="514"/>
        <w:spacing w:after="0" w:line="307" w:lineRule="auto"/>
        <w:tabs>
          <w:tab w:leader="none" w:pos="1009"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 with Rule 144</w:t>
      </w:r>
      <w:r>
        <w:rPr>
          <w:rFonts w:ascii="Times New Roman" w:cs="Times New Roman" w:eastAsia="Times New Roman" w:hAnsi="Times New Roman"/>
          <w:sz w:val="14"/>
          <w:szCs w:val="14"/>
          <w:color w:val="auto"/>
        </w:rPr>
        <w:t>. If any Shares issued in respect of the Restricted Stock Units are to be disposed of in accordance with Rule 144 of the Securities Act, the Participant shall transmit to the Company an executed copy of Form 144 (if required by Rule 144) no later than the time such form is required to be transmitted to the Securities and Exchange Commission for filing and such other documentation as the Company may reasonably require to assure compliance with Rule 144 in connection with such disposition.</w:t>
      </w:r>
    </w:p>
    <w:p>
      <w:pPr>
        <w:spacing w:after="0" w:line="114" w:lineRule="exact"/>
        <w:rPr>
          <w:rFonts w:ascii="Times New Roman" w:cs="Times New Roman" w:eastAsia="Times New Roman" w:hAnsi="Times New Roman"/>
          <w:sz w:val="14"/>
          <w:szCs w:val="14"/>
          <w:color w:val="auto"/>
        </w:rPr>
      </w:pPr>
    </w:p>
    <w:p>
      <w:pPr>
        <w:ind w:right="360" w:firstLine="514"/>
        <w:spacing w:after="0" w:line="259" w:lineRule="auto"/>
        <w:tabs>
          <w:tab w:leader="none" w:pos="1011"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 Status</w:t>
      </w:r>
      <w:r>
        <w:rPr>
          <w:rFonts w:ascii="Times New Roman" w:cs="Times New Roman" w:eastAsia="Times New Roman" w:hAnsi="Times New Roman"/>
          <w:sz w:val="16"/>
          <w:szCs w:val="16"/>
          <w:color w:val="auto"/>
        </w:rPr>
        <w:t>. The Participant represents and warrants that, as of the date hereof, the Participant is an officer or other Service Provider of the Company, the Employer or a Subsidiary.</w:t>
      </w:r>
    </w:p>
    <w:p>
      <w:pPr>
        <w:spacing w:after="0" w:line="144" w:lineRule="exact"/>
        <w:rPr>
          <w:sz w:val="20"/>
          <w:szCs w:val="20"/>
          <w:color w:val="auto"/>
        </w:rPr>
      </w:pPr>
    </w:p>
    <w:p>
      <w:pPr>
        <w:ind w:right="340" w:firstLine="514"/>
        <w:spacing w:after="0" w:line="252" w:lineRule="auto"/>
        <w:tabs>
          <w:tab w:leader="none" w:pos="1018"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 in Capitalization</w:t>
      </w:r>
      <w:r>
        <w:rPr>
          <w:rFonts w:ascii="Times New Roman" w:cs="Times New Roman" w:eastAsia="Times New Roman" w:hAnsi="Times New Roman"/>
          <w:sz w:val="16"/>
          <w:szCs w:val="16"/>
          <w:color w:val="auto"/>
        </w:rPr>
        <w:t>. Subject to Section 14.1 of the Plan, the number and kind of Shares subject to any outstanding Restricted Stock Units, or the other terms and conditions of any such Restricted Stock Units, shall be adjusted by the Administrator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pacing w:after="0" w:line="139" w:lineRule="exact"/>
        <w:rPr>
          <w:rFonts w:ascii="Times New Roman" w:cs="Times New Roman" w:eastAsia="Times New Roman" w:hAnsi="Times New Roman"/>
          <w:sz w:val="16"/>
          <w:szCs w:val="16"/>
          <w:color w:val="auto"/>
        </w:rPr>
      </w:pPr>
    </w:p>
    <w:p>
      <w:pPr>
        <w:ind w:firstLine="514"/>
        <w:spacing w:after="0" w:line="247" w:lineRule="auto"/>
        <w:tabs>
          <w:tab w:leader="none" w:pos="1018"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Withholding</w:t>
      </w:r>
      <w:r>
        <w:rPr>
          <w:rFonts w:ascii="Times New Roman" w:cs="Times New Roman" w:eastAsia="Times New Roman" w:hAnsi="Times New Roman"/>
          <w:sz w:val="16"/>
          <w:szCs w:val="16"/>
          <w:color w:val="auto"/>
        </w:rPr>
        <w:t>. The Participant acknowledges that, regardless of any action taken by the Company or the Employer with respect to any or all income tax (including U.S. federal, state and local taxes and/or non-U.S. taxes), social insurance, payroll tax, fringe benefits tax, payment on account or other tax-related items related to the Participant's participation in the Plan and legally applicable to the Participant (“</w:t>
      </w:r>
      <w:r>
        <w:rPr>
          <w:rFonts w:ascii="Times New Roman" w:cs="Times New Roman" w:eastAsia="Times New Roman" w:hAnsi="Times New Roman"/>
          <w:sz w:val="16"/>
          <w:szCs w:val="16"/>
          <w:u w:val="single" w:color="auto"/>
          <w:color w:val="auto"/>
        </w:rPr>
        <w:t>Tax-Related Items</w:t>
      </w:r>
      <w:r>
        <w:rPr>
          <w:rFonts w:ascii="Times New Roman" w:cs="Times New Roman" w:eastAsia="Times New Roman" w:hAnsi="Times New Roman"/>
          <w:sz w:val="16"/>
          <w:szCs w:val="16"/>
          <w:color w:val="auto"/>
        </w:rPr>
        <w:t>”), the ultimate liability for all Tax-Related Items is and remains the Participant’s personal responsibility and may exceed the amount, if any, actually withheld by the Company or the Employer. The Participant further acknowledges that the Company and/or the Employer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make no representations or undertakings regarding the treatment of any Tax-Related Items in connection with any aspect of the Participant’s participation in the Plan, including, but not limited to, the grant of the Restricted Stock Units, the vesting of the Restricted Stock Units, the issuance or sale of Shares, or the receipt of any dividends or Dividend Equivalents;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do not commit to and are under no obligation to structure the terms of the Restricted Stock Units or any aspect of the Plan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44"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6"/>
          <w:szCs w:val="16"/>
          <w:color w:val="auto"/>
        </w:rPr>
        <w:t>Prior to any relevant taxable or tax withholding event, as applicable, the Participant agrees to make arrangements satisfactory to the Company and/or the Employer to satisfy all Tax-Related Items. In this regard, the Participant authorizes the Company and/or the Employer, or their respective agents, at their discretion, to satisfy their withholding obligations with regard to any Tax-Related Items by one or a combination of the following: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withholding from the Participant’s wages or other cash compensation payable to the Participant by the Company and/or the Employer,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withholding from proceeds of the sale of Shares under the Plan, either through a voluntary sale or through a mandatory sale arranged by the Company (on the Participant’s behalf pursuant to this authorization without further consent) to cover the Tax-Related Items required to be withheld, and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withholding in Shares to be issued upon vesting of the Restricted Stock Units.</w:t>
      </w:r>
    </w:p>
    <w:p>
      <w:pPr>
        <w:spacing w:after="0" w:line="154"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6"/>
          <w:szCs w:val="16"/>
          <w:color w:val="auto"/>
        </w:rPr>
        <w:t>If the obligation for Tax-Related Items is satisfied by withholding in Shares, for tax purposes, the Participant will be deemed to have been issued the full number of Shares, notwithstanding that a number of the Shares are held back solely for the purpose of paying the Tax-Related Items.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309" w:right="319" w:bottom="1440" w:gutter="0" w:footer="0" w:header="0"/>
        </w:sectPr>
      </w:pPr>
    </w:p>
    <w:bookmarkStart w:id="391" w:name="page392"/>
    <w:bookmarkEnd w:id="391"/>
    <w:p>
      <w:pPr>
        <w:ind w:firstLine="509"/>
        <w:spacing w:after="0" w:line="346" w:lineRule="auto"/>
        <w:rPr>
          <w:sz w:val="20"/>
          <w:szCs w:val="20"/>
          <w:color w:val="auto"/>
        </w:rPr>
      </w:pPr>
      <w:r>
        <w:rPr>
          <w:rFonts w:ascii="Times New Roman" w:cs="Times New Roman" w:eastAsia="Times New Roman" w:hAnsi="Times New Roman"/>
          <w:sz w:val="14"/>
          <w:szCs w:val="14"/>
          <w:color w:val="auto"/>
        </w:rPr>
        <w:t>The Company or the Employer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w:t>
      </w:r>
    </w:p>
    <w:p>
      <w:pPr>
        <w:spacing w:after="0" w:line="77" w:lineRule="exact"/>
        <w:rPr>
          <w:sz w:val="20"/>
          <w:szCs w:val="20"/>
          <w:color w:val="auto"/>
        </w:rPr>
      </w:pPr>
    </w:p>
    <w:p>
      <w:pPr>
        <w:ind w:left="1020" w:hanging="50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Nature of Grant</w:t>
      </w:r>
      <w:r>
        <w:rPr>
          <w:rFonts w:ascii="Times New Roman" w:cs="Times New Roman" w:eastAsia="Times New Roman" w:hAnsi="Times New Roman"/>
          <w:sz w:val="16"/>
          <w:szCs w:val="16"/>
          <w:color w:val="auto"/>
        </w:rPr>
        <w:t>. By accepting the Restricted Stock Units, the Participant acknowledges, understands and agrees that:</w:t>
      </w:r>
    </w:p>
    <w:p>
      <w:pPr>
        <w:spacing w:after="0" w:line="177" w:lineRule="exact"/>
        <w:rPr>
          <w:sz w:val="20"/>
          <w:szCs w:val="20"/>
          <w:color w:val="auto"/>
        </w:rPr>
      </w:pPr>
    </w:p>
    <w:p>
      <w:pPr>
        <w:ind w:right="60" w:firstLine="514"/>
        <w:spacing w:after="0" w:line="259" w:lineRule="auto"/>
        <w:tabs>
          <w:tab w:leader="none" w:pos="1011"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established voluntarily by the Company, it is discretionary in nature and it may be terminated, suspended or amended by the Company at any time, to the extent permitted by the Plan;</w:t>
      </w:r>
    </w:p>
    <w:p>
      <w:pPr>
        <w:spacing w:after="0" w:line="143" w:lineRule="exact"/>
        <w:rPr>
          <w:rFonts w:ascii="Times New Roman" w:cs="Times New Roman" w:eastAsia="Times New Roman" w:hAnsi="Times New Roman"/>
          <w:sz w:val="16"/>
          <w:szCs w:val="16"/>
          <w:color w:val="auto"/>
        </w:rPr>
      </w:pPr>
    </w:p>
    <w:p>
      <w:pPr>
        <w:ind w:right="220" w:firstLine="514"/>
        <w:spacing w:after="0" w:line="273" w:lineRule="auto"/>
        <w:tabs>
          <w:tab w:leader="none" w:pos="1009"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Restricted Stock Units is voluntary and does not create any contractual or other right to receive future Restricted Stock Units or benefits in lieu of Restricted Stock Units, even if Restricted Stock Units have been granted in the past;</w:t>
      </w:r>
    </w:p>
    <w:p>
      <w:pPr>
        <w:spacing w:after="0" w:line="122"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decisions with respect to future Restricted Stock Units or other grants, if any, will be at the sole discretion of the Administrator;</w:t>
      </w:r>
    </w:p>
    <w:p>
      <w:pPr>
        <w:spacing w:after="0" w:line="176" w:lineRule="exact"/>
        <w:rPr>
          <w:rFonts w:ascii="Times New Roman" w:cs="Times New Roman" w:eastAsia="Times New Roman" w:hAnsi="Times New Roman"/>
          <w:sz w:val="16"/>
          <w:szCs w:val="16"/>
          <w:color w:val="auto"/>
        </w:rPr>
      </w:pPr>
    </w:p>
    <w:p>
      <w:pPr>
        <w:ind w:right="40" w:firstLine="514"/>
        <w:spacing w:after="0" w:line="254" w:lineRule="auto"/>
        <w:tabs>
          <w:tab w:leader="none" w:pos="1009"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Restricted Stock Units and the Participant’s participation in the Plan shall not create a right to employment or service or be interpreted as forming an employment or service contract with the Company, the Employer or any other Subsidiary and shall not interfere with the ability of the Company, the Employer or any other Subsidiary to terminate the Participant’s employment or service relationship (if any);</w:t>
      </w:r>
    </w:p>
    <w:p>
      <w:pPr>
        <w:spacing w:after="0" w:line="147"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is voluntarily participating in the Plan;</w:t>
      </w:r>
    </w:p>
    <w:p>
      <w:pPr>
        <w:spacing w:after="0" w:line="166" w:lineRule="exact"/>
        <w:rPr>
          <w:rFonts w:ascii="Times New Roman" w:cs="Times New Roman" w:eastAsia="Times New Roman" w:hAnsi="Times New Roman"/>
          <w:sz w:val="16"/>
          <w:szCs w:val="16"/>
          <w:color w:val="auto"/>
        </w:rPr>
      </w:pPr>
    </w:p>
    <w:p>
      <w:pPr>
        <w:ind w:right="100" w:firstLine="514"/>
        <w:spacing w:after="0" w:line="273" w:lineRule="auto"/>
        <w:tabs>
          <w:tab w:leader="none" w:pos="1015"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Stock Units and any Shares acquired pursuant to such Restricted Stock Units, and the income from and value of the same, are not intended to replace any pension rights or compensation;</w:t>
      </w:r>
    </w:p>
    <w:p>
      <w:pPr>
        <w:spacing w:after="0" w:line="122" w:lineRule="exact"/>
        <w:rPr>
          <w:rFonts w:ascii="Times New Roman" w:cs="Times New Roman" w:eastAsia="Times New Roman" w:hAnsi="Times New Roman"/>
          <w:sz w:val="16"/>
          <w:szCs w:val="16"/>
          <w:color w:val="auto"/>
        </w:rPr>
      </w:pPr>
    </w:p>
    <w:p>
      <w:pPr>
        <w:ind w:right="40" w:firstLine="514"/>
        <w:spacing w:after="0" w:line="261" w:lineRule="auto"/>
        <w:tabs>
          <w:tab w:leader="none" w:pos="1009"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Stock Units and any Shares acquired pursuant to such Restricted Stock Units, and the income from and value of the same, are extraordinary items that do not constitute compensation of any kind for services of any kind rendered to the Company, the Employer or any other Subsidiary, and which are outside the scope of the Participant’s employment or service and the Participant’s employment or service agreement, if any;</w:t>
      </w:r>
    </w:p>
    <w:p>
      <w:pPr>
        <w:spacing w:after="0" w:line="131" w:lineRule="exact"/>
        <w:rPr>
          <w:rFonts w:ascii="Times New Roman" w:cs="Times New Roman" w:eastAsia="Times New Roman" w:hAnsi="Times New Roman"/>
          <w:sz w:val="16"/>
          <w:szCs w:val="16"/>
          <w:color w:val="auto"/>
        </w:rPr>
      </w:pPr>
    </w:p>
    <w:p>
      <w:pPr>
        <w:ind w:right="20" w:firstLine="514"/>
        <w:spacing w:after="0" w:line="254" w:lineRule="auto"/>
        <w:tabs>
          <w:tab w:leader="none" w:pos="1009"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Stock Units and any Shares acquired pursuant to such Restricted Stock Units,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47" w:lineRule="exact"/>
        <w:rPr>
          <w:rFonts w:ascii="Times New Roman" w:cs="Times New Roman" w:eastAsia="Times New Roman" w:hAnsi="Times New Roman"/>
          <w:sz w:val="16"/>
          <w:szCs w:val="16"/>
          <w:color w:val="auto"/>
        </w:rPr>
      </w:pPr>
    </w:p>
    <w:p>
      <w:pPr>
        <w:ind w:right="60" w:firstLine="514"/>
        <w:spacing w:after="0" w:line="259" w:lineRule="auto"/>
        <w:tabs>
          <w:tab w:leader="none" w:pos="1017"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value of the Shares underlying the Restricted Stock Units is unknown, indeterminable and cannot be predicted with certainty and the value of such Shares may increase or decrease in the future;</w:t>
      </w:r>
    </w:p>
    <w:p>
      <w:pPr>
        <w:spacing w:after="0" w:line="143" w:lineRule="exact"/>
        <w:rPr>
          <w:rFonts w:ascii="Times New Roman" w:cs="Times New Roman" w:eastAsia="Times New Roman" w:hAnsi="Times New Roman"/>
          <w:sz w:val="16"/>
          <w:szCs w:val="16"/>
          <w:color w:val="auto"/>
        </w:rPr>
      </w:pPr>
    </w:p>
    <w:p>
      <w:pPr>
        <w:ind w:right="220" w:firstLine="514"/>
        <w:spacing w:after="0" w:line="273" w:lineRule="auto"/>
        <w:tabs>
          <w:tab w:leader="none" w:pos="1017"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or entitlement to compensation or damages shall arise from forfeiture of the Restricted Stock Units or recoupment of any gains earned or accrued due to the sale of Shares acquired in settlement of such Restricted Stock Units resulting from, but not limited to, the (</w:t>
      </w:r>
      <w:r>
        <w:rPr>
          <w:rFonts w:ascii="Times New Roman" w:cs="Times New Roman" w:eastAsia="Times New Roman" w:hAnsi="Times New Roman"/>
          <w:sz w:val="16"/>
          <w:szCs w:val="16"/>
          <w:u w:val="single" w:color="auto"/>
          <w:color w:val="auto"/>
        </w:rPr>
        <w:t>1</w:t>
      </w:r>
      <w:r>
        <w:rPr>
          <w:rFonts w:ascii="Times New Roman" w:cs="Times New Roman" w:eastAsia="Times New Roman" w:hAnsi="Times New Roman"/>
          <w:sz w:val="16"/>
          <w:szCs w:val="16"/>
          <w:color w:val="auto"/>
        </w:rPr>
        <w:t>) termination of the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308" w:right="319" w:bottom="1440" w:gutter="0" w:footer="0" w:header="0"/>
        </w:sectPr>
      </w:pPr>
    </w:p>
    <w:bookmarkStart w:id="392" w:name="page393"/>
    <w:bookmarkEnd w:id="392"/>
    <w:p>
      <w:pPr>
        <w:ind w:right="100"/>
        <w:spacing w:after="0" w:line="254" w:lineRule="auto"/>
        <w:rPr>
          <w:sz w:val="20"/>
          <w:szCs w:val="20"/>
          <w:color w:val="auto"/>
        </w:rPr>
      </w:pPr>
      <w:r>
        <w:rPr>
          <w:rFonts w:ascii="Times New Roman" w:cs="Times New Roman" w:eastAsia="Times New Roman" w:hAnsi="Times New Roman"/>
          <w:sz w:val="16"/>
          <w:szCs w:val="16"/>
          <w:color w:val="auto"/>
        </w:rPr>
        <w:t>Participant’s employment or service (regardless of the reason for the termination and whether or not the termination is later found to be invalid or in breach of employment laws in the jurisdiction where the Participant is employed or the terms of the Participant’s employment or service agreement, if any) and/or (</w:t>
      </w:r>
      <w:r>
        <w:rPr>
          <w:rFonts w:ascii="Times New Roman" w:cs="Times New Roman" w:eastAsia="Times New Roman" w:hAnsi="Times New Roman"/>
          <w:sz w:val="16"/>
          <w:szCs w:val="16"/>
          <w:u w:val="single" w:color="auto"/>
          <w:color w:val="auto"/>
        </w:rPr>
        <w:t>2</w:t>
      </w:r>
      <w:r>
        <w:rPr>
          <w:rFonts w:ascii="Times New Roman" w:cs="Times New Roman" w:eastAsia="Times New Roman" w:hAnsi="Times New Roman"/>
          <w:sz w:val="16"/>
          <w:szCs w:val="16"/>
          <w:color w:val="auto"/>
          <w:highlight w:val="white"/>
        </w:rPr>
        <w:t>) application of any Applicable Law or</w:t>
      </w:r>
      <w:r>
        <w:rPr>
          <w:rFonts w:ascii="Times New Roman" w:cs="Times New Roman" w:eastAsia="Times New Roman" w:hAnsi="Times New Roman"/>
          <w:sz w:val="16"/>
          <w:szCs w:val="16"/>
          <w:color w:val="auto"/>
        </w:rPr>
        <w:t xml:space="preserve"> regulations, or any recoupment policy or any recovery or clawback policy maintained by the Company or otherwise required by Applicable Law; and</w:t>
      </w:r>
    </w:p>
    <w:p>
      <w:pPr>
        <w:spacing w:after="0" w:line="148" w:lineRule="exact"/>
        <w:rPr>
          <w:sz w:val="20"/>
          <w:szCs w:val="20"/>
          <w:color w:val="auto"/>
        </w:rPr>
      </w:pPr>
    </w:p>
    <w:p>
      <w:pPr>
        <w:ind w:right="40" w:firstLine="514"/>
        <w:spacing w:after="0" w:line="254" w:lineRule="auto"/>
        <w:tabs>
          <w:tab w:leader="none" w:pos="1009"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the Employer nor any other Subsidiary shall be liable for any foreign exchange rate fluctuation between the Participant’s local currency and the United States Dollar that may affect the value of the Shares or any amounts due pursuant to the issuance of the Shares, or the subsequent sale of any Shares acquired pursuant to the Restricted Stock Units.</w:t>
      </w:r>
    </w:p>
    <w:p>
      <w:pPr>
        <w:spacing w:after="0" w:line="148" w:lineRule="exact"/>
        <w:rPr>
          <w:sz w:val="20"/>
          <w:szCs w:val="20"/>
          <w:color w:val="auto"/>
        </w:rPr>
      </w:pPr>
    </w:p>
    <w:p>
      <w:pPr>
        <w:ind w:firstLine="514"/>
        <w:spacing w:after="0" w:line="248" w:lineRule="auto"/>
        <w:tabs>
          <w:tab w:leader="none" w:pos="1006"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Employee Data Privacy</w:t>
      </w:r>
      <w:r>
        <w:rPr>
          <w:rFonts w:ascii="Times New Roman" w:cs="Times New Roman" w:eastAsia="Times New Roman" w:hAnsi="Times New Roman"/>
          <w:sz w:val="16"/>
          <w:szCs w:val="16"/>
          <w:color w:val="auto"/>
        </w:rPr>
        <w:t>. The collection, use, disclosure and transfer, in electronic or other form, of personally identifiable information to facilitate the grant of the Restricted Stock Units and the administration of the Plan by and among, as applicable, the Company and the Employer, if different, any of the Company’s Subsidiaries or Affiliates, or any agent of the Company administering or providing Plan services is governed by the Employee Privacy Notice (the “</w:t>
      </w:r>
      <w:r>
        <w:rPr>
          <w:rFonts w:ascii="Times New Roman" w:cs="Times New Roman" w:eastAsia="Times New Roman" w:hAnsi="Times New Roman"/>
          <w:sz w:val="16"/>
          <w:szCs w:val="16"/>
          <w:u w:val="single" w:color="auto"/>
          <w:color w:val="auto"/>
        </w:rPr>
        <w:t>Privacy Notice</w:t>
      </w:r>
      <w:r>
        <w:rPr>
          <w:rFonts w:ascii="Times New Roman" w:cs="Times New Roman" w:eastAsia="Times New Roman" w:hAnsi="Times New Roman"/>
          <w:sz w:val="16"/>
          <w:szCs w:val="16"/>
          <w:color w:val="auto"/>
        </w:rPr>
        <w:t xml:space="preserve">”) that the Participant received in the course of his or her relationship with Company. The Participant understands that he or she may review the </w:t>
      </w:r>
      <w:r>
        <w:rPr>
          <w:rFonts w:ascii="Times New Roman" w:cs="Times New Roman" w:eastAsia="Times New Roman" w:hAnsi="Times New Roman"/>
          <w:sz w:val="16"/>
          <w:szCs w:val="16"/>
          <w:u w:val="single" w:color="auto"/>
          <w:color w:val="0000FF"/>
        </w:rPr>
        <w:t>Privacy Notice</w:t>
      </w:r>
      <w:r>
        <w:rPr>
          <w:rFonts w:ascii="Times New Roman" w:cs="Times New Roman" w:eastAsia="Times New Roman" w:hAnsi="Times New Roman"/>
          <w:sz w:val="16"/>
          <w:szCs w:val="16"/>
          <w:color w:val="auto"/>
        </w:rPr>
        <w:t xml:space="preserve"> or contact his or her local human resources representative to request a copy of the Privacy Notice. Please contact </w:t>
      </w:r>
      <w:r>
        <w:rPr>
          <w:rFonts w:ascii="Times New Roman" w:cs="Times New Roman" w:eastAsia="Times New Roman" w:hAnsi="Times New Roman"/>
          <w:sz w:val="16"/>
          <w:szCs w:val="16"/>
          <w:u w:val="single" w:color="auto"/>
          <w:color w:val="0000FF"/>
        </w:rPr>
        <w:t>ethics@bah.com</w:t>
      </w:r>
      <w:r>
        <w:rPr>
          <w:rFonts w:ascii="Times New Roman" w:cs="Times New Roman" w:eastAsia="Times New Roman" w:hAnsi="Times New Roman"/>
          <w:sz w:val="16"/>
          <w:szCs w:val="16"/>
          <w:color w:val="auto"/>
        </w:rPr>
        <w:t xml:space="preserve"> if the Participant has any questions or concerns about how the Company or its Subsidiaries and Affiliates process personally identifiable information.</w:t>
      </w:r>
    </w:p>
    <w:p>
      <w:pPr>
        <w:spacing w:after="0" w:line="143"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both"/>
        <w:ind w:right="20" w:firstLine="514"/>
        <w:spacing w:after="0" w:line="254" w:lineRule="auto"/>
        <w:tabs>
          <w:tab w:leader="none" w:pos="1011"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 Benefits</w:t>
      </w:r>
      <w:r>
        <w:rPr>
          <w:rFonts w:ascii="Times New Roman" w:cs="Times New Roman" w:eastAsia="Times New Roman" w:hAnsi="Times New Roman"/>
          <w:sz w:val="16"/>
          <w:szCs w:val="16"/>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47" w:lineRule="exact"/>
        <w:rPr>
          <w:rFonts w:ascii="Times New Roman" w:cs="Times New Roman" w:eastAsia="Times New Roman" w:hAnsi="Times New Roman"/>
          <w:sz w:val="16"/>
          <w:szCs w:val="16"/>
          <w:color w:val="auto"/>
        </w:rPr>
      </w:pPr>
    </w:p>
    <w:p>
      <w:pPr>
        <w:ind w:right="120" w:firstLine="514"/>
        <w:spacing w:after="0" w:line="254" w:lineRule="auto"/>
        <w:tabs>
          <w:tab w:leader="none" w:pos="1009"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Participant acknowledges that neither the Company nor the Employer are providing any tax, legal or financial advice, or making any recommendations regarding the Participant’s participation in the Plan. The Participant should consult his or her own personal tax, legal and financial advisors regarding the Participant’s participation in the Plan before taking any action related to the Plan.</w:t>
      </w:r>
    </w:p>
    <w:p>
      <w:pPr>
        <w:spacing w:after="0" w:line="137" w:lineRule="exact"/>
        <w:rPr>
          <w:rFonts w:ascii="Times New Roman" w:cs="Times New Roman" w:eastAsia="Times New Roman" w:hAnsi="Times New Roman"/>
          <w:sz w:val="16"/>
          <w:szCs w:val="16"/>
          <w:color w:val="auto"/>
        </w:rPr>
      </w:pPr>
    </w:p>
    <w:p>
      <w:pPr>
        <w:ind w:firstLine="514"/>
        <w:spacing w:after="0" w:line="286" w:lineRule="auto"/>
        <w:tabs>
          <w:tab w:leader="none" w:pos="1011"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For purposes of this Agreement, if the Participant is not employed by the Company, “</w:t>
      </w:r>
      <w:r>
        <w:rPr>
          <w:rFonts w:ascii="Times New Roman" w:cs="Times New Roman" w:eastAsia="Times New Roman" w:hAnsi="Times New Roman"/>
          <w:sz w:val="14"/>
          <w:szCs w:val="14"/>
          <w:u w:val="single" w:color="auto"/>
          <w:color w:val="auto"/>
        </w:rPr>
        <w:t>Employer</w:t>
      </w:r>
      <w:r>
        <w:rPr>
          <w:rFonts w:ascii="Times New Roman" w:cs="Times New Roman" w:eastAsia="Times New Roman" w:hAnsi="Times New Roman"/>
          <w:sz w:val="14"/>
          <w:szCs w:val="14"/>
          <w:color w:val="auto"/>
        </w:rPr>
        <w:t>” means the Subsidiary that employs the Participant. This Agreement and the Restricted Stock Units granted hereunder are subject to the terms and conditions of the Plan, which are incorporated by reference herein.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00" w:top="1308" w:right="359" w:bottom="1440" w:gutter="0" w:footer="0" w:header="0"/>
        </w:sectPr>
      </w:pPr>
    </w:p>
    <w:bookmarkStart w:id="393" w:name="page394"/>
    <w:bookmarkEnd w:id="393"/>
    <w:p>
      <w:pPr>
        <w:ind w:left="-20" w:right="120" w:firstLine="514"/>
        <w:spacing w:after="0" w:line="252" w:lineRule="auto"/>
        <w:tabs>
          <w:tab w:leader="none" w:pos="989"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Country-Specific Provisions</w:t>
      </w:r>
      <w:r>
        <w:rPr>
          <w:rFonts w:ascii="Times New Roman" w:cs="Times New Roman" w:eastAsia="Times New Roman" w:hAnsi="Times New Roman"/>
          <w:sz w:val="16"/>
          <w:szCs w:val="16"/>
          <w:color w:val="auto"/>
        </w:rPr>
        <w:t xml:space="preserve">. The Participant’s participation in the Plan shall be subject to any special terms and conditions set forth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attached hereto applicable to the Participant’s country. Moreover, if the Participant relocates to one of the countries included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the special terms and conditions applicable to such country will apply to the Participant, to the extent the Company determines that the application of such terms and conditions is necessary or advisable for legal or administrative reasons.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constitutes a part of this Agreement.</w:t>
      </w:r>
    </w:p>
    <w:p>
      <w:pPr>
        <w:spacing w:after="0" w:line="139" w:lineRule="exact"/>
        <w:rPr>
          <w:rFonts w:ascii="Times New Roman" w:cs="Times New Roman" w:eastAsia="Times New Roman" w:hAnsi="Times New Roman"/>
          <w:sz w:val="16"/>
          <w:szCs w:val="16"/>
          <w:color w:val="auto"/>
        </w:rPr>
      </w:pPr>
    </w:p>
    <w:p>
      <w:pPr>
        <w:ind w:left="-20" w:right="160" w:firstLine="514"/>
        <w:spacing w:after="0" w:line="261" w:lineRule="auto"/>
        <w:tabs>
          <w:tab w:leader="none" w:pos="991"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Requirements</w:t>
      </w:r>
      <w:r>
        <w:rPr>
          <w:rFonts w:ascii="Times New Roman" w:cs="Times New Roman" w:eastAsia="Times New Roman" w:hAnsi="Times New Roman"/>
          <w:sz w:val="16"/>
          <w:szCs w:val="16"/>
          <w:color w:val="auto"/>
        </w:rPr>
        <w:t>. The Company reserves the right to impose other requirements on the Participant’s participation in the Plan and on any Shares acquired in settlement of the Restricted Stock Units granted hereunder, to the extent the Company determines it is necessary or advisable for legal or administrative reasons, and to require the Participant to sign any additional agreements or undertakings that may be necessary to accomplish the foregoing.</w:t>
      </w:r>
    </w:p>
    <w:p>
      <w:pPr>
        <w:spacing w:after="0" w:line="131" w:lineRule="exact"/>
        <w:rPr>
          <w:rFonts w:ascii="Times New Roman" w:cs="Times New Roman" w:eastAsia="Times New Roman" w:hAnsi="Times New Roman"/>
          <w:sz w:val="16"/>
          <w:szCs w:val="16"/>
          <w:color w:val="auto"/>
        </w:rPr>
      </w:pPr>
    </w:p>
    <w:p>
      <w:pPr>
        <w:ind w:left="-20" w:right="60" w:firstLine="514"/>
        <w:spacing w:after="0" w:line="254" w:lineRule="auto"/>
        <w:tabs>
          <w:tab w:leader="none" w:pos="995"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Applicable Law</w:t>
      </w:r>
      <w:r>
        <w:rPr>
          <w:rFonts w:ascii="Times New Roman" w:cs="Times New Roman" w:eastAsia="Times New Roman" w:hAnsi="Times New Roman"/>
          <w:sz w:val="16"/>
          <w:szCs w:val="16"/>
          <w:color w:val="auto"/>
        </w:rPr>
        <w:t>. The Participant acknowledges that the Company is organized under the laws of the State of Delaware. The Participant and the Company agree that this Agreement shall be construed in accordance with and governed by the laws of the State of Delaware, without reference to principles of conflict of laws that would apply the laws of any other jurisdiction.</w:t>
      </w:r>
    </w:p>
    <w:p>
      <w:pPr>
        <w:spacing w:after="0" w:line="147" w:lineRule="exact"/>
        <w:rPr>
          <w:rFonts w:ascii="Times New Roman" w:cs="Times New Roman" w:eastAsia="Times New Roman" w:hAnsi="Times New Roman"/>
          <w:sz w:val="16"/>
          <w:szCs w:val="16"/>
          <w:color w:val="auto"/>
        </w:rPr>
      </w:pPr>
    </w:p>
    <w:p>
      <w:pPr>
        <w:ind w:left="-20" w:firstLine="514"/>
        <w:spacing w:after="0" w:line="248" w:lineRule="auto"/>
        <w:tabs>
          <w:tab w:leader="none" w:pos="989"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Forum Selection</w:t>
      </w:r>
      <w:r>
        <w:rPr>
          <w:rFonts w:ascii="Times New Roman" w:cs="Times New Roman" w:eastAsia="Times New Roman" w:hAnsi="Times New Roman"/>
          <w:sz w:val="16"/>
          <w:szCs w:val="16"/>
          <w:color w:val="auto"/>
        </w:rPr>
        <w:t>. The Participant acknowledges that the Company’s principal place of business is in, and a substantial portion of the Company’s business is based out of, the Commonwealth of Virginia. The Participant also acknowledges that, as such, during the course of the Participant’s service with the Company, the Employer or any other Subsidiary, the Participant shall have substantial contacts with the Commonwealth of Virginia. Accordingly, the Participant and the Company agree that the exclusive forum for any action, demand, claim or counterclaim relating to the terms and provisions of this Agreement, or to their breach, shall be in the appropriate state or federal court located in the Commonwealth of Virginia. The Participant and the Company hereby consent to the personal jurisdiction of such courts over the parties to this Agreement. The Participant expressly waives any defense that such courts lack personal jurisdiction or are inconvenient. The Participant and the Company further agree that in any such action for breach or enforcement of this Agreement, no party will seek to challenge the validity or enforceability of any part of this Agreement.</w:t>
      </w:r>
    </w:p>
    <w:p>
      <w:pPr>
        <w:spacing w:after="0" w:line="143" w:lineRule="exact"/>
        <w:rPr>
          <w:rFonts w:ascii="Times New Roman" w:cs="Times New Roman" w:eastAsia="Times New Roman" w:hAnsi="Times New Roman"/>
          <w:sz w:val="16"/>
          <w:szCs w:val="16"/>
          <w:color w:val="auto"/>
        </w:rPr>
      </w:pPr>
    </w:p>
    <w:p>
      <w:pPr>
        <w:ind w:left="1000" w:hanging="506"/>
        <w:spacing w:after="0"/>
        <w:tabs>
          <w:tab w:leader="none" w:pos="1000"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This Agreement may not be amended, modified or supplemented orally, but only by a written instrument executed by the Participant and the Company.</w:t>
      </w:r>
    </w:p>
    <w:p>
      <w:pPr>
        <w:spacing w:after="0" w:line="199" w:lineRule="exact"/>
        <w:rPr>
          <w:rFonts w:ascii="Times New Roman" w:cs="Times New Roman" w:eastAsia="Times New Roman" w:hAnsi="Times New Roman"/>
          <w:sz w:val="14"/>
          <w:szCs w:val="14"/>
          <w:color w:val="auto"/>
        </w:rPr>
      </w:pPr>
    </w:p>
    <w:p>
      <w:pPr>
        <w:ind w:left="-20" w:right="80" w:firstLine="514"/>
        <w:spacing w:after="0" w:line="254" w:lineRule="auto"/>
        <w:tabs>
          <w:tab w:leader="none" w:pos="997"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Assignability</w:t>
      </w:r>
      <w:r>
        <w:rPr>
          <w:rFonts w:ascii="Times New Roman" w:cs="Times New Roman" w:eastAsia="Times New Roman" w:hAnsi="Times New Roman"/>
          <w:sz w:val="16"/>
          <w:szCs w:val="16"/>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Company may assign all or any portion of its rights or obligations under this Agreement to one or more Persons or other entities designated by it.</w:t>
      </w:r>
    </w:p>
    <w:p>
      <w:pPr>
        <w:spacing w:after="0" w:line="137" w:lineRule="exact"/>
        <w:rPr>
          <w:rFonts w:ascii="Times New Roman" w:cs="Times New Roman" w:eastAsia="Times New Roman" w:hAnsi="Times New Roman"/>
          <w:sz w:val="16"/>
          <w:szCs w:val="16"/>
          <w:color w:val="auto"/>
        </w:rPr>
      </w:pPr>
    </w:p>
    <w:p>
      <w:pPr>
        <w:ind w:left="-20" w:right="140" w:firstLine="514"/>
        <w:spacing w:after="0" w:line="273" w:lineRule="auto"/>
        <w:tabs>
          <w:tab w:leader="none" w:pos="997"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 Blue Pencil</w:t>
      </w:r>
      <w:r>
        <w:rPr>
          <w:rFonts w:ascii="Times New Roman" w:cs="Times New Roman" w:eastAsia="Times New Roman" w:hAnsi="Times New Roman"/>
          <w:sz w:val="16"/>
          <w:szCs w:val="16"/>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133" w:lineRule="exact"/>
        <w:rPr>
          <w:rFonts w:ascii="Times New Roman" w:cs="Times New Roman" w:eastAsia="Times New Roman" w:hAnsi="Times New Roman"/>
          <w:sz w:val="16"/>
          <w:szCs w:val="16"/>
          <w:color w:val="auto"/>
        </w:rPr>
      </w:pPr>
    </w:p>
    <w:p>
      <w:pPr>
        <w:ind w:left="-20" w:right="100" w:firstLine="514"/>
        <w:spacing w:after="0" w:line="247" w:lineRule="auto"/>
        <w:tabs>
          <w:tab w:leader="none" w:pos="989"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 to Electronic Delivery</w:t>
      </w:r>
      <w:r>
        <w:rPr>
          <w:rFonts w:ascii="Times New Roman" w:cs="Times New Roman" w:eastAsia="Times New Roman" w:hAnsi="Times New Roman"/>
          <w:sz w:val="16"/>
          <w:szCs w:val="16"/>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the Company’s website, the Fidelity NetBenefits website or any other online access system of the Company’s third-party Plan administrator, email or other form of electronic delivery.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60"/>
          </w:cols>
          <w:pgMar w:left="320" w:top="1309" w:right="319" w:bottom="1440" w:gutter="0" w:footer="0" w:header="0"/>
        </w:sectPr>
      </w:pPr>
    </w:p>
    <w:bookmarkStart w:id="394" w:name="page395"/>
    <w:bookmarkEnd w:id="394"/>
    <w:p>
      <w:pPr>
        <w:ind w:left="-20" w:right="40" w:firstLine="514"/>
        <w:spacing w:after="0" w:line="292" w:lineRule="auto"/>
        <w:tabs>
          <w:tab w:leader="none" w:pos="997"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409A of the Code</w:t>
      </w:r>
      <w:r>
        <w:rPr>
          <w:rFonts w:ascii="Times New Roman" w:cs="Times New Roman" w:eastAsia="Times New Roman" w:hAnsi="Times New Roman"/>
          <w:sz w:val="14"/>
          <w:szCs w:val="14"/>
          <w:color w:val="auto"/>
        </w:rPr>
        <w:t>. This Agreement is intended to be administered in a manner consistent with the requirements, where applicable, of Section 409A of the Code and the regulations promulgated thereunder (“</w:t>
      </w:r>
      <w:r>
        <w:rPr>
          <w:rFonts w:ascii="Times New Roman" w:cs="Times New Roman" w:eastAsia="Times New Roman" w:hAnsi="Times New Roman"/>
          <w:sz w:val="14"/>
          <w:szCs w:val="14"/>
          <w:u w:val="single" w:color="auto"/>
          <w:color w:val="auto"/>
        </w:rPr>
        <w:t>Section 409A</w:t>
      </w:r>
      <w:r>
        <w:rPr>
          <w:rFonts w:ascii="Times New Roman" w:cs="Times New Roman" w:eastAsia="Times New Roman" w:hAnsi="Times New Roman"/>
          <w:sz w:val="14"/>
          <w:szCs w:val="14"/>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124" w:lineRule="exact"/>
        <w:rPr>
          <w:rFonts w:ascii="Times New Roman" w:cs="Times New Roman" w:eastAsia="Times New Roman" w:hAnsi="Times New Roman"/>
          <w:sz w:val="14"/>
          <w:szCs w:val="14"/>
          <w:color w:val="auto"/>
        </w:rPr>
      </w:pPr>
    </w:p>
    <w:p>
      <w:pPr>
        <w:ind w:left="-20" w:firstLine="514"/>
        <w:spacing w:after="0" w:line="246" w:lineRule="auto"/>
        <w:tabs>
          <w:tab w:leader="none" w:pos="99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Specified Employee Delay</w:t>
      </w:r>
      <w:r>
        <w:rPr>
          <w:rFonts w:ascii="Times New Roman" w:cs="Times New Roman" w:eastAsia="Times New Roman" w:hAnsi="Times New Roman"/>
          <w:sz w:val="16"/>
          <w:szCs w:val="16"/>
          <w:color w:val="auto"/>
        </w:rPr>
        <w:t>. Subject to Section 14.13 of the Plan, if the Participant is deemed a “specified employee” within the meaning of Section 409A, as determined by the Administrator, at a time when the Participant becomes eligible for settlement of the Restricted Stock Units upon his or her “separation from service” within the meaning of Section 409A, then to the extent necessary to comply with, and avoid the imposition on the Participant of any accelerated or additional tax, under Section 409A, such settlement will be delayed until the earlier of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the six (6)-month anniversary of the Participant’s termination of service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 (6)-month anniversary of the Participant’s termination of service (or, if earlier, upon the Participant’s death), or as soon thereafter as practicable (but no later than ninety (90) days thereafter).</w:t>
      </w:r>
    </w:p>
    <w:p>
      <w:pPr>
        <w:spacing w:after="0" w:line="157" w:lineRule="exact"/>
        <w:rPr>
          <w:rFonts w:ascii="Times New Roman" w:cs="Times New Roman" w:eastAsia="Times New Roman" w:hAnsi="Times New Roman"/>
          <w:sz w:val="16"/>
          <w:szCs w:val="16"/>
          <w:color w:val="auto"/>
        </w:rPr>
      </w:pPr>
    </w:p>
    <w:p>
      <w:pPr>
        <w:ind w:left="-20" w:right="820" w:firstLine="514"/>
        <w:spacing w:after="0" w:line="259" w:lineRule="auto"/>
        <w:tabs>
          <w:tab w:leader="none" w:pos="989"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 and Captions</w:t>
      </w:r>
      <w:r>
        <w:rPr>
          <w:rFonts w:ascii="Times New Roman" w:cs="Times New Roman" w:eastAsia="Times New Roman" w:hAnsi="Times New Roman"/>
          <w:sz w:val="16"/>
          <w:szCs w:val="16"/>
          <w:color w:val="auto"/>
        </w:rPr>
        <w:t>. The section and other headings contained in this Agreement are for reference purposes only and shall not affect the meaning or interpretation of this Agreement.</w:t>
      </w:r>
    </w:p>
    <w:p>
      <w:pPr>
        <w:spacing w:after="0" w:line="143" w:lineRule="exact"/>
        <w:rPr>
          <w:rFonts w:ascii="Times New Roman" w:cs="Times New Roman" w:eastAsia="Times New Roman" w:hAnsi="Times New Roman"/>
          <w:sz w:val="16"/>
          <w:szCs w:val="16"/>
          <w:color w:val="auto"/>
        </w:rPr>
      </w:pPr>
    </w:p>
    <w:p>
      <w:pPr>
        <w:jc w:val="both"/>
        <w:ind w:left="-20" w:right="20" w:firstLine="514"/>
        <w:spacing w:after="0" w:line="252" w:lineRule="auto"/>
        <w:tabs>
          <w:tab w:leader="none" w:pos="989"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under this Agreement shall be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delivered by hand,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sent by commercial overnight courier service,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sent by registered or certified mail, return receipt requested, and first-class postage prepaid, (</w:t>
      </w:r>
      <w:r>
        <w:rPr>
          <w:rFonts w:ascii="Times New Roman" w:cs="Times New Roman" w:eastAsia="Times New Roman" w:hAnsi="Times New Roman"/>
          <w:sz w:val="16"/>
          <w:szCs w:val="16"/>
          <w:u w:val="single" w:color="auto"/>
          <w:color w:val="auto"/>
        </w:rPr>
        <w:t>iv</w:t>
      </w:r>
      <w:r>
        <w:rPr>
          <w:rFonts w:ascii="Times New Roman" w:cs="Times New Roman" w:eastAsia="Times New Roman" w:hAnsi="Times New Roman"/>
          <w:sz w:val="16"/>
          <w:szCs w:val="16"/>
          <w:color w:val="auto"/>
        </w:rPr>
        <w:t>) sent by e-mail or any other form of electronic transfer or delivery approved by the Administrator, or (</w:t>
      </w:r>
      <w:r>
        <w:rPr>
          <w:rFonts w:ascii="Times New Roman" w:cs="Times New Roman" w:eastAsia="Times New Roman" w:hAnsi="Times New Roman"/>
          <w:sz w:val="16"/>
          <w:szCs w:val="16"/>
          <w:u w:val="single" w:color="auto"/>
          <w:color w:val="auto"/>
        </w:rPr>
        <w:t>v</w:t>
      </w:r>
      <w:r>
        <w:rPr>
          <w:rFonts w:ascii="Times New Roman" w:cs="Times New Roman" w:eastAsia="Times New Roman" w:hAnsi="Times New Roman"/>
          <w:sz w:val="16"/>
          <w:szCs w:val="16"/>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139" w:lineRule="exact"/>
        <w:rPr>
          <w:rFonts w:ascii="Times New Roman" w:cs="Times New Roman" w:eastAsia="Times New Roman" w:hAnsi="Times New Roman"/>
          <w:sz w:val="16"/>
          <w:szCs w:val="16"/>
          <w:color w:val="auto"/>
        </w:rPr>
      </w:pPr>
    </w:p>
    <w:p>
      <w:pPr>
        <w:ind w:left="-20" w:right="400" w:firstLine="514"/>
        <w:spacing w:after="0" w:line="273" w:lineRule="auto"/>
        <w:tabs>
          <w:tab w:leader="none" w:pos="989"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any number of counterparts, each of which shall be deemed to be an original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309" w:right="339" w:bottom="1440" w:gutter="0" w:footer="0" w:header="0"/>
        </w:sectPr>
      </w:pPr>
    </w:p>
    <w:bookmarkStart w:id="395" w:name="page396"/>
    <w:bookmarkEnd w:id="395"/>
    <w:p>
      <w:pPr>
        <w:ind w:left="20"/>
        <w:spacing w:after="0"/>
        <w:rPr>
          <w:sz w:val="20"/>
          <w:szCs w:val="20"/>
          <w:color w:val="auto"/>
        </w:rPr>
      </w:pPr>
      <w:r>
        <w:rPr>
          <w:rFonts w:ascii="Arial" w:cs="Arial" w:eastAsia="Arial" w:hAnsi="Arial"/>
          <w:sz w:val="25"/>
          <w:szCs w:val="25"/>
          <w:color w:val="0F6563"/>
        </w:rPr>
        <w:drawing>
          <wp:anchor simplePos="0" relativeHeight="251657728" behindDoc="1" locked="0" layoutInCell="0" allowOverlap="1">
            <wp:simplePos x="0" y="0"/>
            <wp:positionH relativeFrom="page">
              <wp:posOffset>193675</wp:posOffset>
            </wp:positionH>
            <wp:positionV relativeFrom="page">
              <wp:posOffset>452120</wp:posOffset>
            </wp:positionV>
            <wp:extent cx="1293495" cy="1416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2">
                      <a:clrChange>
                        <a:clrFrom>
                          <a:srgbClr val="FFFFFF"/>
                        </a:clrFrom>
                        <a:clrTo>
                          <a:srgbClr val="FFFFFF">
                            <a:alpha val="0"/>
                          </a:srgbClr>
                        </a:clrTo>
                      </a:clrChange>
                      <a:extLst>
                        <a:ext uri="{28A0092B-C50C-407E-A947-70E740481C1C}"/>
                      </a:extLst>
                    </a:blip>
                    <a:srcRect/>
                    <a:stretch>
                      <a:fillRect/>
                    </a:stretch>
                  </pic:blipFill>
                  <pic:spPr bwMode="auto">
                    <a:xfrm>
                      <a:off x="0" y="0"/>
                      <a:ext cx="1293495" cy="141605"/>
                    </a:xfrm>
                    <a:prstGeom prst="rect">
                      <a:avLst/>
                    </a:prstGeom>
                    <a:noFill/>
                  </pic:spPr>
                </pic:pic>
              </a:graphicData>
            </a:graphic>
          </wp:anchor>
        </w:drawing>
        <w:t>Insider Trading</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25"/>
          <w:szCs w:val="25"/>
          <w:color w:val="0F6563"/>
        </w:rPr>
        <w:t>SPONSORING ORGANIZATION: Legal, Ethics &amp;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6153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0F6563"/>
        </w:rPr>
        <w:t>PURPOSE</w:t>
      </w:r>
    </w:p>
    <w:p>
      <w:pPr>
        <w:spacing w:after="0" w:line="73" w:lineRule="exact"/>
        <w:rPr>
          <w:sz w:val="20"/>
          <w:szCs w:val="20"/>
          <w:color w:val="auto"/>
        </w:rPr>
      </w:pPr>
    </w:p>
    <w:p>
      <w:pPr>
        <w:ind w:right="520"/>
        <w:spacing w:after="0" w:line="237" w:lineRule="auto"/>
        <w:rPr>
          <w:sz w:val="20"/>
          <w:szCs w:val="20"/>
          <w:color w:val="auto"/>
        </w:rPr>
      </w:pPr>
      <w:r>
        <w:rPr>
          <w:rFonts w:ascii="Calibri" w:cs="Calibri" w:eastAsia="Calibri" w:hAnsi="Calibri"/>
          <w:sz w:val="14"/>
          <w:szCs w:val="14"/>
          <w:color w:val="auto"/>
        </w:rPr>
        <w:t>Insider trading generally refers to buying or selling securites while in possession of material nonpublic informaton or providing material nonpublic informaton to another person who uses that informaton to buy or sell securites. Booz Allen is commited to conductng business with integrity and in compliance with the law, including insider trading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0F6563"/>
        </w:rPr>
        <w:t>SCOPE</w:t>
      </w:r>
    </w:p>
    <w:p>
      <w:pPr>
        <w:spacing w:after="0" w:line="127" w:lineRule="exact"/>
        <w:rPr>
          <w:sz w:val="20"/>
          <w:szCs w:val="20"/>
          <w:color w:val="auto"/>
        </w:rPr>
      </w:pPr>
    </w:p>
    <w:p>
      <w:pPr>
        <w:ind w:left="100" w:right="60"/>
        <w:spacing w:after="0" w:line="237" w:lineRule="auto"/>
        <w:rPr>
          <w:sz w:val="20"/>
          <w:szCs w:val="20"/>
          <w:color w:val="auto"/>
        </w:rPr>
      </w:pPr>
      <w:r>
        <w:rPr>
          <w:rFonts w:ascii="Calibri" w:cs="Calibri" w:eastAsia="Calibri" w:hAnsi="Calibri"/>
          <w:sz w:val="14"/>
          <w:szCs w:val="14"/>
          <w:color w:val="auto"/>
        </w:rPr>
        <w:t>This policy applies to all employees, ofcers, directors, and afliates of Booz Allen and its subsidiaries (referred to as “Booz Allen people”). Unless otherwise noted, references to “Booz Allen” refers to Booz Allen Hamilton Holding Corporaton (“Booz Allen Holding”)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16153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7"/>
          <w:szCs w:val="17"/>
          <w:color w:val="0F6563"/>
        </w:rPr>
        <w:t>POLICY</w:t>
      </w:r>
    </w:p>
    <w:p>
      <w:pPr>
        <w:spacing w:after="0" w:line="81"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Prohibited Actvites</w:t>
      </w:r>
    </w:p>
    <w:p>
      <w:pPr>
        <w:spacing w:after="0" w:line="238" w:lineRule="auto"/>
        <w:rPr>
          <w:sz w:val="20"/>
          <w:szCs w:val="20"/>
          <w:color w:val="auto"/>
        </w:rPr>
      </w:pPr>
      <w:r>
        <w:rPr>
          <w:rFonts w:ascii="Calibri" w:cs="Calibri" w:eastAsia="Calibri" w:hAnsi="Calibri"/>
          <w:sz w:val="14"/>
          <w:szCs w:val="14"/>
          <w:color w:val="auto"/>
        </w:rPr>
        <w:t>The following actvites are prohibited:</w:t>
      </w:r>
    </w:p>
    <w:p>
      <w:pPr>
        <w:spacing w:after="0" w:line="13" w:lineRule="exact"/>
        <w:rPr>
          <w:sz w:val="20"/>
          <w:szCs w:val="20"/>
          <w:color w:val="auto"/>
        </w:rPr>
      </w:pPr>
    </w:p>
    <w:p>
      <w:pPr>
        <w:ind w:left="520" w:right="680" w:hanging="260"/>
        <w:spacing w:after="0" w:line="237" w:lineRule="auto"/>
        <w:tabs>
          <w:tab w:leader="none" w:pos="516" w:val="left"/>
        </w:tabs>
        <w:numPr>
          <w:ilvl w:val="0"/>
          <w:numId w:val="260"/>
        </w:numPr>
        <w:rPr>
          <w:rFonts w:ascii="Times New Roman" w:cs="Times New Roman" w:eastAsia="Times New Roman" w:hAnsi="Times New Roman"/>
          <w:sz w:val="14"/>
          <w:szCs w:val="14"/>
          <w:color w:val="auto"/>
        </w:rPr>
      </w:pPr>
      <w:r>
        <w:rPr>
          <w:rFonts w:ascii="Calibri" w:cs="Calibri" w:eastAsia="Calibri" w:hAnsi="Calibri"/>
          <w:sz w:val="14"/>
          <w:szCs w:val="14"/>
          <w:color w:val="auto"/>
        </w:rPr>
        <w:t>Directly or indirectly buying, selling or gifing securites of Booz Allen while in possession of material nonpublic informaton concerning the frm or its securites, except in the limited circumstances described below. This prohibiton remains even afer your employment with Booz Allen ends.</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0"/>
        </w:numPr>
        <w:rPr>
          <w:rFonts w:ascii="Times New Roman" w:cs="Times New Roman" w:eastAsia="Times New Roman" w:hAnsi="Times New Roman"/>
          <w:sz w:val="14"/>
          <w:szCs w:val="14"/>
          <w:color w:val="auto"/>
        </w:rPr>
      </w:pPr>
      <w:r>
        <w:rPr>
          <w:rFonts w:ascii="Calibri" w:cs="Calibri" w:eastAsia="Calibri" w:hAnsi="Calibri"/>
          <w:sz w:val="14"/>
          <w:szCs w:val="14"/>
          <w:color w:val="auto"/>
        </w:rPr>
        <w:t>Providing material nonpublic informaton about Booz Allen to another person.</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0"/>
        </w:numPr>
        <w:rPr>
          <w:rFonts w:ascii="Times New Roman" w:cs="Times New Roman" w:eastAsia="Times New Roman" w:hAnsi="Times New Roman"/>
          <w:sz w:val="14"/>
          <w:szCs w:val="14"/>
          <w:color w:val="auto"/>
        </w:rPr>
      </w:pPr>
      <w:r>
        <w:rPr>
          <w:rFonts w:ascii="Calibri" w:cs="Calibri" w:eastAsia="Calibri" w:hAnsi="Calibri"/>
          <w:sz w:val="14"/>
          <w:szCs w:val="14"/>
          <w:color w:val="auto"/>
        </w:rPr>
        <w:t>Buying or selling the securites of another company while in possession of material nonpublic informaton about that company.</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0"/>
        </w:numPr>
        <w:rPr>
          <w:rFonts w:ascii="Times New Roman" w:cs="Times New Roman" w:eastAsia="Times New Roman" w:hAnsi="Times New Roman"/>
          <w:sz w:val="14"/>
          <w:szCs w:val="14"/>
          <w:color w:val="auto"/>
        </w:rPr>
      </w:pPr>
      <w:r>
        <w:rPr>
          <w:rFonts w:ascii="Calibri" w:cs="Calibri" w:eastAsia="Calibri" w:hAnsi="Calibri"/>
          <w:sz w:val="14"/>
          <w:szCs w:val="14"/>
          <w:color w:val="auto"/>
        </w:rPr>
        <w:t>Providing material nonpublic informaton about another company to another person.</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0"/>
        </w:numPr>
        <w:rPr>
          <w:rFonts w:ascii="Times New Roman" w:cs="Times New Roman" w:eastAsia="Times New Roman" w:hAnsi="Times New Roman"/>
          <w:sz w:val="14"/>
          <w:szCs w:val="14"/>
          <w:color w:val="auto"/>
        </w:rPr>
      </w:pPr>
      <w:r>
        <w:rPr>
          <w:rFonts w:ascii="Calibri" w:cs="Calibri" w:eastAsia="Calibri" w:hAnsi="Calibri"/>
          <w:sz w:val="14"/>
          <w:szCs w:val="14"/>
          <w:color w:val="auto"/>
        </w:rPr>
        <w:t>Pledging Booz Allen securites as collateral for a loan (including a mortgage)</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0"/>
        </w:numPr>
        <w:rPr>
          <w:rFonts w:ascii="Times New Roman" w:cs="Times New Roman" w:eastAsia="Times New Roman" w:hAnsi="Times New Roman"/>
          <w:sz w:val="14"/>
          <w:szCs w:val="14"/>
          <w:color w:val="auto"/>
        </w:rPr>
      </w:pPr>
      <w:r>
        <w:rPr>
          <w:rFonts w:ascii="Calibri" w:cs="Calibri" w:eastAsia="Calibri" w:hAnsi="Calibri"/>
          <w:sz w:val="14"/>
          <w:szCs w:val="14"/>
          <w:color w:val="auto"/>
        </w:rPr>
        <w:t>Holding Booz Allen securites in a brokerage account that allows borrowing against the securites (commonly known as a margin account).</w:t>
      </w:r>
    </w:p>
    <w:p>
      <w:pPr>
        <w:spacing w:after="0" w:line="12" w:lineRule="exact"/>
        <w:rPr>
          <w:rFonts w:ascii="Times New Roman" w:cs="Times New Roman" w:eastAsia="Times New Roman" w:hAnsi="Times New Roman"/>
          <w:sz w:val="14"/>
          <w:szCs w:val="14"/>
          <w:color w:val="auto"/>
        </w:rPr>
      </w:pPr>
    </w:p>
    <w:p>
      <w:pPr>
        <w:ind w:left="520" w:hanging="260"/>
        <w:spacing w:after="0" w:line="237" w:lineRule="auto"/>
        <w:tabs>
          <w:tab w:leader="none" w:pos="516" w:val="left"/>
        </w:tabs>
        <w:numPr>
          <w:ilvl w:val="0"/>
          <w:numId w:val="260"/>
        </w:numPr>
        <w:rPr>
          <w:rFonts w:ascii="Times New Roman" w:cs="Times New Roman" w:eastAsia="Times New Roman" w:hAnsi="Times New Roman"/>
          <w:sz w:val="14"/>
          <w:szCs w:val="14"/>
          <w:color w:val="auto"/>
        </w:rPr>
      </w:pPr>
      <w:r>
        <w:rPr>
          <w:rFonts w:ascii="Calibri" w:cs="Calibri" w:eastAsia="Calibri" w:hAnsi="Calibri"/>
          <w:sz w:val="14"/>
          <w:szCs w:val="14"/>
          <w:color w:val="auto"/>
        </w:rPr>
        <w:t>Borrowing Booz Allen securites and then selling them (to proft from a decline in value) or using non-traditonal fnancial vehicles (such as publicly traded optons, puts, calls, or other derivatve securites) relatng to Booz Allen’s securites.</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0"/>
        </w:numPr>
        <w:rPr>
          <w:rFonts w:ascii="Times New Roman" w:cs="Times New Roman" w:eastAsia="Times New Roman" w:hAnsi="Times New Roman"/>
          <w:sz w:val="14"/>
          <w:szCs w:val="14"/>
          <w:color w:val="auto"/>
        </w:rPr>
      </w:pPr>
      <w:r>
        <w:rPr>
          <w:rFonts w:ascii="Calibri" w:cs="Calibri" w:eastAsia="Calibri" w:hAnsi="Calibri"/>
          <w:sz w:val="14"/>
          <w:szCs w:val="14"/>
          <w:color w:val="auto"/>
        </w:rPr>
        <w:t>Hedging transactons that allow a person to contnue to own the applicable Booz Allen security, but without the full risks and rewards of ownership.</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0"/>
        </w:numPr>
        <w:rPr>
          <w:rFonts w:ascii="Times New Roman" w:cs="Times New Roman" w:eastAsia="Times New Roman" w:hAnsi="Times New Roman"/>
          <w:sz w:val="14"/>
          <w:szCs w:val="14"/>
          <w:color w:val="auto"/>
        </w:rPr>
      </w:pPr>
      <w:r>
        <w:rPr>
          <w:rFonts w:ascii="Calibri" w:cs="Calibri" w:eastAsia="Calibri" w:hAnsi="Calibri"/>
          <w:sz w:val="14"/>
          <w:szCs w:val="14"/>
          <w:color w:val="auto"/>
        </w:rPr>
        <w:t>Immediate family members and other persons living in your households engaging in any of the above transactons.</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u w:val="single" w:color="auto"/>
          <w:color w:val="auto"/>
        </w:rPr>
        <w:t>What is material nonpublic informaton?</w:t>
      </w:r>
    </w:p>
    <w:p>
      <w:pPr>
        <w:spacing w:after="0" w:line="2" w:lineRule="exact"/>
        <w:rPr>
          <w:sz w:val="20"/>
          <w:szCs w:val="20"/>
          <w:color w:val="auto"/>
        </w:rPr>
      </w:pPr>
    </w:p>
    <w:p>
      <w:pPr>
        <w:ind w:right="160"/>
        <w:spacing w:after="0" w:line="237" w:lineRule="auto"/>
        <w:rPr>
          <w:sz w:val="20"/>
          <w:szCs w:val="20"/>
          <w:color w:val="auto"/>
        </w:rPr>
      </w:pPr>
      <w:r>
        <w:rPr>
          <w:rFonts w:ascii="Calibri" w:cs="Calibri" w:eastAsia="Calibri" w:hAnsi="Calibri"/>
          <w:sz w:val="14"/>
          <w:szCs w:val="14"/>
          <w:color w:val="auto"/>
        </w:rPr>
        <w:t xml:space="preserve">Informaton is </w:t>
      </w:r>
      <w:r>
        <w:rPr>
          <w:rFonts w:ascii="Calibri" w:cs="Calibri" w:eastAsia="Calibri" w:hAnsi="Calibri"/>
          <w:sz w:val="14"/>
          <w:szCs w:val="14"/>
          <w:b w:val="1"/>
          <w:bCs w:val="1"/>
          <w:color w:val="auto"/>
        </w:rPr>
        <w:t>material</w:t>
      </w:r>
      <w:r>
        <w:rPr>
          <w:rFonts w:ascii="Calibri" w:cs="Calibri" w:eastAsia="Calibri" w:hAnsi="Calibri"/>
          <w:sz w:val="14"/>
          <w:szCs w:val="14"/>
          <w:color w:val="auto"/>
        </w:rPr>
        <w:t xml:space="preserve"> if it would be likely to afect a company’s stock price or if it would be important to a reasonable investor in making a decision about whether to buy, hold or sell that company’s securites. Either positve or negatve informaton may be material. Note also that material informaton may also include informaton about another company that you obtained in the course of your employment by, or relatonship with, Booz Allen.</w:t>
      </w:r>
    </w:p>
    <w:p>
      <w:pPr>
        <w:spacing w:after="0" w:line="194" w:lineRule="exact"/>
        <w:rPr>
          <w:sz w:val="20"/>
          <w:szCs w:val="20"/>
          <w:color w:val="auto"/>
        </w:rPr>
      </w:pPr>
    </w:p>
    <w:p>
      <w:pPr>
        <w:jc w:val="both"/>
        <w:ind w:right="440"/>
        <w:spacing w:after="0" w:line="237" w:lineRule="auto"/>
        <w:rPr>
          <w:sz w:val="20"/>
          <w:szCs w:val="20"/>
          <w:color w:val="auto"/>
        </w:rPr>
      </w:pPr>
      <w:r>
        <w:rPr>
          <w:rFonts w:ascii="Calibri" w:cs="Calibri" w:eastAsia="Calibri" w:hAnsi="Calibri"/>
          <w:sz w:val="14"/>
          <w:szCs w:val="14"/>
          <w:color w:val="auto"/>
        </w:rPr>
        <w:t xml:space="preserve">Informaton is generally </w:t>
      </w:r>
      <w:r>
        <w:rPr>
          <w:rFonts w:ascii="Calibri" w:cs="Calibri" w:eastAsia="Calibri" w:hAnsi="Calibri"/>
          <w:sz w:val="14"/>
          <w:szCs w:val="14"/>
          <w:b w:val="1"/>
          <w:bCs w:val="1"/>
          <w:color w:val="auto"/>
        </w:rPr>
        <w:t>not public</w:t>
      </w:r>
      <w:r>
        <w:rPr>
          <w:rFonts w:ascii="Calibri" w:cs="Calibri" w:eastAsia="Calibri" w:hAnsi="Calibri"/>
          <w:sz w:val="14"/>
          <w:szCs w:val="14"/>
          <w:color w:val="auto"/>
        </w:rPr>
        <w:t xml:space="preserve"> unless it has been disclosed in a press release, in a public fling (such as a report fled on Form 10-K, Form 10-Q or Form 8-K) made with the U.S. Securites and Exchange Commission, in materials provided to stockholders broadly (such as an annual report, investor leter, prospectus or proxy statement), or is available through a news wire service or daily newspaper of wide circulaton, and a sufcient amount of tme has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Version No. 6 | Effective Date: 10/25/2023</w:t>
      </w:r>
    </w:p>
    <w:p>
      <w:pPr>
        <w:sectPr>
          <w:pgSz w:w="11900" w:h="16838" w:orient="portrait"/>
          <w:cols w:equalWidth="0" w:num="1">
            <w:col w:w="11260"/>
          </w:cols>
          <w:pgMar w:left="300" w:top="1179" w:right="339" w:bottom="1440" w:gutter="0" w:footer="0" w:header="0"/>
        </w:sectPr>
      </w:pPr>
    </w:p>
    <w:bookmarkStart w:id="396" w:name="page397"/>
    <w:bookmarkEnd w:id="396"/>
    <w:p>
      <w:pPr>
        <w:spacing w:after="0"/>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193675</wp:posOffset>
            </wp:positionH>
            <wp:positionV relativeFrom="page">
              <wp:posOffset>452755</wp:posOffset>
            </wp:positionV>
            <wp:extent cx="1293495" cy="1416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7">
                      <a:clrChange>
                        <a:clrFrom>
                          <a:srgbClr val="FFFFFF"/>
                        </a:clrFrom>
                        <a:clrTo>
                          <a:srgbClr val="FFFFFF">
                            <a:alpha val="0"/>
                          </a:srgbClr>
                        </a:clrTo>
                      </a:clrChange>
                      <a:extLst>
                        <a:ext uri="{28A0092B-C50C-407E-A947-70E740481C1C}"/>
                      </a:extLst>
                    </a:blip>
                    <a:srcRect/>
                    <a:stretch>
                      <a:fillRect/>
                    </a:stretch>
                  </pic:blipFill>
                  <pic:spPr bwMode="auto">
                    <a:xfrm>
                      <a:off x="0" y="0"/>
                      <a:ext cx="1293495" cy="141605"/>
                    </a:xfrm>
                    <a:prstGeom prst="rect">
                      <a:avLst/>
                    </a:prstGeom>
                    <a:noFill/>
                  </pic:spPr>
                </pic:pic>
              </a:graphicData>
            </a:graphic>
          </wp:anchor>
        </w:drawing>
        <w:t>passed (generally at least two full business days) so that the marketplace has had an opportunity to digest the informaton.</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color w:val="auto"/>
        </w:rPr>
        <w:t xml:space="preserve">If you are unsure whether informaton about Booz Allen is either material or nonpublic, contact the Booz Allen Holding Corporate Secretary at </w:t>
      </w:r>
      <w:r>
        <w:rPr>
          <w:rFonts w:ascii="Calibri" w:cs="Calibri" w:eastAsia="Calibri" w:hAnsi="Calibri"/>
          <w:sz w:val="14"/>
          <w:szCs w:val="14"/>
          <w:u w:val="single" w:color="auto"/>
          <w:color w:val="00A6B7"/>
        </w:rPr>
        <w:t>ethics@bah.com</w:t>
      </w:r>
      <w:r>
        <w:rPr>
          <w:rFonts w:ascii="Calibri" w:cs="Calibri" w:eastAsia="Calibri" w:hAnsi="Calibri"/>
          <w:sz w:val="14"/>
          <w:szCs w:val="14"/>
          <w:color w:val="auto"/>
        </w:rPr>
        <w:t>.</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Additonal Restrictons on Designated Insiders</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u w:val="single" w:color="auto"/>
          <w:color w:val="auto"/>
        </w:rPr>
        <w:t>Who is a “Designated Insider?”</w:t>
      </w:r>
    </w:p>
    <w:p>
      <w:pPr>
        <w:spacing w:after="0" w:line="2" w:lineRule="exact"/>
        <w:rPr>
          <w:sz w:val="20"/>
          <w:szCs w:val="20"/>
          <w:color w:val="auto"/>
        </w:rPr>
      </w:pPr>
    </w:p>
    <w:p>
      <w:pPr>
        <w:ind w:right="120"/>
        <w:spacing w:after="0" w:line="237" w:lineRule="auto"/>
        <w:rPr>
          <w:sz w:val="20"/>
          <w:szCs w:val="20"/>
          <w:color w:val="auto"/>
        </w:rPr>
      </w:pPr>
      <w:r>
        <w:rPr>
          <w:rFonts w:ascii="Calibri" w:cs="Calibri" w:eastAsia="Calibri" w:hAnsi="Calibri"/>
          <w:sz w:val="14"/>
          <w:szCs w:val="14"/>
          <w:color w:val="auto"/>
        </w:rPr>
        <w:t>Employees of Booz Allen who are identfed as likely to have access to material nonpublic informaton in connecton with carrying out their dutes will be designated as Booz Allen “designated insiders.” Examples of designated insiders are members of the Booz Allen Holding board of directors, all Booz Allen partners and vice presidents and their executve assistants, all chiefs of staf, all employees of the Legal, Ethics &amp; Compliance Department and Financial Services, and all senior associates and principals (and for certain departments, staf below senior associate level) in Enterprise Organizatons. However, employees of a Booz Allen subsidiary who do not have access to Booz Allen’s systems are generally not considered “designated insiders.”</w:t>
      </w:r>
    </w:p>
    <w:p>
      <w:pPr>
        <w:spacing w:after="0" w:line="288" w:lineRule="exact"/>
        <w:rPr>
          <w:sz w:val="20"/>
          <w:szCs w:val="20"/>
          <w:color w:val="auto"/>
        </w:rPr>
      </w:pPr>
    </w:p>
    <w:p>
      <w:pPr>
        <w:spacing w:after="0"/>
        <w:rPr>
          <w:sz w:val="20"/>
          <w:szCs w:val="20"/>
          <w:color w:val="auto"/>
        </w:rPr>
      </w:pPr>
      <w:r>
        <w:rPr>
          <w:rFonts w:ascii="Calibri" w:cs="Calibri" w:eastAsia="Calibri" w:hAnsi="Calibri"/>
          <w:sz w:val="14"/>
          <w:szCs w:val="14"/>
          <w:u w:val="single" w:color="auto"/>
          <w:color w:val="auto"/>
        </w:rPr>
        <w:t>Restrictons Applicable to Designated Insiders on Buying and Selling Booz Allen Securites</w:t>
      </w:r>
    </w:p>
    <w:p>
      <w:pPr>
        <w:spacing w:after="0" w:line="2" w:lineRule="exact"/>
        <w:rPr>
          <w:sz w:val="20"/>
          <w:szCs w:val="20"/>
          <w:color w:val="auto"/>
        </w:rPr>
      </w:pPr>
    </w:p>
    <w:p>
      <w:pPr>
        <w:ind w:right="60"/>
        <w:spacing w:after="0" w:line="237" w:lineRule="auto"/>
        <w:rPr>
          <w:sz w:val="20"/>
          <w:szCs w:val="20"/>
          <w:color w:val="auto"/>
        </w:rPr>
      </w:pPr>
      <w:r>
        <w:rPr>
          <w:rFonts w:ascii="Calibri" w:cs="Calibri" w:eastAsia="Calibri" w:hAnsi="Calibri"/>
          <w:sz w:val="14"/>
          <w:szCs w:val="14"/>
          <w:color w:val="auto"/>
        </w:rPr>
        <w:t>In additon to the general rule against buying and selling Booz Allen securites while in possession of material nonpublic informaton, designated insiders, as well as enttes controlled by them (and their immediate family members and other individuals sharing their households) are prohibited from buying, selling or gifing Booz Allen securites during a “blackout period.” Blackout periods are:</w:t>
      </w:r>
    </w:p>
    <w:p>
      <w:pPr>
        <w:spacing w:after="0" w:line="10" w:lineRule="exact"/>
        <w:rPr>
          <w:sz w:val="20"/>
          <w:szCs w:val="20"/>
          <w:color w:val="auto"/>
        </w:rPr>
      </w:pPr>
    </w:p>
    <w:p>
      <w:pPr>
        <w:ind w:left="520" w:hanging="260"/>
        <w:spacing w:after="0"/>
        <w:tabs>
          <w:tab w:leader="none" w:pos="520" w:val="left"/>
        </w:tabs>
        <w:numPr>
          <w:ilvl w:val="0"/>
          <w:numId w:val="261"/>
        </w:numPr>
        <w:rPr>
          <w:rFonts w:ascii="Times New Roman" w:cs="Times New Roman" w:eastAsia="Times New Roman" w:hAnsi="Times New Roman"/>
          <w:sz w:val="14"/>
          <w:szCs w:val="14"/>
          <w:color w:val="auto"/>
        </w:rPr>
      </w:pPr>
      <w:r>
        <w:rPr>
          <w:rFonts w:ascii="Calibri" w:cs="Calibri" w:eastAsia="Calibri" w:hAnsi="Calibri"/>
          <w:sz w:val="14"/>
          <w:szCs w:val="14"/>
          <w:color w:val="auto"/>
        </w:rPr>
        <w:t>The period beginning 15 days prior to the end of each fscal quarter and ending on the third full business day following the release of Booz Allen’s quarterly or annual earnings results.</w:t>
      </w:r>
    </w:p>
    <w:p>
      <w:pPr>
        <w:spacing w:after="0" w:line="12" w:lineRule="exact"/>
        <w:rPr>
          <w:rFonts w:ascii="Times New Roman" w:cs="Times New Roman" w:eastAsia="Times New Roman" w:hAnsi="Times New Roman"/>
          <w:sz w:val="14"/>
          <w:szCs w:val="14"/>
          <w:color w:val="auto"/>
        </w:rPr>
      </w:pPr>
    </w:p>
    <w:p>
      <w:pPr>
        <w:ind w:left="520" w:right="160" w:hanging="260"/>
        <w:spacing w:after="0" w:line="237" w:lineRule="auto"/>
        <w:tabs>
          <w:tab w:leader="none" w:pos="516" w:val="left"/>
        </w:tabs>
        <w:numPr>
          <w:ilvl w:val="0"/>
          <w:numId w:val="261"/>
        </w:numPr>
        <w:rPr>
          <w:rFonts w:ascii="Times New Roman" w:cs="Times New Roman" w:eastAsia="Times New Roman" w:hAnsi="Times New Roman"/>
          <w:sz w:val="14"/>
          <w:szCs w:val="14"/>
          <w:color w:val="auto"/>
        </w:rPr>
      </w:pPr>
      <w:r>
        <w:rPr>
          <w:rFonts w:ascii="Calibri" w:cs="Calibri" w:eastAsia="Calibri" w:hAnsi="Calibri"/>
          <w:sz w:val="14"/>
          <w:szCs w:val="14"/>
          <w:color w:val="auto"/>
        </w:rPr>
        <w:t>The period beginning when Booz Allen starts assembling informaton for purposes of issuing interim earnings guidance and other potentally material informaton by way of press release, SEC fling on Form 8-K or other means designed to achieve widespread disseminaton and ending when the informaton has been released and fully absorbed into the market.</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1"/>
        </w:numPr>
        <w:rPr>
          <w:rFonts w:ascii="Times New Roman" w:cs="Times New Roman" w:eastAsia="Times New Roman" w:hAnsi="Times New Roman"/>
          <w:sz w:val="14"/>
          <w:szCs w:val="14"/>
          <w:color w:val="auto"/>
        </w:rPr>
      </w:pPr>
      <w:r>
        <w:rPr>
          <w:rFonts w:ascii="Calibri" w:cs="Calibri" w:eastAsia="Calibri" w:hAnsi="Calibri"/>
          <w:sz w:val="14"/>
          <w:szCs w:val="14"/>
          <w:color w:val="auto"/>
        </w:rPr>
        <w:t>Other periods which designated insiders will be specifcally advised by email from the Corporate Secretary.</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color w:val="auto"/>
        </w:rPr>
        <w:t xml:space="preserve">If you would like to buy or sell Booz Allen securites and you are unsure whether you are in a blackout period, contact the Booz Allen Holding Corporate Secretary at </w:t>
      </w:r>
      <w:r>
        <w:rPr>
          <w:rFonts w:ascii="Calibri" w:cs="Calibri" w:eastAsia="Calibri" w:hAnsi="Calibri"/>
          <w:sz w:val="14"/>
          <w:szCs w:val="14"/>
          <w:u w:val="single" w:color="auto"/>
          <w:color w:val="00A6B7"/>
        </w:rPr>
        <w:t>ethics@bah.com</w:t>
      </w:r>
      <w:r>
        <w:rPr>
          <w:rFonts w:ascii="Calibri" w:cs="Calibri" w:eastAsia="Calibri" w:hAnsi="Calibri"/>
          <w:sz w:val="14"/>
          <w:szCs w:val="14"/>
          <w:color w:val="auto"/>
        </w:rPr>
        <w:t>.</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Additonal Restrictons on and Requirements for the Leadership Team and Members of Booz Allen’s Board of Directors</w:t>
      </w:r>
    </w:p>
    <w:p>
      <w:pPr>
        <w:spacing w:after="0" w:line="2"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auto"/>
        </w:rPr>
        <w:t>The Booz Allen Hamilton Inc. Leadership Team and members of the Booz Allen Holding Board of Directors may not buy or sell securites of Booz Allen or engage in any other transacton involving securites of Booz Allen, including gifs of securites, without frst obtaining approval from the Chief Legal Ofcer. Afer receiving approval, the transacton must be completed within fve business days unless such period is extended by the Corporate Secretary. If you have a 10b5-1 plan approved by the Chief Legal Ofcer (see Buying and Selling Booz Allen Securites Pursuant to a Rule 10b5-1 Plan, below) that specifes the dates, prices and amounts of the planned trades, then you do not need further approval for those trades, but you must report those trades to the Chief Legal Ofcer or the Chief Legal Ofcer’s designee the same day.</w:t>
      </w:r>
    </w:p>
    <w:p>
      <w:pPr>
        <w:spacing w:after="0" w:line="196" w:lineRule="exact"/>
        <w:rPr>
          <w:sz w:val="20"/>
          <w:szCs w:val="20"/>
          <w:color w:val="auto"/>
        </w:rPr>
      </w:pPr>
    </w:p>
    <w:p>
      <w:pPr>
        <w:ind w:right="180"/>
        <w:spacing w:after="0" w:line="237" w:lineRule="auto"/>
        <w:rPr>
          <w:sz w:val="20"/>
          <w:szCs w:val="20"/>
          <w:color w:val="auto"/>
        </w:rPr>
      </w:pPr>
      <w:r>
        <w:rPr>
          <w:rFonts w:ascii="Calibri" w:cs="Calibri" w:eastAsia="Calibri" w:hAnsi="Calibri"/>
          <w:sz w:val="14"/>
          <w:szCs w:val="14"/>
          <w:color w:val="auto"/>
        </w:rPr>
        <w:t>In additon, the Booz Allen Hamilton Inc. Leadership Team and members of the Booz Allen Holding Board of Directors may not under any circumstances buy and then within six months sell, or sell and then within six months buy, Booz Allen’s securites.</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Exceptons to Prohibitons in this Policy</w:t>
      </w:r>
    </w:p>
    <w:p>
      <w:pPr>
        <w:spacing w:after="0" w:line="2" w:lineRule="exact"/>
        <w:rPr>
          <w:sz w:val="20"/>
          <w:szCs w:val="20"/>
          <w:color w:val="auto"/>
        </w:rPr>
      </w:pPr>
    </w:p>
    <w:p>
      <w:pPr>
        <w:ind w:right="200"/>
        <w:spacing w:after="0" w:line="237" w:lineRule="auto"/>
        <w:rPr>
          <w:sz w:val="20"/>
          <w:szCs w:val="20"/>
          <w:color w:val="auto"/>
        </w:rPr>
      </w:pPr>
      <w:r>
        <w:rPr>
          <w:rFonts w:ascii="Calibri" w:cs="Calibri" w:eastAsia="Calibri" w:hAnsi="Calibri"/>
          <w:sz w:val="14"/>
          <w:szCs w:val="14"/>
          <w:color w:val="auto"/>
        </w:rPr>
        <w:t xml:space="preserve">The general prohibitons on insider trading (see Prohibited Actvites, above) and additonal restrictons applicable to designated insiders (see Additonal Restrictons on Designated Insiders, above) </w:t>
      </w:r>
      <w:r>
        <w:rPr>
          <w:rFonts w:ascii="Calibri" w:cs="Calibri" w:eastAsia="Calibri" w:hAnsi="Calibri"/>
          <w:sz w:val="14"/>
          <w:szCs w:val="14"/>
          <w:b w:val="1"/>
          <w:bCs w:val="1"/>
          <w:color w:val="auto"/>
        </w:rPr>
        <w:t>do</w:t>
      </w:r>
      <w:r>
        <w:rPr>
          <w:rFonts w:ascii="Calibri" w:cs="Calibri" w:eastAsia="Calibri" w:hAnsi="Calibri"/>
          <w:sz w:val="14"/>
          <w:szCs w:val="14"/>
          <w:color w:val="auto"/>
        </w:rPr>
        <w:t xml:space="preserve"> </w:t>
      </w:r>
      <w:r>
        <w:rPr>
          <w:rFonts w:ascii="Calibri" w:cs="Calibri" w:eastAsia="Calibri" w:hAnsi="Calibri"/>
          <w:sz w:val="14"/>
          <w:szCs w:val="14"/>
          <w:b w:val="1"/>
          <w:bCs w:val="1"/>
          <w:color w:val="auto"/>
        </w:rPr>
        <w:t xml:space="preserve">not </w:t>
      </w:r>
      <w:r>
        <w:rPr>
          <w:rFonts w:ascii="Calibri" w:cs="Calibri" w:eastAsia="Calibri" w:hAnsi="Calibri"/>
          <w:sz w:val="14"/>
          <w:szCs w:val="14"/>
          <w:color w:val="auto"/>
        </w:rPr>
        <w:t>apply in the following situatons: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Version No. 6 | Effective Date: 10/25/2023</w:t>
      </w:r>
    </w:p>
    <w:p>
      <w:pPr>
        <w:sectPr>
          <w:pgSz w:w="11900" w:h="16838" w:orient="portrait"/>
          <w:cols w:equalWidth="0" w:num="1">
            <w:col w:w="11280"/>
          </w:cols>
          <w:pgMar w:left="300" w:top="1138" w:right="319" w:bottom="1440" w:gutter="0" w:footer="0" w:header="0"/>
        </w:sectPr>
      </w:pPr>
    </w:p>
    <w:bookmarkStart w:id="397" w:name="page398"/>
    <w:bookmarkEnd w:id="397"/>
    <w:p>
      <w:pPr>
        <w:ind w:left="520" w:hanging="260"/>
        <w:spacing w:after="0"/>
        <w:tabs>
          <w:tab w:leader="none" w:pos="520" w:val="left"/>
        </w:tabs>
        <w:numPr>
          <w:ilvl w:val="0"/>
          <w:numId w:val="262"/>
        </w:numPr>
        <w:rPr>
          <w:rFonts w:ascii="Times New Roman" w:cs="Times New Roman" w:eastAsia="Times New Roman" w:hAnsi="Times New Roman"/>
          <w:sz w:val="14"/>
          <w:szCs w:val="14"/>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193675</wp:posOffset>
            </wp:positionH>
            <wp:positionV relativeFrom="page">
              <wp:posOffset>452755</wp:posOffset>
            </wp:positionV>
            <wp:extent cx="1293495" cy="1416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8">
                      <a:clrChange>
                        <a:clrFrom>
                          <a:srgbClr val="FFFFFF"/>
                        </a:clrFrom>
                        <a:clrTo>
                          <a:srgbClr val="FFFFFF">
                            <a:alpha val="0"/>
                          </a:srgbClr>
                        </a:clrTo>
                      </a:clrChange>
                      <a:extLst>
                        <a:ext uri="{28A0092B-C50C-407E-A947-70E740481C1C}"/>
                      </a:extLst>
                    </a:blip>
                    <a:srcRect/>
                    <a:stretch>
                      <a:fillRect/>
                    </a:stretch>
                  </pic:blipFill>
                  <pic:spPr bwMode="auto">
                    <a:xfrm>
                      <a:off x="0" y="0"/>
                      <a:ext cx="1293495" cy="141605"/>
                    </a:xfrm>
                    <a:prstGeom prst="rect">
                      <a:avLst/>
                    </a:prstGeom>
                    <a:noFill/>
                  </pic:spPr>
                </pic:pic>
              </a:graphicData>
            </a:graphic>
          </wp:anchor>
        </w:drawing>
        <w:t xml:space="preserve">The exercise of an employee stock opton (but </w:t>
      </w:r>
      <w:r>
        <w:rPr>
          <w:rFonts w:ascii="Calibri" w:cs="Calibri" w:eastAsia="Calibri" w:hAnsi="Calibri"/>
          <w:sz w:val="14"/>
          <w:szCs w:val="14"/>
          <w:b w:val="1"/>
          <w:bCs w:val="1"/>
          <w:color w:val="auto"/>
        </w:rPr>
        <w:t>do</w:t>
      </w:r>
      <w:r>
        <w:rPr>
          <w:rFonts w:ascii="Calibri" w:cs="Calibri" w:eastAsia="Calibri" w:hAnsi="Calibri"/>
          <w:sz w:val="14"/>
          <w:szCs w:val="14"/>
          <w:color w:val="auto"/>
        </w:rPr>
        <w:t xml:space="preserve"> apply to the sale of the underlying stock).</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2"/>
        </w:numPr>
        <w:rPr>
          <w:rFonts w:ascii="Times New Roman" w:cs="Times New Roman" w:eastAsia="Times New Roman" w:hAnsi="Times New Roman"/>
          <w:sz w:val="14"/>
          <w:szCs w:val="14"/>
          <w:color w:val="auto"/>
        </w:rPr>
      </w:pPr>
      <w:r>
        <w:rPr>
          <w:rFonts w:ascii="Calibri" w:cs="Calibri" w:eastAsia="Calibri" w:hAnsi="Calibri"/>
          <w:sz w:val="14"/>
          <w:szCs w:val="14"/>
          <w:color w:val="auto"/>
        </w:rPr>
        <w:t>The exercise of a tax withholding right pursuant to which you elect to have Booz Allen withhold shares subject to an opton to satsfy tax withholding requirements.</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2"/>
        </w:numPr>
        <w:rPr>
          <w:rFonts w:ascii="Times New Roman" w:cs="Times New Roman" w:eastAsia="Times New Roman" w:hAnsi="Times New Roman"/>
          <w:sz w:val="14"/>
          <w:szCs w:val="14"/>
          <w:color w:val="auto"/>
        </w:rPr>
      </w:pPr>
      <w:r>
        <w:rPr>
          <w:rFonts w:ascii="Calibri" w:cs="Calibri" w:eastAsia="Calibri" w:hAnsi="Calibri"/>
          <w:sz w:val="14"/>
          <w:szCs w:val="14"/>
          <w:color w:val="auto"/>
        </w:rPr>
        <w:t>Stock purchases pursuant to Booz Allen’s Employee Stock Purchase Plan.</w:t>
      </w:r>
    </w:p>
    <w:p>
      <w:pPr>
        <w:spacing w:after="0" w:line="12" w:lineRule="exact"/>
        <w:rPr>
          <w:rFonts w:ascii="Times New Roman" w:cs="Times New Roman" w:eastAsia="Times New Roman" w:hAnsi="Times New Roman"/>
          <w:sz w:val="14"/>
          <w:szCs w:val="14"/>
          <w:color w:val="auto"/>
        </w:rPr>
      </w:pPr>
    </w:p>
    <w:p>
      <w:pPr>
        <w:ind w:left="520" w:hanging="260"/>
        <w:spacing w:after="0" w:line="237" w:lineRule="auto"/>
        <w:tabs>
          <w:tab w:leader="none" w:pos="516" w:val="left"/>
        </w:tabs>
        <w:numPr>
          <w:ilvl w:val="0"/>
          <w:numId w:val="262"/>
        </w:numPr>
        <w:rPr>
          <w:rFonts w:ascii="Times New Roman" w:cs="Times New Roman" w:eastAsia="Times New Roman" w:hAnsi="Times New Roman"/>
          <w:sz w:val="14"/>
          <w:szCs w:val="14"/>
          <w:color w:val="auto"/>
        </w:rPr>
      </w:pPr>
      <w:r>
        <w:rPr>
          <w:rFonts w:ascii="Calibri" w:cs="Calibri" w:eastAsia="Calibri" w:hAnsi="Calibri"/>
          <w:sz w:val="14"/>
          <w:szCs w:val="14"/>
          <w:color w:val="auto"/>
        </w:rPr>
        <w:t xml:space="preserve">Buying or selling Booz Allen securites (including during a blackout period applicable to designated insiders) pursuant to a Rule 10b5-1 plan that: (A) is in writng and in a form acceptable to Booz Allen; (B) is approved in writng by the Chief Legal Ofcer prior to the plan being entered into; (C) contains terms and conditons as are required by Rule 10b5-1 (including the cooling-of periods and certfcatons required by Rule 10b5-1(c)); (D) is entered into and operated in compliance with Rule 10b5-1; and (E) is </w:t>
      </w:r>
      <w:r>
        <w:rPr>
          <w:rFonts w:ascii="Calibri" w:cs="Calibri" w:eastAsia="Calibri" w:hAnsi="Calibri"/>
          <w:sz w:val="14"/>
          <w:szCs w:val="14"/>
          <w:b w:val="1"/>
          <w:bCs w:val="1"/>
          <w:color w:val="auto"/>
        </w:rPr>
        <w:t>not</w:t>
      </w:r>
      <w:r>
        <w:rPr>
          <w:rFonts w:ascii="Calibri" w:cs="Calibri" w:eastAsia="Calibri" w:hAnsi="Calibri"/>
          <w:sz w:val="14"/>
          <w:szCs w:val="14"/>
          <w:color w:val="auto"/>
        </w:rPr>
        <w:t xml:space="preserve"> entered into during a blackout period, at any tme when you are in possession of material nonpublic informaton. You are required to obtain approval from Booz Allen’s Chief Legal Ofcer before terminatng a Rule 10b5-1 plan other than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16153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0F6563"/>
        </w:rPr>
        <w:t>POINTS OF CONTACT</w:t>
      </w:r>
    </w:p>
    <w:p>
      <w:pPr>
        <w:spacing w:after="0" w:line="81" w:lineRule="exact"/>
        <w:rPr>
          <w:sz w:val="20"/>
          <w:szCs w:val="20"/>
          <w:color w:val="auto"/>
        </w:rPr>
      </w:pPr>
    </w:p>
    <w:p>
      <w:pPr>
        <w:spacing w:after="0"/>
        <w:rPr>
          <w:sz w:val="20"/>
          <w:szCs w:val="20"/>
          <w:color w:val="auto"/>
        </w:rPr>
      </w:pPr>
      <w:r>
        <w:rPr>
          <w:rFonts w:ascii="Calibri" w:cs="Calibri" w:eastAsia="Calibri" w:hAnsi="Calibri"/>
          <w:sz w:val="14"/>
          <w:szCs w:val="14"/>
          <w:color w:val="auto"/>
        </w:rPr>
        <w:t xml:space="preserve">General questons regarding this policy can be directed to the Booz Allen Holding Corporate Secretary at </w:t>
      </w:r>
      <w:r>
        <w:rPr>
          <w:rFonts w:ascii="Calibri" w:cs="Calibri" w:eastAsia="Calibri" w:hAnsi="Calibri"/>
          <w:sz w:val="14"/>
          <w:szCs w:val="14"/>
          <w:u w:val="single" w:color="auto"/>
          <w:color w:val="00A6B7"/>
        </w:rPr>
        <w:t>ethics@bah.com</w:t>
      </w: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16153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 w:lineRule="exact"/>
        <w:rPr>
          <w:sz w:val="20"/>
          <w:szCs w:val="20"/>
          <w:color w:val="auto"/>
        </w:rPr>
      </w:pPr>
    </w:p>
    <w:p>
      <w:pPr>
        <w:ind w:left="60"/>
        <w:spacing w:after="0"/>
        <w:rPr>
          <w:sz w:val="20"/>
          <w:szCs w:val="20"/>
          <w:color w:val="auto"/>
        </w:rPr>
      </w:pPr>
      <w:r>
        <w:rPr>
          <w:rFonts w:ascii="Arial" w:cs="Arial" w:eastAsia="Arial" w:hAnsi="Arial"/>
          <w:sz w:val="17"/>
          <w:szCs w:val="17"/>
          <w:color w:val="0F6563"/>
        </w:rPr>
        <w:t>REPORTING CONCERNS</w:t>
      </w:r>
    </w:p>
    <w:p>
      <w:pPr>
        <w:spacing w:after="0" w:line="73"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auto"/>
        </w:rPr>
        <w:t xml:space="preserve">We expect Booz Allen people to comply with our policies and </w:t>
      </w:r>
      <w:r>
        <w:rPr>
          <w:rFonts w:ascii="Calibri" w:cs="Calibri" w:eastAsia="Calibri" w:hAnsi="Calibri"/>
          <w:sz w:val="14"/>
          <w:szCs w:val="14"/>
          <w:u w:val="single" w:color="auto"/>
          <w:color w:val="00A6B7"/>
        </w:rPr>
        <w:t>Code of Ethics and Business Conduct</w:t>
      </w:r>
      <w:r>
        <w:rPr>
          <w:rFonts w:ascii="Calibri" w:cs="Calibri" w:eastAsia="Calibri" w:hAnsi="Calibri"/>
          <w:sz w:val="14"/>
          <w:szCs w:val="14"/>
          <w:color w:val="auto"/>
        </w:rPr>
        <w:t xml:space="preserve"> (or, for employees of EverWatch Corporaton (“EverWatch”), the applicable code of ethics). As outlined in the </w:t>
      </w:r>
      <w:r>
        <w:rPr>
          <w:rFonts w:ascii="Calibri" w:cs="Calibri" w:eastAsia="Calibri" w:hAnsi="Calibri"/>
          <w:sz w:val="14"/>
          <w:szCs w:val="14"/>
          <w:u w:val="single" w:color="auto"/>
          <w:color w:val="00A6B7"/>
        </w:rPr>
        <w:t>Mandatory Reportng and Non-Retaliaton Policy</w:t>
      </w:r>
      <w:r>
        <w:rPr>
          <w:rFonts w:ascii="Calibri" w:cs="Calibri" w:eastAsia="Calibri" w:hAnsi="Calibri"/>
          <w:sz w:val="14"/>
          <w:szCs w:val="14"/>
          <w:color w:val="auto"/>
        </w:rPr>
        <w:t>, if you observe or have reasonable suspicion that a Booz Allen policy or the Code has been violated, you have a responsibility as a conditon of your employment to promptly report your concerns via one of our ofcial frm reportng channels:   </w:t>
      </w:r>
    </w:p>
    <w:p>
      <w:pPr>
        <w:spacing w:after="0" w:line="202" w:lineRule="exact"/>
        <w:rPr>
          <w:sz w:val="20"/>
          <w:szCs w:val="20"/>
          <w:color w:val="auto"/>
        </w:rPr>
      </w:pPr>
    </w:p>
    <w:p>
      <w:pPr>
        <w:ind w:left="520" w:hanging="260"/>
        <w:spacing w:after="0"/>
        <w:tabs>
          <w:tab w:leader="none" w:pos="520" w:val="left"/>
        </w:tabs>
        <w:numPr>
          <w:ilvl w:val="0"/>
          <w:numId w:val="263"/>
        </w:numPr>
        <w:rPr>
          <w:rFonts w:ascii="Times New Roman" w:cs="Times New Roman" w:eastAsia="Times New Roman" w:hAnsi="Times New Roman"/>
          <w:sz w:val="14"/>
          <w:szCs w:val="14"/>
          <w:color w:val="54565A"/>
        </w:rPr>
      </w:pPr>
      <w:r>
        <w:rPr>
          <w:rFonts w:ascii="Calibri" w:cs="Calibri" w:eastAsia="Calibri" w:hAnsi="Calibri"/>
          <w:sz w:val="14"/>
          <w:szCs w:val="14"/>
          <w:color w:val="auto"/>
        </w:rPr>
        <w:t>Your Job Leader or Career Manager (or, in the case of employees of EverWatch, your leadership) </w:t>
      </w:r>
    </w:p>
    <w:p>
      <w:pPr>
        <w:spacing w:after="0" w:line="9" w:lineRule="exact"/>
        <w:rPr>
          <w:rFonts w:ascii="Times New Roman" w:cs="Times New Roman" w:eastAsia="Times New Roman" w:hAnsi="Times New Roman"/>
          <w:sz w:val="14"/>
          <w:szCs w:val="14"/>
          <w:color w:val="54565A"/>
        </w:rPr>
      </w:pPr>
    </w:p>
    <w:p>
      <w:pPr>
        <w:ind w:left="520" w:hanging="260"/>
        <w:spacing w:after="0"/>
        <w:tabs>
          <w:tab w:leader="none" w:pos="520" w:val="left"/>
        </w:tabs>
        <w:numPr>
          <w:ilvl w:val="0"/>
          <w:numId w:val="263"/>
        </w:numPr>
        <w:rPr>
          <w:rFonts w:ascii="Times New Roman" w:cs="Times New Roman" w:eastAsia="Times New Roman" w:hAnsi="Times New Roman"/>
          <w:sz w:val="14"/>
          <w:szCs w:val="14"/>
          <w:color w:val="54565A"/>
        </w:rPr>
      </w:pPr>
      <w:r>
        <w:rPr>
          <w:rFonts w:ascii="Calibri" w:cs="Calibri" w:eastAsia="Calibri" w:hAnsi="Calibri"/>
          <w:sz w:val="14"/>
          <w:szCs w:val="14"/>
          <w:color w:val="auto"/>
        </w:rPr>
        <w:t xml:space="preserve">An </w:t>
      </w:r>
      <w:r>
        <w:rPr>
          <w:rFonts w:ascii="Calibri" w:cs="Calibri" w:eastAsia="Calibri" w:hAnsi="Calibri"/>
          <w:sz w:val="14"/>
          <w:szCs w:val="14"/>
          <w:u w:val="single" w:color="auto"/>
          <w:color w:val="00A6B7"/>
        </w:rPr>
        <w:t>Ethics Advisor</w:t>
      </w:r>
      <w:r>
        <w:rPr>
          <w:rFonts w:ascii="Calibri" w:cs="Calibri" w:eastAsia="Calibri" w:hAnsi="Calibri"/>
          <w:sz w:val="14"/>
          <w:szCs w:val="14"/>
          <w:color w:val="00A6B7"/>
        </w:rPr>
        <w:t> </w:t>
      </w:r>
    </w:p>
    <w:p>
      <w:pPr>
        <w:spacing w:after="0" w:line="9" w:lineRule="exact"/>
        <w:rPr>
          <w:rFonts w:ascii="Times New Roman" w:cs="Times New Roman" w:eastAsia="Times New Roman" w:hAnsi="Times New Roman"/>
          <w:sz w:val="14"/>
          <w:szCs w:val="14"/>
          <w:color w:val="54565A"/>
        </w:rPr>
      </w:pPr>
    </w:p>
    <w:p>
      <w:pPr>
        <w:ind w:left="520" w:hanging="260"/>
        <w:spacing w:after="0"/>
        <w:tabs>
          <w:tab w:leader="none" w:pos="520" w:val="left"/>
        </w:tabs>
        <w:numPr>
          <w:ilvl w:val="0"/>
          <w:numId w:val="263"/>
        </w:numPr>
        <w:rPr>
          <w:rFonts w:ascii="Times New Roman" w:cs="Times New Roman" w:eastAsia="Times New Roman" w:hAnsi="Times New Roman"/>
          <w:sz w:val="14"/>
          <w:szCs w:val="14"/>
          <w:color w:val="54565A"/>
        </w:rPr>
      </w:pPr>
      <w:r>
        <w:rPr>
          <w:rFonts w:ascii="Calibri" w:cs="Calibri" w:eastAsia="Calibri" w:hAnsi="Calibri"/>
          <w:sz w:val="14"/>
          <w:szCs w:val="14"/>
          <w:u w:val="single" w:color="auto"/>
          <w:color w:val="00A6B7"/>
        </w:rPr>
        <w:t>Employee Relatons</w:t>
      </w:r>
    </w:p>
    <w:p>
      <w:pPr>
        <w:spacing w:after="0" w:line="9" w:lineRule="exact"/>
        <w:rPr>
          <w:rFonts w:ascii="Times New Roman" w:cs="Times New Roman" w:eastAsia="Times New Roman" w:hAnsi="Times New Roman"/>
          <w:sz w:val="14"/>
          <w:szCs w:val="14"/>
          <w:color w:val="54565A"/>
        </w:rPr>
      </w:pPr>
    </w:p>
    <w:p>
      <w:pPr>
        <w:ind w:left="520" w:hanging="260"/>
        <w:spacing w:after="0"/>
        <w:tabs>
          <w:tab w:leader="none" w:pos="520" w:val="left"/>
        </w:tabs>
        <w:numPr>
          <w:ilvl w:val="0"/>
          <w:numId w:val="263"/>
        </w:numPr>
        <w:rPr>
          <w:rFonts w:ascii="Times New Roman" w:cs="Times New Roman" w:eastAsia="Times New Roman" w:hAnsi="Times New Roman"/>
          <w:sz w:val="14"/>
          <w:szCs w:val="14"/>
          <w:color w:val="54565A"/>
        </w:rPr>
      </w:pPr>
      <w:r>
        <w:rPr>
          <w:rFonts w:ascii="Calibri" w:cs="Calibri" w:eastAsia="Calibri" w:hAnsi="Calibri"/>
          <w:sz w:val="14"/>
          <w:szCs w:val="14"/>
          <w:color w:val="auto"/>
        </w:rPr>
        <w:t xml:space="preserve">The frm’s </w:t>
      </w:r>
      <w:r>
        <w:rPr>
          <w:rFonts w:ascii="Calibri" w:cs="Calibri" w:eastAsia="Calibri" w:hAnsi="Calibri"/>
          <w:sz w:val="14"/>
          <w:szCs w:val="14"/>
          <w:u w:val="single" w:color="auto"/>
          <w:color w:val="00A6B7"/>
        </w:rPr>
        <w:t>Legal, Ethics &amp; Compliance Team</w:t>
      </w:r>
    </w:p>
    <w:p>
      <w:pPr>
        <w:spacing w:after="0" w:line="9" w:lineRule="exact"/>
        <w:rPr>
          <w:rFonts w:ascii="Times New Roman" w:cs="Times New Roman" w:eastAsia="Times New Roman" w:hAnsi="Times New Roman"/>
          <w:sz w:val="14"/>
          <w:szCs w:val="14"/>
          <w:color w:val="54565A"/>
        </w:rPr>
      </w:pPr>
    </w:p>
    <w:p>
      <w:pPr>
        <w:ind w:left="520" w:hanging="260"/>
        <w:spacing w:after="0"/>
        <w:tabs>
          <w:tab w:leader="none" w:pos="520" w:val="left"/>
        </w:tabs>
        <w:numPr>
          <w:ilvl w:val="0"/>
          <w:numId w:val="263"/>
        </w:numPr>
        <w:rPr>
          <w:rFonts w:ascii="Times New Roman" w:cs="Times New Roman" w:eastAsia="Times New Roman" w:hAnsi="Times New Roman"/>
          <w:sz w:val="14"/>
          <w:szCs w:val="14"/>
          <w:color w:val="54565A"/>
        </w:rPr>
      </w:pPr>
      <w:r>
        <w:rPr>
          <w:rFonts w:ascii="Calibri" w:cs="Calibri" w:eastAsia="Calibri" w:hAnsi="Calibri"/>
          <w:sz w:val="14"/>
          <w:szCs w:val="14"/>
          <w:color w:val="auto"/>
        </w:rPr>
        <w:t xml:space="preserve">The </w:t>
      </w:r>
      <w:r>
        <w:rPr>
          <w:rFonts w:ascii="Calibri" w:cs="Calibri" w:eastAsia="Calibri" w:hAnsi="Calibri"/>
          <w:sz w:val="14"/>
          <w:szCs w:val="14"/>
          <w:u w:val="single" w:color="auto"/>
          <w:color w:val="00A6B7"/>
        </w:rPr>
        <w:t>Chief Ethics and Compliance Ofcer</w:t>
      </w:r>
    </w:p>
    <w:p>
      <w:pPr>
        <w:spacing w:after="0" w:line="9" w:lineRule="exact"/>
        <w:rPr>
          <w:rFonts w:ascii="Times New Roman" w:cs="Times New Roman" w:eastAsia="Times New Roman" w:hAnsi="Times New Roman"/>
          <w:sz w:val="14"/>
          <w:szCs w:val="14"/>
          <w:color w:val="54565A"/>
        </w:rPr>
      </w:pPr>
    </w:p>
    <w:p>
      <w:pPr>
        <w:ind w:left="520" w:hanging="260"/>
        <w:spacing w:after="0"/>
        <w:tabs>
          <w:tab w:leader="none" w:pos="520" w:val="left"/>
        </w:tabs>
        <w:numPr>
          <w:ilvl w:val="0"/>
          <w:numId w:val="263"/>
        </w:numPr>
        <w:rPr>
          <w:rFonts w:ascii="Times New Roman" w:cs="Times New Roman" w:eastAsia="Times New Roman" w:hAnsi="Times New Roman"/>
          <w:sz w:val="14"/>
          <w:szCs w:val="14"/>
          <w:color w:val="54565A"/>
        </w:rPr>
      </w:pPr>
      <w:r>
        <w:rPr>
          <w:rFonts w:ascii="Calibri" w:cs="Calibri" w:eastAsia="Calibri" w:hAnsi="Calibri"/>
          <w:sz w:val="14"/>
          <w:szCs w:val="14"/>
          <w:color w:val="auto"/>
        </w:rPr>
        <w:t>Our Ethics HelpLine at +1-800-501-8755 (US) or +1-888-475-0009 (Internatonal) or </w:t>
      </w:r>
      <w:r>
        <w:rPr>
          <w:rFonts w:ascii="Calibri" w:cs="Calibri" w:eastAsia="Calibri" w:hAnsi="Calibri"/>
          <w:sz w:val="14"/>
          <w:szCs w:val="14"/>
          <w:u w:val="single" w:color="auto"/>
          <w:color w:val="00A6B7"/>
        </w:rPr>
        <w:t>speakup.bah.com</w:t>
      </w:r>
      <w:r>
        <w:rPr>
          <w:rFonts w:ascii="Calibri" w:cs="Calibri" w:eastAsia="Calibri" w:hAnsi="Calibri"/>
          <w:sz w:val="14"/>
          <w:szCs w:val="14"/>
          <w:color w:val="0F6563"/>
        </w:rPr>
        <w:t>.</w:t>
      </w:r>
      <w:r>
        <w:rPr>
          <w:rFonts w:ascii="Calibri" w:cs="Calibri" w:eastAsia="Calibri" w:hAnsi="Calibri"/>
          <w:sz w:val="14"/>
          <w:szCs w:val="14"/>
          <w:color w:val="54565A"/>
        </w:rPr>
        <w:t> </w:t>
      </w:r>
      <w:r>
        <w:rPr>
          <w:rFonts w:ascii="Calibri" w:cs="Calibri" w:eastAsia="Calibri" w:hAnsi="Calibri"/>
          <w:sz w:val="14"/>
          <w:szCs w:val="14"/>
          <w:color w:val="auto"/>
        </w:rPr>
        <w:t xml:space="preserve"> Concerns may be raised anonymously. </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color w:val="auto"/>
        </w:rPr>
        <w:t>We take all allegatons of misconduct seriously, investgate them promptly, and strictly prohibit retaliaton against any person who raises a good faith ethical or legal concern.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Version No. 6 | Effective Date: 10/25/2023</w:t>
      </w:r>
    </w:p>
    <w:p>
      <w:pPr>
        <w:sectPr>
          <w:pgSz w:w="11900" w:h="16838" w:orient="portrait"/>
          <w:cols w:equalWidth="0" w:num="1">
            <w:col w:w="11280"/>
          </w:cols>
          <w:pgMar w:left="300" w:top="1148" w:right="319" w:bottom="1440" w:gutter="0" w:footer="0" w:header="0"/>
        </w:sectPr>
      </w:pPr>
    </w:p>
    <w:bookmarkStart w:id="398" w:name="page399"/>
    <w:bookmarkEnd w:id="398"/>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List of Subsidiaries of Booz Allen Hamilton Holding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5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tcBorders>
              <w:top w:val="single" w:sz="8" w:color="auto"/>
              <w:bottom w:val="single" w:sz="8" w:color="auto"/>
              <w:right w:val="single" w:sz="8" w:color="auto"/>
            </w:tcBorders>
          </w:tcPr>
          <w:p>
            <w:pPr>
              <w:spacing w:after="0"/>
              <w:rPr>
                <w:sz w:val="16"/>
                <w:szCs w:val="16"/>
                <w:color w:val="auto"/>
              </w:rPr>
            </w:pPr>
          </w:p>
        </w:tc>
        <w:tc>
          <w:tcPr>
            <w:tcW w:w="40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Commercial Cyber (SG), Pte. Ltd.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Commercial Cyber (UK), Ltd.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Commercial Cyber Holdings,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Commercial Cyber,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Cyber Solutions,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(Dubai) Limited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Dubai, UAE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(Ireland) Limited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Consulting Pte. Ltd.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Egypt,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Egypt</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Engineering Holding Co.,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Engineering Services,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Germany GmbH</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Intellectual Property Holdings,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International (U.K.) Ltd.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International Pte. Ltd.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International,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Investor Corporation</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Lebanon S.a.r.l.</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Lebanon</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Netherlands B.V.</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Netherlands</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Philippines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Philippines</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Saudi</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Saudi Arabia</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Singapore Holding Company Pte. Ltd.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Singapore LLP</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Tanzania Limited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Tanzania</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Ventures,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PT Booz Allen Hamilton Indonesia</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Analysis, Computing &amp; Engineering Solutions,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Aquilent,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BrainTrust Holdings,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Cloud Solutions Group,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DataPoint Services,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eGov Holdings,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Epic Acquisition Software,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Epidemico,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EverWatch Corp.</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HELworks,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Ian, Evan &amp; Alexander Corporation</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Liberty IT Solutions,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Morphick,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280"/>
          </w:cols>
          <w:pgMar w:left="300" w:top="490" w:right="319" w:bottom="1440" w:gutter="0" w:footer="0" w:header="0"/>
        </w:sectPr>
      </w:pPr>
    </w:p>
    <w:bookmarkStart w:id="399" w:name="page400"/>
    <w:bookmarkEnd w:id="399"/>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5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Nextgen-H Integration Services, LLC</w:t>
            </w:r>
          </w:p>
        </w:tc>
        <w:tc>
          <w:tcPr>
            <w:tcW w:w="920" w:type="dxa"/>
            <w:vAlign w:val="bottom"/>
            <w:tcBorders>
              <w:top w:val="single" w:sz="8" w:color="auto"/>
              <w:bottom w:val="single" w:sz="8" w:color="auto"/>
              <w:right w:val="single" w:sz="8" w:color="auto"/>
            </w:tcBorders>
          </w:tcPr>
          <w:p>
            <w:pPr>
              <w:spacing w:after="0"/>
              <w:rPr>
                <w:sz w:val="16"/>
                <w:szCs w:val="16"/>
                <w:color w:val="auto"/>
              </w:rPr>
            </w:pPr>
          </w:p>
        </w:tc>
        <w:tc>
          <w:tcPr>
            <w:tcW w:w="36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top w:val="single" w:sz="8" w:color="auto"/>
              <w:bottom w:val="single" w:sz="8" w:color="auto"/>
              <w:right w:val="single" w:sz="8" w:color="auto"/>
            </w:tcBorders>
          </w:tcPr>
          <w:p>
            <w:pPr>
              <w:spacing w:after="0"/>
              <w:rPr>
                <w:sz w:val="16"/>
                <w:szCs w:val="16"/>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Northwood Global Solutions,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RAI Government Services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Riverside Engineering,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Shore Systems and Solutions,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Threatology,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ThunderYard Liberty JV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Thunderyard Liberty JV II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ThunderYard Solutions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Tracepoint Holdings,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Tracepoint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Warrior Technology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Sagewatch,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EagleTrust JV,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InTrust JV,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Modzy,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280"/>
          </w:cols>
          <w:pgMar w:left="300" w:top="490" w:right="319" w:bottom="1440" w:gutter="0" w:footer="0" w:header="0"/>
        </w:sectPr>
      </w:pPr>
    </w:p>
    <w:bookmarkStart w:id="400" w:name="page401"/>
    <w:bookmarkEnd w:id="40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30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100" w:type="dxa"/>
            <w:vAlign w:val="bottom"/>
          </w:tcPr>
          <w:p>
            <w:pPr>
              <w:ind w:left="2380"/>
              <w:spacing w:after="0"/>
              <w:rPr>
                <w:sz w:val="20"/>
                <w:szCs w:val="20"/>
                <w:color w:val="auto"/>
              </w:rPr>
            </w:pPr>
            <w:r>
              <w:rPr>
                <w:rFonts w:ascii="Times New Roman" w:cs="Times New Roman" w:eastAsia="Times New Roman" w:hAnsi="Times New Roman"/>
                <w:sz w:val="17"/>
                <w:szCs w:val="17"/>
                <w:color w:val="auto"/>
                <w:w w:val="95"/>
              </w:rPr>
              <w:t>Exhibit 22</w:t>
            </w:r>
          </w:p>
        </w:tc>
      </w:tr>
      <w:tr>
        <w:trPr>
          <w:trHeight w:val="912"/>
        </w:trPr>
        <w:tc>
          <w:tcPr>
            <w:tcW w:w="3020" w:type="dxa"/>
            <w:vAlign w:val="bottom"/>
          </w:tcPr>
          <w:p>
            <w:pPr>
              <w:spacing w:after="0"/>
              <w:rPr>
                <w:sz w:val="24"/>
                <w:szCs w:val="24"/>
                <w:color w:val="auto"/>
              </w:rPr>
            </w:pPr>
          </w:p>
        </w:tc>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List of Guarantors and Subsidiary Issuers of Guaranteed Securities</w:t>
            </w:r>
          </w:p>
        </w:tc>
        <w:tc>
          <w:tcPr>
            <w:tcW w:w="3100" w:type="dxa"/>
            <w:vAlign w:val="bottom"/>
          </w:tcPr>
          <w:p>
            <w:pPr>
              <w:spacing w:after="0"/>
              <w:rPr>
                <w:sz w:val="24"/>
                <w:szCs w:val="24"/>
                <w:color w:val="auto"/>
              </w:rPr>
            </w:pPr>
          </w:p>
        </w:tc>
      </w:tr>
      <w:tr>
        <w:trPr>
          <w:trHeight w:val="162"/>
        </w:trPr>
        <w:tc>
          <w:tcPr>
            <w:tcW w:w="30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r>
      <w:tr>
        <w:trPr>
          <w:trHeight w:val="232"/>
        </w:trPr>
        <w:tc>
          <w:tcPr>
            <w:tcW w:w="30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Registered Senior Notes</w:t>
            </w:r>
          </w:p>
        </w:tc>
        <w:tc>
          <w:tcPr>
            <w:tcW w:w="3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Registered Senior Notes Issued Under</w:t>
            </w: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Issuer</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Guarantor</w:t>
            </w:r>
          </w:p>
        </w:tc>
      </w:tr>
      <w:tr>
        <w:trPr>
          <w:trHeight w:val="24"/>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r>
      <w:tr>
        <w:trPr>
          <w:trHeight w:val="232"/>
        </w:trPr>
        <w:tc>
          <w:tcPr>
            <w:tcW w:w="30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5.950% Senior Notes due 2033</w:t>
            </w:r>
          </w:p>
        </w:tc>
        <w:tc>
          <w:tcPr>
            <w:tcW w:w="3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Indenture dated August 4, 2023</w:t>
            </w: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Booz Allen Hamilton Inc.</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Booz Allen Hamilton Holding Corporation</w:t>
            </w:r>
          </w:p>
        </w:tc>
      </w:tr>
      <w:tr>
        <w:trPr>
          <w:trHeight w:val="24"/>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300"/>
          </w:cols>
          <w:pgMar w:left="300" w:top="320" w:right="299" w:bottom="1440" w:gutter="0" w:footer="0" w:header="0"/>
        </w:sectPr>
      </w:pPr>
    </w:p>
    <w:bookmarkStart w:id="401" w:name="page402"/>
    <w:bookmarkEnd w:id="401"/>
    <w:p>
      <w:pPr>
        <w:jc w:val="right"/>
        <w:spacing w:after="0"/>
        <w:rPr>
          <w:sz w:val="20"/>
          <w:szCs w:val="20"/>
          <w:color w:val="auto"/>
        </w:rPr>
      </w:pPr>
      <w:r>
        <w:rPr>
          <w:rFonts w:ascii="Times New Roman" w:cs="Times New Roman" w:eastAsia="Times New Roman" w:hAnsi="Times New Roman"/>
          <w:sz w:val="17"/>
          <w:szCs w:val="17"/>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consent to the incorporation by reference in the following Registration Statements:</w:t>
      </w:r>
    </w:p>
    <w:p>
      <w:pPr>
        <w:spacing w:after="0" w:line="272" w:lineRule="exact"/>
        <w:rPr>
          <w:sz w:val="20"/>
          <w:szCs w:val="20"/>
          <w:color w:val="auto"/>
        </w:rPr>
      </w:pPr>
    </w:p>
    <w:p>
      <w:pPr>
        <w:ind w:left="500" w:hanging="240"/>
        <w:spacing w:after="0"/>
        <w:tabs>
          <w:tab w:leader="none" w:pos="50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S-3 (No. 333-273531) pertaining to the registration of certain securities of Booz Allen Hamilton Holding Corporation and Booz Allen Hamilton Inc.,</w:t>
      </w:r>
    </w:p>
    <w:p>
      <w:pPr>
        <w:spacing w:after="0" w:line="10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64"/>
        </w:numPr>
        <w:rPr>
          <w:rFonts w:ascii="Arial" w:cs="Arial" w:eastAsia="Arial" w:hAnsi="Arial"/>
          <w:sz w:val="17"/>
          <w:szCs w:val="17"/>
          <w:color w:val="auto"/>
        </w:rPr>
      </w:pPr>
      <w:r>
        <w:rPr>
          <w:rFonts w:ascii="Times New Roman" w:cs="Times New Roman" w:eastAsia="Times New Roman" w:hAnsi="Times New Roman"/>
          <w:sz w:val="16"/>
          <w:szCs w:val="16"/>
          <w:color w:val="auto"/>
        </w:rPr>
        <w:t>Form S-8 (No 333-205956) pertaining to the Second Amended and Restated Equity Incentive Plan of Booz Allen Hamilton Holding Corporation,</w:t>
      </w:r>
    </w:p>
    <w:p>
      <w:pPr>
        <w:spacing w:after="0" w:line="101" w:lineRule="exact"/>
        <w:rPr>
          <w:rFonts w:ascii="Arial" w:cs="Arial" w:eastAsia="Arial" w:hAnsi="Arial"/>
          <w:sz w:val="17"/>
          <w:szCs w:val="17"/>
          <w:color w:val="auto"/>
        </w:rPr>
      </w:pPr>
    </w:p>
    <w:p>
      <w:pPr>
        <w:ind w:left="520" w:right="200" w:hanging="260"/>
        <w:spacing w:after="0" w:line="244" w:lineRule="auto"/>
        <w:tabs>
          <w:tab w:leader="none" w:pos="516" w:val="left"/>
        </w:tabs>
        <w:numPr>
          <w:ilvl w:val="0"/>
          <w:numId w:val="264"/>
        </w:numPr>
        <w:rPr>
          <w:rFonts w:ascii="Arial" w:cs="Arial" w:eastAsia="Arial" w:hAnsi="Arial"/>
          <w:sz w:val="17"/>
          <w:szCs w:val="17"/>
          <w:color w:val="auto"/>
        </w:rPr>
      </w:pPr>
      <w:r>
        <w:rPr>
          <w:rFonts w:ascii="Times New Roman" w:cs="Times New Roman" w:eastAsia="Times New Roman" w:hAnsi="Times New Roman"/>
          <w:sz w:val="16"/>
          <w:szCs w:val="16"/>
          <w:color w:val="auto"/>
        </w:rPr>
        <w:t>Post-Effective Amendment No. 1 to the Registration Statement (Form S-8 No. 333-205956) pertaining to the Third Amended and Restated Equity Incentive Plan of Booz Allen Hamilton Holding Corporation and the 2023 Equity Incentive Plan of Booz Allen Hamilton Holding Corporation,</w:t>
      </w:r>
    </w:p>
    <w:p>
      <w:pPr>
        <w:spacing w:after="0" w:line="91" w:lineRule="exact"/>
        <w:rPr>
          <w:rFonts w:ascii="Arial" w:cs="Arial" w:eastAsia="Arial" w:hAnsi="Arial"/>
          <w:sz w:val="17"/>
          <w:szCs w:val="17"/>
          <w:color w:val="auto"/>
        </w:rPr>
      </w:pPr>
    </w:p>
    <w:p>
      <w:pPr>
        <w:ind w:left="520" w:right="280" w:hanging="260"/>
        <w:spacing w:after="0" w:line="258" w:lineRule="auto"/>
        <w:tabs>
          <w:tab w:leader="none" w:pos="516" w:val="left"/>
        </w:tabs>
        <w:numPr>
          <w:ilvl w:val="0"/>
          <w:numId w:val="264"/>
        </w:numPr>
        <w:rPr>
          <w:rFonts w:ascii="Arial" w:cs="Arial" w:eastAsia="Arial" w:hAnsi="Arial"/>
          <w:sz w:val="17"/>
          <w:szCs w:val="17"/>
          <w:color w:val="auto"/>
        </w:rPr>
      </w:pPr>
      <w:r>
        <w:rPr>
          <w:rFonts w:ascii="Times New Roman" w:cs="Times New Roman" w:eastAsia="Times New Roman" w:hAnsi="Times New Roman"/>
          <w:sz w:val="16"/>
          <w:szCs w:val="16"/>
          <w:color w:val="auto"/>
        </w:rPr>
        <w:t>Form S-8 (No 333-171288) pertaining to the Amended and Restated Equity Incentive Plan of Booz Allen Hamilton Holding Corporation, Booz Allen Hamilton Holding Corporation Officers’ Rollover Stock Plan, and Booz Allen Hamilton Holding Corporation Employee Stock Purchase Plan, and</w:t>
      </w:r>
    </w:p>
    <w:p>
      <w:pPr>
        <w:spacing w:after="0" w:line="69" w:lineRule="exact"/>
        <w:rPr>
          <w:rFonts w:ascii="Arial" w:cs="Arial" w:eastAsia="Arial" w:hAnsi="Arial"/>
          <w:sz w:val="17"/>
          <w:szCs w:val="17"/>
          <w:color w:val="auto"/>
        </w:rPr>
      </w:pPr>
    </w:p>
    <w:p>
      <w:pPr>
        <w:ind w:left="520" w:right="200" w:hanging="260"/>
        <w:spacing w:after="0" w:line="258" w:lineRule="auto"/>
        <w:tabs>
          <w:tab w:leader="none" w:pos="516" w:val="left"/>
        </w:tabs>
        <w:numPr>
          <w:ilvl w:val="0"/>
          <w:numId w:val="264"/>
        </w:numPr>
        <w:rPr>
          <w:rFonts w:ascii="Arial" w:cs="Arial" w:eastAsia="Arial" w:hAnsi="Arial"/>
          <w:sz w:val="17"/>
          <w:szCs w:val="17"/>
          <w:color w:val="auto"/>
        </w:rPr>
      </w:pPr>
      <w:r>
        <w:rPr>
          <w:rFonts w:ascii="Times New Roman" w:cs="Times New Roman" w:eastAsia="Times New Roman" w:hAnsi="Times New Roman"/>
          <w:sz w:val="16"/>
          <w:szCs w:val="16"/>
          <w:color w:val="auto"/>
        </w:rPr>
        <w:t>Post-Effective Amendment No. 1 to the Registration Statement (Form S-8 No. 333-171288) pertaining to the Third Amended and Restated Equity Incentive Plan of Booz Allen Hamilton Holding Corporation and the 2023 Equity Incentive Plan of Booz Allen Hamilton Holding Corporation;</w:t>
      </w:r>
    </w:p>
    <w:p>
      <w:pPr>
        <w:spacing w:after="0" w:line="345"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6"/>
          <w:szCs w:val="16"/>
          <w:color w:val="auto"/>
        </w:rPr>
        <w:t>of our reports dated May 24, 2024, with respect to the consolidated financial statements of Booz Allen Hamilton Holding Corporation and the effectiveness of internal control over financial reporting of Booz Allen Hamilton Holding Corporation, included in this Annual Report (Form 10-K) of Booz Allen Hamilton Holding Corporation for the year ended March 31, 2024.</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Tysons, Virginia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24, 2024</w:t>
      </w:r>
    </w:p>
    <w:p>
      <w:pPr>
        <w:sectPr>
          <w:pgSz w:w="11900" w:h="16838" w:orient="portrait"/>
          <w:cols w:equalWidth="0" w:num="1">
            <w:col w:w="11280"/>
          </w:cols>
          <w:pgMar w:left="300" w:top="320" w:right="319" w:bottom="1440" w:gutter="0" w:footer="0" w:header="0"/>
        </w:sectPr>
      </w:pPr>
    </w:p>
    <w:bookmarkStart w:id="402" w:name="page403"/>
    <w:bookmarkEnd w:id="40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CHIEF EXECUTIVE OFFICER PURSUANT TO RULE 13A-14(A) OF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 AS AMENDED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Horacio D. Rozanski, certify that:</w:t>
      </w:r>
    </w:p>
    <w:p>
      <w:pPr>
        <w:spacing w:after="0" w:line="136" w:lineRule="exact"/>
        <w:rPr>
          <w:sz w:val="20"/>
          <w:szCs w:val="20"/>
          <w:color w:val="auto"/>
        </w:rPr>
      </w:pPr>
    </w:p>
    <w:p>
      <w:pPr>
        <w:ind w:left="140" w:hanging="135"/>
        <w:spacing w:after="0"/>
        <w:tabs>
          <w:tab w:leader="none" w:pos="14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Booz Allen Hamilton Holding Corporation.</w:t>
      </w:r>
    </w:p>
    <w:p>
      <w:pPr>
        <w:spacing w:after="0" w:line="136" w:lineRule="exact"/>
        <w:rPr>
          <w:rFonts w:ascii="Times New Roman" w:cs="Times New Roman" w:eastAsia="Times New Roman" w:hAnsi="Times New Roman"/>
          <w:sz w:val="14"/>
          <w:szCs w:val="14"/>
          <w:color w:val="auto"/>
        </w:rPr>
      </w:pPr>
    </w:p>
    <w:p>
      <w:pPr>
        <w:ind w:right="260" w:firstLine="5"/>
        <w:spacing w:after="0" w:line="287" w:lineRule="auto"/>
        <w:tabs>
          <w:tab w:leader="none" w:pos="141"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right="40" w:firstLine="5"/>
        <w:spacing w:after="0" w:line="287" w:lineRule="auto"/>
        <w:tabs>
          <w:tab w:leader="none" w:pos="141"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right="160" w:firstLine="5"/>
        <w:spacing w:after="0" w:line="287" w:lineRule="auto"/>
        <w:tabs>
          <w:tab w:leader="none" w:pos="141"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sz w:val="20"/>
          <w:szCs w:val="20"/>
          <w:color w:val="auto"/>
        </w:rPr>
      </w:pPr>
    </w:p>
    <w:p>
      <w:pPr>
        <w:ind w:right="380" w:firstLine="5"/>
        <w:spacing w:after="0" w:line="287" w:lineRule="auto"/>
        <w:tabs>
          <w:tab w:leader="none" w:pos="192"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right="20" w:firstLine="5"/>
        <w:spacing w:after="0" w:line="287" w:lineRule="auto"/>
        <w:tabs>
          <w:tab w:leader="none" w:pos="200"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firstLine="5"/>
        <w:spacing w:after="0" w:line="287" w:lineRule="auto"/>
        <w:tabs>
          <w:tab w:leader="none" w:pos="192"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right="100" w:firstLine="5"/>
        <w:spacing w:after="0" w:line="287" w:lineRule="auto"/>
        <w:tabs>
          <w:tab w:leader="none" w:pos="200"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2" w:lineRule="exact"/>
        <w:rPr>
          <w:sz w:val="20"/>
          <w:szCs w:val="20"/>
          <w:color w:val="auto"/>
        </w:rPr>
      </w:pPr>
    </w:p>
    <w:p>
      <w:pPr>
        <w:ind w:right="140" w:firstLine="5"/>
        <w:spacing w:after="0" w:line="287" w:lineRule="auto"/>
        <w:tabs>
          <w:tab w:leader="none" w:pos="141"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82" w:lineRule="exact"/>
        <w:rPr>
          <w:sz w:val="20"/>
          <w:szCs w:val="20"/>
          <w:color w:val="auto"/>
        </w:rPr>
      </w:pPr>
    </w:p>
    <w:p>
      <w:pPr>
        <w:ind w:right="140" w:firstLine="5"/>
        <w:spacing w:after="0" w:line="287" w:lineRule="auto"/>
        <w:tabs>
          <w:tab w:leader="none" w:pos="192"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6980" w:val="left"/>
          <w:tab w:leader="none" w:pos="7440" w:val="left"/>
        </w:tabs>
        <w:rPr>
          <w:sz w:val="20"/>
          <w:szCs w:val="20"/>
          <w:color w:val="auto"/>
        </w:rPr>
      </w:pPr>
      <w:r>
        <w:rPr>
          <w:rFonts w:ascii="Times New Roman" w:cs="Times New Roman" w:eastAsia="Times New Roman" w:hAnsi="Times New Roman"/>
          <w:sz w:val="14"/>
          <w:szCs w:val="14"/>
          <w:color w:val="auto"/>
        </w:rPr>
        <w:t>Date: May 24,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14605</wp:posOffset>
            </wp:positionV>
            <wp:extent cx="2425700"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1">
                      <a:extLst>
                        <a:ext uri="{28A0092B-C50C-407E-A947-70E740481C1C}"/>
                      </a:extLst>
                    </a:blip>
                    <a:srcRect/>
                    <a:stretch>
                      <a:fillRect/>
                    </a:stretch>
                  </pic:blipFill>
                  <pic:spPr bwMode="auto">
                    <a:xfrm>
                      <a:off x="0" y="0"/>
                      <a:ext cx="2425700" cy="6985"/>
                    </a:xfrm>
                    <a:prstGeom prst="rect">
                      <a:avLst/>
                    </a:prstGeom>
                    <a:noFill/>
                  </pic:spPr>
                </pic:pic>
              </a:graphicData>
            </a:graphic>
          </wp:anchor>
        </w:drawing>
      </w:r>
    </w:p>
    <w:p>
      <w:pPr>
        <w:spacing w:after="0" w:line="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color w:val="auto"/>
        </w:rPr>
        <w:t>Horacio D. Rozanski</w:t>
      </w:r>
    </w:p>
    <w:p>
      <w:pPr>
        <w:ind w:left="7460"/>
        <w:spacing w:after="0" w:line="221" w:lineRule="auto"/>
        <w:rPr>
          <w:sz w:val="20"/>
          <w:szCs w:val="20"/>
          <w:color w:val="auto"/>
        </w:rPr>
      </w:pPr>
      <w:r>
        <w:rPr>
          <w:rFonts w:ascii="Times New Roman" w:cs="Times New Roman" w:eastAsia="Times New Roman" w:hAnsi="Times New Roman"/>
          <w:sz w:val="14"/>
          <w:szCs w:val="14"/>
          <w:color w:val="auto"/>
        </w:rPr>
        <w:t>President and Chief Executive Officer</w:t>
      </w:r>
    </w:p>
    <w:p>
      <w:pPr>
        <w:ind w:left="746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27" w:right="319" w:bottom="1440" w:gutter="0" w:footer="0" w:header="0"/>
        </w:sectPr>
      </w:pPr>
    </w:p>
    <w:bookmarkStart w:id="403" w:name="page404"/>
    <w:bookmarkEnd w:id="40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CHIEF FINANCIAL OFFICER PURSUANT TO RULE 13A-14(A) OF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 AS AMENDED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Matthew A. Calderone, certify that:</w:t>
      </w:r>
    </w:p>
    <w:p>
      <w:pPr>
        <w:spacing w:after="0" w:line="136" w:lineRule="exact"/>
        <w:rPr>
          <w:sz w:val="20"/>
          <w:szCs w:val="20"/>
          <w:color w:val="auto"/>
        </w:rPr>
      </w:pPr>
    </w:p>
    <w:p>
      <w:pPr>
        <w:ind w:left="140" w:hanging="135"/>
        <w:spacing w:after="0"/>
        <w:tabs>
          <w:tab w:leader="none" w:pos="140"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Booz Allen Hamilton Holding Corporation.</w:t>
      </w:r>
    </w:p>
    <w:p>
      <w:pPr>
        <w:spacing w:after="0" w:line="136" w:lineRule="exact"/>
        <w:rPr>
          <w:rFonts w:ascii="Times New Roman" w:cs="Times New Roman" w:eastAsia="Times New Roman" w:hAnsi="Times New Roman"/>
          <w:sz w:val="14"/>
          <w:szCs w:val="14"/>
          <w:color w:val="auto"/>
        </w:rPr>
      </w:pPr>
    </w:p>
    <w:p>
      <w:pPr>
        <w:ind w:right="260" w:firstLine="5"/>
        <w:spacing w:after="0" w:line="287" w:lineRule="auto"/>
        <w:tabs>
          <w:tab w:leader="none" w:pos="141"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right="40" w:firstLine="5"/>
        <w:spacing w:after="0" w:line="287" w:lineRule="auto"/>
        <w:tabs>
          <w:tab w:leader="none" w:pos="141"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right="160" w:firstLine="5"/>
        <w:spacing w:after="0" w:line="287" w:lineRule="auto"/>
        <w:tabs>
          <w:tab w:leader="none" w:pos="141"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sz w:val="20"/>
          <w:szCs w:val="20"/>
          <w:color w:val="auto"/>
        </w:rPr>
      </w:pPr>
    </w:p>
    <w:p>
      <w:pPr>
        <w:ind w:right="380" w:firstLine="5"/>
        <w:spacing w:after="0" w:line="287" w:lineRule="auto"/>
        <w:tabs>
          <w:tab w:leader="none" w:pos="192"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right="20" w:firstLine="5"/>
        <w:spacing w:after="0" w:line="287" w:lineRule="auto"/>
        <w:tabs>
          <w:tab w:leader="none" w:pos="200"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firstLine="5"/>
        <w:spacing w:after="0" w:line="287" w:lineRule="auto"/>
        <w:tabs>
          <w:tab w:leader="none" w:pos="192"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right="100" w:firstLine="5"/>
        <w:spacing w:after="0" w:line="287" w:lineRule="auto"/>
        <w:tabs>
          <w:tab w:leader="none" w:pos="200"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2" w:lineRule="exact"/>
        <w:rPr>
          <w:sz w:val="20"/>
          <w:szCs w:val="20"/>
          <w:color w:val="auto"/>
        </w:rPr>
      </w:pPr>
    </w:p>
    <w:p>
      <w:pPr>
        <w:ind w:right="140" w:firstLine="5"/>
        <w:spacing w:after="0" w:line="287" w:lineRule="auto"/>
        <w:tabs>
          <w:tab w:leader="none" w:pos="141"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82" w:lineRule="exact"/>
        <w:rPr>
          <w:sz w:val="20"/>
          <w:szCs w:val="20"/>
          <w:color w:val="auto"/>
        </w:rPr>
      </w:pPr>
    </w:p>
    <w:p>
      <w:pPr>
        <w:ind w:right="140" w:firstLine="5"/>
        <w:spacing w:after="0" w:line="287" w:lineRule="auto"/>
        <w:tabs>
          <w:tab w:leader="none" w:pos="192"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5620" w:val="left"/>
          <w:tab w:leader="none" w:pos="6060" w:val="left"/>
        </w:tabs>
        <w:rPr>
          <w:sz w:val="20"/>
          <w:szCs w:val="20"/>
          <w:color w:val="auto"/>
        </w:rPr>
      </w:pPr>
      <w:r>
        <w:rPr>
          <w:rFonts w:ascii="Times New Roman" w:cs="Times New Roman" w:eastAsia="Times New Roman" w:hAnsi="Times New Roman"/>
          <w:sz w:val="14"/>
          <w:szCs w:val="14"/>
          <w:color w:val="auto"/>
        </w:rPr>
        <w:t>Date: May 24,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281045"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2">
                      <a:extLst>
                        <a:ext uri="{28A0092B-C50C-407E-A947-70E740481C1C}"/>
                      </a:extLst>
                    </a:blip>
                    <a:srcRect/>
                    <a:stretch>
                      <a:fillRect/>
                    </a:stretch>
                  </pic:blipFill>
                  <pic:spPr bwMode="auto">
                    <a:xfrm>
                      <a:off x="0" y="0"/>
                      <a:ext cx="3281045" cy="698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color w:val="auto"/>
        </w:rPr>
        <w:t>Matthew A. Calderone</w:t>
      </w:r>
    </w:p>
    <w:p>
      <w:pPr>
        <w:ind w:left="6080"/>
        <w:spacing w:after="0"/>
        <w:rPr>
          <w:sz w:val="20"/>
          <w:szCs w:val="20"/>
          <w:color w:val="auto"/>
        </w:rPr>
      </w:pPr>
      <w:r>
        <w:rPr>
          <w:rFonts w:ascii="Times New Roman" w:cs="Times New Roman" w:eastAsia="Times New Roman" w:hAnsi="Times New Roman"/>
          <w:sz w:val="14"/>
          <w:szCs w:val="14"/>
          <w:color w:val="auto"/>
        </w:rPr>
        <w:t>Executive Vice President and Chief Financial Officer (Principal Financial Officer)</w:t>
      </w:r>
    </w:p>
    <w:p>
      <w:pPr>
        <w:sectPr>
          <w:pgSz w:w="11900" w:h="16838" w:orient="portrait"/>
          <w:cols w:equalWidth="0" w:num="1">
            <w:col w:w="11280"/>
          </w:cols>
          <w:pgMar w:left="300" w:top="727" w:right="319" w:bottom="1440" w:gutter="0" w:footer="0" w:header="0"/>
        </w:sectPr>
      </w:pPr>
    </w:p>
    <w:bookmarkStart w:id="404" w:name="page405"/>
    <w:bookmarkEnd w:id="40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22"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4"/>
          <w:szCs w:val="14"/>
          <w:color w:val="auto"/>
        </w:rPr>
        <w:t>In connection with the report on Form 10-K of Booz Allen Hamilton Holding Corporation (the “Company”) for the fiscal year ended March 31, 2024,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93" w:lineRule="exact"/>
        <w:rPr>
          <w:sz w:val="20"/>
          <w:szCs w:val="20"/>
          <w:color w:val="auto"/>
        </w:rPr>
      </w:pPr>
    </w:p>
    <w:p>
      <w:pPr>
        <w:ind w:left="200" w:hanging="195"/>
        <w:spacing w:after="0"/>
        <w:tabs>
          <w:tab w:leader="none" w:pos="200"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w:t>
      </w:r>
    </w:p>
    <w:p>
      <w:pPr>
        <w:spacing w:after="0" w:line="136"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tabs>
          <w:tab w:leader="none" w:pos="6480" w:val="left"/>
        </w:tabs>
        <w:rPr>
          <w:sz w:val="20"/>
          <w:szCs w:val="20"/>
          <w:color w:val="auto"/>
        </w:rPr>
      </w:pPr>
      <w:r>
        <w:rPr>
          <w:rFonts w:ascii="Times New Roman" w:cs="Times New Roman" w:eastAsia="Times New Roman" w:hAnsi="Times New Roman"/>
          <w:sz w:val="14"/>
          <w:szCs w:val="14"/>
          <w:color w:val="auto"/>
        </w:rPr>
        <w:t>Date: May 24, 2024</w:t>
      </w:r>
      <w:r>
        <w:rPr>
          <w:sz w:val="20"/>
          <w:szCs w:val="20"/>
          <w:color w:val="auto"/>
        </w:rPr>
        <w:tab/>
      </w:r>
      <w:r>
        <w:rPr>
          <w:rFonts w:ascii="Times New Roman" w:cs="Times New Roman" w:eastAsia="Times New Roman" w:hAnsi="Times New Roman"/>
          <w:sz w:val="13"/>
          <w:szCs w:val="13"/>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14605</wp:posOffset>
            </wp:positionV>
            <wp:extent cx="2890520"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3">
                      <a:extLst>
                        <a:ext uri="{28A0092B-C50C-407E-A947-70E740481C1C}"/>
                      </a:extLst>
                    </a:blip>
                    <a:srcRect/>
                    <a:stretch>
                      <a:fillRect/>
                    </a:stretch>
                  </pic:blipFill>
                  <pic:spPr bwMode="auto">
                    <a:xfrm>
                      <a:off x="0" y="0"/>
                      <a:ext cx="2890520" cy="698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color w:val="auto"/>
        </w:rPr>
        <w:t>Horacio D. Rozanski</w:t>
      </w:r>
    </w:p>
    <w:p>
      <w:pPr>
        <w:ind w:left="6720"/>
        <w:spacing w:after="0" w:line="221" w:lineRule="auto"/>
        <w:rPr>
          <w:sz w:val="20"/>
          <w:szCs w:val="20"/>
          <w:color w:val="auto"/>
        </w:rPr>
      </w:pPr>
      <w:r>
        <w:rPr>
          <w:rFonts w:ascii="Times New Roman" w:cs="Times New Roman" w:eastAsia="Times New Roman" w:hAnsi="Times New Roman"/>
          <w:sz w:val="14"/>
          <w:szCs w:val="14"/>
          <w:color w:val="auto"/>
        </w:rPr>
        <w:t>President and Chief Executive Officer</w:t>
      </w:r>
    </w:p>
    <w:p>
      <w:pPr>
        <w:ind w:left="672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80"/>
          </w:cols>
          <w:pgMar w:left="300" w:top="727" w:right="319" w:bottom="1440" w:gutter="0" w:footer="0" w:header="0"/>
        </w:sectPr>
      </w:pPr>
    </w:p>
    <w:bookmarkStart w:id="405" w:name="page406"/>
    <w:bookmarkEnd w:id="405"/>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22"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4"/>
          <w:szCs w:val="14"/>
          <w:color w:val="auto"/>
        </w:rPr>
        <w:t>In connection with the report on Form 10-K of Booz Allen Hamilton Holding Corporation (the “Company”) for the fiscal year ended March 31, 2024, as filed with the Securities and Exchange Commission on the date hereof (the “Report”), the undersigned Executive Vice President and Chief Financial Officer certifies, to the best of his knowledge and belief pursuant to 18 U.S.C. Section 1350, as adopted pursuant to Section 906 of the Sarbanes-Oxley Act of 2002, that:</w:t>
      </w:r>
    </w:p>
    <w:p>
      <w:pPr>
        <w:spacing w:after="0" w:line="93" w:lineRule="exact"/>
        <w:rPr>
          <w:sz w:val="20"/>
          <w:szCs w:val="20"/>
          <w:color w:val="auto"/>
        </w:rPr>
      </w:pPr>
    </w:p>
    <w:p>
      <w:pPr>
        <w:ind w:left="200" w:hanging="195"/>
        <w:spacing w:after="0"/>
        <w:tabs>
          <w:tab w:leader="none" w:pos="200"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w:t>
      </w:r>
    </w:p>
    <w:p>
      <w:pPr>
        <w:spacing w:after="0" w:line="136"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4"/>
          <w:szCs w:val="14"/>
          <w:color w:val="auto"/>
        </w:rPr>
        <w:t>Date: May 24, 2024</w:t>
      </w:r>
      <w:r>
        <w:rPr>
          <w:sz w:val="20"/>
          <w:szCs w:val="20"/>
          <w:color w:val="auto"/>
        </w:rPr>
        <w:tab/>
      </w:r>
      <w:r>
        <w:rPr>
          <w:rFonts w:ascii="Times New Roman" w:cs="Times New Roman" w:eastAsia="Times New Roman" w:hAnsi="Times New Roman"/>
          <w:sz w:val="14"/>
          <w:szCs w:val="14"/>
          <w:color w:val="auto"/>
        </w:rPr>
        <w:t>By: /s/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340233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4">
                      <a:extLst>
                        <a:ext uri="{28A0092B-C50C-407E-A947-70E740481C1C}"/>
                      </a:extLst>
                    </a:blip>
                    <a:srcRect/>
                    <a:stretch>
                      <a:fillRect/>
                    </a:stretch>
                  </pic:blipFill>
                  <pic:spPr bwMode="auto">
                    <a:xfrm>
                      <a:off x="0" y="0"/>
                      <a:ext cx="3402330" cy="698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Matthew A. Calderone</w:t>
      </w:r>
    </w:p>
    <w:p>
      <w:pPr>
        <w:ind w:left="5900"/>
        <w:spacing w:after="0"/>
        <w:rPr>
          <w:sz w:val="20"/>
          <w:szCs w:val="20"/>
          <w:color w:val="auto"/>
        </w:rPr>
      </w:pPr>
      <w:r>
        <w:rPr>
          <w:rFonts w:ascii="Times New Roman" w:cs="Times New Roman" w:eastAsia="Times New Roman" w:hAnsi="Times New Roman"/>
          <w:sz w:val="14"/>
          <w:szCs w:val="14"/>
          <w:color w:val="auto"/>
        </w:rPr>
        <w:t>Executive Vice President and Chief Financial Officer (Principal Financial Officer)</w:t>
      </w:r>
    </w:p>
    <w:p>
      <w:pPr>
        <w:spacing w:after="0" w:line="1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80"/>
          </w:cols>
          <w:pgMar w:left="300" w:top="727" w:right="319" w:bottom="1440" w:gutter="0" w:footer="0" w:header="0"/>
        </w:sectPr>
      </w:pPr>
    </w:p>
    <w:bookmarkStart w:id="406" w:name="page407"/>
    <w:bookmarkEnd w:id="406"/>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BOOZ ALLEN HAMILTON HOLDING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10D-1 CLAWBACK POLICY</w:t>
      </w:r>
    </w:p>
    <w:p>
      <w:pPr>
        <w:spacing w:after="0" w:line="176" w:lineRule="exact"/>
        <w:rPr>
          <w:sz w:val="20"/>
          <w:szCs w:val="20"/>
          <w:color w:val="auto"/>
        </w:rPr>
      </w:pPr>
    </w:p>
    <w:p>
      <w:pPr>
        <w:jc w:val="both"/>
        <w:ind w:firstLine="238"/>
        <w:spacing w:after="0" w:line="259" w:lineRule="auto"/>
        <w:rPr>
          <w:sz w:val="20"/>
          <w:szCs w:val="20"/>
          <w:color w:val="auto"/>
        </w:rPr>
      </w:pPr>
      <w:r>
        <w:rPr>
          <w:rFonts w:ascii="Times New Roman" w:cs="Times New Roman" w:eastAsia="Times New Roman" w:hAnsi="Times New Roman"/>
          <w:sz w:val="17"/>
          <w:szCs w:val="17"/>
          <w:color w:val="auto"/>
        </w:rPr>
        <w:t>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of Booz Allen Hamilton Holding Corporation,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believes that it is in the best interests of the Company and its stockholders to adopt this Rule 10D-1 Clawback Policy (the “</w:t>
      </w:r>
      <w:r>
        <w:rPr>
          <w:rFonts w:ascii="Times New Roman" w:cs="Times New Roman" w:eastAsia="Times New Roman" w:hAnsi="Times New Roman"/>
          <w:sz w:val="17"/>
          <w:szCs w:val="17"/>
          <w:b w:val="1"/>
          <w:bCs w:val="1"/>
          <w:color w:val="auto"/>
        </w:rPr>
        <w:t>Policy</w:t>
      </w:r>
      <w:r>
        <w:rPr>
          <w:rFonts w:ascii="Times New Roman" w:cs="Times New Roman" w:eastAsia="Times New Roman" w:hAnsi="Times New Roman"/>
          <w:sz w:val="17"/>
          <w:szCs w:val="17"/>
          <w:color w:val="auto"/>
        </w:rPr>
        <w:t>”), which provides for the recovery of certain incentive compensation in the event of an Accounting Restatement (as defined below). This Policy is designed to comply with, and shall be interpreted consistent with, Section 10D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Rule 10D-1 promulgated under the Exchange Act (“</w:t>
      </w:r>
      <w:r>
        <w:rPr>
          <w:rFonts w:ascii="Times New Roman" w:cs="Times New Roman" w:eastAsia="Times New Roman" w:hAnsi="Times New Roman"/>
          <w:sz w:val="17"/>
          <w:szCs w:val="17"/>
          <w:b w:val="1"/>
          <w:bCs w:val="1"/>
          <w:color w:val="auto"/>
        </w:rPr>
        <w:t>Rule 10D-1</w:t>
      </w:r>
      <w:r>
        <w:rPr>
          <w:rFonts w:ascii="Times New Roman" w:cs="Times New Roman" w:eastAsia="Times New Roman" w:hAnsi="Times New Roman"/>
          <w:sz w:val="17"/>
          <w:szCs w:val="17"/>
          <w:color w:val="auto"/>
        </w:rPr>
        <w:t>”) and Section 303A.14 of the New York Stock Exchange Listed Company Manual (the “</w:t>
      </w:r>
      <w:r>
        <w:rPr>
          <w:rFonts w:ascii="Times New Roman" w:cs="Times New Roman" w:eastAsia="Times New Roman" w:hAnsi="Times New Roman"/>
          <w:sz w:val="17"/>
          <w:szCs w:val="17"/>
          <w:b w:val="1"/>
          <w:bCs w:val="1"/>
          <w:color w:val="auto"/>
        </w:rPr>
        <w:t>Listing Standards</w:t>
      </w:r>
      <w:r>
        <w:rPr>
          <w:rFonts w:ascii="Times New Roman" w:cs="Times New Roman" w:eastAsia="Times New Roman" w:hAnsi="Times New Roman"/>
          <w:sz w:val="17"/>
          <w:szCs w:val="17"/>
          <w:color w:val="auto"/>
        </w:rPr>
        <w:t>”).</w:t>
      </w:r>
    </w:p>
    <w:p>
      <w:pPr>
        <w:spacing w:after="0" w:line="134" w:lineRule="exact"/>
        <w:rPr>
          <w:sz w:val="20"/>
          <w:szCs w:val="20"/>
          <w:color w:val="auto"/>
        </w:rPr>
      </w:pPr>
    </w:p>
    <w:p>
      <w:pPr>
        <w:ind w:left="520" w:hanging="515"/>
        <w:spacing w:after="0"/>
        <w:tabs>
          <w:tab w:leader="none" w:pos="520" w:val="left"/>
        </w:tabs>
        <w:numPr>
          <w:ilvl w:val="0"/>
          <w:numId w:val="2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Administration</w:t>
      </w:r>
    </w:p>
    <w:p>
      <w:pPr>
        <w:spacing w:after="0" w:line="190" w:lineRule="exact"/>
        <w:rPr>
          <w:sz w:val="20"/>
          <w:szCs w:val="20"/>
          <w:color w:val="auto"/>
        </w:rPr>
      </w:pPr>
    </w:p>
    <w:p>
      <w:pPr>
        <w:jc w:val="both"/>
        <w:ind w:firstLine="215"/>
        <w:spacing w:after="0" w:line="253" w:lineRule="auto"/>
        <w:rPr>
          <w:sz w:val="20"/>
          <w:szCs w:val="20"/>
          <w:color w:val="auto"/>
        </w:rPr>
      </w:pPr>
      <w:r>
        <w:rPr>
          <w:rFonts w:ascii="Times New Roman" w:cs="Times New Roman" w:eastAsia="Times New Roman" w:hAnsi="Times New Roman"/>
          <w:sz w:val="17"/>
          <w:szCs w:val="17"/>
          <w:color w:val="auto"/>
        </w:rPr>
        <w:t>Except as specifically set forth herein, this Policy shall be administered by the Board or, if so designated by the Board, a committee thereof (the Board or such committee charged with administration of this Policy, the “</w:t>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The Administrator is authorized to interpret and construe this Policy and to make all determinations necessary, appropriate, or advisable for the administration of this Policy. Any determinations made by the Administrator shall be final and binding on all affected individuals and need not be uniform with respect to each individual covered by the Policy. In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any limitation at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140" w:lineRule="exact"/>
        <w:rPr>
          <w:sz w:val="20"/>
          <w:szCs w:val="20"/>
          <w:color w:val="auto"/>
        </w:rPr>
      </w:pPr>
    </w:p>
    <w:p>
      <w:pPr>
        <w:ind w:left="520" w:hanging="515"/>
        <w:spacing w:after="0"/>
        <w:tabs>
          <w:tab w:leader="none" w:pos="520" w:val="left"/>
        </w:tabs>
        <w:numPr>
          <w:ilvl w:val="0"/>
          <w:numId w:val="2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Definitions</w:t>
      </w:r>
    </w:p>
    <w:p>
      <w:pPr>
        <w:spacing w:after="0" w:line="179" w:lineRule="exact"/>
        <w:rPr>
          <w:rFonts w:ascii="Times New Roman" w:cs="Times New Roman" w:eastAsia="Times New Roman" w:hAnsi="Times New Roman"/>
          <w:sz w:val="17"/>
          <w:szCs w:val="17"/>
          <w:b w:val="1"/>
          <w:bCs w:val="1"/>
          <w:color w:val="auto"/>
        </w:rPr>
      </w:pP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used in this Policy, the following definitions shall apply:</w:t>
      </w:r>
    </w:p>
    <w:p>
      <w:pPr>
        <w:spacing w:after="0" w:line="171" w:lineRule="exact"/>
        <w:rPr>
          <w:rFonts w:ascii="Times New Roman" w:cs="Times New Roman" w:eastAsia="Times New Roman" w:hAnsi="Times New Roman"/>
          <w:sz w:val="17"/>
          <w:szCs w:val="17"/>
          <w:b w:val="1"/>
          <w:bCs w:val="1"/>
          <w:color w:val="auto"/>
        </w:rPr>
      </w:pPr>
    </w:p>
    <w:p>
      <w:pPr>
        <w:jc w:val="both"/>
        <w:ind w:left="760" w:hanging="246"/>
        <w:spacing w:after="0" w:line="263" w:lineRule="auto"/>
        <w:tabs>
          <w:tab w:leader="none" w:pos="756"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Accounting Restatement</w:t>
      </w:r>
      <w:r>
        <w:rPr>
          <w:rFonts w:ascii="Times New Roman" w:cs="Times New Roman" w:eastAsia="Times New Roman" w:hAnsi="Times New Roman"/>
          <w:sz w:val="17"/>
          <w:szCs w:val="17"/>
          <w:color w:val="auto"/>
        </w:rPr>
        <w:t>” 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29"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has the meaning set forth in Section 1 hereof.</w:t>
      </w:r>
    </w:p>
    <w:p>
      <w:pPr>
        <w:spacing w:after="0" w:line="175" w:lineRule="exact"/>
        <w:rPr>
          <w:rFonts w:ascii="Times New Roman" w:cs="Times New Roman" w:eastAsia="Times New Roman" w:hAnsi="Times New Roman"/>
          <w:sz w:val="17"/>
          <w:szCs w:val="17"/>
          <w:color w:val="auto"/>
        </w:rPr>
      </w:pPr>
    </w:p>
    <w:p>
      <w:pPr>
        <w:ind w:left="760" w:hanging="246"/>
        <w:spacing w:after="0" w:line="294" w:lineRule="auto"/>
        <w:tabs>
          <w:tab w:leader="none" w:pos="756"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Period</w:t>
      </w:r>
      <w:r>
        <w:rPr>
          <w:rFonts w:ascii="Times New Roman" w:cs="Times New Roman" w:eastAsia="Times New Roman" w:hAnsi="Times New Roman"/>
          <w:sz w:val="17"/>
          <w:szCs w:val="17"/>
          <w:color w:val="auto"/>
        </w:rPr>
        <w:t>” means the three completed fiscal years immediately preceding the date on which the Company is required to prepare an Accounting Restatement, as well as any transition period (that results from a change in the Company’s fiscal year)</w:t>
      </w:r>
    </w:p>
    <w:p>
      <w:pPr>
        <w:sectPr>
          <w:pgSz w:w="11900" w:h="16838" w:orient="portrait"/>
          <w:cols w:equalWidth="0" w:num="1">
            <w:col w:w="11280"/>
          </w:cols>
          <w:pgMar w:left="300" w:top="1313" w:right="319" w:bottom="1440" w:gutter="0" w:footer="0" w:header="0"/>
        </w:sectPr>
      </w:pPr>
    </w:p>
    <w:bookmarkStart w:id="407" w:name="page408"/>
    <w:bookmarkEnd w:id="407"/>
    <w:p>
      <w:pPr>
        <w:jc w:val="both"/>
        <w:ind w:left="246"/>
        <w:spacing w:after="0" w:line="258" w:lineRule="auto"/>
        <w:rPr>
          <w:sz w:val="20"/>
          <w:szCs w:val="20"/>
          <w:color w:val="auto"/>
        </w:rPr>
      </w:pPr>
      <w:r>
        <w:rPr>
          <w:rFonts w:ascii="Times New Roman" w:cs="Times New Roman" w:eastAsia="Times New Roman" w:hAnsi="Times New Roman"/>
          <w:sz w:val="17"/>
          <w:szCs w:val="17"/>
          <w:color w:val="auto"/>
        </w:rPr>
        <w:t>within or immediately following those three completed fiscal years (except that a transition period that comprises a period of at least nine months shall count as a completed fiscal year). The “</w:t>
      </w:r>
      <w:r>
        <w:rPr>
          <w:rFonts w:ascii="Times New Roman" w:cs="Times New Roman" w:eastAsia="Times New Roman" w:hAnsi="Times New Roman"/>
          <w:sz w:val="17"/>
          <w:szCs w:val="17"/>
          <w:b w:val="1"/>
          <w:bCs w:val="1"/>
          <w:color w:val="auto"/>
        </w:rPr>
        <w:t>date on which the Company is required to prepare an Accounting Restatement</w:t>
      </w:r>
      <w:r>
        <w:rPr>
          <w:rFonts w:ascii="Times New Roman" w:cs="Times New Roman" w:eastAsia="Times New Roman" w:hAnsi="Times New Roman"/>
          <w:sz w:val="17"/>
          <w:szCs w:val="17"/>
          <w:color w:val="auto"/>
        </w:rPr>
        <w:t>” is the earlier to occur of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the date the Board concludes, or reasonably should have concluded, that the Company is required to prepare an Accounting Restatement,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the date a court, regulator, or other legally authorized body directs the Company to prepare an Accounting Restatement, in each case regardless of if or when the restated financial statements are filed.</w:t>
      </w:r>
    </w:p>
    <w:p>
      <w:pPr>
        <w:spacing w:after="0" w:line="134" w:lineRule="exact"/>
        <w:rPr>
          <w:sz w:val="20"/>
          <w:szCs w:val="20"/>
          <w:color w:val="auto"/>
        </w:rPr>
      </w:pPr>
    </w:p>
    <w:p>
      <w:pPr>
        <w:ind w:left="246" w:hanging="246"/>
        <w:spacing w:after="0" w:line="281" w:lineRule="auto"/>
        <w:tabs>
          <w:tab w:leader="none" w:pos="241"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Covered Executives</w:t>
      </w:r>
      <w:r>
        <w:rPr>
          <w:rFonts w:ascii="Times New Roman" w:cs="Times New Roman" w:eastAsia="Times New Roman" w:hAnsi="Times New Roman"/>
          <w:sz w:val="17"/>
          <w:szCs w:val="17"/>
          <w:color w:val="auto"/>
        </w:rPr>
        <w:t>” means the Company’s current and former executive officers, as determined by the Administrator in accordance with the definition of executive officer set forth in Rule 10D-1 and the Listing Standards.</w:t>
      </w:r>
    </w:p>
    <w:p>
      <w:pPr>
        <w:spacing w:after="0" w:line="115" w:lineRule="exact"/>
        <w:rPr>
          <w:rFonts w:ascii="Times New Roman" w:cs="Times New Roman" w:eastAsia="Times New Roman" w:hAnsi="Times New Roman"/>
          <w:sz w:val="17"/>
          <w:szCs w:val="17"/>
          <w:color w:val="auto"/>
        </w:rPr>
      </w:pPr>
    </w:p>
    <w:p>
      <w:pPr>
        <w:ind w:left="246" w:hanging="246"/>
        <w:spacing w:after="0"/>
        <w:tabs>
          <w:tab w:leader="none" w:pos="246"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Erroneously Awarded Compensation</w:t>
      </w:r>
      <w:r>
        <w:rPr>
          <w:rFonts w:ascii="Times New Roman" w:cs="Times New Roman" w:eastAsia="Times New Roman" w:hAnsi="Times New Roman"/>
          <w:sz w:val="17"/>
          <w:szCs w:val="17"/>
          <w:color w:val="auto"/>
        </w:rPr>
        <w:t>” has the meaning set forth in Section 5 of this Policy.</w:t>
      </w:r>
    </w:p>
    <w:p>
      <w:pPr>
        <w:spacing w:after="0" w:line="186" w:lineRule="exact"/>
        <w:rPr>
          <w:rFonts w:ascii="Times New Roman" w:cs="Times New Roman" w:eastAsia="Times New Roman" w:hAnsi="Times New Roman"/>
          <w:sz w:val="17"/>
          <w:szCs w:val="17"/>
          <w:color w:val="auto"/>
        </w:rPr>
      </w:pPr>
    </w:p>
    <w:p>
      <w:pPr>
        <w:jc w:val="both"/>
        <w:ind w:left="246" w:hanging="246"/>
        <w:spacing w:after="0" w:line="252" w:lineRule="auto"/>
        <w:tabs>
          <w:tab w:leader="none" w:pos="241"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Financial Reporting Measure</w:t>
      </w:r>
      <w:r>
        <w:rPr>
          <w:rFonts w:ascii="Times New Roman" w:cs="Times New Roman" w:eastAsia="Times New Roman" w:hAnsi="Times New Roman"/>
          <w:sz w:val="17"/>
          <w:szCs w:val="17"/>
          <w:color w:val="auto"/>
        </w:rPr>
        <w:t>” is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Company stock price; total shareholder return (“</w:t>
      </w:r>
      <w:r>
        <w:rPr>
          <w:rFonts w:ascii="Times New Roman" w:cs="Times New Roman" w:eastAsia="Times New Roman" w:hAnsi="Times New Roman"/>
          <w:sz w:val="17"/>
          <w:szCs w:val="17"/>
          <w:b w:val="1"/>
          <w:bCs w:val="1"/>
          <w:color w:val="auto"/>
        </w:rPr>
        <w:t>TSR</w:t>
      </w:r>
      <w:r>
        <w:rPr>
          <w:rFonts w:ascii="Times New Roman" w:cs="Times New Roman" w:eastAsia="Times New Roman" w:hAnsi="Times New Roman"/>
          <w:sz w:val="17"/>
          <w:szCs w:val="17"/>
          <w:color w:val="auto"/>
        </w:rPr>
        <w:t>”); revenues; net income; operating income; profitability of one or more reportable segments; financial ratios (e.g., accounts receivable turnover and inventory turnover rates); earnings before interest, taxes, depreciation and amortization (“</w:t>
      </w:r>
      <w:r>
        <w:rPr>
          <w:rFonts w:ascii="Times New Roman" w:cs="Times New Roman" w:eastAsia="Times New Roman" w:hAnsi="Times New Roman"/>
          <w:sz w:val="17"/>
          <w:szCs w:val="17"/>
          <w:b w:val="1"/>
          <w:bCs w:val="1"/>
          <w:color w:val="auto"/>
        </w:rPr>
        <w:t>EBITDA</w:t>
      </w:r>
      <w:r>
        <w:rPr>
          <w:rFonts w:ascii="Times New Roman" w:cs="Times New Roman" w:eastAsia="Times New Roman" w:hAnsi="Times New Roman"/>
          <w:sz w:val="17"/>
          <w:szCs w:val="17"/>
          <w:color w:val="auto"/>
        </w:rPr>
        <w:t>”); funds from 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filing with the Securities Exchange Commission.</w:t>
      </w:r>
    </w:p>
    <w:p>
      <w:pPr>
        <w:spacing w:after="0" w:line="150" w:lineRule="exact"/>
        <w:rPr>
          <w:rFonts w:ascii="Times New Roman" w:cs="Times New Roman" w:eastAsia="Times New Roman" w:hAnsi="Times New Roman"/>
          <w:sz w:val="17"/>
          <w:szCs w:val="17"/>
          <w:color w:val="auto"/>
        </w:rPr>
      </w:pPr>
    </w:p>
    <w:p>
      <w:pPr>
        <w:jc w:val="both"/>
        <w:ind w:left="246" w:hanging="246"/>
        <w:spacing w:after="0" w:line="258" w:lineRule="auto"/>
        <w:tabs>
          <w:tab w:leader="none" w:pos="241"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Incentive-Based Compensation</w:t>
      </w:r>
      <w:r>
        <w:rPr>
          <w:rFonts w:ascii="Times New Roman" w:cs="Times New Roman" w:eastAsia="Times New Roman" w:hAnsi="Times New Roman"/>
          <w:sz w:val="17"/>
          <w:szCs w:val="17"/>
          <w:color w:val="auto"/>
        </w:rPr>
        <w:t>” means any compensation that is granted, earned, or vested based wholly or in part upon the attainment of a Financial Reporting Measure. Incentive-Based Compensation is “</w:t>
      </w:r>
      <w:r>
        <w:rPr>
          <w:rFonts w:ascii="Times New Roman" w:cs="Times New Roman" w:eastAsia="Times New Roman" w:hAnsi="Times New Roman"/>
          <w:sz w:val="17"/>
          <w:szCs w:val="17"/>
          <w:b w:val="1"/>
          <w:bCs w:val="1"/>
          <w:color w:val="auto"/>
        </w:rPr>
        <w:t>received</w:t>
      </w:r>
      <w:r>
        <w:rPr>
          <w:rFonts w:ascii="Times New Roman" w:cs="Times New Roman" w:eastAsia="Times New Roman" w:hAnsi="Times New Roman"/>
          <w:sz w:val="17"/>
          <w:szCs w:val="17"/>
          <w:color w:val="auto"/>
        </w:rPr>
        <w:t>” for purposes of this Policy in the Company’s fiscal period during which the Financial Reporting Measure specified in the Incentive-Based Compensation award is attained, even if the payment or grant of such Incentive-Based Compensation occurs after the end of that period.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766"/>
          </w:cols>
          <w:pgMar w:left="814" w:top="1317" w:right="319" w:bottom="1440" w:gutter="0" w:footer="0" w:header="0"/>
        </w:sectPr>
      </w:pPr>
    </w:p>
    <w:bookmarkStart w:id="408" w:name="page409"/>
    <w:bookmarkEnd w:id="408"/>
    <w:p>
      <w:pPr>
        <w:ind w:left="520" w:hanging="515"/>
        <w:spacing w:after="0"/>
        <w:tabs>
          <w:tab w:leader="none" w:pos="520" w:val="left"/>
        </w:tabs>
        <w:numPr>
          <w:ilvl w:val="0"/>
          <w:numId w:val="2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Covered Executives; Incentive-Based Compensation</w:t>
      </w:r>
    </w:p>
    <w:p>
      <w:pPr>
        <w:spacing w:after="0" w:line="180" w:lineRule="exact"/>
        <w:rPr>
          <w:sz w:val="20"/>
          <w:szCs w:val="20"/>
          <w:color w:val="auto"/>
        </w:rPr>
      </w:pPr>
    </w:p>
    <w:p>
      <w:pPr>
        <w:jc w:val="both"/>
        <w:ind w:firstLine="229"/>
        <w:spacing w:after="0" w:line="268" w:lineRule="auto"/>
        <w:rPr>
          <w:sz w:val="20"/>
          <w:szCs w:val="20"/>
          <w:color w:val="auto"/>
        </w:rPr>
      </w:pPr>
      <w:r>
        <w:rPr>
          <w:rFonts w:ascii="Times New Roman" w:cs="Times New Roman" w:eastAsia="Times New Roman" w:hAnsi="Times New Roman"/>
          <w:sz w:val="17"/>
          <w:szCs w:val="17"/>
          <w:color w:val="auto"/>
        </w:rPr>
        <w:t>This Policy applies to Incentive-Based Compensation received by a Covered Executive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after beginning services as a Covered Executive;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if that person served as a Covered Executive at any time during the performance period for such Incentive-Based Compensation;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while the Company had a listed class of securities on a national securities exchange.</w:t>
      </w:r>
    </w:p>
    <w:p>
      <w:pPr>
        <w:spacing w:after="0" w:line="126" w:lineRule="exact"/>
        <w:rPr>
          <w:sz w:val="20"/>
          <w:szCs w:val="20"/>
          <w:color w:val="auto"/>
        </w:rPr>
      </w:pPr>
    </w:p>
    <w:p>
      <w:pPr>
        <w:ind w:left="520" w:hanging="515"/>
        <w:spacing w:after="0"/>
        <w:tabs>
          <w:tab w:leader="none" w:pos="520" w:val="left"/>
        </w:tabs>
        <w:numPr>
          <w:ilvl w:val="0"/>
          <w:numId w:val="2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Required Recoupment of Erroneously Awarded Compensation in the Event of an Accounting Restatement</w:t>
      </w:r>
    </w:p>
    <w:p>
      <w:pPr>
        <w:spacing w:after="0" w:line="180" w:lineRule="exact"/>
        <w:rPr>
          <w:sz w:val="20"/>
          <w:szCs w:val="20"/>
          <w:color w:val="auto"/>
        </w:rPr>
      </w:pPr>
    </w:p>
    <w:p>
      <w:pPr>
        <w:ind w:firstLine="265"/>
        <w:spacing w:after="0" w:line="276" w:lineRule="auto"/>
        <w:rPr>
          <w:sz w:val="20"/>
          <w:szCs w:val="20"/>
          <w:color w:val="auto"/>
        </w:rPr>
      </w:pPr>
      <w:r>
        <w:rPr>
          <w:rFonts w:ascii="Times New Roman" w:cs="Times New Roman" w:eastAsia="Times New Roman" w:hAnsi="Times New Roman"/>
          <w:sz w:val="17"/>
          <w:szCs w:val="17"/>
          <w:color w:val="auto"/>
        </w:rPr>
        <w:t>In the event the Company is required to prepare an Accounting Restatement, the Company shall promptly recoup the amount of any Erroneously Awarded Compensation received by any Covered Executive, as calculated pursuant to Section 5 hereof, during the Applicable Period.</w:t>
      </w:r>
    </w:p>
    <w:p>
      <w:pPr>
        <w:spacing w:after="0" w:line="119" w:lineRule="exact"/>
        <w:rPr>
          <w:sz w:val="20"/>
          <w:szCs w:val="20"/>
          <w:color w:val="auto"/>
        </w:rPr>
      </w:pPr>
    </w:p>
    <w:p>
      <w:pPr>
        <w:ind w:left="520" w:hanging="515"/>
        <w:spacing w:after="0"/>
        <w:tabs>
          <w:tab w:leader="none" w:pos="520" w:val="left"/>
        </w:tabs>
        <w:numPr>
          <w:ilvl w:val="0"/>
          <w:numId w:val="2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Erroneously Awarded Compensation: Amount Subject to Recovery</w:t>
      </w:r>
    </w:p>
    <w:p>
      <w:pPr>
        <w:spacing w:after="0" w:line="186" w:lineRule="exact"/>
        <w:rPr>
          <w:sz w:val="20"/>
          <w:szCs w:val="20"/>
          <w:color w:val="auto"/>
        </w:rPr>
      </w:pPr>
    </w:p>
    <w:p>
      <w:pPr>
        <w:jc w:val="both"/>
        <w:ind w:firstLine="221"/>
        <w:spacing w:after="0" w:line="264" w:lineRule="auto"/>
        <w:rPr>
          <w:sz w:val="20"/>
          <w:szCs w:val="20"/>
          <w:color w:val="auto"/>
        </w:rPr>
      </w:pPr>
      <w:r>
        <w:rPr>
          <w:rFonts w:ascii="Times New Roman" w:cs="Times New Roman" w:eastAsia="Times New Roman" w:hAnsi="Times New Roman"/>
          <w:sz w:val="17"/>
          <w:szCs w:val="17"/>
          <w:color w:val="auto"/>
        </w:rPr>
        <w:t>The amount of “</w:t>
      </w:r>
      <w:r>
        <w:rPr>
          <w:rFonts w:ascii="Times New Roman" w:cs="Times New Roman" w:eastAsia="Times New Roman" w:hAnsi="Times New Roman"/>
          <w:sz w:val="17"/>
          <w:szCs w:val="17"/>
          <w:b w:val="1"/>
          <w:bCs w:val="1"/>
          <w:color w:val="auto"/>
        </w:rPr>
        <w:t>Erroneously Awarded Compensation</w:t>
      </w:r>
      <w:r>
        <w:rPr>
          <w:rFonts w:ascii="Times New Roman" w:cs="Times New Roman" w:eastAsia="Times New Roman" w:hAnsi="Times New Roman"/>
          <w:sz w:val="17"/>
          <w:szCs w:val="17"/>
          <w:color w:val="auto"/>
        </w:rPr>
        <w:t>” subject to recovery under the Policy, as determined by the Administrator, is the amount of Incentive-Based Compensation received by the Covered Executive that exceeds the amount of Incentive-Based Compensation that would have been received by the Covered Executive had it been determined based on the restated amounts.</w:t>
      </w:r>
    </w:p>
    <w:p>
      <w:pPr>
        <w:spacing w:after="0" w:line="133" w:lineRule="exact"/>
        <w:rPr>
          <w:sz w:val="20"/>
          <w:szCs w:val="20"/>
          <w:color w:val="auto"/>
        </w:rPr>
      </w:pPr>
    </w:p>
    <w:p>
      <w:pPr>
        <w:jc w:val="both"/>
        <w:ind w:firstLine="279"/>
        <w:spacing w:after="0" w:line="276" w:lineRule="auto"/>
        <w:rPr>
          <w:sz w:val="20"/>
          <w:szCs w:val="20"/>
          <w:color w:val="auto"/>
        </w:rPr>
      </w:pPr>
      <w:r>
        <w:rPr>
          <w:rFonts w:ascii="Times New Roman" w:cs="Times New Roman" w:eastAsia="Times New Roman" w:hAnsi="Times New Roman"/>
          <w:sz w:val="17"/>
          <w:szCs w:val="17"/>
          <w:color w:val="auto"/>
        </w:rPr>
        <w:t>Erroneously Awarded Compensation shall be computed by the Administrator without regard to any taxes paid by the Covered Executive in respect of the Erroneously Awarded Compensation.</w:t>
      </w:r>
    </w:p>
    <w:p>
      <w:pPr>
        <w:spacing w:after="0" w:line="123" w:lineRule="exact"/>
        <w:rPr>
          <w:sz w:val="20"/>
          <w:szCs w:val="20"/>
          <w:color w:val="auto"/>
        </w:rPr>
      </w:pPr>
    </w:p>
    <w:p>
      <w:pPr>
        <w:jc w:val="both"/>
        <w:ind w:firstLine="263"/>
        <w:spacing w:after="0" w:line="268" w:lineRule="auto"/>
        <w:rPr>
          <w:sz w:val="20"/>
          <w:szCs w:val="20"/>
          <w:color w:val="auto"/>
        </w:rPr>
      </w:pPr>
      <w:r>
        <w:rPr>
          <w:rFonts w:ascii="Times New Roman" w:cs="Times New Roman" w:eastAsia="Times New Roman" w:hAnsi="Times New Roman"/>
          <w:sz w:val="17"/>
          <w:szCs w:val="17"/>
          <w:color w:val="auto"/>
        </w:rPr>
        <w:t>By way of example, 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spacing w:after="0" w:line="130" w:lineRule="exact"/>
        <w:rPr>
          <w:sz w:val="20"/>
          <w:szCs w:val="20"/>
          <w:color w:val="auto"/>
        </w:rPr>
      </w:pPr>
    </w:p>
    <w:p>
      <w:pPr>
        <w:jc w:val="both"/>
        <w:ind w:firstLine="199"/>
        <w:spacing w:after="0" w:line="262" w:lineRule="auto"/>
        <w:rPr>
          <w:sz w:val="20"/>
          <w:szCs w:val="20"/>
          <w:color w:val="auto"/>
        </w:rPr>
      </w:pPr>
      <w:r>
        <w:rPr>
          <w:rFonts w:ascii="Times New Roman" w:cs="Times New Roman" w:eastAsia="Times New Roman" w:hAnsi="Times New Roman"/>
          <w:sz w:val="17"/>
          <w:szCs w:val="17"/>
          <w:color w:val="auto"/>
        </w:rPr>
        <w:t>For Incentive-Based Compensation based on stock price or TSR: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the Administrator shall determine the amount of Erroneously Awarded Compensation based on a reasonable estimate of the effect of the Accounting Restatement on the stock price or TSR upon which the Incentive-Based Compensation was received;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the Company shall maintain documentation of the determination of that reasonable estimate and provide such documentation to the NYSE.</w:t>
      </w:r>
    </w:p>
    <w:p>
      <w:pPr>
        <w:spacing w:after="0" w:line="141" w:lineRule="exact"/>
        <w:rPr>
          <w:sz w:val="20"/>
          <w:szCs w:val="20"/>
          <w:color w:val="auto"/>
        </w:rPr>
      </w:pPr>
    </w:p>
    <w:p>
      <w:pPr>
        <w:ind w:left="520" w:hanging="515"/>
        <w:spacing w:after="0"/>
        <w:tabs>
          <w:tab w:leader="none" w:pos="520" w:val="left"/>
        </w:tabs>
        <w:numPr>
          <w:ilvl w:val="0"/>
          <w:numId w:val="2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Method of Recoupment</w:t>
      </w:r>
    </w:p>
    <w:p>
      <w:pPr>
        <w:spacing w:after="0" w:line="180" w:lineRule="exact"/>
        <w:rPr>
          <w:sz w:val="20"/>
          <w:szCs w:val="20"/>
          <w:color w:val="auto"/>
        </w:rPr>
      </w:pPr>
    </w:p>
    <w:p>
      <w:pPr>
        <w:jc w:val="both"/>
        <w:ind w:firstLine="222"/>
        <w:spacing w:after="0" w:line="262" w:lineRule="auto"/>
        <w:rPr>
          <w:sz w:val="20"/>
          <w:szCs w:val="20"/>
          <w:color w:val="auto"/>
        </w:rPr>
      </w:pPr>
      <w:r>
        <w:rPr>
          <w:rFonts w:ascii="Times New Roman" w:cs="Times New Roman" w:eastAsia="Times New Roman" w:hAnsi="Times New Roman"/>
          <w:sz w:val="17"/>
          <w:szCs w:val="17"/>
          <w:color w:val="auto"/>
        </w:rPr>
        <w:t>The Administrator shall determine, in its sole discretion, the timing and method for promptly recouping Erroneously Awarded Compensation hereunder, which may include without limitation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seeking reimbursement of all or part of any cash or equity-based award,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cancelling prior cash or equity-based awards, whether vested or unvested or paid or unpaid,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313" w:right="319" w:bottom="1440" w:gutter="0" w:footer="0" w:header="0"/>
        </w:sectPr>
      </w:pPr>
    </w:p>
    <w:bookmarkStart w:id="409" w:name="page410"/>
    <w:bookmarkEnd w:id="409"/>
    <w:p>
      <w:pPr>
        <w:jc w:val="both"/>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canceling or offsetting against any planned future cash or equity-based awards,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forfeiture of deferred compensation, subject to compliance with Section 409A of the Internal Revenue Code and the regulations promulgated thereunder, and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any other method authorized by applicable law or contract. Subject to compliance with any applicable law, the Administrator may affect recovery under this Policy from any amount otherwise payable to the Covered Executive, including amounts payable to such individual under any otherwise applicable Company plan or program, including base salary, bonuses or commissions and compensation previously deferred by the Covered Executive.</w:t>
      </w:r>
    </w:p>
    <w:p>
      <w:pPr>
        <w:spacing w:after="0" w:line="138" w:lineRule="exact"/>
        <w:rPr>
          <w:sz w:val="20"/>
          <w:szCs w:val="20"/>
          <w:color w:val="auto"/>
        </w:rPr>
      </w:pPr>
    </w:p>
    <w:p>
      <w:pPr>
        <w:jc w:val="both"/>
        <w:ind w:firstLine="284"/>
        <w:spacing w:after="0" w:line="262" w:lineRule="auto"/>
        <w:rPr>
          <w:sz w:val="20"/>
          <w:szCs w:val="20"/>
          <w:color w:val="auto"/>
        </w:rPr>
      </w:pPr>
      <w:r>
        <w:rPr>
          <w:rFonts w:ascii="Times New Roman" w:cs="Times New Roman" w:eastAsia="Times New Roman" w:hAnsi="Times New Roman"/>
          <w:sz w:val="17"/>
          <w:szCs w:val="17"/>
          <w:color w:val="auto"/>
        </w:rPr>
        <w:t>The Company is authorized and directed pursuant to this Policy to recoup Erroneously Awarded Compensation in compliance with this Policy unless the Compensation, Culture and People Committee of the Board has determined that recovery would be impracticable solely for the following limited reasons, and subject to the following procedural and disclosure requirements:</w:t>
      </w:r>
    </w:p>
    <w:p>
      <w:pPr>
        <w:spacing w:after="0" w:line="145" w:lineRule="exact"/>
        <w:rPr>
          <w:sz w:val="20"/>
          <w:szCs w:val="20"/>
          <w:color w:val="auto"/>
        </w:rPr>
      </w:pPr>
    </w:p>
    <w:p>
      <w:pPr>
        <w:jc w:val="both"/>
        <w:ind w:left="520" w:hanging="260"/>
        <w:spacing w:after="0" w:line="262" w:lineRule="auto"/>
        <w:tabs>
          <w:tab w:leader="none" w:pos="516" w:val="left"/>
        </w:tabs>
        <w:numPr>
          <w:ilvl w:val="1"/>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expense paid to a third party to assist in enforcing the Policy would exceed the amount to be recovered. Before concluding that it would be impracticable to recover any amount of Erroneously Awarded Compensation based on expense of enforcement, the Administrator must make a reasonable attempt to recover such erroneously awarded compensation, document such reasonable attempt(s) to recover, and provide that documentation to the NYSE;</w:t>
      </w:r>
    </w:p>
    <w:p>
      <w:pPr>
        <w:spacing w:after="0" w:line="134" w:lineRule="exact"/>
        <w:rPr>
          <w:rFonts w:ascii="Times New Roman" w:cs="Times New Roman" w:eastAsia="Times New Roman" w:hAnsi="Times New Roman"/>
          <w:sz w:val="17"/>
          <w:szCs w:val="17"/>
          <w:color w:val="auto"/>
        </w:rPr>
      </w:pPr>
    </w:p>
    <w:p>
      <w:pPr>
        <w:jc w:val="both"/>
        <w:ind w:left="520" w:hanging="260"/>
        <w:spacing w:after="0" w:line="262" w:lineRule="auto"/>
        <w:tabs>
          <w:tab w:leader="none" w:pos="516" w:val="left"/>
        </w:tabs>
        <w:numPr>
          <w:ilvl w:val="1"/>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violate home country law of the issuer where that law was adopted prior to November 28, 2022. Before concluding that it would be impracticable to recover any amount of Erroneously Awarded Compensation based on violation of home country law of the issuer, the Administrator must satisfy the applicable opinion and disclosure requirements of Rule 10D-1 and the Listing Standards; or</w:t>
      </w:r>
    </w:p>
    <w:p>
      <w:pPr>
        <w:spacing w:after="0" w:line="144" w:lineRule="exact"/>
        <w:rPr>
          <w:rFonts w:ascii="Times New Roman" w:cs="Times New Roman" w:eastAsia="Times New Roman" w:hAnsi="Times New Roman"/>
          <w:sz w:val="17"/>
          <w:szCs w:val="17"/>
          <w:color w:val="auto"/>
        </w:rPr>
      </w:pPr>
    </w:p>
    <w:p>
      <w:pPr>
        <w:ind w:left="520" w:hanging="260"/>
        <w:spacing w:after="0" w:line="276" w:lineRule="auto"/>
        <w:tabs>
          <w:tab w:leader="none" w:pos="516" w:val="left"/>
        </w:tabs>
        <w:numPr>
          <w:ilvl w:val="1"/>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19" w:lineRule="exact"/>
        <w:rPr>
          <w:rFonts w:ascii="Times New Roman" w:cs="Times New Roman" w:eastAsia="Times New Roman" w:hAnsi="Times New Roman"/>
          <w:sz w:val="17"/>
          <w:szCs w:val="17"/>
          <w:color w:val="auto"/>
        </w:rPr>
      </w:pPr>
    </w:p>
    <w:p>
      <w:pPr>
        <w:ind w:left="520" w:hanging="515"/>
        <w:spacing w:after="0"/>
        <w:tabs>
          <w:tab w:leader="none" w:pos="520" w:val="left"/>
        </w:tabs>
        <w:numPr>
          <w:ilvl w:val="0"/>
          <w:numId w:val="2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Indemnification of Covered Executives</w:t>
      </w:r>
    </w:p>
    <w:p>
      <w:pPr>
        <w:spacing w:after="0" w:line="180" w:lineRule="exact"/>
        <w:rPr>
          <w:sz w:val="20"/>
          <w:szCs w:val="20"/>
          <w:color w:val="auto"/>
        </w:rPr>
      </w:pPr>
    </w:p>
    <w:p>
      <w:pPr>
        <w:jc w:val="both"/>
        <w:ind w:firstLine="201"/>
        <w:spacing w:after="0" w:line="268" w:lineRule="auto"/>
        <w:rPr>
          <w:sz w:val="20"/>
          <w:szCs w:val="20"/>
          <w:color w:val="auto"/>
        </w:rPr>
      </w:pPr>
      <w:r>
        <w:rPr>
          <w:rFonts w:ascii="Times New Roman" w:cs="Times New Roman" w:eastAsia="Times New Roman" w:hAnsi="Times New Roman"/>
          <w:sz w:val="17"/>
          <w:szCs w:val="17"/>
          <w:color w:val="auto"/>
        </w:rPr>
        <w:t>Notwithstanding the terms of any indemnification or insurance policy or any contractual arrangement with any Covered Executive that may be interpreted to the contrary, the Company shall not indemnify any Covered Executives against the loss of any Erroneously Awarded Compensation, including any payment or reimbursement for the cost of third-party insurance purchased by any Covered Executives to fund potential clawback obligations under this Policy.</w:t>
      </w:r>
    </w:p>
    <w:p>
      <w:pPr>
        <w:spacing w:after="0" w:line="126" w:lineRule="exact"/>
        <w:rPr>
          <w:sz w:val="20"/>
          <w:szCs w:val="20"/>
          <w:color w:val="auto"/>
        </w:rPr>
      </w:pPr>
    </w:p>
    <w:p>
      <w:pPr>
        <w:ind w:left="520" w:hanging="515"/>
        <w:spacing w:after="0"/>
        <w:tabs>
          <w:tab w:leader="none" w:pos="520" w:val="left"/>
        </w:tabs>
        <w:numPr>
          <w:ilvl w:val="0"/>
          <w:numId w:val="2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Administrator Indemnification</w:t>
      </w:r>
    </w:p>
    <w:p>
      <w:pPr>
        <w:spacing w:after="0" w:line="180" w:lineRule="exact"/>
        <w:rPr>
          <w:sz w:val="20"/>
          <w:szCs w:val="20"/>
          <w:color w:val="auto"/>
        </w:rPr>
      </w:pPr>
    </w:p>
    <w:p>
      <w:pPr>
        <w:jc w:val="both"/>
        <w:ind w:firstLine="224"/>
        <w:spacing w:after="0" w:line="262" w:lineRule="auto"/>
        <w:rPr>
          <w:sz w:val="20"/>
          <w:szCs w:val="20"/>
          <w:color w:val="auto"/>
        </w:rPr>
      </w:pPr>
      <w:r>
        <w:rPr>
          <w:rFonts w:ascii="Times New Roman" w:cs="Times New Roman" w:eastAsia="Times New Roman" w:hAnsi="Times New Roman"/>
          <w:sz w:val="17"/>
          <w:szCs w:val="17"/>
          <w:color w:val="auto"/>
        </w:rPr>
        <w:t>Any members of the Administrator,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317" w:right="319" w:bottom="1440" w:gutter="0" w:footer="0" w:header="0"/>
        </w:sectPr>
      </w:pPr>
    </w:p>
    <w:bookmarkStart w:id="410" w:name="page411"/>
    <w:bookmarkEnd w:id="410"/>
    <w:p>
      <w:pPr>
        <w:spacing w:after="0" w:line="276" w:lineRule="auto"/>
        <w:rPr>
          <w:sz w:val="20"/>
          <w:szCs w:val="20"/>
          <w:color w:val="auto"/>
        </w:rPr>
      </w:pPr>
      <w:r>
        <w:rPr>
          <w:rFonts w:ascii="Times New Roman" w:cs="Times New Roman" w:eastAsia="Times New Roman" w:hAnsi="Times New Roman"/>
          <w:sz w:val="17"/>
          <w:szCs w:val="17"/>
          <w:color w:val="auto"/>
        </w:rPr>
        <w:t>determination or interpretation. The foregoing sentence shall not limit any other rights to indemnification of the members of the Board under applicable law or Company policy.</w:t>
      </w:r>
    </w:p>
    <w:p>
      <w:pPr>
        <w:spacing w:after="0" w:line="119" w:lineRule="exact"/>
        <w:rPr>
          <w:sz w:val="20"/>
          <w:szCs w:val="20"/>
          <w:color w:val="auto"/>
        </w:rPr>
      </w:pPr>
    </w:p>
    <w:p>
      <w:pPr>
        <w:ind w:left="520" w:hanging="515"/>
        <w:spacing w:after="0"/>
        <w:tabs>
          <w:tab w:leader="none" w:pos="520" w:val="left"/>
        </w:tabs>
        <w:numPr>
          <w:ilvl w:val="0"/>
          <w:numId w:val="2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Effective Date; Retroactive Application</w:t>
      </w:r>
    </w:p>
    <w:p>
      <w:pPr>
        <w:spacing w:after="0" w:line="186" w:lineRule="exact"/>
        <w:rPr>
          <w:sz w:val="20"/>
          <w:szCs w:val="20"/>
          <w:color w:val="auto"/>
        </w:rPr>
      </w:pPr>
    </w:p>
    <w:p>
      <w:pPr>
        <w:jc w:val="both"/>
        <w:ind w:firstLine="229"/>
        <w:spacing w:after="0" w:line="258" w:lineRule="auto"/>
        <w:rPr>
          <w:sz w:val="20"/>
          <w:szCs w:val="20"/>
          <w:color w:val="auto"/>
        </w:rPr>
      </w:pPr>
      <w:r>
        <w:rPr>
          <w:rFonts w:ascii="Times New Roman" w:cs="Times New Roman" w:eastAsia="Times New Roman" w:hAnsi="Times New Roman"/>
          <w:sz w:val="17"/>
          <w:szCs w:val="17"/>
          <w:color w:val="auto"/>
        </w:rPr>
        <w:t>This Policy shall be effective as of October 2, 2023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The terms of this Policy shall apply to any Incentive-Based Compensation that is received by Covered Executives on or after the Effective Date, even if such Incentive-Based Compensation was approved, awarded, granted or paid to Covered Executives prior to the Effective Date. Without limiting the generality of Section 6 hereof, and subject to applicable law, the Administrator may affect recovery under this Policy from any amount of compensation approved, awarded, granted, payable or paid to the Covered Executive prior to, on or after the Effective Date.</w:t>
      </w:r>
    </w:p>
    <w:p>
      <w:pPr>
        <w:spacing w:after="0" w:line="136" w:lineRule="exact"/>
        <w:rPr>
          <w:sz w:val="20"/>
          <w:szCs w:val="20"/>
          <w:color w:val="auto"/>
        </w:rPr>
      </w:pPr>
    </w:p>
    <w:p>
      <w:pPr>
        <w:ind w:left="520" w:hanging="515"/>
        <w:spacing w:after="0"/>
        <w:tabs>
          <w:tab w:leader="none" w:pos="520" w:val="left"/>
        </w:tabs>
        <w:numPr>
          <w:ilvl w:val="0"/>
          <w:numId w:val="2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Amendment; Termination</w:t>
      </w:r>
    </w:p>
    <w:p>
      <w:pPr>
        <w:spacing w:after="0" w:line="190" w:lineRule="exact"/>
        <w:rPr>
          <w:sz w:val="20"/>
          <w:szCs w:val="20"/>
          <w:color w:val="auto"/>
        </w:rPr>
      </w:pPr>
    </w:p>
    <w:p>
      <w:pPr>
        <w:jc w:val="both"/>
        <w:ind w:firstLine="176"/>
        <w:spacing w:after="0" w:line="262" w:lineRule="auto"/>
        <w:rPr>
          <w:sz w:val="20"/>
          <w:szCs w:val="20"/>
          <w:color w:val="auto"/>
        </w:rPr>
      </w:pPr>
      <w:r>
        <w:rPr>
          <w:rFonts w:ascii="Times New Roman" w:cs="Times New Roman" w:eastAsia="Times New Roman" w:hAnsi="Times New Roman"/>
          <w:sz w:val="17"/>
          <w:szCs w:val="17"/>
          <w:color w:val="auto"/>
        </w:rPr>
        <w:t>The Board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w:t>
      </w:r>
    </w:p>
    <w:p>
      <w:pPr>
        <w:spacing w:after="0" w:line="130" w:lineRule="exact"/>
        <w:rPr>
          <w:sz w:val="20"/>
          <w:szCs w:val="20"/>
          <w:color w:val="auto"/>
        </w:rPr>
      </w:pPr>
    </w:p>
    <w:p>
      <w:pPr>
        <w:ind w:left="500" w:hanging="495"/>
        <w:spacing w:after="0"/>
        <w:tabs>
          <w:tab w:leader="none" w:pos="500" w:val="left"/>
        </w:tabs>
        <w:numPr>
          <w:ilvl w:val="0"/>
          <w:numId w:val="2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Other Recoupment Rights; Company Claims</w:t>
      </w:r>
    </w:p>
    <w:p>
      <w:pPr>
        <w:spacing w:after="0" w:line="180" w:lineRule="exact"/>
        <w:rPr>
          <w:sz w:val="20"/>
          <w:szCs w:val="20"/>
          <w:color w:val="auto"/>
        </w:rPr>
      </w:pPr>
    </w:p>
    <w:p>
      <w:pPr>
        <w:jc w:val="both"/>
        <w:ind w:firstLine="198"/>
        <w:spacing w:after="0" w:line="268" w:lineRule="auto"/>
        <w:rPr>
          <w:sz w:val="20"/>
          <w:szCs w:val="20"/>
          <w:color w:val="auto"/>
        </w:rPr>
      </w:pPr>
      <w:r>
        <w:rPr>
          <w:rFonts w:ascii="Times New Roman" w:cs="Times New Roman" w:eastAsia="Times New Roman" w:hAnsi="Times New Roman"/>
          <w:sz w:val="17"/>
          <w:szCs w:val="17"/>
          <w:color w:val="auto"/>
        </w:rPr>
        <w:t>The Board intends that this Policy shall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w:t>
      </w:r>
    </w:p>
    <w:p>
      <w:pPr>
        <w:spacing w:after="0" w:line="130" w:lineRule="exact"/>
        <w:rPr>
          <w:sz w:val="20"/>
          <w:szCs w:val="20"/>
          <w:color w:val="auto"/>
        </w:rPr>
      </w:pPr>
    </w:p>
    <w:p>
      <w:pPr>
        <w:jc w:val="both"/>
        <w:ind w:firstLine="246"/>
        <w:spacing w:after="0" w:line="276" w:lineRule="auto"/>
        <w:rPr>
          <w:sz w:val="20"/>
          <w:szCs w:val="20"/>
          <w:color w:val="auto"/>
        </w:rPr>
      </w:pPr>
      <w:r>
        <w:rPr>
          <w:rFonts w:ascii="Times New Roman" w:cs="Times New Roman" w:eastAsia="Times New Roman" w:hAnsi="Times New Roman"/>
          <w:sz w:val="17"/>
          <w:szCs w:val="17"/>
          <w:color w:val="auto"/>
        </w:rPr>
        <w:t>Nothing contained in this Policy, and no recoupment or recovery as contemplated by this Policy, shall limit any claims, damages or other legal remedies the Company or any of its affiliates may have against a Covered Executive arising out of or resulting from any actions or omissions by the Covered Executive.</w:t>
      </w:r>
    </w:p>
    <w:p>
      <w:pPr>
        <w:spacing w:after="0" w:line="119" w:lineRule="exact"/>
        <w:rPr>
          <w:sz w:val="20"/>
          <w:szCs w:val="20"/>
          <w:color w:val="auto"/>
        </w:rPr>
      </w:pPr>
    </w:p>
    <w:p>
      <w:pPr>
        <w:ind w:left="520" w:hanging="515"/>
        <w:spacing w:after="0"/>
        <w:tabs>
          <w:tab w:leader="none" w:pos="520" w:val="left"/>
        </w:tabs>
        <w:numPr>
          <w:ilvl w:val="0"/>
          <w:numId w:val="2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Successors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This Policy shall be binding and enforceable against all Covered Executives and their beneficiaries, heirs, executors, administrators or other legal representatives.</w:t>
      </w:r>
    </w:p>
    <w:p>
      <w:pPr>
        <w:spacing w:after="0" w:line="182" w:lineRule="exact"/>
        <w:rPr>
          <w:sz w:val="20"/>
          <w:szCs w:val="20"/>
          <w:color w:val="auto"/>
        </w:rPr>
      </w:pPr>
    </w:p>
    <w:p>
      <w:pPr>
        <w:ind w:left="520" w:hanging="515"/>
        <w:spacing w:after="0"/>
        <w:tabs>
          <w:tab w:leader="none" w:pos="520" w:val="left"/>
        </w:tabs>
        <w:numPr>
          <w:ilvl w:val="0"/>
          <w:numId w:val="2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Exhibit Filing Requirement</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 copy of this Policy and any amendments thereto shall be posted on the Company’s website and filed as an exhibit to the Company’s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sectPr>
      <w:pgSz w:w="11900" w:h="16838" w:orient="portrait"/>
      <w:cols w:equalWidth="0" w:num="1">
        <w:col w:w="11280"/>
      </w:cols>
      <w:pgMar w:left="300" w:top="131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E74EA3"/>
    <w:multiLevelType w:val="hybridMultilevel"/>
    <w:lvl w:ilvl="0">
      <w:lvlJc w:val="left"/>
      <w:lvlText w:val="☒"/>
      <w:numFmt w:val="bullet"/>
      <w:start w:val="1"/>
    </w:lvl>
  </w:abstractNum>
  <w:abstractNum w:abstractNumId="1">
    <w:nsid w:val="597B4D84"/>
    <w:multiLevelType w:val="hybridMultilevel"/>
    <w:lvl w:ilvl="0">
      <w:lvlJc w:val="left"/>
      <w:lvlText w:val="☐"/>
      <w:numFmt w:val="bullet"/>
      <w:start w:val="1"/>
    </w:lvl>
  </w:abstractNum>
  <w:abstractNum w:abstractNumId="2">
    <w:nsid w:val="F819E7F"/>
    <w:multiLevelType w:val="hybridMultilevel"/>
    <w:lvl w:ilvl="0">
      <w:lvlJc w:val="left"/>
      <w:lvlText w:val="•"/>
      <w:numFmt w:val="bullet"/>
      <w:start w:val="1"/>
    </w:lvl>
  </w:abstractNum>
  <w:abstractNum w:abstractNumId="3">
    <w:nsid w:val="57C7D42D"/>
    <w:multiLevelType w:val="hybridMultilevel"/>
    <w:lvl w:ilvl="0">
      <w:lvlJc w:val="left"/>
      <w:lvlText w:val="•"/>
      <w:numFmt w:val="bullet"/>
      <w:start w:val="1"/>
    </w:lvl>
  </w:abstractNum>
  <w:abstractNum w:abstractNumId="4">
    <w:nsid w:val="312167AD"/>
    <w:multiLevelType w:val="hybridMultilevel"/>
    <w:lvl w:ilvl="0">
      <w:lvlJc w:val="left"/>
      <w:lvlText w:val="•"/>
      <w:numFmt w:val="bullet"/>
      <w:start w:val="1"/>
    </w:lvl>
  </w:abstractNum>
  <w:abstractNum w:abstractNumId="5">
    <w:nsid w:val="631B64D4"/>
    <w:multiLevelType w:val="hybridMultilevel"/>
    <w:lvl w:ilvl="0">
      <w:lvlJc w:val="left"/>
      <w:lvlText w:val="•"/>
      <w:numFmt w:val="bullet"/>
      <w:start w:val="1"/>
    </w:lvl>
  </w:abstractNum>
  <w:abstractNum w:abstractNumId="6">
    <w:nsid w:val="78B5E776"/>
    <w:multiLevelType w:val="hybridMultilevel"/>
    <w:lvl w:ilvl="0">
      <w:lvlJc w:val="left"/>
      <w:lvlText w:val="•"/>
      <w:numFmt w:val="bullet"/>
      <w:start w:val="1"/>
    </w:lvl>
  </w:abstractNum>
  <w:abstractNum w:abstractNumId="7">
    <w:nsid w:val="75486E47"/>
    <w:multiLevelType w:val="hybridMultilevel"/>
    <w:lvl w:ilvl="0">
      <w:lvlJc w:val="left"/>
      <w:lvlText w:val="•"/>
      <w:numFmt w:val="bullet"/>
      <w:start w:val="1"/>
    </w:lvl>
  </w:abstractNum>
  <w:abstractNum w:abstractNumId="8">
    <w:nsid w:val="6E534CDE"/>
    <w:multiLevelType w:val="hybridMultilevel"/>
    <w:lvl w:ilvl="0">
      <w:lvlJc w:val="left"/>
      <w:lvlText w:val="•"/>
      <w:numFmt w:val="bullet"/>
      <w:start w:val="1"/>
    </w:lvl>
  </w:abstractNum>
  <w:abstractNum w:abstractNumId="9">
    <w:nsid w:val="1A0DDE32"/>
    <w:multiLevelType w:val="hybridMultilevel"/>
    <w:lvl w:ilvl="0">
      <w:lvlJc w:val="left"/>
      <w:lvlText w:val="•"/>
      <w:numFmt w:val="bullet"/>
      <w:start w:val="1"/>
    </w:lvl>
  </w:abstractNum>
  <w:abstractNum w:abstractNumId="10">
    <w:nsid w:val="65968C1C"/>
    <w:multiLevelType w:val="hybridMultilevel"/>
    <w:lvl w:ilvl="0">
      <w:lvlJc w:val="left"/>
      <w:lvlText w:val="•"/>
      <w:numFmt w:val="bullet"/>
      <w:start w:val="1"/>
    </w:lvl>
  </w:abstractNum>
  <w:abstractNum w:abstractNumId="11">
    <w:nsid w:val="46263DEC"/>
    <w:multiLevelType w:val="hybridMultilevel"/>
    <w:lvl w:ilvl="0">
      <w:lvlJc w:val="left"/>
      <w:lvlText w:val="•"/>
      <w:numFmt w:val="bullet"/>
      <w:start w:val="1"/>
    </w:lvl>
  </w:abstractNum>
  <w:abstractNum w:abstractNumId="12">
    <w:nsid w:val="260D8C4A"/>
    <w:multiLevelType w:val="hybridMultilevel"/>
    <w:lvl w:ilvl="0">
      <w:lvlJc w:val="left"/>
      <w:lvlText w:val="•"/>
      <w:numFmt w:val="bullet"/>
      <w:start w:val="1"/>
    </w:lvl>
  </w:abstractNum>
  <w:abstractNum w:abstractNumId="13">
    <w:nsid w:val="73D4D3C4"/>
    <w:multiLevelType w:val="hybridMultilevel"/>
    <w:lvl w:ilvl="0">
      <w:lvlJc w:val="left"/>
      <w:lvlText w:val="•"/>
      <w:numFmt w:val="bullet"/>
      <w:start w:val="1"/>
    </w:lvl>
  </w:abstractNum>
  <w:abstractNum w:abstractNumId="14">
    <w:nsid w:val="746F2E30"/>
    <w:multiLevelType w:val="hybridMultilevel"/>
    <w:lvl w:ilvl="0">
      <w:lvlJc w:val="left"/>
      <w:lvlText w:val="•"/>
      <w:numFmt w:val="bullet"/>
      <w:start w:val="1"/>
    </w:lvl>
  </w:abstractNum>
  <w:abstractNum w:abstractNumId="15">
    <w:nsid w:val="6FDE8AF6"/>
    <w:multiLevelType w:val="hybridMultilevel"/>
    <w:lvl w:ilvl="0">
      <w:lvlJc w:val="left"/>
      <w:lvlText w:val="•"/>
      <w:numFmt w:val="bullet"/>
      <w:start w:val="1"/>
    </w:lvl>
  </w:abstractNum>
  <w:abstractNum w:abstractNumId="16">
    <w:nsid w:val="3FC32E20"/>
    <w:multiLevelType w:val="hybridMultilevel"/>
    <w:lvl w:ilvl="0">
      <w:lvlJc w:val="left"/>
      <w:lvlText w:val="(%1)"/>
      <w:numFmt w:val="decimal"/>
      <w:start w:val="1"/>
    </w:lvl>
  </w:abstractNum>
  <w:abstractNum w:abstractNumId="17">
    <w:nsid w:val="49C0E823"/>
    <w:multiLevelType w:val="hybridMultilevel"/>
    <w:lvl w:ilvl="0">
      <w:lvlJc w:val="left"/>
      <w:lvlText w:val="•"/>
      <w:numFmt w:val="bullet"/>
      <w:start w:val="1"/>
    </w:lvl>
  </w:abstractNum>
  <w:abstractNum w:abstractNumId="18">
    <w:nsid w:val="14D53685"/>
    <w:multiLevelType w:val="hybridMultilevel"/>
    <w:lvl w:ilvl="0">
      <w:lvlJc w:val="left"/>
      <w:lvlText w:val="•"/>
      <w:numFmt w:val="bullet"/>
      <w:start w:val="1"/>
    </w:lvl>
  </w:abstractNum>
  <w:abstractNum w:abstractNumId="19">
    <w:nsid w:val="230F856C"/>
    <w:multiLevelType w:val="hybridMultilevel"/>
    <w:lvl w:ilvl="0">
      <w:lvlJc w:val="left"/>
      <w:lvlText w:val="•"/>
      <w:numFmt w:val="bullet"/>
      <w:start w:val="1"/>
    </w:lvl>
  </w:abstractNum>
  <w:abstractNum w:abstractNumId="20">
    <w:nsid w:val="6EAA85FB"/>
    <w:multiLevelType w:val="hybridMultilevel"/>
    <w:lvl w:ilvl="0">
      <w:lvlJc w:val="left"/>
      <w:lvlText w:val="•"/>
      <w:numFmt w:val="bullet"/>
      <w:start w:val="1"/>
    </w:lvl>
  </w:abstractNum>
  <w:abstractNum w:abstractNumId="21">
    <w:nsid w:val="3F06ECB2"/>
    <w:multiLevelType w:val="hybridMultilevel"/>
    <w:lvl w:ilvl="0">
      <w:lvlJc w:val="left"/>
      <w:lvlText w:val="•"/>
      <w:numFmt w:val="bullet"/>
      <w:start w:val="1"/>
    </w:lvl>
  </w:abstractNum>
  <w:abstractNum w:abstractNumId="22">
    <w:nsid w:val="3B594807"/>
    <w:multiLevelType w:val="hybridMultilevel"/>
    <w:lvl w:ilvl="0">
      <w:lvlJc w:val="left"/>
      <w:lvlText w:val="•"/>
      <w:numFmt w:val="bullet"/>
      <w:start w:val="1"/>
    </w:lvl>
  </w:abstractNum>
  <w:abstractNum w:abstractNumId="23">
    <w:nsid w:val="6CAA2304"/>
    <w:multiLevelType w:val="hybridMultilevel"/>
    <w:lvl w:ilvl="0">
      <w:lvlJc w:val="left"/>
      <w:lvlText w:val="•"/>
      <w:numFmt w:val="bullet"/>
      <w:start w:val="1"/>
    </w:lvl>
  </w:abstractNum>
  <w:abstractNum w:abstractNumId="24">
    <w:nsid w:val="3F7C2FF4"/>
    <w:multiLevelType w:val="hybridMultilevel"/>
    <w:lvl w:ilvl="0">
      <w:lvlJc w:val="left"/>
      <w:lvlText w:val="•"/>
      <w:numFmt w:val="bullet"/>
      <w:start w:val="1"/>
    </w:lvl>
  </w:abstractNum>
  <w:abstractNum w:abstractNumId="25">
    <w:nsid w:val="25413BEC"/>
    <w:multiLevelType w:val="hybridMultilevel"/>
    <w:lvl w:ilvl="0">
      <w:lvlJc w:val="left"/>
      <w:lvlText w:val="•"/>
      <w:numFmt w:val="bullet"/>
      <w:start w:val="1"/>
    </w:lvl>
  </w:abstractNum>
  <w:abstractNum w:abstractNumId="26">
    <w:nsid w:val="17180B0B"/>
    <w:multiLevelType w:val="hybridMultilevel"/>
    <w:lvl w:ilvl="0">
      <w:lvlJc w:val="left"/>
      <w:lvlText w:val="•"/>
      <w:numFmt w:val="bullet"/>
      <w:start w:val="1"/>
    </w:lvl>
  </w:abstractNum>
  <w:abstractNum w:abstractNumId="27">
    <w:nsid w:val="579328B9"/>
    <w:multiLevelType w:val="hybridMultilevel"/>
    <w:lvl w:ilvl="0">
      <w:lvlJc w:val="left"/>
      <w:lvlText w:val="•"/>
      <w:numFmt w:val="bullet"/>
      <w:start w:val="1"/>
    </w:lvl>
  </w:abstractNum>
  <w:abstractNum w:abstractNumId="28">
    <w:nsid w:val="5D205E20"/>
    <w:multiLevelType w:val="hybridMultilevel"/>
    <w:lvl w:ilvl="0">
      <w:lvlJc w:val="left"/>
      <w:lvlText w:val="•"/>
      <w:numFmt w:val="bullet"/>
      <w:start w:val="1"/>
    </w:lvl>
  </w:abstractNum>
  <w:abstractNum w:abstractNumId="29">
    <w:nsid w:val="11CCA8BA"/>
    <w:multiLevelType w:val="hybridMultilevel"/>
    <w:lvl w:ilvl="0">
      <w:lvlJc w:val="left"/>
      <w:lvlText w:val="•"/>
      <w:numFmt w:val="bullet"/>
      <w:start w:val="1"/>
    </w:lvl>
  </w:abstractNum>
  <w:abstractNum w:abstractNumId="30">
    <w:nsid w:val="4D32AB86"/>
    <w:multiLevelType w:val="hybridMultilevel"/>
    <w:lvl w:ilvl="0">
      <w:lvlJc w:val="left"/>
      <w:lvlText w:val="•"/>
      <w:numFmt w:val="bullet"/>
      <w:start w:val="1"/>
    </w:lvl>
  </w:abstractNum>
  <w:abstractNum w:abstractNumId="31">
    <w:nsid w:val="3F07ACC3"/>
    <w:multiLevelType w:val="hybridMultilevel"/>
    <w:lvl w:ilvl="0">
      <w:lvlJc w:val="left"/>
      <w:lvlText w:val="•"/>
      <w:numFmt w:val="bullet"/>
      <w:start w:val="1"/>
    </w:lvl>
  </w:abstractNum>
  <w:abstractNum w:abstractNumId="32">
    <w:nsid w:val="6B47F63E"/>
    <w:multiLevelType w:val="hybridMultilevel"/>
    <w:lvl w:ilvl="0">
      <w:lvlJc w:val="left"/>
      <w:lvlText w:val="•"/>
      <w:numFmt w:val="bullet"/>
      <w:start w:val="1"/>
    </w:lvl>
  </w:abstractNum>
  <w:abstractNum w:abstractNumId="33">
    <w:nsid w:val="5CB44A05"/>
    <w:multiLevelType w:val="hybridMultilevel"/>
    <w:lvl w:ilvl="0">
      <w:lvlJc w:val="left"/>
      <w:lvlText w:val="•"/>
      <w:numFmt w:val="bullet"/>
      <w:start w:val="1"/>
    </w:lvl>
  </w:abstractNum>
  <w:abstractNum w:abstractNumId="34">
    <w:nsid w:val="16CF80F1"/>
    <w:multiLevelType w:val="hybridMultilevel"/>
    <w:lvl w:ilvl="0">
      <w:lvlJc w:val="left"/>
      <w:lvlText w:val="•"/>
      <w:numFmt w:val="bullet"/>
      <w:start w:val="1"/>
    </w:lvl>
  </w:abstractNum>
  <w:abstractNum w:abstractNumId="35">
    <w:nsid w:val="1C695DEC"/>
    <w:multiLevelType w:val="hybridMultilevel"/>
    <w:lvl w:ilvl="0">
      <w:lvlJc w:val="left"/>
      <w:lvlText w:val="•"/>
      <w:numFmt w:val="bullet"/>
      <w:start w:val="1"/>
    </w:lvl>
  </w:abstractNum>
  <w:abstractNum w:abstractNumId="36">
    <w:nsid w:val="3FCFAED9"/>
    <w:multiLevelType w:val="hybridMultilevel"/>
    <w:lvl w:ilvl="0">
      <w:lvlJc w:val="left"/>
      <w:lvlText w:val="•"/>
      <w:numFmt w:val="bullet"/>
      <w:start w:val="1"/>
    </w:lvl>
  </w:abstractNum>
  <w:abstractNum w:abstractNumId="37">
    <w:nsid w:val="F856867"/>
    <w:multiLevelType w:val="hybridMultilevel"/>
    <w:lvl w:ilvl="0">
      <w:lvlJc w:val="left"/>
      <w:lvlText w:val="•"/>
      <w:numFmt w:val="bullet"/>
      <w:start w:val="1"/>
    </w:lvl>
  </w:abstractNum>
  <w:abstractNum w:abstractNumId="38">
    <w:nsid w:val="11B1CC33"/>
    <w:multiLevelType w:val="hybridMultilevel"/>
    <w:lvl w:ilvl="0">
      <w:lvlJc w:val="left"/>
      <w:lvlText w:val="•"/>
      <w:numFmt w:val="bullet"/>
      <w:start w:val="1"/>
    </w:lvl>
  </w:abstractNum>
  <w:abstractNum w:abstractNumId="39">
    <w:nsid w:val="2E22FBB7"/>
    <w:multiLevelType w:val="hybridMultilevel"/>
    <w:lvl w:ilvl="0">
      <w:lvlJc w:val="left"/>
      <w:lvlText w:val="▪"/>
      <w:numFmt w:val="bullet"/>
      <w:start w:val="1"/>
    </w:lvl>
  </w:abstractNum>
  <w:abstractNum w:abstractNumId="40">
    <w:nsid w:val="29934699"/>
    <w:multiLevelType w:val="hybridMultilevel"/>
    <w:lvl w:ilvl="0">
      <w:lvlJc w:val="left"/>
      <w:lvlText w:val="•"/>
      <w:numFmt w:val="bullet"/>
      <w:start w:val="1"/>
    </w:lvl>
  </w:abstractNum>
  <w:abstractNum w:abstractNumId="41">
    <w:nsid w:val="77485850"/>
    <w:multiLevelType w:val="hybridMultilevel"/>
    <w:lvl w:ilvl="0">
      <w:lvlJc w:val="left"/>
      <w:lvlText w:val="•"/>
      <w:numFmt w:val="bullet"/>
      <w:start w:val="1"/>
    </w:lvl>
  </w:abstractNum>
  <w:abstractNum w:abstractNumId="42">
    <w:nsid w:val="744939A3"/>
    <w:multiLevelType w:val="hybridMultilevel"/>
    <w:lvl w:ilvl="0">
      <w:lvlJc w:val="left"/>
      <w:lvlText w:val="•"/>
      <w:numFmt w:val="bullet"/>
      <w:start w:val="1"/>
    </w:lvl>
  </w:abstractNum>
  <w:abstractNum w:abstractNumId="43">
    <w:nsid w:val="4FA0D2E3"/>
    <w:multiLevelType w:val="hybridMultilevel"/>
    <w:lvl w:ilvl="0">
      <w:lvlJc w:val="left"/>
      <w:lvlText w:val="•"/>
      <w:numFmt w:val="bullet"/>
      <w:start w:val="1"/>
    </w:lvl>
  </w:abstractNum>
  <w:abstractNum w:abstractNumId="44">
    <w:nsid w:val="6B1D2C14"/>
    <w:multiLevelType w:val="hybridMultilevel"/>
    <w:lvl w:ilvl="0">
      <w:lvlJc w:val="left"/>
      <w:lvlText w:val="(%1)"/>
      <w:numFmt w:val="decimal"/>
      <w:start w:val="1"/>
    </w:lvl>
  </w:abstractNum>
  <w:abstractNum w:abstractNumId="45">
    <w:nsid w:val="68B867D3"/>
    <w:multiLevelType w:val="hybridMultilevel"/>
    <w:lvl w:ilvl="0">
      <w:lvlJc w:val="left"/>
      <w:lvlText w:val="(%1)"/>
      <w:numFmt w:val="lowerRoman"/>
      <w:start w:val="2"/>
    </w:lvl>
    <w:lvl w:ilvl="1">
      <w:lvlJc w:val="left"/>
      <w:lvlText w:val="•"/>
      <w:numFmt w:val="bullet"/>
      <w:start w:val="1"/>
    </w:lvl>
  </w:abstractNum>
  <w:abstractNum w:abstractNumId="46">
    <w:nsid w:val="3F7F5DD9"/>
    <w:multiLevelType w:val="hybridMultilevel"/>
    <w:lvl w:ilvl="0">
      <w:lvlJc w:val="left"/>
      <w:lvlText w:val="•"/>
      <w:numFmt w:val="bullet"/>
      <w:start w:val="1"/>
    </w:lvl>
  </w:abstractNum>
  <w:abstractNum w:abstractNumId="47">
    <w:nsid w:val="2AE05A34"/>
    <w:multiLevelType w:val="hybridMultilevel"/>
    <w:lvl w:ilvl="0">
      <w:lvlJc w:val="left"/>
      <w:lvlText w:val="*"/>
      <w:numFmt w:val="bullet"/>
      <w:start w:val="1"/>
    </w:lvl>
  </w:abstractNum>
  <w:abstractNum w:abstractNumId="48">
    <w:nsid w:val="32794FF7"/>
    <w:multiLevelType w:val="hybridMultilevel"/>
    <w:lvl w:ilvl="0">
      <w:lvlJc w:val="left"/>
      <w:lvlText w:val="(%1)"/>
      <w:numFmt w:val="lowerLetter"/>
      <w:start w:val="1"/>
    </w:lvl>
  </w:abstractNum>
  <w:abstractNum w:abstractNumId="49">
    <w:nsid w:val="5454945E"/>
    <w:multiLevelType w:val="hybridMultilevel"/>
    <w:lvl w:ilvl="0">
      <w:lvlJc w:val="left"/>
      <w:lvlText w:val="(%1)"/>
      <w:numFmt w:val="lowerLetter"/>
      <w:start w:val="5"/>
    </w:lvl>
  </w:abstractNum>
  <w:abstractNum w:abstractNumId="50">
    <w:nsid w:val="4DEFDFA0"/>
    <w:multiLevelType w:val="hybridMultilevel"/>
    <w:lvl w:ilvl="0">
      <w:lvlJc w:val="left"/>
      <w:lvlText w:val="•"/>
      <w:numFmt w:val="bullet"/>
      <w:start w:val="1"/>
    </w:lvl>
  </w:abstractNum>
  <w:abstractNum w:abstractNumId="51">
    <w:nsid w:val="2123D5F2"/>
    <w:multiLevelType w:val="hybridMultilevel"/>
    <w:lvl w:ilvl="0">
      <w:lvlJc w:val="left"/>
      <w:lvlText w:val="•"/>
      <w:numFmt w:val="bullet"/>
      <w:start w:val="1"/>
    </w:lvl>
  </w:abstractNum>
  <w:abstractNum w:abstractNumId="52">
    <w:nsid w:val="135B8110"/>
    <w:multiLevelType w:val="hybridMultilevel"/>
    <w:lvl w:ilvl="0">
      <w:lvlJc w:val="left"/>
      <w:lvlText w:val="•"/>
      <w:numFmt w:val="bullet"/>
      <w:start w:val="1"/>
    </w:lvl>
  </w:abstractNum>
  <w:abstractNum w:abstractNumId="53">
    <w:nsid w:val="94927A8"/>
    <w:multiLevelType w:val="hybridMultilevel"/>
    <w:lvl w:ilvl="0">
      <w:lvlJc w:val="left"/>
      <w:lvlText w:val="•"/>
      <w:numFmt w:val="bullet"/>
      <w:start w:val="1"/>
    </w:lvl>
  </w:abstractNum>
  <w:abstractNum w:abstractNumId="54">
    <w:nsid w:val="DCDF8F6"/>
    <w:multiLevelType w:val="hybridMultilevel"/>
    <w:lvl w:ilvl="0">
      <w:lvlJc w:val="left"/>
      <w:lvlText w:val="•"/>
      <w:numFmt w:val="bullet"/>
      <w:start w:val="1"/>
    </w:lvl>
  </w:abstractNum>
  <w:abstractNum w:abstractNumId="55">
    <w:nsid w:val="52D7B105"/>
    <w:multiLevelType w:val="hybridMultilevel"/>
    <w:lvl w:ilvl="0">
      <w:lvlJc w:val="left"/>
      <w:lvlText w:val="•"/>
      <w:numFmt w:val="bullet"/>
      <w:start w:val="1"/>
    </w:lvl>
  </w:abstractNum>
  <w:abstractNum w:abstractNumId="56">
    <w:nsid w:val="2E8A6394"/>
    <w:multiLevelType w:val="hybridMultilevel"/>
    <w:lvl w:ilvl="0">
      <w:lvlJc w:val="left"/>
      <w:lvlText w:val="(%1)"/>
      <w:numFmt w:val="decimal"/>
      <w:start w:val="1"/>
    </w:lvl>
  </w:abstractNum>
  <w:abstractNum w:abstractNumId="57">
    <w:nsid w:val="24E60401"/>
    <w:multiLevelType w:val="hybridMultilevel"/>
    <w:lvl w:ilvl="0">
      <w:lvlJc w:val="left"/>
      <w:lvlText w:val="•"/>
      <w:numFmt w:val="bullet"/>
      <w:start w:val="1"/>
    </w:lvl>
  </w:abstractNum>
  <w:abstractNum w:abstractNumId="58">
    <w:nsid w:val="2A6AD9BE"/>
    <w:multiLevelType w:val="hybridMultilevel"/>
    <w:lvl w:ilvl="0">
      <w:lvlJc w:val="left"/>
      <w:lvlText w:val="•"/>
      <w:numFmt w:val="bullet"/>
      <w:start w:val="1"/>
    </w:lvl>
  </w:abstractNum>
  <w:abstractNum w:abstractNumId="59">
    <w:nsid w:val="BAAC1B4"/>
    <w:multiLevelType w:val="hybridMultilevel"/>
    <w:lvl w:ilvl="0">
      <w:lvlJc w:val="left"/>
      <w:lvlText w:val="•"/>
      <w:numFmt w:val="bullet"/>
      <w:start w:val="1"/>
    </w:lvl>
  </w:abstractNum>
  <w:abstractNum w:abstractNumId="60">
    <w:nsid w:val="36B2ACBC"/>
    <w:multiLevelType w:val="hybridMultilevel"/>
    <w:lvl w:ilvl="0">
      <w:lvlJc w:val="left"/>
      <w:lvlText w:val="•"/>
      <w:numFmt w:val="bullet"/>
      <w:start w:val="1"/>
    </w:lvl>
    <w:lvl w:ilvl="1">
      <w:lvlJc w:val="left"/>
      <w:lvlText w:val="◦"/>
      <w:numFmt w:val="bullet"/>
      <w:start w:val="1"/>
    </w:lvl>
  </w:abstractNum>
  <w:abstractNum w:abstractNumId="61">
    <w:nsid w:val="779D8544"/>
    <w:multiLevelType w:val="hybridMultilevel"/>
    <w:lvl w:ilvl="0">
      <w:lvlJc w:val="left"/>
      <w:lvlText w:val="(%1)"/>
      <w:numFmt w:val="decimal"/>
      <w:start w:val="1"/>
    </w:lvl>
  </w:abstractNum>
  <w:abstractNum w:abstractNumId="62">
    <w:nsid w:val="4AB26E78"/>
    <w:multiLevelType w:val="hybridMultilevel"/>
    <w:lvl w:ilvl="0">
      <w:lvlJc w:val="left"/>
      <w:lvlText w:val="(%1)"/>
      <w:numFmt w:val="lowerLetter"/>
      <w:start w:val="9"/>
    </w:lvl>
  </w:abstractNum>
  <w:abstractNum w:abstractNumId="63">
    <w:nsid w:val="21FAA2FA"/>
    <w:multiLevelType w:val="hybridMultilevel"/>
    <w:lvl w:ilvl="0">
      <w:lvlJc w:val="left"/>
      <w:lvlText w:val="(%1)"/>
      <w:numFmt w:val="lowerLetter"/>
      <w:start w:val="5"/>
    </w:lvl>
  </w:abstractNum>
  <w:abstractNum w:abstractNumId="64">
    <w:nsid w:val="5451CF49"/>
    <w:multiLevelType w:val="hybridMultilevel"/>
    <w:lvl w:ilvl="0">
      <w:lvlJc w:val="left"/>
      <w:lvlText w:val="•"/>
      <w:numFmt w:val="bullet"/>
      <w:start w:val="1"/>
    </w:lvl>
  </w:abstractNum>
  <w:abstractNum w:abstractNumId="65">
    <w:nsid w:val="6181EF69"/>
    <w:multiLevelType w:val="hybridMultilevel"/>
    <w:lvl w:ilvl="0">
      <w:lvlJc w:val="left"/>
      <w:lvlText w:val="•"/>
      <w:numFmt w:val="bullet"/>
      <w:start w:val="1"/>
    </w:lvl>
  </w:abstractNum>
  <w:abstractNum w:abstractNumId="66">
    <w:nsid w:val="3E6400E6"/>
    <w:multiLevelType w:val="hybridMultilevel"/>
    <w:lvl w:ilvl="0">
      <w:lvlJc w:val="left"/>
      <w:lvlText w:val="(%1)"/>
      <w:numFmt w:val="decimal"/>
      <w:start w:val="1"/>
    </w:lvl>
  </w:abstractNum>
  <w:abstractNum w:abstractNumId="67">
    <w:nsid w:val="14217E23"/>
    <w:multiLevelType w:val="hybridMultilevel"/>
    <w:lvl w:ilvl="0">
      <w:lvlJc w:val="left"/>
      <w:lvlText w:val="%1"/>
      <w:numFmt w:val="decimal"/>
      <w:start w:val="1"/>
    </w:lvl>
    <w:lvl w:ilvl="1">
      <w:lvlJc w:val="left"/>
      <w:lvlText w:val="(%2)"/>
      <w:numFmt w:val="decimal"/>
      <w:start w:val="1"/>
    </w:lvl>
  </w:abstractNum>
  <w:abstractNum w:abstractNumId="68">
    <w:nsid w:val="710757D0"/>
    <w:multiLevelType w:val="hybridMultilevel"/>
    <w:lvl w:ilvl="0">
      <w:lvlJc w:val="left"/>
      <w:lvlText w:val="%1."/>
      <w:numFmt w:val="decimal"/>
      <w:start w:val="5"/>
    </w:lvl>
    <w:lvl w:ilvl="1">
      <w:lvlJc w:val="left"/>
      <w:lvlText w:val="%2"/>
      <w:numFmt w:val="decimal"/>
      <w:start w:val="1"/>
    </w:lvl>
  </w:abstractNum>
  <w:abstractNum w:abstractNumId="69">
    <w:nsid w:val="5015CD1A"/>
    <w:multiLevelType w:val="hybridMultilevel"/>
    <w:lvl w:ilvl="0">
      <w:lvlJc w:val="left"/>
      <w:lvlText w:val="%1"/>
      <w:numFmt w:val="decimal"/>
      <w:start w:val="1"/>
    </w:lvl>
    <w:lvl w:ilvl="1">
      <w:lvlJc w:val="left"/>
      <w:lvlText w:val="(%2)"/>
      <w:numFmt w:val="decimal"/>
      <w:start w:val="1"/>
    </w:lvl>
  </w:abstractNum>
  <w:abstractNum w:abstractNumId="70">
    <w:nsid w:val="424479DA"/>
    <w:multiLevelType w:val="hybridMultilevel"/>
    <w:lvl w:ilvl="0">
      <w:lvlJc w:val="left"/>
      <w:lvlText w:val="%1."/>
      <w:numFmt w:val="decimal"/>
      <w:start w:val="11"/>
    </w:lvl>
    <w:lvl w:ilvl="1">
      <w:lvlJc w:val="left"/>
      <w:lvlText w:val="%2"/>
      <w:numFmt w:val="decimal"/>
      <w:start w:val="1"/>
    </w:lvl>
  </w:abstractNum>
  <w:abstractNum w:abstractNumId="71">
    <w:nsid w:val="1A9A9E69"/>
    <w:multiLevelType w:val="hybridMultilevel"/>
    <w:lvl w:ilvl="0">
      <w:lvlJc w:val="left"/>
      <w:lvlText w:val="(%1)"/>
      <w:numFmt w:val="decimal"/>
      <w:start w:val="1"/>
    </w:lvl>
  </w:abstractNum>
  <w:abstractNum w:abstractNumId="72">
    <w:nsid w:val="475E256A"/>
    <w:multiLevelType w:val="hybridMultilevel"/>
    <w:lvl w:ilvl="0">
      <w:lvlJc w:val="left"/>
      <w:lvlText w:val="(%1)"/>
      <w:numFmt w:val="decimal"/>
      <w:start w:val="1"/>
    </w:lvl>
  </w:abstractNum>
  <w:abstractNum w:abstractNumId="73">
    <w:nsid w:val="368DB37E"/>
    <w:multiLevelType w:val="hybridMultilevel"/>
    <w:lvl w:ilvl="0">
      <w:lvlJc w:val="left"/>
      <w:lvlText w:val="(%1)"/>
      <w:numFmt w:val="decimal"/>
      <w:start w:val="1"/>
    </w:lvl>
  </w:abstractNum>
  <w:abstractNum w:abstractNumId="74">
    <w:nsid w:val="6A3B714C"/>
    <w:multiLevelType w:val="hybridMultilevel"/>
    <w:lvl w:ilvl="0">
      <w:lvlJc w:val="left"/>
      <w:lvlText w:val="(%1)"/>
      <w:numFmt w:val="decimal"/>
      <w:start w:val="1"/>
    </w:lvl>
  </w:abstractNum>
  <w:abstractNum w:abstractNumId="75">
    <w:nsid w:val="327B517E"/>
    <w:multiLevelType w:val="hybridMultilevel"/>
    <w:lvl w:ilvl="0">
      <w:lvlJc w:val="left"/>
      <w:lvlText w:val="(%1)"/>
      <w:numFmt w:val="decimal"/>
      <w:start w:val="2"/>
    </w:lvl>
  </w:abstractNum>
  <w:abstractNum w:abstractNumId="76">
    <w:nsid w:val="1F461B51"/>
    <w:multiLevelType w:val="hybridMultilevel"/>
    <w:lvl w:ilvl="0">
      <w:lvlJc w:val="left"/>
      <w:lvlText w:val="(%1)"/>
      <w:numFmt w:val="decimal"/>
      <w:start w:val="3"/>
    </w:lvl>
  </w:abstractNum>
  <w:abstractNum w:abstractNumId="77">
    <w:nsid w:val="29BACF25"/>
    <w:multiLevelType w:val="hybridMultilevel"/>
    <w:lvl w:ilvl="0">
      <w:lvlJc w:val="left"/>
      <w:lvlText w:val="(%1)"/>
      <w:numFmt w:val="decimal"/>
      <w:start w:val="1"/>
    </w:lvl>
  </w:abstractNum>
  <w:abstractNum w:abstractNumId="78">
    <w:nsid w:val="5D5BABB3"/>
    <w:multiLevelType w:val="hybridMultilevel"/>
    <w:lvl w:ilvl="0">
      <w:lvlJc w:val="left"/>
      <w:lvlText w:val="(%1)"/>
      <w:numFmt w:val="decimal"/>
      <w:start w:val="1"/>
    </w:lvl>
  </w:abstractNum>
  <w:abstractNum w:abstractNumId="79">
    <w:nsid w:val="51BF6B48"/>
    <w:multiLevelType w:val="hybridMultilevel"/>
    <w:lvl w:ilvl="0">
      <w:lvlJc w:val="left"/>
      <w:lvlText w:val="(%1)"/>
      <w:numFmt w:val="decimal"/>
      <w:start w:val="1"/>
    </w:lvl>
  </w:abstractNum>
  <w:abstractNum w:abstractNumId="80">
    <w:nsid w:val="7E0F6384"/>
    <w:multiLevelType w:val="hybridMultilevel"/>
    <w:lvl w:ilvl="0">
      <w:lvlJc w:val="left"/>
      <w:lvlText w:val="(%1)"/>
      <w:numFmt w:val="decimal"/>
      <w:start w:val="1"/>
    </w:lvl>
  </w:abstractNum>
  <w:abstractNum w:abstractNumId="81">
    <w:nsid w:val="2B4B8B53"/>
    <w:multiLevelType w:val="hybridMultilevel"/>
    <w:lvl w:ilvl="0">
      <w:lvlJc w:val="left"/>
      <w:lvlText w:val="(%1)"/>
      <w:numFmt w:val="lowerLetter"/>
      <w:start w:val="1"/>
    </w:lvl>
    <w:lvl w:ilvl="1">
      <w:lvlJc w:val="left"/>
      <w:lvlText w:val="(%2)"/>
      <w:numFmt w:val="decimal"/>
      <w:start w:val="1"/>
    </w:lvl>
  </w:abstractNum>
  <w:abstractNum w:abstractNumId="82">
    <w:nsid w:val="72E3413A"/>
    <w:multiLevelType w:val="hybridMultilevel"/>
    <w:lvl w:ilvl="0">
      <w:lvlJc w:val="left"/>
      <w:lvlText w:val="%1"/>
      <w:numFmt w:val="decimal"/>
      <w:start w:val="21"/>
    </w:lvl>
  </w:abstractNum>
  <w:abstractNum w:abstractNumId="83">
    <w:nsid w:val="116AE494"/>
    <w:multiLevelType w:val="hybridMultilevel"/>
    <w:lvl w:ilvl="0">
      <w:lvlJc w:val="left"/>
      <w:lvlText w:val="%1"/>
      <w:numFmt w:val="decimal"/>
      <w:start w:val="97"/>
    </w:lvl>
  </w:abstractNum>
  <w:abstractNum w:abstractNumId="84">
    <w:nsid w:val="3494B2FB"/>
    <w:multiLevelType w:val="hybridMultilevel"/>
    <w:lvl w:ilvl="0">
      <w:lvlJc w:val="left"/>
      <w:lvlText w:val="%1"/>
      <w:numFmt w:val="decimal"/>
      <w:start w:val="101"/>
    </w:lvl>
  </w:abstractNum>
  <w:abstractNum w:abstractNumId="85">
    <w:nsid w:val="B13A31"/>
    <w:multiLevelType w:val="hybridMultilevel"/>
    <w:lvl w:ilvl="0">
      <w:lvlJc w:val="left"/>
      <w:lvlText w:val="•"/>
      <w:numFmt w:val="bullet"/>
      <w:start w:val="1"/>
    </w:lvl>
  </w:abstractNum>
  <w:abstractNum w:abstractNumId="86">
    <w:nsid w:val="64429599"/>
    <w:multiLevelType w:val="hybridMultilevel"/>
    <w:lvl w:ilvl="0">
      <w:lvlJc w:val="left"/>
      <w:lvlText w:val="•"/>
      <w:numFmt w:val="bullet"/>
      <w:start w:val="1"/>
    </w:lvl>
  </w:abstractNum>
  <w:abstractNum w:abstractNumId="87">
    <w:nsid w:val="631F1690"/>
    <w:multiLevelType w:val="hybridMultilevel"/>
    <w:lvl w:ilvl="0">
      <w:lvlJc w:val="left"/>
      <w:lvlText w:val="•"/>
      <w:numFmt w:val="bullet"/>
      <w:start w:val="1"/>
    </w:lvl>
  </w:abstractNum>
  <w:abstractNum w:abstractNumId="88">
    <w:nsid w:val="25973E32"/>
    <w:multiLevelType w:val="hybridMultilevel"/>
    <w:lvl w:ilvl="0">
      <w:lvlJc w:val="left"/>
      <w:lvlText w:val="•"/>
      <w:numFmt w:val="bullet"/>
      <w:start w:val="1"/>
    </w:lvl>
  </w:abstractNum>
  <w:abstractNum w:abstractNumId="89">
    <w:nsid w:val="EAD6F57"/>
    <w:multiLevelType w:val="hybridMultilevel"/>
    <w:lvl w:ilvl="0">
      <w:lvlJc w:val="left"/>
      <w:lvlText w:val="•"/>
      <w:numFmt w:val="bullet"/>
      <w:start w:val="1"/>
    </w:lvl>
  </w:abstractNum>
  <w:abstractNum w:abstractNumId="90">
    <w:nsid w:val="6EC9D844"/>
    <w:multiLevelType w:val="hybridMultilevel"/>
    <w:lvl w:ilvl="0">
      <w:lvlJc w:val="left"/>
      <w:lvlText w:val="•"/>
      <w:numFmt w:val="bullet"/>
      <w:start w:val="1"/>
    </w:lvl>
  </w:abstractNum>
  <w:abstractNum w:abstractNumId="91">
    <w:nsid w:val="5C49EAEE"/>
    <w:multiLevelType w:val="hybridMultilevel"/>
    <w:lvl w:ilvl="0">
      <w:lvlJc w:val="left"/>
      <w:lvlText w:val="•"/>
      <w:numFmt w:val="bullet"/>
      <w:start w:val="1"/>
    </w:lvl>
  </w:abstractNum>
  <w:abstractNum w:abstractNumId="92">
    <w:nsid w:val="64AF49B"/>
    <w:multiLevelType w:val="hybridMultilevel"/>
    <w:lvl w:ilvl="0">
      <w:lvlJc w:val="left"/>
      <w:lvlText w:val="•"/>
      <w:numFmt w:val="bullet"/>
      <w:start w:val="1"/>
    </w:lvl>
  </w:abstractNum>
  <w:abstractNum w:abstractNumId="93">
    <w:nsid w:val="397C46BC"/>
    <w:multiLevelType w:val="hybridMultilevel"/>
    <w:lvl w:ilvl="0">
      <w:lvlJc w:val="left"/>
      <w:lvlText w:val="1"/>
      <w:numFmt w:val="bullet"/>
      <w:start w:val="1"/>
    </w:lvl>
  </w:abstractNum>
  <w:abstractNum w:abstractNumId="94">
    <w:nsid w:val="7E448DE9"/>
    <w:multiLevelType w:val="hybridMultilevel"/>
    <w:lvl w:ilvl="0">
      <w:lvlJc w:val="left"/>
      <w:lvlText w:val="•"/>
      <w:numFmt w:val="bullet"/>
      <w:start w:val="1"/>
    </w:lvl>
  </w:abstractNum>
  <w:abstractNum w:abstractNumId="95">
    <w:nsid w:val="5A9CC3E5"/>
    <w:multiLevelType w:val="hybridMultilevel"/>
    <w:lvl w:ilvl="0">
      <w:lvlJc w:val="left"/>
      <w:lvlText w:val="•"/>
      <w:numFmt w:val="bullet"/>
      <w:start w:val="1"/>
    </w:lvl>
  </w:abstractNum>
  <w:abstractNum w:abstractNumId="96">
    <w:nsid w:val="1AFE3625"/>
    <w:multiLevelType w:val="hybridMultilevel"/>
    <w:lvl w:ilvl="0">
      <w:lvlJc w:val="left"/>
      <w:lvlText w:val="2"/>
      <w:numFmt w:val="bullet"/>
      <w:start w:val="1"/>
    </w:lvl>
  </w:abstractNum>
  <w:abstractNum w:abstractNumId="97">
    <w:nsid w:val="3CA88ECF"/>
    <w:multiLevelType w:val="hybridMultilevel"/>
    <w:lvl w:ilvl="0">
      <w:lvlJc w:val="left"/>
      <w:lvlText w:val="3"/>
      <w:numFmt w:val="bullet"/>
      <w:start w:val="1"/>
    </w:lvl>
  </w:abstractNum>
  <w:abstractNum w:abstractNumId="98">
    <w:nsid w:val="6EBE4208"/>
    <w:multiLevelType w:val="hybridMultilevel"/>
    <w:lvl w:ilvl="0">
      <w:lvlJc w:val="left"/>
      <w:lvlText w:val="4"/>
      <w:numFmt w:val="bullet"/>
      <w:start w:val="1"/>
    </w:lvl>
  </w:abstractNum>
  <w:abstractNum w:abstractNumId="99">
    <w:nsid w:val="C058DF5"/>
    <w:multiLevelType w:val="hybridMultilevel"/>
    <w:lvl w:ilvl="0">
      <w:lvlJc w:val="left"/>
      <w:lvlText w:val="."/>
      <w:numFmt w:val="bullet"/>
      <w:start w:val="1"/>
    </w:lvl>
  </w:abstractNum>
  <w:abstractNum w:abstractNumId="100">
    <w:nsid w:val="CBE5BE9"/>
    <w:multiLevelType w:val="hybridMultilevel"/>
    <w:lvl w:ilvl="0">
      <w:lvlJc w:val="left"/>
      <w:lvlText w:val="."/>
      <w:numFmt w:val="bullet"/>
      <w:start w:val="1"/>
    </w:lvl>
  </w:abstractNum>
  <w:abstractNum w:abstractNumId="101">
    <w:nsid w:val="3102BBE2"/>
    <w:multiLevelType w:val="hybridMultilevel"/>
    <w:lvl w:ilvl="0">
      <w:lvlJc w:val="left"/>
      <w:lvlText w:val="."/>
      <w:numFmt w:val="bullet"/>
      <w:start w:val="1"/>
    </w:lvl>
  </w:abstractNum>
  <w:abstractNum w:abstractNumId="102">
    <w:nsid w:val="26A02C5E"/>
    <w:multiLevelType w:val="hybridMultilevel"/>
    <w:lvl w:ilvl="0">
      <w:lvlJc w:val="left"/>
      <w:lvlText w:val="."/>
      <w:numFmt w:val="bullet"/>
      <w:start w:val="1"/>
    </w:lvl>
  </w:abstractNum>
  <w:abstractNum w:abstractNumId="103">
    <w:nsid w:val="541C8153"/>
    <w:multiLevelType w:val="hybridMultilevel"/>
    <w:lvl w:ilvl="0">
      <w:lvlJc w:val="left"/>
      <w:lvlText w:val="1"/>
      <w:numFmt w:val="bullet"/>
      <w:start w:val="1"/>
    </w:lvl>
  </w:abstractNum>
  <w:abstractNum w:abstractNumId="104">
    <w:nsid w:val="67906F60"/>
    <w:multiLevelType w:val="hybridMultilevel"/>
    <w:lvl w:ilvl="0">
      <w:lvlJc w:val="left"/>
      <w:lvlText w:val="3"/>
      <w:numFmt w:val="bullet"/>
      <w:start w:val="1"/>
    </w:lvl>
  </w:abstractNum>
  <w:abstractNum w:abstractNumId="105">
    <w:nsid w:val="10DB9DAA"/>
    <w:multiLevelType w:val="hybridMultilevel"/>
    <w:lvl w:ilvl="0">
      <w:lvlJc w:val="left"/>
      <w:lvlText w:val="5"/>
      <w:numFmt w:val="bullet"/>
      <w:start w:val="1"/>
    </w:lvl>
  </w:abstractNum>
  <w:abstractNum w:abstractNumId="106">
    <w:nsid w:val="697D2D2"/>
    <w:multiLevelType w:val="hybridMultilevel"/>
    <w:lvl w:ilvl="0">
      <w:lvlJc w:val="left"/>
      <w:lvlText w:val="6"/>
      <w:numFmt w:val="bullet"/>
      <w:start w:val="1"/>
    </w:lvl>
  </w:abstractNum>
  <w:abstractNum w:abstractNumId="107">
    <w:nsid w:val="6D68AB2"/>
    <w:multiLevelType w:val="hybridMultilevel"/>
    <w:lvl w:ilvl="0">
      <w:lvlJc w:val="left"/>
      <w:lvlText w:val="9"/>
      <w:numFmt w:val="bullet"/>
      <w:start w:val="1"/>
    </w:lvl>
  </w:abstractNum>
  <w:abstractNum w:abstractNumId="108">
    <w:nsid w:val="3A966CD0"/>
    <w:multiLevelType w:val="hybridMultilevel"/>
    <w:lvl w:ilvl="0">
      <w:lvlJc w:val="left"/>
      <w:lvlText w:val="2"/>
      <w:numFmt w:val="bullet"/>
      <w:start w:val="1"/>
    </w:lvl>
  </w:abstractNum>
  <w:abstractNum w:abstractNumId="109">
    <w:nsid w:val="63F37E85"/>
    <w:multiLevelType w:val="hybridMultilevel"/>
    <w:lvl w:ilvl="0">
      <w:lvlJc w:val="left"/>
      <w:lvlText w:val="3"/>
      <w:numFmt w:val="bullet"/>
      <w:start w:val="1"/>
    </w:lvl>
  </w:abstractNum>
  <w:abstractNum w:abstractNumId="110">
    <w:nsid w:val="5895F5FA"/>
    <w:multiLevelType w:val="hybridMultilevel"/>
    <w:lvl w:ilvl="0">
      <w:lvlJc w:val="left"/>
      <w:lvlText w:val="4"/>
      <w:numFmt w:val="bullet"/>
      <w:start w:val="1"/>
    </w:lvl>
  </w:abstractNum>
  <w:abstractNum w:abstractNumId="111">
    <w:nsid w:val="38A5D054"/>
    <w:multiLevelType w:val="hybridMultilevel"/>
    <w:lvl w:ilvl="0">
      <w:lvlJc w:val="left"/>
      <w:lvlText w:val="6"/>
      <w:numFmt w:val="bullet"/>
      <w:start w:val="1"/>
    </w:lvl>
  </w:abstractNum>
  <w:abstractNum w:abstractNumId="112">
    <w:nsid w:val="F3F09D8"/>
    <w:multiLevelType w:val="hybridMultilevel"/>
    <w:lvl w:ilvl="0">
      <w:lvlJc w:val="left"/>
      <w:lvlText w:val="7"/>
      <w:numFmt w:val="bullet"/>
      <w:start w:val="1"/>
    </w:lvl>
  </w:abstractNum>
  <w:abstractNum w:abstractNumId="113">
    <w:nsid w:val="4B793735"/>
    <w:multiLevelType w:val="hybridMultilevel"/>
    <w:lvl w:ilvl="0">
      <w:lvlJc w:val="left"/>
      <w:lvlText w:val="8"/>
      <w:numFmt w:val="bullet"/>
      <w:start w:val="1"/>
    </w:lvl>
  </w:abstractNum>
  <w:abstractNum w:abstractNumId="114">
    <w:nsid w:val="4A10B4E8"/>
    <w:multiLevelType w:val="hybridMultilevel"/>
    <w:lvl w:ilvl="0">
      <w:lvlJc w:val="left"/>
      <w:lvlText w:val="9"/>
      <w:numFmt w:val="bullet"/>
      <w:start w:val="1"/>
    </w:lvl>
  </w:abstractNum>
  <w:abstractNum w:abstractNumId="115">
    <w:nsid w:val="43D3BCD4"/>
    <w:multiLevelType w:val="hybridMultilevel"/>
    <w:lvl w:ilvl="0">
      <w:lvlJc w:val="left"/>
      <w:lvlText w:val="0"/>
      <w:numFmt w:val="bullet"/>
      <w:start w:val="1"/>
    </w:lvl>
  </w:abstractNum>
  <w:abstractNum w:abstractNumId="116">
    <w:nsid w:val="4C2A7166"/>
    <w:multiLevelType w:val="hybridMultilevel"/>
    <w:lvl w:ilvl="0">
      <w:lvlJc w:val="left"/>
      <w:lvlText w:val="1"/>
      <w:numFmt w:val="bullet"/>
      <w:start w:val="1"/>
    </w:lvl>
  </w:abstractNum>
  <w:abstractNum w:abstractNumId="117">
    <w:nsid w:val="2E534A82"/>
    <w:multiLevelType w:val="hybridMultilevel"/>
    <w:lvl w:ilvl="0">
      <w:lvlJc w:val="left"/>
      <w:lvlText w:val="2"/>
      <w:numFmt w:val="bullet"/>
      <w:start w:val="1"/>
    </w:lvl>
  </w:abstractNum>
  <w:abstractNum w:abstractNumId="118">
    <w:nsid w:val="26F2D364"/>
    <w:multiLevelType w:val="hybridMultilevel"/>
    <w:lvl w:ilvl="0">
      <w:lvlJc w:val="left"/>
      <w:lvlText w:val="4"/>
      <w:numFmt w:val="bullet"/>
      <w:start w:val="1"/>
    </w:lvl>
  </w:abstractNum>
  <w:abstractNum w:abstractNumId="119">
    <w:nsid w:val="71C1AF98"/>
    <w:multiLevelType w:val="hybridMultilevel"/>
    <w:lvl w:ilvl="0">
      <w:lvlJc w:val="left"/>
      <w:lvlText w:val="5"/>
      <w:numFmt w:val="bullet"/>
      <w:start w:val="1"/>
    </w:lvl>
  </w:abstractNum>
  <w:abstractNum w:abstractNumId="120">
    <w:nsid w:val="3D00B9D9"/>
    <w:multiLevelType w:val="hybridMultilevel"/>
    <w:lvl w:ilvl="0">
      <w:lvlJc w:val="left"/>
      <w:lvlText w:val="6"/>
      <w:numFmt w:val="bullet"/>
      <w:start w:val="1"/>
    </w:lvl>
  </w:abstractNum>
  <w:abstractNum w:abstractNumId="121">
    <w:nsid w:val="15BCABA8"/>
    <w:multiLevelType w:val="hybridMultilevel"/>
    <w:lvl w:ilvl="0">
      <w:lvlJc w:val="left"/>
      <w:lvlText w:val="7"/>
      <w:numFmt w:val="bullet"/>
      <w:start w:val="1"/>
    </w:lvl>
  </w:abstractNum>
  <w:abstractNum w:abstractNumId="122">
    <w:nsid w:val="4E0B9A87"/>
    <w:multiLevelType w:val="hybridMultilevel"/>
    <w:lvl w:ilvl="0">
      <w:lvlJc w:val="left"/>
      <w:lvlText w:val="1"/>
      <w:numFmt w:val="bullet"/>
      <w:start w:val="1"/>
    </w:lvl>
    <w:lvl w:ilvl="1">
      <w:lvlJc w:val="left"/>
      <w:lvlText w:val="(%2)"/>
      <w:numFmt w:val="lowerLetter"/>
      <w:start w:val="1"/>
    </w:lvl>
    <w:lvl w:ilvl="2">
      <w:lvlJc w:val="left"/>
      <w:lvlText w:val="(%3)"/>
      <w:numFmt w:val="decimal"/>
      <w:start w:val="1"/>
    </w:lvl>
  </w:abstractNum>
  <w:abstractNum w:abstractNumId="123">
    <w:nsid w:val="434BAE75"/>
    <w:multiLevelType w:val="hybridMultilevel"/>
    <w:lvl w:ilvl="0">
      <w:lvlJc w:val="left"/>
      <w:lvlText w:val="2"/>
      <w:numFmt w:val="bullet"/>
      <w:start w:val="1"/>
    </w:lvl>
    <w:lvl w:ilvl="1">
      <w:lvlJc w:val="left"/>
      <w:lvlText w:val="(%2)"/>
      <w:numFmt w:val="lowerLetter"/>
      <w:start w:val="1"/>
    </w:lvl>
  </w:abstractNum>
  <w:abstractNum w:abstractNumId="124">
    <w:nsid w:val="4F38F265"/>
    <w:multiLevelType w:val="hybridMultilevel"/>
    <w:lvl w:ilvl="0">
      <w:lvlJc w:val="left"/>
      <w:lvlText w:val="(%1)"/>
      <w:numFmt w:val="lowerLetter"/>
      <w:start w:val="2"/>
    </w:lvl>
    <w:lvl w:ilvl="1">
      <w:lvlJc w:val="left"/>
      <w:lvlText w:val="(%2)"/>
      <w:numFmt w:val="decimal"/>
      <w:start w:val="1"/>
    </w:lvl>
  </w:abstractNum>
  <w:abstractNum w:abstractNumId="125">
    <w:nsid w:val="4C502870"/>
    <w:multiLevelType w:val="hybridMultilevel"/>
    <w:lvl w:ilvl="0">
      <w:lvlJc w:val="left"/>
      <w:lvlText w:val="3"/>
      <w:numFmt w:val="bullet"/>
      <w:start w:val="1"/>
    </w:lvl>
    <w:lvl w:ilvl="1">
      <w:lvlJc w:val="left"/>
      <w:lvlText w:val="(%2)"/>
      <w:numFmt w:val="lowerLetter"/>
      <w:start w:val="1"/>
    </w:lvl>
  </w:abstractNum>
  <w:abstractNum w:abstractNumId="126">
    <w:nsid w:val="1DE8725A"/>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27">
    <w:nsid w:val="6A37288A"/>
    <w:multiLevelType w:val="hybridMultilevel"/>
    <w:lvl w:ilvl="0">
      <w:lvlJc w:val="left"/>
      <w:lvlText w:val="(%1)"/>
      <w:numFmt w:val="decimal"/>
      <w:start w:val="4"/>
    </w:lvl>
    <w:lvl w:ilvl="1">
      <w:lvlJc w:val="left"/>
      <w:lvlText w:val="(%2)"/>
      <w:numFmt w:val="upperLetter"/>
      <w:start w:val="1"/>
    </w:lvl>
  </w:abstractNum>
  <w:abstractNum w:abstractNumId="128">
    <w:nsid w:val="8F8B73F"/>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129">
    <w:nsid w:val="CA6B462"/>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30">
    <w:nsid w:val="763CB680"/>
    <w:multiLevelType w:val="hybridMultilevel"/>
    <w:lvl w:ilvl="0">
      <w:lvlJc w:val="left"/>
      <w:lvlText w:val="%1"/>
      <w:numFmt w:val="lowerLetter"/>
      <w:start w:val="1"/>
    </w:lvl>
    <w:lvl w:ilvl="1">
      <w:lvlJc w:val="left"/>
      <w:lvlText w:val="(%2)"/>
      <w:numFmt w:val="decimal"/>
      <w:start w:val="2"/>
    </w:lvl>
  </w:abstractNum>
  <w:abstractNum w:abstractNumId="131">
    <w:nsid w:val="15B71329"/>
    <w:multiLevelType w:val="hybridMultilevel"/>
    <w:lvl w:ilvl="0">
      <w:lvlJc w:val="left"/>
      <w:lvlText w:val="(%1)"/>
      <w:numFmt w:val="lowerLetter"/>
      <w:start w:val="5"/>
    </w:lvl>
    <w:lvl w:ilvl="1">
      <w:lvlJc w:val="left"/>
      <w:lvlText w:val="(%2)"/>
      <w:numFmt w:val="decimal"/>
      <w:start w:val="1"/>
    </w:lvl>
  </w:abstractNum>
  <w:abstractNum w:abstractNumId="132">
    <w:nsid w:val="3DA97044"/>
    <w:multiLevelType w:val="hybridMultilevel"/>
    <w:lvl w:ilvl="0">
      <w:lvlJc w:val="left"/>
      <w:lvlText w:val="%1"/>
      <w:numFmt w:val="lowerLetter"/>
      <w:start w:val="1"/>
    </w:lvl>
    <w:lvl w:ilvl="1">
      <w:lvlJc w:val="left"/>
      <w:lvlText w:val="(%2)"/>
      <w:numFmt w:val="decimal"/>
      <w:start w:val="2"/>
    </w:lvl>
  </w:abstractNum>
  <w:abstractNum w:abstractNumId="133">
    <w:nsid w:val="1CDCE2DE"/>
    <w:multiLevelType w:val="hybridMultilevel"/>
    <w:lvl w:ilvl="0">
      <w:lvlJc w:val="left"/>
      <w:lvlText w:val="(%1)"/>
      <w:numFmt w:val="lowerLetter"/>
      <w:start w:val="7"/>
    </w:lvl>
    <w:lvl w:ilvl="1">
      <w:lvlJc w:val="left"/>
      <w:lvlText w:val="(%2)"/>
      <w:numFmt w:val="decimal"/>
      <w:start w:val="1"/>
    </w:lvl>
  </w:abstractNum>
  <w:abstractNum w:abstractNumId="134">
    <w:nsid w:val="69D3947C"/>
    <w:multiLevelType w:val="hybridMultilevel"/>
    <w:lvl w:ilvl="0">
      <w:lvlJc w:val="left"/>
      <w:lvlText w:val="%1"/>
      <w:numFmt w:val="lowerLetter"/>
      <w:start w:val="1"/>
    </w:lvl>
    <w:lvl w:ilvl="1">
      <w:lvlJc w:val="left"/>
      <w:lvlText w:val="(%2)"/>
      <w:numFmt w:val="decimal"/>
      <w:start w:val="4"/>
    </w:lvl>
  </w:abstractNum>
  <w:abstractNum w:abstractNumId="135">
    <w:nsid w:val="2539DFA5"/>
    <w:multiLevelType w:val="hybridMultilevel"/>
    <w:lvl w:ilvl="0">
      <w:lvlJc w:val="left"/>
      <w:lvlText w:val="(%1)"/>
      <w:numFmt w:val="lowerLetter"/>
      <w:start w:val="8"/>
    </w:lvl>
    <w:lvl w:ilvl="1">
      <w:lvlJc w:val="left"/>
      <w:lvlText w:val="%2"/>
      <w:numFmt w:val="decimal"/>
      <w:start w:val="1"/>
    </w:lvl>
  </w:abstractNum>
  <w:abstractNum w:abstractNumId="136">
    <w:nsid w:val="2DB88089"/>
    <w:multiLevelType w:val="hybridMultilevel"/>
    <w:lvl w:ilvl="0">
      <w:lvlJc w:val="left"/>
      <w:lvlText w:val="2"/>
      <w:numFmt w:val="bullet"/>
      <w:start w:val="1"/>
    </w:lvl>
  </w:abstractNum>
  <w:abstractNum w:abstractNumId="137">
    <w:nsid w:val="706B674E"/>
    <w:multiLevelType w:val="hybridMultilevel"/>
    <w:lvl w:ilvl="0">
      <w:lvlJc w:val="left"/>
      <w:lvlText w:val="3"/>
      <w:numFmt w:val="bullet"/>
      <w:start w:val="1"/>
    </w:lvl>
    <w:lvl w:ilvl="1">
      <w:lvlJc w:val="left"/>
      <w:lvlText w:val="(%2)"/>
      <w:numFmt w:val="lowerLetter"/>
      <w:start w:val="1"/>
    </w:lvl>
    <w:lvl w:ilvl="2">
      <w:lvlJc w:val="left"/>
      <w:lvlText w:val="(%3)"/>
      <w:numFmt w:val="decimal"/>
      <w:start w:val="1"/>
    </w:lvl>
  </w:abstractNum>
  <w:abstractNum w:abstractNumId="138">
    <w:nsid w:val="2C106A57"/>
    <w:multiLevelType w:val="hybridMultilevel"/>
    <w:lvl w:ilvl="0">
      <w:lvlJc w:val="left"/>
      <w:lvlText w:val="(%1)"/>
      <w:numFmt w:val="lowerLetter"/>
      <w:start w:val="3"/>
    </w:lvl>
  </w:abstractNum>
  <w:abstractNum w:abstractNumId="139">
    <w:nsid w:val="684EED59"/>
    <w:multiLevelType w:val="hybridMultilevel"/>
    <w:lvl w:ilvl="0">
      <w:lvlJc w:val="left"/>
      <w:lvlText w:val="4"/>
      <w:numFmt w:val="bullet"/>
      <w:start w:val="1"/>
    </w:lvl>
  </w:abstractNum>
  <w:abstractNum w:abstractNumId="140">
    <w:nsid w:val="545EE5D3"/>
    <w:multiLevelType w:val="hybridMultilevel"/>
    <w:lvl w:ilvl="0">
      <w:lvlJc w:val="left"/>
      <w:lvlText w:val="(%1)"/>
      <w:numFmt w:val="lowerLetter"/>
      <w:start w:val="1"/>
    </w:lvl>
  </w:abstractNum>
  <w:abstractNum w:abstractNumId="141">
    <w:nsid w:val="4A66051"/>
    <w:multiLevelType w:val="hybridMultilevel"/>
    <w:lvl w:ilvl="0">
      <w:lvlJc w:val="left"/>
      <w:lvlText w:val="(%1)"/>
      <w:numFmt w:val="lowerLetter"/>
      <w:start w:val="2"/>
    </w:lvl>
  </w:abstractNum>
  <w:abstractNum w:abstractNumId="142">
    <w:nsid w:val="20F4BDAD"/>
    <w:multiLevelType w:val="hybridMultilevel"/>
    <w:lvl w:ilvl="0">
      <w:lvlJc w:val="left"/>
      <w:lvlText w:val="1"/>
      <w:numFmt w:val="bullet"/>
      <w:start w:val="1"/>
    </w:lvl>
  </w:abstractNum>
  <w:abstractNum w:abstractNumId="143">
    <w:nsid w:val="639DEFAC"/>
    <w:multiLevelType w:val="hybridMultilevel"/>
    <w:lvl w:ilvl="0">
      <w:lvlJc w:val="left"/>
      <w:lvlText w:val="2"/>
      <w:numFmt w:val="bullet"/>
      <w:start w:val="1"/>
    </w:lvl>
  </w:abstractNum>
  <w:abstractNum w:abstractNumId="144">
    <w:nsid w:val="501F9786"/>
    <w:multiLevelType w:val="hybridMultilevel"/>
    <w:lvl w:ilvl="0">
      <w:lvlJc w:val="left"/>
      <w:lvlText w:val="(%1)"/>
      <w:numFmt w:val="lowerLetter"/>
      <w:start w:val="1"/>
    </w:lvl>
    <w:lvl w:ilvl="1">
      <w:lvlJc w:val="left"/>
      <w:lvlText w:val="(%2)"/>
      <w:numFmt w:val="decimal"/>
      <w:start w:val="1"/>
    </w:lvl>
  </w:abstractNum>
  <w:abstractNum w:abstractNumId="145">
    <w:nsid w:val="6B057295"/>
    <w:multiLevelType w:val="hybridMultilevel"/>
    <w:lvl w:ilvl="0">
      <w:lvlJc w:val="left"/>
      <w:lvlText w:val="(%1)"/>
      <w:numFmt w:val="lowerLetter"/>
      <w:start w:val="3"/>
    </w:lvl>
  </w:abstractNum>
  <w:abstractNum w:abstractNumId="146">
    <w:nsid w:val="2771AC80"/>
    <w:multiLevelType w:val="hybridMultilevel"/>
    <w:lvl w:ilvl="0">
      <w:lvlJc w:val="left"/>
      <w:lvlText w:val="(%1)"/>
      <w:numFmt w:val="lowerLetter"/>
      <w:start w:val="4"/>
    </w:lvl>
  </w:abstractNum>
  <w:abstractNum w:abstractNumId="147">
    <w:nsid w:val="1C4A08EC"/>
    <w:multiLevelType w:val="hybridMultilevel"/>
    <w:lvl w:ilvl="0">
      <w:lvlJc w:val="left"/>
      <w:lvlText w:val="3"/>
      <w:numFmt w:val="bullet"/>
      <w:start w:val="1"/>
    </w:lvl>
  </w:abstractNum>
  <w:abstractNum w:abstractNumId="148">
    <w:nsid w:val="1958BD17"/>
    <w:multiLevelType w:val="hybridMultilevel"/>
    <w:lvl w:ilvl="0">
      <w:lvlJc w:val="left"/>
      <w:lvlText w:val="4"/>
      <w:numFmt w:val="bullet"/>
      <w:start w:val="1"/>
    </w:lvl>
  </w:abstractNum>
  <w:abstractNum w:abstractNumId="149">
    <w:nsid w:val="4E647FE4"/>
    <w:multiLevelType w:val="hybridMultilevel"/>
    <w:lvl w:ilvl="0">
      <w:lvlJc w:val="left"/>
      <w:lvlText w:val="5"/>
      <w:numFmt w:val="bullet"/>
      <w:start w:val="1"/>
    </w:lvl>
  </w:abstractNum>
  <w:abstractNum w:abstractNumId="150">
    <w:nsid w:val="E0BB885"/>
    <w:multiLevelType w:val="hybridMultilevel"/>
    <w:lvl w:ilvl="0">
      <w:lvlJc w:val="left"/>
      <w:lvlText w:val="6"/>
      <w:numFmt w:val="bullet"/>
      <w:start w:val="1"/>
    </w:lvl>
  </w:abstractNum>
  <w:abstractNum w:abstractNumId="151">
    <w:nsid w:val="565976F1"/>
    <w:multiLevelType w:val="hybridMultilevel"/>
    <w:lvl w:ilvl="0">
      <w:lvlJc w:val="left"/>
      <w:lvlText w:val="(%1)"/>
      <w:numFmt w:val="lowerLetter"/>
      <w:start w:val="1"/>
    </w:lvl>
  </w:abstractNum>
  <w:abstractNum w:abstractNumId="152">
    <w:nsid w:val="64212B8C"/>
    <w:multiLevelType w:val="hybridMultilevel"/>
    <w:lvl w:ilvl="0">
      <w:lvlJc w:val="left"/>
      <w:lvlText w:val="7"/>
      <w:numFmt w:val="bullet"/>
      <w:start w:val="1"/>
    </w:lvl>
  </w:abstractNum>
  <w:abstractNum w:abstractNumId="153">
    <w:nsid w:val="5C17530C"/>
    <w:multiLevelType w:val="hybridMultilevel"/>
    <w:lvl w:ilvl="0">
      <w:lvlJc w:val="left"/>
      <w:lvlText w:val="8"/>
      <w:numFmt w:val="bullet"/>
      <w:start w:val="1"/>
    </w:lvl>
  </w:abstractNum>
  <w:abstractNum w:abstractNumId="154">
    <w:nsid w:val="19A52566"/>
    <w:multiLevelType w:val="hybridMultilevel"/>
    <w:lvl w:ilvl="0">
      <w:lvlJc w:val="left"/>
      <w:lvlText w:val="1"/>
      <w:numFmt w:val="bullet"/>
      <w:start w:val="1"/>
    </w:lvl>
  </w:abstractNum>
  <w:abstractNum w:abstractNumId="155">
    <w:nsid w:val="335A1DF1"/>
    <w:multiLevelType w:val="hybridMultilevel"/>
    <w:lvl w:ilvl="0">
      <w:lvlJc w:val="left"/>
      <w:lvlText w:val="2"/>
      <w:numFmt w:val="bullet"/>
      <w:start w:val="1"/>
    </w:lvl>
    <w:lvl w:ilvl="1">
      <w:lvlJc w:val="left"/>
      <w:lvlText w:val="(%2)"/>
      <w:numFmt w:val="lowerLetter"/>
      <w:start w:val="1"/>
    </w:lvl>
  </w:abstractNum>
  <w:abstractNum w:abstractNumId="156">
    <w:nsid w:val="28677B7C"/>
    <w:multiLevelType w:val="hybridMultilevel"/>
    <w:lvl w:ilvl="0">
      <w:lvlJc w:val="left"/>
      <w:lvlText w:val="3"/>
      <w:numFmt w:val="bullet"/>
      <w:start w:val="1"/>
    </w:lvl>
  </w:abstractNum>
  <w:abstractNum w:abstractNumId="157">
    <w:nsid w:val="378D97C0"/>
    <w:multiLevelType w:val="hybridMultilevel"/>
    <w:lvl w:ilvl="0">
      <w:lvlJc w:val="left"/>
      <w:lvlText w:val="1"/>
      <w:numFmt w:val="bullet"/>
      <w:start w:val="1"/>
    </w:lvl>
    <w:lvl w:ilvl="1">
      <w:lvlJc w:val="left"/>
      <w:lvlText w:val="%2"/>
      <w:numFmt w:val="lowerLetter"/>
      <w:start w:val="1"/>
    </w:lvl>
    <w:lvl w:ilvl="2">
      <w:lvlJc w:val="left"/>
      <w:lvlText w:val="(%3)"/>
      <w:numFmt w:val="lowerLetter"/>
      <w:start w:val="1"/>
    </w:lvl>
  </w:abstractNum>
  <w:abstractNum w:abstractNumId="158">
    <w:nsid w:val="1D91467C"/>
    <w:multiLevelType w:val="hybridMultilevel"/>
    <w:lvl w:ilvl="0">
      <w:lvlJc w:val="left"/>
      <w:lvlText w:val="1"/>
      <w:numFmt w:val="bullet"/>
      <w:start w:val="1"/>
    </w:lvl>
    <w:lvl w:ilvl="1">
      <w:lvlJc w:val="left"/>
      <w:lvlText w:val="(%2)"/>
      <w:numFmt w:val="lowerLetter"/>
      <w:start w:val="2"/>
    </w:lvl>
    <w:lvl w:ilvl="2">
      <w:lvlJc w:val="left"/>
      <w:lvlText w:val="%3"/>
      <w:numFmt w:val="lowerLetter"/>
      <w:start w:val="1"/>
    </w:lvl>
  </w:abstractNum>
  <w:abstractNum w:abstractNumId="159">
    <w:nsid w:val="316032BB"/>
    <w:multiLevelType w:val="hybridMultilevel"/>
    <w:lvl w:ilvl="0">
      <w:lvlJc w:val="left"/>
      <w:lvlText w:val="2"/>
      <w:numFmt w:val="bullet"/>
      <w:start w:val="1"/>
    </w:lvl>
  </w:abstractNum>
  <w:abstractNum w:abstractNumId="160">
    <w:nsid w:val="44344C22"/>
    <w:multiLevelType w:val="hybridMultilevel"/>
    <w:lvl w:ilvl="0">
      <w:lvlJc w:val="left"/>
      <w:lvlText w:val="3"/>
      <w:numFmt w:val="bullet"/>
      <w:start w:val="1"/>
    </w:lvl>
  </w:abstractNum>
  <w:abstractNum w:abstractNumId="161">
    <w:nsid w:val="13CDFCFC"/>
    <w:multiLevelType w:val="hybridMultilevel"/>
    <w:lvl w:ilvl="0">
      <w:lvlJc w:val="left"/>
      <w:lvlText w:val="4"/>
      <w:numFmt w:val="bullet"/>
      <w:start w:val="1"/>
    </w:lvl>
  </w:abstractNum>
  <w:abstractNum w:abstractNumId="162">
    <w:nsid w:val="471745E4"/>
    <w:multiLevelType w:val="hybridMultilevel"/>
    <w:lvl w:ilvl="0">
      <w:lvlJc w:val="left"/>
      <w:lvlText w:val="5"/>
      <w:numFmt w:val="bullet"/>
      <w:start w:val="1"/>
    </w:lvl>
  </w:abstractNum>
  <w:abstractNum w:abstractNumId="163">
    <w:nsid w:val="1DDBC66"/>
    <w:multiLevelType w:val="hybridMultilevel"/>
    <w:lvl w:ilvl="0">
      <w:lvlJc w:val="left"/>
      <w:lvlText w:val="(%1)"/>
      <w:numFmt w:val="lowerLetter"/>
      <w:start w:val="1"/>
    </w:lvl>
  </w:abstractNum>
  <w:abstractNum w:abstractNumId="164">
    <w:nsid w:val="30AADFDA"/>
    <w:multiLevelType w:val="hybridMultilevel"/>
    <w:lvl w:ilvl="0">
      <w:lvlJc w:val="left"/>
      <w:lvlText w:val="1"/>
      <w:numFmt w:val="bullet"/>
      <w:start w:val="1"/>
    </w:lvl>
  </w:abstractNum>
  <w:abstractNum w:abstractNumId="165">
    <w:nsid w:val="30EADA61"/>
    <w:multiLevelType w:val="hybridMultilevel"/>
    <w:lvl w:ilvl="0">
      <w:lvlJc w:val="left"/>
      <w:lvlText w:val="2"/>
      <w:numFmt w:val="bullet"/>
      <w:start w:val="1"/>
    </w:lvl>
    <w:lvl w:ilvl="1">
      <w:lvlJc w:val="left"/>
      <w:lvlText w:val="(%2)"/>
      <w:numFmt w:val="lowerLetter"/>
      <w:start w:val="1"/>
    </w:lvl>
  </w:abstractNum>
  <w:abstractNum w:abstractNumId="166">
    <w:nsid w:val="27179C0B"/>
    <w:multiLevelType w:val="hybridMultilevel"/>
    <w:lvl w:ilvl="0">
      <w:lvlJc w:val="left"/>
      <w:lvlText w:val="3"/>
      <w:numFmt w:val="bullet"/>
      <w:start w:val="1"/>
    </w:lvl>
  </w:abstractNum>
  <w:abstractNum w:abstractNumId="167">
    <w:nsid w:val="5E636063"/>
    <w:multiLevelType w:val="hybridMultilevel"/>
    <w:lvl w:ilvl="0">
      <w:lvlJc w:val="left"/>
      <w:lvlText w:val="1"/>
      <w:numFmt w:val="bullet"/>
      <w:start w:val="1"/>
    </w:lvl>
  </w:abstractNum>
  <w:abstractNum w:abstractNumId="168">
    <w:nsid w:val="215641AF"/>
    <w:multiLevelType w:val="hybridMultilevel"/>
    <w:lvl w:ilvl="0">
      <w:lvlJc w:val="left"/>
      <w:lvlText w:val="2"/>
      <w:numFmt w:val="bullet"/>
      <w:start w:val="1"/>
    </w:lvl>
  </w:abstractNum>
  <w:abstractNum w:abstractNumId="169">
    <w:nsid w:val="53280662"/>
    <w:multiLevelType w:val="hybridMultilevel"/>
    <w:lvl w:ilvl="0">
      <w:lvlJc w:val="left"/>
      <w:lvlText w:val="3"/>
      <w:numFmt w:val="bullet"/>
      <w:start w:val="1"/>
    </w:lvl>
  </w:abstractNum>
  <w:abstractNum w:abstractNumId="170">
    <w:nsid w:val="46B24DBC"/>
    <w:multiLevelType w:val="hybridMultilevel"/>
    <w:lvl w:ilvl="0">
      <w:lvlJc w:val="left"/>
      <w:lvlText w:val="4"/>
      <w:numFmt w:val="bullet"/>
      <w:start w:val="1"/>
    </w:lvl>
  </w:abstractNum>
  <w:abstractNum w:abstractNumId="171">
    <w:nsid w:val="75B52783"/>
    <w:multiLevelType w:val="hybridMultilevel"/>
    <w:lvl w:ilvl="0">
      <w:lvlJc w:val="left"/>
      <w:lvlText w:val="5"/>
      <w:numFmt w:val="bullet"/>
      <w:start w:val="1"/>
    </w:lvl>
    <w:lvl w:ilvl="1">
      <w:lvlJc w:val="left"/>
      <w:lvlText w:val="(%2)"/>
      <w:numFmt w:val="lowerLetter"/>
      <w:start w:val="1"/>
    </w:lvl>
  </w:abstractNum>
  <w:abstractNum w:abstractNumId="172">
    <w:nsid w:val="57CE66B4"/>
    <w:multiLevelType w:val="hybridMultilevel"/>
    <w:lvl w:ilvl="0">
      <w:lvlJc w:val="left"/>
      <w:lvlText w:val="(%1)"/>
      <w:numFmt w:val="lowerLetter"/>
      <w:start w:val="1"/>
    </w:lvl>
  </w:abstractNum>
  <w:abstractNum w:abstractNumId="173">
    <w:nsid w:val="67A70B69"/>
    <w:multiLevelType w:val="hybridMultilevel"/>
    <w:lvl w:ilvl="0">
      <w:lvlJc w:val="left"/>
      <w:lvlText w:val="(%1)"/>
      <w:numFmt w:val="lowerLetter"/>
      <w:start w:val="6"/>
    </w:lvl>
  </w:abstractNum>
  <w:abstractNum w:abstractNumId="174">
    <w:nsid w:val="5953172F"/>
    <w:multiLevelType w:val="hybridMultilevel"/>
    <w:lvl w:ilvl="0">
      <w:lvlJc w:val="left"/>
      <w:lvlText w:val="2"/>
      <w:numFmt w:val="bullet"/>
      <w:start w:val="1"/>
    </w:lvl>
    <w:lvl w:ilvl="1">
      <w:lvlJc w:val="left"/>
      <w:lvlText w:val="(%2)"/>
      <w:numFmt w:val="lowerLetter"/>
      <w:start w:val="1"/>
    </w:lvl>
    <w:lvl w:ilvl="2">
      <w:lvlJc w:val="left"/>
      <w:lvlText w:val="(%3)"/>
      <w:numFmt w:val="decimal"/>
      <w:start w:val="1"/>
    </w:lvl>
  </w:abstractNum>
  <w:abstractNum w:abstractNumId="175">
    <w:nsid w:val="27EDFE3A"/>
    <w:multiLevelType w:val="hybridMultilevel"/>
    <w:lvl w:ilvl="0">
      <w:lvlJc w:val="left"/>
      <w:lvlText w:val="3"/>
      <w:numFmt w:val="bullet"/>
      <w:start w:val="1"/>
    </w:lvl>
    <w:lvl w:ilvl="1">
      <w:lvlJc w:val="left"/>
      <w:lvlText w:val="(%2)"/>
      <w:numFmt w:val="lowerLetter"/>
      <w:start w:val="1"/>
    </w:lvl>
  </w:abstractNum>
  <w:abstractNum w:abstractNumId="176">
    <w:nsid w:val="52AC7DFF"/>
    <w:multiLevelType w:val="hybridMultilevel"/>
    <w:lvl w:ilvl="0">
      <w:lvlJc w:val="left"/>
      <w:lvlText w:val="(%1)"/>
      <w:numFmt w:val="lowerLetter"/>
      <w:start w:val="3"/>
    </w:lvl>
  </w:abstractNum>
  <w:abstractNum w:abstractNumId="177">
    <w:nsid w:val="C4C3AF"/>
    <w:multiLevelType w:val="hybridMultilevel"/>
    <w:lvl w:ilvl="0">
      <w:lvlJc w:val="left"/>
      <w:lvlText w:val="4"/>
      <w:numFmt w:val="bullet"/>
      <w:start w:val="1"/>
    </w:lvl>
  </w:abstractNum>
  <w:abstractNum w:abstractNumId="178">
    <w:nsid w:val="44380727"/>
    <w:multiLevelType w:val="hybridMultilevel"/>
    <w:lvl w:ilvl="0">
      <w:lvlJc w:val="left"/>
      <w:lvlText w:val="5"/>
      <w:numFmt w:val="bullet"/>
      <w:start w:val="1"/>
    </w:lvl>
    <w:lvl w:ilvl="1">
      <w:lvlJc w:val="left"/>
      <w:lvlText w:val="(%2)"/>
      <w:numFmt w:val="lowerLetter"/>
      <w:start w:val="1"/>
    </w:lvl>
  </w:abstractNum>
  <w:abstractNum w:abstractNumId="179">
    <w:nsid w:val="6C053B16"/>
    <w:multiLevelType w:val="hybridMultilevel"/>
    <w:lvl w:ilvl="0">
      <w:lvlJc w:val="left"/>
      <w:lvlText w:val="(%1)"/>
      <w:numFmt w:val="lowerLetter"/>
      <w:start w:val="3"/>
    </w:lvl>
  </w:abstractNum>
  <w:abstractNum w:abstractNumId="180">
    <w:nsid w:val="4F294393"/>
    <w:multiLevelType w:val="hybridMultilevel"/>
    <w:lvl w:ilvl="0">
      <w:lvlJc w:val="left"/>
      <w:lvlText w:val="(%1)"/>
      <w:numFmt w:val="lowerLetter"/>
      <w:start w:val="2"/>
    </w:lvl>
  </w:abstractNum>
  <w:abstractNum w:abstractNumId="181">
    <w:nsid w:val="5243BFAC"/>
    <w:multiLevelType w:val="hybridMultilevel"/>
    <w:lvl w:ilvl="0">
      <w:lvlJc w:val="left"/>
      <w:lvlText w:val="%1"/>
      <w:numFmt w:val="decimal"/>
      <w:start w:val="2"/>
    </w:lvl>
  </w:abstractNum>
  <w:abstractNum w:abstractNumId="182">
    <w:nsid w:val="425EB207"/>
    <w:multiLevelType w:val="hybridMultilevel"/>
    <w:lvl w:ilvl="0">
      <w:lvlJc w:val="left"/>
      <w:lvlText w:val="(%1)"/>
      <w:numFmt w:val="lowerLetter"/>
      <w:start w:val="1"/>
    </w:lvl>
  </w:abstractNum>
  <w:abstractNum w:abstractNumId="183">
    <w:nsid w:val="334A6F1F"/>
    <w:multiLevelType w:val="hybridMultilevel"/>
    <w:lvl w:ilvl="0">
      <w:lvlJc w:val="left"/>
      <w:lvlText w:val="(%1)"/>
      <w:numFmt w:val="lowerLetter"/>
      <w:start w:val="9"/>
    </w:lvl>
    <w:lvl w:ilvl="1">
      <w:lvlJc w:val="left"/>
      <w:lvlText w:val="(%2)"/>
      <w:numFmt w:val="decimal"/>
      <w:start w:val="1"/>
    </w:lvl>
  </w:abstractNum>
  <w:abstractNum w:abstractNumId="184">
    <w:nsid w:val="2E5B12B8"/>
    <w:multiLevelType w:val="hybridMultilevel"/>
    <w:lvl w:ilvl="0">
      <w:lvlJc w:val="left"/>
      <w:lvlText w:val="%1"/>
      <w:numFmt w:val="decimal"/>
      <w:start w:val="3"/>
    </w:lvl>
  </w:abstractNum>
  <w:abstractNum w:abstractNumId="185">
    <w:nsid w:val="5C03D76D"/>
    <w:multiLevelType w:val="hybridMultilevel"/>
    <w:lvl w:ilvl="0">
      <w:lvlJc w:val="left"/>
      <w:lvlText w:val="(%1)"/>
      <w:numFmt w:val="lowerLetter"/>
      <w:start w:val="1"/>
    </w:lvl>
  </w:abstractNum>
  <w:abstractNum w:abstractNumId="186">
    <w:nsid w:val="66A48D11"/>
    <w:multiLevelType w:val="hybridMultilevel"/>
    <w:lvl w:ilvl="0">
      <w:lvlJc w:val="left"/>
      <w:lvlText w:val="%1"/>
      <w:numFmt w:val="decimal"/>
      <w:start w:val="4"/>
    </w:lvl>
  </w:abstractNum>
  <w:abstractNum w:abstractNumId="187">
    <w:nsid w:val="56C28E34"/>
    <w:multiLevelType w:val="hybridMultilevel"/>
    <w:lvl w:ilvl="0">
      <w:lvlJc w:val="left"/>
      <w:lvlText w:val="•"/>
      <w:numFmt w:val="bullet"/>
      <w:start w:val="1"/>
    </w:lvl>
  </w:abstractNum>
  <w:abstractNum w:abstractNumId="188">
    <w:nsid w:val="13916F2D"/>
    <w:multiLevelType w:val="hybridMultilevel"/>
    <w:lvl w:ilvl="0">
      <w:lvlJc w:val="left"/>
      <w:lvlText w:val="•"/>
      <w:numFmt w:val="bullet"/>
      <w:start w:val="1"/>
    </w:lvl>
  </w:abstractNum>
  <w:abstractNum w:abstractNumId="189">
    <w:nsid w:val="435D38D"/>
    <w:multiLevelType w:val="hybridMultilevel"/>
    <w:lvl w:ilvl="0">
      <w:lvlJc w:val="left"/>
      <w:lvlText w:val="•"/>
      <w:numFmt w:val="bullet"/>
      <w:start w:val="1"/>
    </w:lvl>
  </w:abstractNum>
  <w:abstractNum w:abstractNumId="190">
    <w:nsid w:val="822C0EF"/>
    <w:multiLevelType w:val="hybridMultilevel"/>
    <w:lvl w:ilvl="0">
      <w:lvlJc w:val="left"/>
      <w:lvlText w:val="•"/>
      <w:numFmt w:val="bullet"/>
      <w:start w:val="1"/>
    </w:lvl>
  </w:abstractNum>
  <w:abstractNum w:abstractNumId="191">
    <w:nsid w:val="57C5BB4F"/>
    <w:multiLevelType w:val="hybridMultilevel"/>
    <w:lvl w:ilvl="0">
      <w:lvlJc w:val="left"/>
      <w:lvlText w:val="•"/>
      <w:numFmt w:val="bullet"/>
      <w:start w:val="1"/>
    </w:lvl>
  </w:abstractNum>
  <w:abstractNum w:abstractNumId="192">
    <w:nsid w:val="1803D089"/>
    <w:multiLevelType w:val="hybridMultilevel"/>
    <w:lvl w:ilvl="0">
      <w:lvlJc w:val="left"/>
      <w:lvlText w:val="(%1)"/>
      <w:numFmt w:val="lowerLetter"/>
      <w:start w:val="1"/>
    </w:lvl>
  </w:abstractNum>
  <w:abstractNum w:abstractNumId="193">
    <w:nsid w:val="4F3A06D4"/>
    <w:multiLevelType w:val="hybridMultilevel"/>
    <w:lvl w:ilvl="0">
      <w:lvlJc w:val="left"/>
      <w:lvlText w:val="(%1)"/>
      <w:numFmt w:val="lowerLetter"/>
      <w:start w:val="1"/>
    </w:lvl>
  </w:abstractNum>
  <w:abstractNum w:abstractNumId="194">
    <w:nsid w:val="59A377B6"/>
    <w:multiLevelType w:val="hybridMultilevel"/>
    <w:lvl w:ilvl="0">
      <w:lvlJc w:val="left"/>
      <w:lvlText w:val="(%1)"/>
      <w:numFmt w:val="lowerLetter"/>
      <w:start w:val="4"/>
    </w:lvl>
  </w:abstractNum>
  <w:abstractNum w:abstractNumId="195">
    <w:nsid w:val="48AEB063"/>
    <w:multiLevelType w:val="hybridMultilevel"/>
    <w:lvl w:ilvl="0">
      <w:lvlJc w:val="left"/>
      <w:lvlText w:val="(%1)"/>
      <w:numFmt w:val="lowerLetter"/>
      <w:start w:val="1"/>
    </w:lvl>
  </w:abstractNum>
  <w:abstractNum w:abstractNumId="196">
    <w:nsid w:val="24E135"/>
    <w:multiLevelType w:val="hybridMultilevel"/>
    <w:lvl w:ilvl="0">
      <w:lvlJc w:val="left"/>
      <w:lvlText w:val="(%1)"/>
      <w:numFmt w:val="lowerLetter"/>
      <w:start w:val="4"/>
    </w:lvl>
  </w:abstractNum>
  <w:abstractNum w:abstractNumId="197">
    <w:nsid w:val="BB13C1"/>
    <w:multiLevelType w:val="hybridMultilevel"/>
    <w:lvl w:ilvl="0">
      <w:lvlJc w:val="left"/>
      <w:lvlText w:val="(%1)"/>
      <w:numFmt w:val="lowerLetter"/>
      <w:start w:val="1"/>
    </w:lvl>
  </w:abstractNum>
  <w:abstractNum w:abstractNumId="198">
    <w:nsid w:val="271210C7"/>
    <w:multiLevelType w:val="hybridMultilevel"/>
    <w:lvl w:ilvl="0">
      <w:lvlJc w:val="left"/>
      <w:lvlText w:val="(%1)"/>
      <w:numFmt w:val="lowerLetter"/>
      <w:start w:val="1"/>
    </w:lvl>
  </w:abstractNum>
  <w:abstractNum w:abstractNumId="199">
    <w:nsid w:val="217B22E4"/>
    <w:multiLevelType w:val="hybridMultilevel"/>
    <w:lvl w:ilvl="0">
      <w:lvlJc w:val="left"/>
      <w:lvlText w:val="(%1)"/>
      <w:numFmt w:val="lowerLetter"/>
      <w:start w:val="11"/>
    </w:lvl>
  </w:abstractNum>
  <w:abstractNum w:abstractNumId="200">
    <w:nsid w:val="53E31A24"/>
    <w:multiLevelType w:val="hybridMultilevel"/>
    <w:lvl w:ilvl="0">
      <w:lvlJc w:val="left"/>
      <w:lvlText w:val="(%1)"/>
      <w:numFmt w:val="lowerLetter"/>
      <w:start w:val="1"/>
    </w:lvl>
  </w:abstractNum>
  <w:abstractNum w:abstractNumId="201">
    <w:nsid w:val="6DC45E83"/>
    <w:multiLevelType w:val="hybridMultilevel"/>
    <w:lvl w:ilvl="0">
      <w:lvlJc w:val="left"/>
      <w:lvlText w:val="%1."/>
      <w:numFmt w:val="decimal"/>
      <w:start w:val="1"/>
    </w:lvl>
  </w:abstractNum>
  <w:abstractNum w:abstractNumId="202">
    <w:nsid w:val="17304A67"/>
    <w:multiLevelType w:val="hybridMultilevel"/>
    <w:lvl w:ilvl="0">
      <w:lvlJc w:val="left"/>
      <w:lvlText w:val="(%1)"/>
      <w:numFmt w:val="lowerLetter"/>
      <w:start w:val="1"/>
    </w:lvl>
    <w:lvl w:ilvl="1">
      <w:lvlJc w:val="left"/>
      <w:lvlText w:val="(%2)"/>
      <w:numFmt w:val="lowerRoman"/>
      <w:start w:val="1"/>
    </w:lvl>
  </w:abstractNum>
  <w:abstractNum w:abstractNumId="203">
    <w:nsid w:val="2BB180D8"/>
    <w:multiLevelType w:val="hybridMultilevel"/>
    <w:lvl w:ilvl="0">
      <w:lvlJc w:val="left"/>
      <w:lvlText w:val="(%1)"/>
      <w:numFmt w:val="lowerLetter"/>
      <w:start w:val="3"/>
    </w:lvl>
  </w:abstractNum>
  <w:abstractNum w:abstractNumId="204">
    <w:nsid w:val="556B69ED"/>
    <w:multiLevelType w:val="hybridMultilevel"/>
    <w:lvl w:ilvl="0">
      <w:lvlJc w:val="left"/>
      <w:lvlText w:val="%1."/>
      <w:numFmt w:val="decimal"/>
      <w:start w:val="4"/>
    </w:lvl>
  </w:abstractNum>
  <w:abstractNum w:abstractNumId="205">
    <w:nsid w:val="70836196"/>
    <w:multiLevelType w:val="hybridMultilevel"/>
    <w:lvl w:ilvl="0">
      <w:lvlJc w:val="left"/>
      <w:lvlText w:val="%1."/>
      <w:numFmt w:val="decimal"/>
      <w:start w:val="5"/>
    </w:lvl>
  </w:abstractNum>
  <w:abstractNum w:abstractNumId="206">
    <w:nsid w:val="539F7F12"/>
    <w:multiLevelType w:val="hybridMultilevel"/>
    <w:lvl w:ilvl="0">
      <w:lvlJc w:val="left"/>
      <w:lvlText w:val="(%1)"/>
      <w:numFmt w:val="lowerLetter"/>
      <w:start w:val="1"/>
    </w:lvl>
  </w:abstractNum>
  <w:abstractNum w:abstractNumId="207">
    <w:nsid w:val="2817E7EC"/>
    <w:multiLevelType w:val="hybridMultilevel"/>
    <w:lvl w:ilvl="0">
      <w:lvlJc w:val="left"/>
      <w:lvlText w:val="(%1)"/>
      <w:numFmt w:val="lowerLetter"/>
      <w:start w:val="3"/>
    </w:lvl>
  </w:abstractNum>
  <w:abstractNum w:abstractNumId="208">
    <w:nsid w:val="71482545"/>
    <w:multiLevelType w:val="hybridMultilevel"/>
    <w:lvl w:ilvl="0">
      <w:lvlJc w:val="left"/>
      <w:lvlText w:val="%1."/>
      <w:numFmt w:val="decimal"/>
      <w:start w:val="7"/>
    </w:lvl>
  </w:abstractNum>
  <w:abstractNum w:abstractNumId="209">
    <w:nsid w:val="17D78639"/>
    <w:multiLevelType w:val="hybridMultilevel"/>
    <w:lvl w:ilvl="0">
      <w:lvlJc w:val="left"/>
      <w:lvlText w:val="(%1)"/>
      <w:numFmt w:val="lowerLetter"/>
      <w:start w:val="1"/>
    </w:lvl>
  </w:abstractNum>
  <w:abstractNum w:abstractNumId="210">
    <w:nsid w:val="141D2302"/>
    <w:multiLevelType w:val="hybridMultilevel"/>
    <w:lvl w:ilvl="0">
      <w:lvlJc w:val="left"/>
      <w:lvlText w:val="%1."/>
      <w:numFmt w:val="decimal"/>
      <w:start w:val="8"/>
    </w:lvl>
  </w:abstractNum>
  <w:abstractNum w:abstractNumId="211">
    <w:nsid w:val="407168D8"/>
    <w:multiLevelType w:val="hybridMultilevel"/>
    <w:lvl w:ilvl="0">
      <w:lvlJc w:val="left"/>
      <w:lvlText w:val="%1."/>
      <w:numFmt w:val="decimal"/>
      <w:start w:val="10"/>
    </w:lvl>
  </w:abstractNum>
  <w:abstractNum w:abstractNumId="212">
    <w:nsid w:val="6A1B45E5"/>
    <w:multiLevelType w:val="hybridMultilevel"/>
    <w:lvl w:ilvl="0">
      <w:lvlJc w:val="left"/>
      <w:lvlText w:val="(%1)"/>
      <w:numFmt w:val="lowerLetter"/>
      <w:start w:val="1"/>
    </w:lvl>
  </w:abstractNum>
  <w:abstractNum w:abstractNumId="213">
    <w:nsid w:val="567BD50A"/>
    <w:multiLevelType w:val="hybridMultilevel"/>
    <w:lvl w:ilvl="0">
      <w:lvlJc w:val="left"/>
      <w:lvlText w:val="(%1)"/>
      <w:numFmt w:val="lowerLetter"/>
      <w:start w:val="5"/>
    </w:lvl>
  </w:abstractNum>
  <w:abstractNum w:abstractNumId="214">
    <w:nsid w:val="73BBD7F8"/>
    <w:multiLevelType w:val="hybridMultilevel"/>
    <w:lvl w:ilvl="0">
      <w:lvlJc w:val="left"/>
      <w:lvlText w:val="%1."/>
      <w:numFmt w:val="decimal"/>
      <w:start w:val="11"/>
    </w:lvl>
  </w:abstractNum>
  <w:abstractNum w:abstractNumId="215">
    <w:nsid w:val="1876589D"/>
    <w:multiLevelType w:val="hybridMultilevel"/>
    <w:lvl w:ilvl="0">
      <w:lvlJc w:val="left"/>
      <w:lvlText w:val="%1."/>
      <w:numFmt w:val="decimal"/>
      <w:start w:val="12"/>
    </w:lvl>
  </w:abstractNum>
  <w:abstractNum w:abstractNumId="216">
    <w:nsid w:val="327FAC77"/>
    <w:multiLevelType w:val="hybridMultilevel"/>
    <w:lvl w:ilvl="0">
      <w:lvlJc w:val="left"/>
      <w:lvlText w:val="(%1)"/>
      <w:numFmt w:val="lowerLetter"/>
      <w:start w:val="1"/>
    </w:lvl>
  </w:abstractNum>
  <w:abstractNum w:abstractNumId="217">
    <w:nsid w:val="5A606509"/>
    <w:multiLevelType w:val="hybridMultilevel"/>
    <w:lvl w:ilvl="0">
      <w:lvlJc w:val="left"/>
      <w:lvlText w:val="(%1)"/>
      <w:numFmt w:val="lowerLetter"/>
      <w:start w:val="6"/>
    </w:lvl>
  </w:abstractNum>
  <w:abstractNum w:abstractNumId="218">
    <w:nsid w:val="6F38E6D1"/>
    <w:multiLevelType w:val="hybridMultilevel"/>
    <w:lvl w:ilvl="0">
      <w:lvlJc w:val="left"/>
      <w:lvlText w:val="(%1)"/>
      <w:numFmt w:val="lowerLetter"/>
      <w:start w:val="13"/>
    </w:lvl>
  </w:abstractNum>
  <w:abstractNum w:abstractNumId="219">
    <w:nsid w:val="46111BA5"/>
    <w:multiLevelType w:val="hybridMultilevel"/>
    <w:lvl w:ilvl="0">
      <w:lvlJc w:val="left"/>
      <w:lvlText w:val="%1."/>
      <w:numFmt w:val="decimal"/>
      <w:start w:val="1"/>
    </w:lvl>
  </w:abstractNum>
  <w:abstractNum w:abstractNumId="220">
    <w:nsid w:val="5E963896"/>
    <w:multiLevelType w:val="hybridMultilevel"/>
    <w:lvl w:ilvl="0">
      <w:lvlJc w:val="left"/>
      <w:lvlText w:val="(%1)"/>
      <w:numFmt w:val="lowerLetter"/>
      <w:start w:val="1"/>
    </w:lvl>
    <w:lvl w:ilvl="1">
      <w:lvlJc w:val="left"/>
      <w:lvlText w:val="(%2)"/>
      <w:numFmt w:val="lowerRoman"/>
      <w:start w:val="1"/>
    </w:lvl>
  </w:abstractNum>
  <w:abstractNum w:abstractNumId="221">
    <w:nsid w:val="775BA7C1"/>
    <w:multiLevelType w:val="hybridMultilevel"/>
    <w:lvl w:ilvl="0">
      <w:lvlJc w:val="left"/>
      <w:lvlText w:val="%1"/>
      <w:numFmt w:val="lowerLetter"/>
      <w:start w:val="1"/>
    </w:lvl>
    <w:lvl w:ilvl="1">
      <w:lvlJc w:val="left"/>
      <w:lvlText w:val="(%2)"/>
      <w:numFmt w:val="lowerRoman"/>
      <w:start w:val="3"/>
    </w:lvl>
  </w:abstractNum>
  <w:abstractNum w:abstractNumId="222">
    <w:nsid w:val="1DD6D6F4"/>
    <w:multiLevelType w:val="hybridMultilevel"/>
    <w:lvl w:ilvl="0">
      <w:lvlJc w:val="left"/>
      <w:lvlText w:val="(%1)"/>
      <w:numFmt w:val="lowerLetter"/>
      <w:start w:val="3"/>
    </w:lvl>
    <w:lvl w:ilvl="1">
      <w:lvlJc w:val="left"/>
      <w:lvlText w:val="%2"/>
      <w:numFmt w:val="lowerRoman"/>
      <w:start w:val="1"/>
    </w:lvl>
  </w:abstractNum>
  <w:abstractNum w:abstractNumId="223">
    <w:nsid w:val="769A091F"/>
    <w:multiLevelType w:val="hybridMultilevel"/>
    <w:lvl w:ilvl="0">
      <w:lvlJc w:val="left"/>
      <w:lvlText w:val="(%1)"/>
      <w:numFmt w:val="lowerLetter"/>
      <w:start w:val="4"/>
    </w:lvl>
  </w:abstractNum>
  <w:abstractNum w:abstractNumId="224">
    <w:nsid w:val="4695AE95"/>
    <w:multiLevelType w:val="hybridMultilevel"/>
    <w:lvl w:ilvl="0">
      <w:lvlJc w:val="left"/>
      <w:lvlText w:val="%1."/>
      <w:numFmt w:val="decimal"/>
      <w:start w:val="4"/>
    </w:lvl>
  </w:abstractNum>
  <w:abstractNum w:abstractNumId="225">
    <w:nsid w:val="777A4EAA"/>
    <w:multiLevelType w:val="hybridMultilevel"/>
    <w:lvl w:ilvl="0">
      <w:lvlJc w:val="left"/>
      <w:lvlText w:val="(%1)"/>
      <w:numFmt w:val="lowerLetter"/>
      <w:start w:val="1"/>
    </w:lvl>
  </w:abstractNum>
  <w:abstractNum w:abstractNumId="226">
    <w:nsid w:val="3F48B982"/>
    <w:multiLevelType w:val="hybridMultilevel"/>
    <w:lvl w:ilvl="0">
      <w:lvlJc w:val="left"/>
      <w:lvlText w:val="%1."/>
      <w:numFmt w:val="decimal"/>
      <w:start w:val="5"/>
    </w:lvl>
  </w:abstractNum>
  <w:abstractNum w:abstractNumId="227">
    <w:nsid w:val="46BA8FCA"/>
    <w:multiLevelType w:val="hybridMultilevel"/>
    <w:lvl w:ilvl="0">
      <w:lvlJc w:val="left"/>
      <w:lvlText w:val="(%1)"/>
      <w:numFmt w:val="lowerLetter"/>
      <w:start w:val="1"/>
    </w:lvl>
  </w:abstractNum>
  <w:abstractNum w:abstractNumId="228">
    <w:nsid w:val="7835626C"/>
    <w:multiLevelType w:val="hybridMultilevel"/>
    <w:lvl w:ilvl="0">
      <w:lvlJc w:val="left"/>
      <w:lvlText w:val="%1."/>
      <w:numFmt w:val="decimal"/>
      <w:start w:val="7"/>
    </w:lvl>
  </w:abstractNum>
  <w:abstractNum w:abstractNumId="229">
    <w:nsid w:val="665ACA49"/>
    <w:multiLevelType w:val="hybridMultilevel"/>
    <w:lvl w:ilvl="0">
      <w:lvlJc w:val="left"/>
      <w:lvlText w:val="(%1)"/>
      <w:numFmt w:val="lowerLetter"/>
      <w:start w:val="1"/>
    </w:lvl>
  </w:abstractNum>
  <w:abstractNum w:abstractNumId="230">
    <w:nsid w:val="6835B2AE"/>
    <w:multiLevelType w:val="hybridMultilevel"/>
    <w:lvl w:ilvl="0">
      <w:lvlJc w:val="left"/>
      <w:lvlText w:val="%1."/>
      <w:numFmt w:val="decimal"/>
      <w:start w:val="8"/>
    </w:lvl>
  </w:abstractNum>
  <w:abstractNum w:abstractNumId="231">
    <w:nsid w:val="4C187C90"/>
    <w:multiLevelType w:val="hybridMultilevel"/>
    <w:lvl w:ilvl="0">
      <w:lvlJc w:val="left"/>
      <w:lvlText w:val="%1."/>
      <w:numFmt w:val="decimal"/>
      <w:start w:val="10"/>
    </w:lvl>
  </w:abstractNum>
  <w:abstractNum w:abstractNumId="232">
    <w:nsid w:val="541F28CD"/>
    <w:multiLevelType w:val="hybridMultilevel"/>
    <w:lvl w:ilvl="0">
      <w:lvlJc w:val="left"/>
      <w:lvlText w:val="(%1)"/>
      <w:numFmt w:val="lowerLetter"/>
      <w:start w:val="1"/>
    </w:lvl>
  </w:abstractNum>
  <w:abstractNum w:abstractNumId="233">
    <w:nsid w:val="7F65FD16"/>
    <w:multiLevelType w:val="hybridMultilevel"/>
    <w:lvl w:ilvl="0">
      <w:lvlJc w:val="left"/>
      <w:lvlText w:val="(%1)"/>
      <w:numFmt w:val="lowerLetter"/>
      <w:start w:val="7"/>
    </w:lvl>
  </w:abstractNum>
  <w:abstractNum w:abstractNumId="234">
    <w:nsid w:val="77C9FD68"/>
    <w:multiLevelType w:val="hybridMultilevel"/>
    <w:lvl w:ilvl="0">
      <w:lvlJc w:val="left"/>
      <w:lvlText w:val="%1."/>
      <w:numFmt w:val="decimal"/>
      <w:start w:val="11"/>
    </w:lvl>
  </w:abstractNum>
  <w:abstractNum w:abstractNumId="235">
    <w:nsid w:val="298A92BA"/>
    <w:multiLevelType w:val="hybridMultilevel"/>
    <w:lvl w:ilvl="0">
      <w:lvlJc w:val="left"/>
      <w:lvlText w:val="(%1)"/>
      <w:numFmt w:val="lowerLetter"/>
      <w:start w:val="1"/>
    </w:lvl>
  </w:abstractNum>
  <w:abstractNum w:abstractNumId="236">
    <w:nsid w:val="6FE95EAC"/>
    <w:multiLevelType w:val="hybridMultilevel"/>
    <w:lvl w:ilvl="0">
      <w:lvlJc w:val="left"/>
      <w:lvlText w:val="(%1)"/>
      <w:numFmt w:val="lowerLetter"/>
      <w:start w:val="3"/>
    </w:lvl>
  </w:abstractNum>
  <w:abstractNum w:abstractNumId="237">
    <w:nsid w:val="4B697C7A"/>
    <w:multiLevelType w:val="hybridMultilevel"/>
    <w:lvl w:ilvl="0">
      <w:lvlJc w:val="left"/>
      <w:lvlText w:val="(%1)"/>
      <w:numFmt w:val="lowerLetter"/>
      <w:start w:val="8"/>
    </w:lvl>
  </w:abstractNum>
  <w:abstractNum w:abstractNumId="238">
    <w:nsid w:val="51A27AA6"/>
    <w:multiLevelType w:val="hybridMultilevel"/>
    <w:lvl w:ilvl="0">
      <w:lvlJc w:val="left"/>
      <w:lvlText w:val="(%1)"/>
      <w:numFmt w:val="lowerLetter"/>
      <w:start w:val="16"/>
    </w:lvl>
  </w:abstractNum>
  <w:abstractNum w:abstractNumId="239">
    <w:nsid w:val="613183F2"/>
    <w:multiLevelType w:val="hybridMultilevel"/>
    <w:lvl w:ilvl="0">
      <w:lvlJc w:val="left"/>
      <w:lvlText w:val="%1."/>
      <w:numFmt w:val="decimal"/>
      <w:start w:val="1"/>
    </w:lvl>
  </w:abstractNum>
  <w:abstractNum w:abstractNumId="240">
    <w:nsid w:val="634102B4"/>
    <w:multiLevelType w:val="hybridMultilevel"/>
    <w:lvl w:ilvl="0">
      <w:lvlJc w:val="left"/>
      <w:lvlText w:val="(%1)"/>
      <w:numFmt w:val="lowerLetter"/>
      <w:start w:val="1"/>
    </w:lvl>
    <w:lvl w:ilvl="1">
      <w:lvlJc w:val="left"/>
      <w:lvlText w:val="(%2)"/>
      <w:numFmt w:val="lowerRoman"/>
      <w:start w:val="1"/>
    </w:lvl>
  </w:abstractNum>
  <w:abstractNum w:abstractNumId="241">
    <w:nsid w:val="65BF9DA8"/>
    <w:multiLevelType w:val="hybridMultilevel"/>
    <w:lvl w:ilvl="0">
      <w:lvlJc w:val="left"/>
      <w:lvlText w:val="%1"/>
      <w:numFmt w:val="lowerLetter"/>
      <w:start w:val="1"/>
    </w:lvl>
    <w:lvl w:ilvl="1">
      <w:lvlJc w:val="left"/>
      <w:lvlText w:val="(%2)"/>
      <w:numFmt w:val="lowerRoman"/>
      <w:start w:val="3"/>
    </w:lvl>
  </w:abstractNum>
  <w:abstractNum w:abstractNumId="242">
    <w:nsid w:val="21A2ECCA"/>
    <w:multiLevelType w:val="hybridMultilevel"/>
    <w:lvl w:ilvl="0">
      <w:lvlJc w:val="left"/>
      <w:lvlText w:val="(%1)"/>
      <w:numFmt w:val="lowerLetter"/>
      <w:start w:val="3"/>
    </w:lvl>
    <w:lvl w:ilvl="1">
      <w:lvlJc w:val="left"/>
      <w:lvlText w:val="%2"/>
      <w:numFmt w:val="lowerRoman"/>
      <w:start w:val="1"/>
    </w:lvl>
  </w:abstractNum>
  <w:abstractNum w:abstractNumId="243">
    <w:nsid w:val="4D5C4899"/>
    <w:multiLevelType w:val="hybridMultilevel"/>
    <w:lvl w:ilvl="0">
      <w:lvlJc w:val="left"/>
      <w:lvlText w:val="(%1)"/>
      <w:numFmt w:val="lowerLetter"/>
      <w:start w:val="6"/>
    </w:lvl>
  </w:abstractNum>
  <w:abstractNum w:abstractNumId="244">
    <w:nsid w:val="3C3B72B2"/>
    <w:multiLevelType w:val="hybridMultilevel"/>
    <w:lvl w:ilvl="0">
      <w:lvlJc w:val="left"/>
      <w:lvlText w:val="%1."/>
      <w:numFmt w:val="decimal"/>
      <w:start w:val="4"/>
    </w:lvl>
  </w:abstractNum>
  <w:abstractNum w:abstractNumId="245">
    <w:nsid w:val="155EC4C2"/>
    <w:multiLevelType w:val="hybridMultilevel"/>
    <w:lvl w:ilvl="0">
      <w:lvlJc w:val="left"/>
      <w:lvlText w:val="(%1)"/>
      <w:numFmt w:val="lowerLetter"/>
      <w:start w:val="1"/>
    </w:lvl>
  </w:abstractNum>
  <w:abstractNum w:abstractNumId="246">
    <w:nsid w:val="65D2A137"/>
    <w:multiLevelType w:val="hybridMultilevel"/>
    <w:lvl w:ilvl="0">
      <w:lvlJc w:val="left"/>
      <w:lvlText w:val="%1."/>
      <w:numFmt w:val="decimal"/>
      <w:start w:val="5"/>
    </w:lvl>
  </w:abstractNum>
  <w:abstractNum w:abstractNumId="247">
    <w:nsid w:val="6EBB1F2A"/>
    <w:multiLevelType w:val="hybridMultilevel"/>
    <w:lvl w:ilvl="0">
      <w:lvlJc w:val="left"/>
      <w:lvlText w:val="(%1)"/>
      <w:numFmt w:val="lowerLetter"/>
      <w:start w:val="1"/>
    </w:lvl>
  </w:abstractNum>
  <w:abstractNum w:abstractNumId="248">
    <w:nsid w:val="6FBF29CB"/>
    <w:multiLevelType w:val="hybridMultilevel"/>
    <w:lvl w:ilvl="0">
      <w:lvlJc w:val="left"/>
      <w:lvlText w:val="%1."/>
      <w:numFmt w:val="decimal"/>
      <w:start w:val="7"/>
    </w:lvl>
  </w:abstractNum>
  <w:abstractNum w:abstractNumId="249">
    <w:nsid w:val="550B8808"/>
    <w:multiLevelType w:val="hybridMultilevel"/>
    <w:lvl w:ilvl="0">
      <w:lvlJc w:val="left"/>
      <w:lvlText w:val="(%1)"/>
      <w:numFmt w:val="lowerLetter"/>
      <w:start w:val="1"/>
    </w:lvl>
  </w:abstractNum>
  <w:abstractNum w:abstractNumId="250">
    <w:nsid w:val="34CC3ACF"/>
    <w:multiLevelType w:val="hybridMultilevel"/>
    <w:lvl w:ilvl="0">
      <w:lvlJc w:val="left"/>
      <w:lvlText w:val="(%1)"/>
      <w:numFmt w:val="lowerLetter"/>
      <w:start w:val="2"/>
    </w:lvl>
  </w:abstractNum>
  <w:abstractNum w:abstractNumId="251">
    <w:nsid w:val="4E556261"/>
    <w:multiLevelType w:val="hybridMultilevel"/>
    <w:lvl w:ilvl="0">
      <w:lvlJc w:val="left"/>
      <w:lvlText w:val="%1."/>
      <w:numFmt w:val="decimal"/>
      <w:start w:val="8"/>
    </w:lvl>
  </w:abstractNum>
  <w:abstractNum w:abstractNumId="252">
    <w:nsid w:val="4C672FC9"/>
    <w:multiLevelType w:val="hybridMultilevel"/>
    <w:lvl w:ilvl="0">
      <w:lvlJc w:val="left"/>
      <w:lvlText w:val="%1."/>
      <w:numFmt w:val="decimal"/>
      <w:start w:val="10"/>
    </w:lvl>
  </w:abstractNum>
  <w:abstractNum w:abstractNumId="253">
    <w:nsid w:val="52A311C3"/>
    <w:multiLevelType w:val="hybridMultilevel"/>
    <w:lvl w:ilvl="0">
      <w:lvlJc w:val="left"/>
      <w:lvlText w:val="(%1)"/>
      <w:numFmt w:val="lowerLetter"/>
      <w:start w:val="1"/>
    </w:lvl>
  </w:abstractNum>
  <w:abstractNum w:abstractNumId="254">
    <w:nsid w:val="44EF6B80"/>
    <w:multiLevelType w:val="hybridMultilevel"/>
    <w:lvl w:ilvl="0">
      <w:lvlJc w:val="left"/>
      <w:lvlText w:val="(%1)"/>
      <w:numFmt w:val="lowerLetter"/>
      <w:start w:val="11"/>
    </w:lvl>
  </w:abstractNum>
  <w:abstractNum w:abstractNumId="255">
    <w:nsid w:val="12FCDE5E"/>
    <w:multiLevelType w:val="hybridMultilevel"/>
    <w:lvl w:ilvl="0">
      <w:lvlJc w:val="left"/>
      <w:lvlText w:val="%1."/>
      <w:numFmt w:val="decimal"/>
      <w:start w:val="11"/>
    </w:lvl>
  </w:abstractNum>
  <w:abstractNum w:abstractNumId="256">
    <w:nsid w:val="4A1D606E"/>
    <w:multiLevelType w:val="hybridMultilevel"/>
    <w:lvl w:ilvl="0">
      <w:lvlJc w:val="left"/>
      <w:lvlText w:val="(%1)"/>
      <w:numFmt w:val="lowerLetter"/>
      <w:start w:val="1"/>
    </w:lvl>
  </w:abstractNum>
  <w:abstractNum w:abstractNumId="257">
    <w:nsid w:val="4382503"/>
    <w:multiLevelType w:val="hybridMultilevel"/>
    <w:lvl w:ilvl="0">
      <w:lvlJc w:val="left"/>
      <w:lvlText w:val="(%1)"/>
      <w:numFmt w:val="lowerLetter"/>
      <w:start w:val="4"/>
    </w:lvl>
  </w:abstractNum>
  <w:abstractNum w:abstractNumId="258">
    <w:nsid w:val="59B76E28"/>
    <w:multiLevelType w:val="hybridMultilevel"/>
    <w:lvl w:ilvl="0">
      <w:lvlJc w:val="left"/>
      <w:lvlText w:val="(%1)"/>
      <w:numFmt w:val="lowerLetter"/>
      <w:start w:val="12"/>
    </w:lvl>
  </w:abstractNum>
  <w:abstractNum w:abstractNumId="259">
    <w:nsid w:val="4252C2DA"/>
    <w:multiLevelType w:val="hybridMultilevel"/>
    <w:lvl w:ilvl="0">
      <w:lvlJc w:val="left"/>
      <w:lvlText w:val="•"/>
      <w:numFmt w:val="bullet"/>
      <w:start w:val="1"/>
    </w:lvl>
  </w:abstractNum>
  <w:abstractNum w:abstractNumId="260">
    <w:nsid w:val="6A92EF4C"/>
    <w:multiLevelType w:val="hybridMultilevel"/>
    <w:lvl w:ilvl="0">
      <w:lvlJc w:val="left"/>
      <w:lvlText w:val="•"/>
      <w:numFmt w:val="bullet"/>
      <w:start w:val="1"/>
    </w:lvl>
  </w:abstractNum>
  <w:abstractNum w:abstractNumId="261">
    <w:nsid w:val="41ED20D7"/>
    <w:multiLevelType w:val="hybridMultilevel"/>
    <w:lvl w:ilvl="0">
      <w:lvlJc w:val="left"/>
      <w:lvlText w:val="•"/>
      <w:numFmt w:val="bullet"/>
      <w:start w:val="1"/>
    </w:lvl>
  </w:abstractNum>
  <w:abstractNum w:abstractNumId="262">
    <w:nsid w:val="E6B3F6A"/>
    <w:multiLevelType w:val="hybridMultilevel"/>
    <w:lvl w:ilvl="0">
      <w:lvlJc w:val="left"/>
      <w:lvlText w:val="•"/>
      <w:numFmt w:val="bullet"/>
      <w:start w:val="1"/>
    </w:lvl>
  </w:abstractNum>
  <w:abstractNum w:abstractNumId="263">
    <w:nsid w:val="3EB21819"/>
    <w:multiLevelType w:val="hybridMultilevel"/>
    <w:lvl w:ilvl="0">
      <w:lvlJc w:val="left"/>
      <w:lvlText w:val="•"/>
      <w:numFmt w:val="bullet"/>
      <w:start w:val="1"/>
    </w:lvl>
  </w:abstractNum>
  <w:abstractNum w:abstractNumId="264">
    <w:nsid w:val="41531DED"/>
    <w:multiLevelType w:val="hybridMultilevel"/>
    <w:lvl w:ilvl="0">
      <w:lvlJc w:val="left"/>
      <w:lvlText w:val="%1."/>
      <w:numFmt w:val="decimal"/>
      <w:start w:val="1"/>
    </w:lvl>
  </w:abstractNum>
  <w:abstractNum w:abstractNumId="265">
    <w:nsid w:val="6353CD2"/>
    <w:multiLevelType w:val="hybridMultilevel"/>
    <w:lvl w:ilvl="0">
      <w:lvlJc w:val="left"/>
      <w:lvlText w:val="(%1)"/>
      <w:numFmt w:val="lowerLetter"/>
      <w:start w:val="1"/>
    </w:lvl>
  </w:abstractNum>
  <w:abstractNum w:abstractNumId="266">
    <w:nsid w:val="683CAAD3"/>
    <w:multiLevelType w:val="hybridMultilevel"/>
    <w:lvl w:ilvl="0">
      <w:lvlJc w:val="left"/>
      <w:lvlText w:val="%1."/>
      <w:numFmt w:val="decimal"/>
      <w:start w:val="5"/>
    </w:lvl>
  </w:abstractNum>
  <w:abstractNum w:abstractNumId="267">
    <w:nsid w:val="313C7C99"/>
    <w:multiLevelType w:val="hybridMultilevel"/>
    <w:lvl w:ilvl="0">
      <w:lvlJc w:val="left"/>
      <w:lvlText w:val="(%1)"/>
      <w:numFmt w:val="lowerLetter"/>
      <w:start w:val="1"/>
    </w:lvl>
  </w:abstractNum>
  <w:abstractNum w:abstractNumId="268">
    <w:nsid w:val="519EB94C"/>
    <w:multiLevelType w:val="hybridMultilevel"/>
    <w:lvl w:ilvl="0">
      <w:lvlJc w:val="left"/>
      <w:lvlText w:val="%1."/>
      <w:numFmt w:val="decimal"/>
      <w:start w:val="1"/>
    </w:lvl>
  </w:abstractNum>
  <w:abstractNum w:abstractNumId="269">
    <w:nsid w:val="39DF2579"/>
    <w:multiLevelType w:val="hybridMultilevel"/>
    <w:lvl w:ilvl="0">
      <w:lvlJc w:val="left"/>
      <w:lvlText w:val="(%1)"/>
      <w:numFmt w:val="lowerLetter"/>
      <w:start w:val="1"/>
    </w:lvl>
  </w:abstractNum>
  <w:abstractNum w:abstractNumId="270">
    <w:nsid w:val="126E008B"/>
    <w:multiLevelType w:val="hybridMultilevel"/>
    <w:lvl w:ilvl="0">
      <w:lvlJc w:val="left"/>
      <w:lvlText w:val="%1."/>
      <w:numFmt w:val="decimal"/>
      <w:start w:val="5"/>
    </w:lvl>
  </w:abstractNum>
  <w:abstractNum w:abstractNumId="271">
    <w:nsid w:val="34DFBC00"/>
    <w:multiLevelType w:val="hybridMultilevel"/>
    <w:lvl w:ilvl="0">
      <w:lvlJc w:val="left"/>
      <w:lvlText w:val="(%1)"/>
      <w:numFmt w:val="lowerLetter"/>
      <w:start w:val="1"/>
    </w:lvl>
  </w:abstractNum>
  <w:abstractNum w:abstractNumId="272">
    <w:nsid w:val="1F9EC322"/>
    <w:multiLevelType w:val="hybridMultilevel"/>
    <w:lvl w:ilvl="0">
      <w:lvlJc w:val="left"/>
      <w:lvlText w:val="(%1)"/>
      <w:numFmt w:val="decimal"/>
      <w:start w:val="1"/>
    </w:lvl>
  </w:abstractNum>
  <w:abstractNum w:abstractNumId="273">
    <w:nsid w:val="3410ED56"/>
    <w:multiLevelType w:val="hybridMultilevel"/>
    <w:lvl w:ilvl="0">
      <w:lvlJc w:val="left"/>
      <w:lvlText w:val="(%1)"/>
      <w:numFmt w:val="decimal"/>
      <w:start w:val="1"/>
    </w:lvl>
  </w:abstractNum>
  <w:abstractNum w:abstractNumId="274">
    <w:nsid w:val="23C049A"/>
    <w:multiLevelType w:val="hybridMultilevel"/>
    <w:lvl w:ilvl="0">
      <w:lvlJc w:val="left"/>
      <w:lvlText w:val="%1."/>
      <w:numFmt w:val="decimal"/>
      <w:start w:val="1"/>
    </w:lvl>
  </w:abstractNum>
  <w:abstractNum w:abstractNumId="275">
    <w:nsid w:val="5BDA35D4"/>
    <w:multiLevelType w:val="hybridMultilevel"/>
    <w:lvl w:ilvl="0">
      <w:lvlJc w:val="left"/>
      <w:lvlText w:val="%1."/>
      <w:numFmt w:val="decimal"/>
      <w:start w:val="2"/>
    </w:lvl>
    <w:lvl w:ilvl="1">
      <w:lvlJc w:val="left"/>
      <w:lvlText w:val="•"/>
      <w:numFmt w:val="bullet"/>
      <w:start w:val="1"/>
    </w:lvl>
  </w:abstractNum>
  <w:abstractNum w:abstractNumId="276">
    <w:nsid w:val="496FB218"/>
    <w:multiLevelType w:val="hybridMultilevel"/>
    <w:lvl w:ilvl="0">
      <w:lvlJc w:val="left"/>
      <w:lvlText w:val="•"/>
      <w:numFmt w:val="bullet"/>
      <w:start w:val="1"/>
    </w:lvl>
  </w:abstractNum>
  <w:abstractNum w:abstractNumId="277">
    <w:nsid w:val="680EA5D1"/>
    <w:multiLevelType w:val="hybridMultilevel"/>
    <w:lvl w:ilvl="0">
      <w:lvlJc w:val="left"/>
      <w:lvlText w:val="%1."/>
      <w:numFmt w:val="decimal"/>
      <w:start w:val="3"/>
    </w:lvl>
  </w:abstractNum>
  <w:abstractNum w:abstractNumId="278">
    <w:nsid w:val="4A9554FE"/>
    <w:multiLevelType w:val="hybridMultilevel"/>
    <w:lvl w:ilvl="0">
      <w:lvlJc w:val="left"/>
      <w:lvlText w:val="%1."/>
      <w:numFmt w:val="decimal"/>
      <w:start w:val="4"/>
    </w:lvl>
  </w:abstractNum>
  <w:abstractNum w:abstractNumId="279">
    <w:nsid w:val="392EDBE4"/>
    <w:multiLevelType w:val="hybridMultilevel"/>
    <w:lvl w:ilvl="0">
      <w:lvlJc w:val="left"/>
      <w:lvlText w:val="%1."/>
      <w:numFmt w:val="decimal"/>
      <w:start w:val="5"/>
    </w:lvl>
  </w:abstractNum>
  <w:abstractNum w:abstractNumId="280">
    <w:nsid w:val="3D1A2DD9"/>
    <w:multiLevelType w:val="hybridMultilevel"/>
    <w:lvl w:ilvl="0">
      <w:lvlJc w:val="left"/>
      <w:lvlText w:val="%1."/>
      <w:numFmt w:val="decimal"/>
      <w:start w:val="6"/>
    </w:lvl>
  </w:abstractNum>
  <w:abstractNum w:abstractNumId="281">
    <w:nsid w:val="7F618FCD"/>
    <w:multiLevelType w:val="hybridMultilevel"/>
    <w:lvl w:ilvl="0">
      <w:lvlJc w:val="left"/>
      <w:lvlText w:val="%1."/>
      <w:numFmt w:val="decimal"/>
      <w:start w:val="6"/>
    </w:lvl>
    <w:lvl w:ilvl="1">
      <w:lvlJc w:val="left"/>
      <w:lvlText w:val="•"/>
      <w:numFmt w:val="bullet"/>
      <w:start w:val="1"/>
    </w:lvl>
  </w:abstractNum>
  <w:abstractNum w:abstractNumId="282">
    <w:nsid w:val="7843E45"/>
    <w:multiLevelType w:val="hybridMultilevel"/>
    <w:lvl w:ilvl="0">
      <w:lvlJc w:val="left"/>
      <w:lvlText w:val="%1."/>
      <w:numFmt w:val="decimal"/>
      <w:start w:val="8"/>
    </w:lvl>
  </w:abstractNum>
  <w:abstractNum w:abstractNumId="283">
    <w:nsid w:val="9815DA3"/>
    <w:multiLevelType w:val="hybridMultilevel"/>
    <w:lvl w:ilvl="0">
      <w:lvlJc w:val="left"/>
      <w:lvlText w:val="%1."/>
      <w:numFmt w:val="decimal"/>
      <w:start w:val="9"/>
    </w:lvl>
  </w:abstractNum>
  <w:abstractNum w:abstractNumId="284">
    <w:nsid w:val="5204A191"/>
    <w:multiLevelType w:val="hybridMultilevel"/>
    <w:lvl w:ilvl="0">
      <w:lvlJc w:val="left"/>
      <w:lvlText w:val="%1."/>
      <w:numFmt w:val="decimal"/>
      <w:start w:val="10"/>
    </w:lvl>
  </w:abstractNum>
  <w:abstractNum w:abstractNumId="285">
    <w:nsid w:val="4C73A9C6"/>
    <w:multiLevelType w:val="hybridMultilevel"/>
    <w:lvl w:ilvl="0">
      <w:lvlJc w:val="left"/>
      <w:lvlText w:val="%1."/>
      <w:numFmt w:val="decimal"/>
      <w:start w:val="11"/>
    </w:lvl>
  </w:abstractNum>
  <w:abstractNum w:abstractNumId="286">
    <w:nsid w:val="1C7E3C01"/>
    <w:multiLevelType w:val="hybridMultilevel"/>
    <w:lvl w:ilvl="0">
      <w:lvlJc w:val="left"/>
      <w:lvlText w:val="%1."/>
      <w:numFmt w:val="decimal"/>
      <w:start w:val="12"/>
    </w:lvl>
  </w:abstractNum>
  <w:abstractNum w:abstractNumId="287">
    <w:nsid w:val="1C2201FF"/>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95" Type="http://schemas.openxmlformats.org/officeDocument/2006/relationships/image" Target="media/image139.png"/><Relationship Id="rId196" Type="http://schemas.openxmlformats.org/officeDocument/2006/relationships/image" Target="media/image140.png"/><Relationship Id="rId197" Type="http://schemas.openxmlformats.org/officeDocument/2006/relationships/image" Target="media/image141.png"/><Relationship Id="rId198" Type="http://schemas.openxmlformats.org/officeDocument/2006/relationships/image" Target="media/image142.jpeg"/><Relationship Id="rId199" Type="http://schemas.openxmlformats.org/officeDocument/2006/relationships/image" Target="media/image143.png"/><Relationship Id="rId200" Type="http://schemas.openxmlformats.org/officeDocument/2006/relationships/image" Target="media/image144.jpeg"/><Relationship Id="rId201" Type="http://schemas.openxmlformats.org/officeDocument/2006/relationships/image" Target="media/image145.jpeg"/><Relationship Id="rId202" Type="http://schemas.openxmlformats.org/officeDocument/2006/relationships/image" Target="media/image146.jpeg"/><Relationship Id="rId203" Type="http://schemas.openxmlformats.org/officeDocument/2006/relationships/image" Target="media/image147.png"/><Relationship Id="rId204" Type="http://schemas.openxmlformats.org/officeDocument/2006/relationships/image" Target="media/image148.png"/><Relationship Id="rId205" Type="http://schemas.openxmlformats.org/officeDocument/2006/relationships/image" Target="media/image149.png"/><Relationship Id="rId206" Type="http://schemas.openxmlformats.org/officeDocument/2006/relationships/image" Target="media/image150.png"/><Relationship Id="rId207" Type="http://schemas.openxmlformats.org/officeDocument/2006/relationships/image" Target="media/image151.png"/><Relationship Id="rId208" Type="http://schemas.openxmlformats.org/officeDocument/2006/relationships/image" Target="media/image152.png"/><Relationship Id="rId209" Type="http://schemas.openxmlformats.org/officeDocument/2006/relationships/image" Target="media/image153.png"/><Relationship Id="rId210" Type="http://schemas.openxmlformats.org/officeDocument/2006/relationships/image" Target="media/image154.png"/><Relationship Id="rId211" Type="http://schemas.openxmlformats.org/officeDocument/2006/relationships/image" Target="media/image155.png"/><Relationship Id="rId212" Type="http://schemas.openxmlformats.org/officeDocument/2006/relationships/image" Target="media/image156.png"/><Relationship Id="rId213" Type="http://schemas.openxmlformats.org/officeDocument/2006/relationships/image" Target="media/image157.png"/><Relationship Id="rId214" Type="http://schemas.openxmlformats.org/officeDocument/2006/relationships/image" Target="media/image158.png"/><Relationship Id="rId215" Type="http://schemas.openxmlformats.org/officeDocument/2006/relationships/image" Target="media/image159.png"/><Relationship Id="rId216" Type="http://schemas.openxmlformats.org/officeDocument/2006/relationships/image" Target="media/image160.png"/><Relationship Id="rId217" Type="http://schemas.openxmlformats.org/officeDocument/2006/relationships/image" Target="media/image161.png"/><Relationship Id="rId218" Type="http://schemas.openxmlformats.org/officeDocument/2006/relationships/image" Target="media/image162.png"/><Relationship Id="rId219" Type="http://schemas.openxmlformats.org/officeDocument/2006/relationships/image" Target="media/image163.png"/><Relationship Id="rId220" Type="http://schemas.openxmlformats.org/officeDocument/2006/relationships/image" Target="media/image164.png"/><Relationship Id="rId221" Type="http://schemas.openxmlformats.org/officeDocument/2006/relationships/image" Target="media/image165.png"/><Relationship Id="rId222" Type="http://schemas.openxmlformats.org/officeDocument/2006/relationships/image" Target="media/image166.png"/><Relationship Id="rId223" Type="http://schemas.openxmlformats.org/officeDocument/2006/relationships/image" Target="media/image167.png"/><Relationship Id="rId224" Type="http://schemas.openxmlformats.org/officeDocument/2006/relationships/image" Target="media/image168.png"/><Relationship Id="rId225" Type="http://schemas.openxmlformats.org/officeDocument/2006/relationships/image" Target="media/image169.png"/><Relationship Id="rId226" Type="http://schemas.openxmlformats.org/officeDocument/2006/relationships/image" Target="media/image170.png"/><Relationship Id="rId227" Type="http://schemas.openxmlformats.org/officeDocument/2006/relationships/image" Target="media/image171.png"/><Relationship Id="rId228" Type="http://schemas.openxmlformats.org/officeDocument/2006/relationships/image" Target="media/image172.png"/><Relationship Id="rId229" Type="http://schemas.openxmlformats.org/officeDocument/2006/relationships/image" Target="media/image173.png"/><Relationship Id="rId230" Type="http://schemas.openxmlformats.org/officeDocument/2006/relationships/image" Target="media/image174.png"/><Relationship Id="rId231" Type="http://schemas.openxmlformats.org/officeDocument/2006/relationships/image" Target="media/image175.png"/><Relationship Id="rId232" Type="http://schemas.openxmlformats.org/officeDocument/2006/relationships/image" Target="media/image176.png"/><Relationship Id="rId233" Type="http://schemas.openxmlformats.org/officeDocument/2006/relationships/image" Target="media/image177.png"/><Relationship Id="rId234" Type="http://schemas.openxmlformats.org/officeDocument/2006/relationships/image" Target="media/image178.png"/><Relationship Id="rId235" Type="http://schemas.openxmlformats.org/officeDocument/2006/relationships/image" Target="media/image179.png"/><Relationship Id="rId236" Type="http://schemas.openxmlformats.org/officeDocument/2006/relationships/image" Target="media/image180.png"/><Relationship Id="rId237" Type="http://schemas.openxmlformats.org/officeDocument/2006/relationships/image" Target="media/image181.png"/><Relationship Id="rId238" Type="http://schemas.openxmlformats.org/officeDocument/2006/relationships/image" Target="media/image182.png"/><Relationship Id="rId239" Type="http://schemas.openxmlformats.org/officeDocument/2006/relationships/image" Target="media/image183.png"/><Relationship Id="rId240" Type="http://schemas.openxmlformats.org/officeDocument/2006/relationships/image" Target="media/image184.png"/><Relationship Id="rId241" Type="http://schemas.openxmlformats.org/officeDocument/2006/relationships/image" Target="media/image185.png"/><Relationship Id="rId242" Type="http://schemas.openxmlformats.org/officeDocument/2006/relationships/image" Target="media/image186.png"/><Relationship Id="rId243" Type="http://schemas.openxmlformats.org/officeDocument/2006/relationships/image" Target="media/image187.png"/><Relationship Id="rId244" Type="http://schemas.openxmlformats.org/officeDocument/2006/relationships/image" Target="media/image188.png"/><Relationship Id="rId245" Type="http://schemas.openxmlformats.org/officeDocument/2006/relationships/image" Target="media/image189.png"/><Relationship Id="rId246" Type="http://schemas.openxmlformats.org/officeDocument/2006/relationships/image" Target="media/image190.png"/><Relationship Id="rId247" Type="http://schemas.openxmlformats.org/officeDocument/2006/relationships/image" Target="media/image191.png"/><Relationship Id="rId248" Type="http://schemas.openxmlformats.org/officeDocument/2006/relationships/image" Target="media/image192.png"/><Relationship Id="rId249" Type="http://schemas.openxmlformats.org/officeDocument/2006/relationships/image" Target="media/image193.png"/><Relationship Id="rId250" Type="http://schemas.openxmlformats.org/officeDocument/2006/relationships/image" Target="media/image194.png"/><Relationship Id="rId251" Type="http://schemas.openxmlformats.org/officeDocument/2006/relationships/image" Target="media/image195.png"/><Relationship Id="rId252" Type="http://schemas.openxmlformats.org/officeDocument/2006/relationships/image" Target="media/image196.png"/><Relationship Id="rId253" Type="http://schemas.openxmlformats.org/officeDocument/2006/relationships/image" Target="media/image197.png"/><Relationship Id="rId254" Type="http://schemas.openxmlformats.org/officeDocument/2006/relationships/image" Target="media/image198.png"/><Relationship Id="rId255" Type="http://schemas.openxmlformats.org/officeDocument/2006/relationships/image" Target="media/image199.png"/><Relationship Id="rId256" Type="http://schemas.openxmlformats.org/officeDocument/2006/relationships/image" Target="media/image200.png"/><Relationship Id="rId257" Type="http://schemas.openxmlformats.org/officeDocument/2006/relationships/image" Target="media/image201.png"/><Relationship Id="rId258" Type="http://schemas.openxmlformats.org/officeDocument/2006/relationships/image" Target="media/image202.png"/><Relationship Id="rId259" Type="http://schemas.openxmlformats.org/officeDocument/2006/relationships/image" Target="media/image203.png"/><Relationship Id="rId260" Type="http://schemas.openxmlformats.org/officeDocument/2006/relationships/image" Target="media/image204.png"/><Relationship Id="rId261" Type="http://schemas.openxmlformats.org/officeDocument/2006/relationships/image" Target="media/image205.png"/><Relationship Id="rId262" Type="http://schemas.openxmlformats.org/officeDocument/2006/relationships/image" Target="media/image206.png"/><Relationship Id="rId263" Type="http://schemas.openxmlformats.org/officeDocument/2006/relationships/image" Target="media/image207.png"/><Relationship Id="rId264" Type="http://schemas.openxmlformats.org/officeDocument/2006/relationships/image" Target="media/image208.png"/><Relationship Id="rId265" Type="http://schemas.openxmlformats.org/officeDocument/2006/relationships/image" Target="media/image209.png"/><Relationship Id="rId266" Type="http://schemas.openxmlformats.org/officeDocument/2006/relationships/image" Target="media/image210.png"/><Relationship Id="rId267" Type="http://schemas.openxmlformats.org/officeDocument/2006/relationships/image" Target="media/image211.png"/><Relationship Id="rId268" Type="http://schemas.openxmlformats.org/officeDocument/2006/relationships/image" Target="media/image212.png"/><Relationship Id="rId269" Type="http://schemas.openxmlformats.org/officeDocument/2006/relationships/image" Target="media/image213.png"/><Relationship Id="rId270" Type="http://schemas.openxmlformats.org/officeDocument/2006/relationships/image" Target="media/image214.png"/><Relationship Id="rId271" Type="http://schemas.openxmlformats.org/officeDocument/2006/relationships/image" Target="media/image215.png"/><Relationship Id="rId272" Type="http://schemas.openxmlformats.org/officeDocument/2006/relationships/image" Target="media/image216.png"/><Relationship Id="rId273" Type="http://schemas.openxmlformats.org/officeDocument/2006/relationships/image" Target="media/image217.png"/><Relationship Id="rId274" Type="http://schemas.openxmlformats.org/officeDocument/2006/relationships/image" Target="media/image218.png"/><Relationship Id="rId275" Type="http://schemas.openxmlformats.org/officeDocument/2006/relationships/image" Target="media/image219.png"/><Relationship Id="rId276" Type="http://schemas.openxmlformats.org/officeDocument/2006/relationships/image" Target="media/image220.png"/><Relationship Id="rId277" Type="http://schemas.openxmlformats.org/officeDocument/2006/relationships/image" Target="media/image221.png"/><Relationship Id="rId278" Type="http://schemas.openxmlformats.org/officeDocument/2006/relationships/image" Target="media/image222.png"/><Relationship Id="rId279" Type="http://schemas.openxmlformats.org/officeDocument/2006/relationships/image" Target="media/image223.png"/><Relationship Id="rId280" Type="http://schemas.openxmlformats.org/officeDocument/2006/relationships/image" Target="media/image224.png"/><Relationship Id="rId281" Type="http://schemas.openxmlformats.org/officeDocument/2006/relationships/image" Target="media/image225.png"/><Relationship Id="rId282" Type="http://schemas.openxmlformats.org/officeDocument/2006/relationships/image" Target="media/image226.png"/><Relationship Id="rId283" Type="http://schemas.openxmlformats.org/officeDocument/2006/relationships/image" Target="media/image227.png"/><Relationship Id="rId284" Type="http://schemas.openxmlformats.org/officeDocument/2006/relationships/image" Target="media/image228.png"/><Relationship Id="rId285" Type="http://schemas.openxmlformats.org/officeDocument/2006/relationships/image" Target="media/image229.png"/><Relationship Id="rId286" Type="http://schemas.openxmlformats.org/officeDocument/2006/relationships/image" Target="media/image230.png"/><Relationship Id="rId287" Type="http://schemas.openxmlformats.org/officeDocument/2006/relationships/image" Target="media/image231.png"/><Relationship Id="rId288" Type="http://schemas.openxmlformats.org/officeDocument/2006/relationships/image" Target="media/image232.png"/><Relationship Id="rId289" Type="http://schemas.openxmlformats.org/officeDocument/2006/relationships/image" Target="media/image233.png"/><Relationship Id="rId290" Type="http://schemas.openxmlformats.org/officeDocument/2006/relationships/image" Target="media/image234.png"/><Relationship Id="rId291" Type="http://schemas.openxmlformats.org/officeDocument/2006/relationships/image" Target="media/image235.png"/><Relationship Id="rId292" Type="http://schemas.openxmlformats.org/officeDocument/2006/relationships/image" Target="media/image236.png"/><Relationship Id="rId293" Type="http://schemas.openxmlformats.org/officeDocument/2006/relationships/image" Target="media/image237.png"/><Relationship Id="rId294" Type="http://schemas.openxmlformats.org/officeDocument/2006/relationships/image" Target="media/image238.png"/><Relationship Id="rId295" Type="http://schemas.openxmlformats.org/officeDocument/2006/relationships/image" Target="media/image239.png"/><Relationship Id="rId296" Type="http://schemas.openxmlformats.org/officeDocument/2006/relationships/image" Target="media/image240.png"/><Relationship Id="rId297" Type="http://schemas.openxmlformats.org/officeDocument/2006/relationships/image" Target="media/image241.png"/><Relationship Id="rId298" Type="http://schemas.openxmlformats.org/officeDocument/2006/relationships/image" Target="media/image242.png"/><Relationship Id="rId299" Type="http://schemas.openxmlformats.org/officeDocument/2006/relationships/image" Target="media/image243.png"/><Relationship Id="rId300" Type="http://schemas.openxmlformats.org/officeDocument/2006/relationships/image" Target="media/image244.png"/><Relationship Id="rId301" Type="http://schemas.openxmlformats.org/officeDocument/2006/relationships/image" Target="media/image245.png"/><Relationship Id="rId302" Type="http://schemas.openxmlformats.org/officeDocument/2006/relationships/image" Target="media/image246.png"/><Relationship Id="rId303" Type="http://schemas.openxmlformats.org/officeDocument/2006/relationships/image" Target="media/image247.png"/><Relationship Id="rId304" Type="http://schemas.openxmlformats.org/officeDocument/2006/relationships/image" Target="media/image248.png"/><Relationship Id="rId305" Type="http://schemas.openxmlformats.org/officeDocument/2006/relationships/image" Target="media/image249.png"/><Relationship Id="rId306" Type="http://schemas.openxmlformats.org/officeDocument/2006/relationships/image" Target="media/image250.png"/><Relationship Id="rId307" Type="http://schemas.openxmlformats.org/officeDocument/2006/relationships/image" Target="media/image251.png"/><Relationship Id="rId308" Type="http://schemas.openxmlformats.org/officeDocument/2006/relationships/image" Target="media/image252.png"/><Relationship Id="rId309" Type="http://schemas.openxmlformats.org/officeDocument/2006/relationships/image" Target="media/image253.png"/><Relationship Id="rId310" Type="http://schemas.openxmlformats.org/officeDocument/2006/relationships/image" Target="media/image254.png"/><Relationship Id="rId311" Type="http://schemas.openxmlformats.org/officeDocument/2006/relationships/image" Target="media/image255.png"/><Relationship Id="rId312" Type="http://schemas.openxmlformats.org/officeDocument/2006/relationships/image" Target="media/image256.png"/><Relationship Id="rId313" Type="http://schemas.openxmlformats.org/officeDocument/2006/relationships/image" Target="media/image257.png"/><Relationship Id="rId314" Type="http://schemas.openxmlformats.org/officeDocument/2006/relationships/image" Target="media/image258.png"/><Relationship Id="rId315" Type="http://schemas.openxmlformats.org/officeDocument/2006/relationships/image" Target="media/image259.png"/><Relationship Id="rId316" Type="http://schemas.openxmlformats.org/officeDocument/2006/relationships/image" Target="media/image260.png"/><Relationship Id="rId317" Type="http://schemas.openxmlformats.org/officeDocument/2006/relationships/image" Target="media/image261.png"/><Relationship Id="rId318" Type="http://schemas.openxmlformats.org/officeDocument/2006/relationships/image" Target="media/image262.png"/><Relationship Id="rId319" Type="http://schemas.openxmlformats.org/officeDocument/2006/relationships/image" Target="media/image263.png"/><Relationship Id="rId320" Type="http://schemas.openxmlformats.org/officeDocument/2006/relationships/image" Target="media/image264.png"/><Relationship Id="rId321" Type="http://schemas.openxmlformats.org/officeDocument/2006/relationships/image" Target="media/image265.png"/><Relationship Id="rId322" Type="http://schemas.openxmlformats.org/officeDocument/2006/relationships/image" Target="media/image266.png"/><Relationship Id="rId323" Type="http://schemas.openxmlformats.org/officeDocument/2006/relationships/image" Target="media/image267.png"/><Relationship Id="rId324" Type="http://schemas.openxmlformats.org/officeDocument/2006/relationships/image" Target="media/image268.png"/><Relationship Id="rId325" Type="http://schemas.openxmlformats.org/officeDocument/2006/relationships/image" Target="media/image269.png"/><Relationship Id="rId326" Type="http://schemas.openxmlformats.org/officeDocument/2006/relationships/image" Target="media/image270.png"/><Relationship Id="rId327" Type="http://schemas.openxmlformats.org/officeDocument/2006/relationships/image" Target="media/image271.png"/><Relationship Id="rId328" Type="http://schemas.openxmlformats.org/officeDocument/2006/relationships/image" Target="media/image272.png"/><Relationship Id="rId329" Type="http://schemas.openxmlformats.org/officeDocument/2006/relationships/image" Target="media/image273.png"/><Relationship Id="rId330" Type="http://schemas.openxmlformats.org/officeDocument/2006/relationships/image" Target="media/image274.png"/><Relationship Id="rId331" Type="http://schemas.openxmlformats.org/officeDocument/2006/relationships/image" Target="media/image275.png"/><Relationship Id="rId332" Type="http://schemas.openxmlformats.org/officeDocument/2006/relationships/image" Target="media/image276.png"/><Relationship Id="rId333" Type="http://schemas.openxmlformats.org/officeDocument/2006/relationships/image" Target="media/image277.png"/><Relationship Id="rId334" Type="http://schemas.openxmlformats.org/officeDocument/2006/relationships/image" Target="media/image278.png"/><Relationship Id="rId335" Type="http://schemas.openxmlformats.org/officeDocument/2006/relationships/image" Target="media/image279.png"/><Relationship Id="rId336" Type="http://schemas.openxmlformats.org/officeDocument/2006/relationships/image" Target="media/image280.png"/><Relationship Id="rId337" Type="http://schemas.openxmlformats.org/officeDocument/2006/relationships/image" Target="media/image281.png"/><Relationship Id="rId338" Type="http://schemas.openxmlformats.org/officeDocument/2006/relationships/image" Target="media/image282.png"/><Relationship Id="rId339" Type="http://schemas.openxmlformats.org/officeDocument/2006/relationships/image" Target="media/image283.png"/><Relationship Id="rId340" Type="http://schemas.openxmlformats.org/officeDocument/2006/relationships/image" Target="media/image284.png"/><Relationship Id="rId341" Type="http://schemas.openxmlformats.org/officeDocument/2006/relationships/image" Target="media/image285.png"/><Relationship Id="rId342" Type="http://schemas.openxmlformats.org/officeDocument/2006/relationships/image" Target="media/image286.png"/><Relationship Id="rId343" Type="http://schemas.openxmlformats.org/officeDocument/2006/relationships/image" Target="media/image287.png"/><Relationship Id="rId344" Type="http://schemas.openxmlformats.org/officeDocument/2006/relationships/image" Target="media/image288.png"/><Relationship Id="rId345" Type="http://schemas.openxmlformats.org/officeDocument/2006/relationships/image" Target="media/image289.png"/><Relationship Id="rId346" Type="http://schemas.openxmlformats.org/officeDocument/2006/relationships/image" Target="media/image290.png"/><Relationship Id="rId347" Type="http://schemas.openxmlformats.org/officeDocument/2006/relationships/image" Target="media/image291.png"/><Relationship Id="rId348" Type="http://schemas.openxmlformats.org/officeDocument/2006/relationships/image" Target="media/image292.png"/><Relationship Id="rId349" Type="http://schemas.openxmlformats.org/officeDocument/2006/relationships/image" Target="media/image293.png"/><Relationship Id="rId350" Type="http://schemas.openxmlformats.org/officeDocument/2006/relationships/image" Target="media/image294.png"/><Relationship Id="rId351" Type="http://schemas.openxmlformats.org/officeDocument/2006/relationships/image" Target="media/image295.png"/><Relationship Id="rId352" Type="http://schemas.openxmlformats.org/officeDocument/2006/relationships/image" Target="media/image296.png"/><Relationship Id="rId353" Type="http://schemas.openxmlformats.org/officeDocument/2006/relationships/image" Target="media/image297.png"/><Relationship Id="rId354" Type="http://schemas.openxmlformats.org/officeDocument/2006/relationships/image" Target="media/image298.png"/><Relationship Id="rId355" Type="http://schemas.openxmlformats.org/officeDocument/2006/relationships/image" Target="media/image299.png"/><Relationship Id="rId356" Type="http://schemas.openxmlformats.org/officeDocument/2006/relationships/image" Target="media/image300.png"/><Relationship Id="rId357" Type="http://schemas.openxmlformats.org/officeDocument/2006/relationships/image" Target="media/image301.png"/><Relationship Id="rId358" Type="http://schemas.openxmlformats.org/officeDocument/2006/relationships/image" Target="media/image302.png"/><Relationship Id="rId359" Type="http://schemas.openxmlformats.org/officeDocument/2006/relationships/image" Target="media/image303.png"/><Relationship Id="rId360" Type="http://schemas.openxmlformats.org/officeDocument/2006/relationships/image" Target="media/image304.png"/><Relationship Id="rId361" Type="http://schemas.openxmlformats.org/officeDocument/2006/relationships/image" Target="media/image305.png"/><Relationship Id="rId362" Type="http://schemas.openxmlformats.org/officeDocument/2006/relationships/image" Target="media/image306.png"/><Relationship Id="rId363" Type="http://schemas.openxmlformats.org/officeDocument/2006/relationships/image" Target="media/image307.png"/><Relationship Id="rId364" Type="http://schemas.openxmlformats.org/officeDocument/2006/relationships/image" Target="media/image308.png"/><Relationship Id="rId365" Type="http://schemas.openxmlformats.org/officeDocument/2006/relationships/image" Target="media/image309.png"/><Relationship Id="rId366" Type="http://schemas.openxmlformats.org/officeDocument/2006/relationships/image" Target="media/image310.png"/><Relationship Id="rId367" Type="http://schemas.openxmlformats.org/officeDocument/2006/relationships/image" Target="media/image311.png"/><Relationship Id="rId368" Type="http://schemas.openxmlformats.org/officeDocument/2006/relationships/image" Target="media/image312.png"/><Relationship Id="rId369" Type="http://schemas.openxmlformats.org/officeDocument/2006/relationships/image" Target="media/image313.png"/><Relationship Id="rId370" Type="http://schemas.openxmlformats.org/officeDocument/2006/relationships/image" Target="media/image314.png"/><Relationship Id="rId371" Type="http://schemas.openxmlformats.org/officeDocument/2006/relationships/image" Target="media/image315.png"/><Relationship Id="rId372" Type="http://schemas.openxmlformats.org/officeDocument/2006/relationships/image" Target="media/image316.png"/><Relationship Id="rId373" Type="http://schemas.openxmlformats.org/officeDocument/2006/relationships/image" Target="media/image317.png"/><Relationship Id="rId374" Type="http://schemas.openxmlformats.org/officeDocument/2006/relationships/image" Target="media/image318.png"/><Relationship Id="rId375" Type="http://schemas.openxmlformats.org/officeDocument/2006/relationships/image" Target="media/image319.png"/><Relationship Id="rId376" Type="http://schemas.openxmlformats.org/officeDocument/2006/relationships/image" Target="media/image320.png"/><Relationship Id="rId377" Type="http://schemas.openxmlformats.org/officeDocument/2006/relationships/image" Target="media/image321.png"/><Relationship Id="rId378" Type="http://schemas.openxmlformats.org/officeDocument/2006/relationships/image" Target="media/image322.png"/><Relationship Id="rId379" Type="http://schemas.openxmlformats.org/officeDocument/2006/relationships/image" Target="media/image323.png"/><Relationship Id="rId380" Type="http://schemas.openxmlformats.org/officeDocument/2006/relationships/image" Target="media/image324.png"/><Relationship Id="rId381" Type="http://schemas.openxmlformats.org/officeDocument/2006/relationships/image" Target="media/image325.png"/><Relationship Id="rId382" Type="http://schemas.openxmlformats.org/officeDocument/2006/relationships/image" Target="media/image326.png"/><Relationship Id="rId383" Type="http://schemas.openxmlformats.org/officeDocument/2006/relationships/image" Target="media/image327.png"/><Relationship Id="rId384" Type="http://schemas.openxmlformats.org/officeDocument/2006/relationships/image" Target="media/image328.png"/><Relationship Id="rId385" Type="http://schemas.openxmlformats.org/officeDocument/2006/relationships/image" Target="media/image329.png"/><Relationship Id="rId386" Type="http://schemas.openxmlformats.org/officeDocument/2006/relationships/image" Target="media/image330.png"/><Relationship Id="rId387" Type="http://schemas.openxmlformats.org/officeDocument/2006/relationships/image" Target="media/image331.png"/><Relationship Id="rId388" Type="http://schemas.openxmlformats.org/officeDocument/2006/relationships/image" Target="media/image332.jpeg"/><Relationship Id="rId389" Type="http://schemas.openxmlformats.org/officeDocument/2006/relationships/image" Target="media/image333.png"/><Relationship Id="rId390" Type="http://schemas.openxmlformats.org/officeDocument/2006/relationships/image" Target="media/image334.jpeg"/><Relationship Id="rId391" Type="http://schemas.openxmlformats.org/officeDocument/2006/relationships/image" Target="media/image335.jpeg"/><Relationship Id="rId392" Type="http://schemas.openxmlformats.org/officeDocument/2006/relationships/image" Target="media/image336.jpeg"/><Relationship Id="rId393" Type="http://schemas.openxmlformats.org/officeDocument/2006/relationships/image" Target="media/image337.png"/><Relationship Id="rId394" Type="http://schemas.openxmlformats.org/officeDocument/2006/relationships/image" Target="media/image338.png"/><Relationship Id="rId395" Type="http://schemas.openxmlformats.org/officeDocument/2006/relationships/image" Target="media/image339.png"/><Relationship Id="rId396" Type="http://schemas.openxmlformats.org/officeDocument/2006/relationships/image" Target="media/image340.png"/><Relationship Id="rId397" Type="http://schemas.openxmlformats.org/officeDocument/2006/relationships/image" Target="media/image341.jpeg"/><Relationship Id="rId398" Type="http://schemas.openxmlformats.org/officeDocument/2006/relationships/image" Target="media/image342.jpeg"/><Relationship Id="rId399" Type="http://schemas.openxmlformats.org/officeDocument/2006/relationships/image" Target="media/image343.png"/><Relationship Id="rId400" Type="http://schemas.openxmlformats.org/officeDocument/2006/relationships/image" Target="media/image344.png"/><Relationship Id="rId401" Type="http://schemas.openxmlformats.org/officeDocument/2006/relationships/image" Target="media/image345.png"/><Relationship Id="rId402" Type="http://schemas.openxmlformats.org/officeDocument/2006/relationships/image" Target="media/image346.png"/><Relationship Id="rId403" Type="http://schemas.openxmlformats.org/officeDocument/2006/relationships/image" Target="media/image347.png"/><Relationship Id="rId404" Type="http://schemas.openxmlformats.org/officeDocument/2006/relationships/image" Target="media/image348.png"/><Relationship Id="rId140" Type="http://schemas.openxmlformats.org/officeDocument/2006/relationships/hyperlink" Target="https://www.sec.gov/Archives/edgar/data/0001443646/000110465921060482/tm2114914d1_ex2-1.htm" TargetMode="External"/><Relationship Id="rId141" Type="http://schemas.openxmlformats.org/officeDocument/2006/relationships/hyperlink" Target="https://www.sec.gov/Archives/edgar/data/1443646/000110465923085311/tm2322176d1_ex3-1.htm" TargetMode="External"/><Relationship Id="rId142" Type="http://schemas.openxmlformats.org/officeDocument/2006/relationships/hyperlink" Target="https://www.sec.gov/Archives/edgar/data/1443646/000110465923085311/tm2322176d1_ex3-2.htm" TargetMode="External"/><Relationship Id="rId143" Type="http://schemas.openxmlformats.org/officeDocument/2006/relationships/hyperlink" Target="http://www.sec.gov/Archives/edgar/data/1443646/000095012310090358/w77668a3exv4w5.htm" TargetMode="External"/><Relationship Id="rId144" Type="http://schemas.openxmlformats.org/officeDocument/2006/relationships/hyperlink" Target="https://www.sec.gov/Archives/edgar/data/0001443646/000110465920097997/tm2029202d1_ex4-1.htm" TargetMode="External"/><Relationship Id="rId145" Type="http://schemas.openxmlformats.org/officeDocument/2006/relationships/hyperlink" Target="https://www.sec.gov/Archives/edgar/data/0001443646/000110465920097997/tm2029202d1_ex4-2.htm" TargetMode="External"/><Relationship Id="rId146" Type="http://schemas.openxmlformats.org/officeDocument/2006/relationships/hyperlink" Target="https://www.sec.gov/Archives/edgar/data/1443646/000144364622000013/bah-20211231xex41.htm" TargetMode="External"/><Relationship Id="rId147" Type="http://schemas.openxmlformats.org/officeDocument/2006/relationships/hyperlink" Target="https://www.sec.gov/Archives/edgar/data/1443646/000110465921082639/tm2118942d2_ex4-1.htm" TargetMode="External"/><Relationship Id="rId148" Type="http://schemas.openxmlformats.org/officeDocument/2006/relationships/hyperlink" Target="https://www.sec.gov/Archives/edgar/data/1443646/000110465921082639/tm2118942d2_ex4-2.htm" TargetMode="External"/><Relationship Id="rId149" Type="http://schemas.openxmlformats.org/officeDocument/2006/relationships/hyperlink" Target="https://www.sec.gov/Archives/edgar/data/1443646/000144364622000013/bah-20211231xex42.htm" TargetMode="External"/><Relationship Id="rId150" Type="http://schemas.openxmlformats.org/officeDocument/2006/relationships/hyperlink" Target="https://www.sec.gov/Archives/edgar/data/1443646/000110465923087821/tm2322889d1_ex4-1.htm" TargetMode="External"/><Relationship Id="rId151" Type="http://schemas.openxmlformats.org/officeDocument/2006/relationships/hyperlink" Target="https://www.sec.gov/Archives/edgar/data/1443646/000110465923087821/tm2322889d1_ex4-2.htm" TargetMode="External"/><Relationship Id="rId152" Type="http://schemas.openxmlformats.org/officeDocument/2006/relationships/hyperlink" Target="https://www.sec.gov/ix?doc=/Archives/edgar/data/1443646/000144364623000139/bah-20230615.htm" TargetMode="External"/><Relationship Id="rId153" Type="http://schemas.openxmlformats.org/officeDocument/2006/relationships/hyperlink" Target="http://www.sec.gov/Archives/edgar/data/1443646/000144364620000022/bah-20191231xex102.htm" TargetMode="External"/><Relationship Id="rId156" Type="http://schemas.openxmlformats.org/officeDocument/2006/relationships/hyperlink" Target="http://www.sec.gov/Archives/edgar/data/1443646/000144364620000022/bah-20191231xex103.htm" TargetMode="External"/><Relationship Id="rId157" Type="http://schemas.openxmlformats.org/officeDocument/2006/relationships/hyperlink" Target="http://www.sec.gov/Archives/edgar/data/1443646/000144364618000100/bah-20180331xex107.htm" TargetMode="External"/><Relationship Id="rId158" Type="http://schemas.openxmlformats.org/officeDocument/2006/relationships/hyperlink" Target="http://www.sec.gov/Archives/edgar/data/1443646/000144364615000018/bah-20150331xex1014.htm" TargetMode="External"/><Relationship Id="rId159" Type="http://schemas.openxmlformats.org/officeDocument/2006/relationships/hyperlink" Target="http://www.sec.gov/Archives/edgar/data/1443646/000144364618000100/bah-20180331xex1011.htm" TargetMode="External"/><Relationship Id="rId160" Type="http://schemas.openxmlformats.org/officeDocument/2006/relationships/hyperlink" Target="http://www.sec.gov/Archives/edgar/data/1443646/000095012310090358/w77668a3exv10w23.htm" TargetMode="External"/><Relationship Id="rId161" Type="http://schemas.openxmlformats.org/officeDocument/2006/relationships/hyperlink" Target="http://www.sec.gov/Archives/edgar/data/1443646/000119312512327096/d388921dex101.htm" TargetMode="External"/><Relationship Id="rId162" Type="http://schemas.openxmlformats.org/officeDocument/2006/relationships/hyperlink" Target="http://www.sec.gov/Archives/edgar/data/1443646/000119312512327096/d388921dex102.htm" TargetMode="External"/><Relationship Id="rId163" Type="http://schemas.openxmlformats.org/officeDocument/2006/relationships/hyperlink" Target="http://www.sec.gov/Archives/edgar/data/1443646/000144364613000030/exhibit101-2013amendmentxf.htm" TargetMode="External"/><Relationship Id="rId164" Type="http://schemas.openxmlformats.org/officeDocument/2006/relationships/hyperlink" Target="http://www.sec.gov/Archives/edgar/data/1443646/000144364614000011/secondamendment.htm" TargetMode="External"/><Relationship Id="rId165" Type="http://schemas.openxmlformats.org/officeDocument/2006/relationships/hyperlink" Target="http://www.sec.gov/Archives/edgar/data/1443646/000144364616000173/bahamendmentno32016.htm" TargetMode="External"/><Relationship Id="rId168" Type="http://schemas.openxmlformats.org/officeDocument/2006/relationships/hyperlink" Target="http://www.sec.gov/Archives/edgar/data/1443646/000119312517032421/d295747dex101.htm" TargetMode="External"/><Relationship Id="rId169" Type="http://schemas.openxmlformats.org/officeDocument/2006/relationships/hyperlink" Target="http://www.sec.gov/Archives/edgar/data/1443646/000119312518073520/d502770dex101.htm" TargetMode="External"/><Relationship Id="rId170" Type="http://schemas.openxmlformats.org/officeDocument/2006/relationships/hyperlink" Target="http://www.sec.gov/Archives/edgar/data/1443646/000119312518224147/d549733dex101.htm" TargetMode="External"/><Relationship Id="rId171" Type="http://schemas.openxmlformats.org/officeDocument/2006/relationships/hyperlink" Target="http://www.sec.gov/Archives/edgar/data/1443646/000110465919067587/tm1923849d1_ex10-1.htm" TargetMode="External"/><Relationship Id="rId172" Type="http://schemas.openxmlformats.org/officeDocument/2006/relationships/hyperlink" Target="https://www.sec.gov/Archives/edgar/data/1443646/000110465921085389/tm2120619d1_ex10-1.htm" TargetMode="External"/><Relationship Id="rId173" Type="http://schemas.openxmlformats.org/officeDocument/2006/relationships/hyperlink" Target="https://www.sec.gov/Archives/edgar/data/1443646/000110465922098194/tm2225329d1_ex10-1.htm" TargetMode="External"/><Relationship Id="rId174" Type="http://schemas.openxmlformats.org/officeDocument/2006/relationships/hyperlink" Target="https://www.sec.gov/ix?doc=/Archives/edgar/data/1443646/000144364623000174/bah-20230630.htm" TargetMode="External"/><Relationship Id="rId175" Type="http://schemas.openxmlformats.org/officeDocument/2006/relationships/hyperlink" Target="http://www.sec.gov/Archives/edgar/data/1443646/000144364617000108/bah-20170630xex1010.htm" TargetMode="External"/><Relationship Id="rId176" Type="http://schemas.openxmlformats.org/officeDocument/2006/relationships/hyperlink" Target="https://www.sec.gov/Archives/edgar/data/1443646/000144364622000013/bah-123121xex101.htm" TargetMode="External"/><Relationship Id="rId177" Type="http://schemas.openxmlformats.org/officeDocument/2006/relationships/hyperlink" Target="http://www.sec.gov/Archives/edgar/data/1443646/000144364619000017/ex107-deferredcompensation.htm" TargetMode="External"/><Relationship Id="rId178" Type="http://schemas.openxmlformats.org/officeDocument/2006/relationships/hyperlink" Target="http://www.sec.gov/Archives/edgar/data/1443646/000144364619000183/bah-20190930xex101.htm" TargetMode="External"/><Relationship Id="rId179" Type="http://schemas.openxmlformats.org/officeDocument/2006/relationships/hyperlink" Target="http://www.sec.gov/Archives/edgar/data/1443646/000144364617000050/bah-20170331xex1036.htm" TargetMode="External"/><Relationship Id="rId180" Type="http://schemas.openxmlformats.org/officeDocument/2006/relationships/hyperlink" Target="http://www.sec.gov/Archives/edgar/data/1443646/000144364619000093/bah-20190331xex1059.htm" TargetMode="External"/><Relationship Id="rId183" Type="http://schemas.openxmlformats.org/officeDocument/2006/relationships/hyperlink" Target="https://www.sec.gov/Archives/edgar/data/1443646/000144364620000086/bah-20200331xex1061.htm" TargetMode="External"/><Relationship Id="rId184" Type="http://schemas.openxmlformats.org/officeDocument/2006/relationships/hyperlink" Target="http://www.sec.gov/Archives/edgar/data/1443646/000144364618000100/bah-20180331xex1045.htm" TargetMode="External"/><Relationship Id="rId185" Type="http://schemas.openxmlformats.org/officeDocument/2006/relationships/hyperlink" Target="https://www.sec.gov/Archives/edgar/data/1443646/000144364622000058/bah-20220331xex1065.htm" TargetMode="External"/><Relationship Id="rId186" Type="http://schemas.openxmlformats.org/officeDocument/2006/relationships/hyperlink" Target="https://www.sec.gov/Archives/edgar/data/1443646/000144364622000058/bah-20220331xex1066.htm" TargetMode="External"/><Relationship Id="rId187" Type="http://schemas.openxmlformats.org/officeDocument/2006/relationships/hyperlink" Target="https://www.sec.gov/Archives/edgar/data/1443646/000144364622000058/bah-20220331xex1067.htm" TargetMode="External"/><Relationship Id="rId188" Type="http://schemas.openxmlformats.org/officeDocument/2006/relationships/hyperlink" Target="https://www.sec.gov/Archives/edgar/data/1443646/000144364623000089/exhibit1039-bahxformofst.htm" TargetMode="External"/><Relationship Id="rId189" Type="http://schemas.openxmlformats.org/officeDocument/2006/relationships/hyperlink" Target="https://www.sec.gov/Archives/edgar/data/1443646/000144364623000089/bah-20230331xex1038.htm" TargetMode="External"/><Relationship Id="rId190" Type="http://schemas.openxmlformats.org/officeDocument/2006/relationships/hyperlink" Target="https://www.sec.gov/Archives/edgar/data/1443646/000144364623000089/bah-20230331xex1040.htm" TargetMode="External"/><Relationship Id="rId191" Type="http://schemas.openxmlformats.org/officeDocument/2006/relationships/hyperlink" Target="https://www.sec.gov/Archives/edgar/data/1443646/000144364623000230/bah-20230930xex108.htm" TargetMode="External"/><Relationship Id="rId192" Type="http://schemas.openxmlformats.org/officeDocument/2006/relationships/hyperlink" Target="https://www.sec.gov/Archives/edgar/data/1443646/000144364623000230/bah-20230930xex105.htm" TargetMode="External"/><Relationship Id="rId193" Type="http://schemas.openxmlformats.org/officeDocument/2006/relationships/hyperlink" Target="https://www.sec.gov/Archives/edgar/data/1443646/000144364623000230/bah-20230930xex107.htm" TargetMode="External"/><Relationship Id="rId194" Type="http://schemas.openxmlformats.org/officeDocument/2006/relationships/hyperlink" Target="https://www.sec.gov/Archives/edgar/data/1443646/000144364623000230/bah-20230930x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2024-05-24T06:20:03Z</dcterms:created>
  <dcterms:modified xsi:type="dcterms:W3CDTF">2024-05-24T06:20:03Z</dcterms:modified>
</cp:coreProperties>
</file>