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577850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ectPr>
          <w:pgSz w:w="11900" w:h="16838" w:orient="portrait"/>
          <w:cols w:equalWidth="0" w:num="1">
            <w:col w:w="11380"/>
          </w:cols>
          <w:pgMar w:left="240" w:top="922" w:right="279" w:bottom="1440" w:gutter="0" w:footer="0" w:header="0"/>
        </w:sectPr>
      </w:pPr>
    </w:p>
    <w:p>
      <w:pPr>
        <w:spacing w:after="0" w:line="200" w:lineRule="exact"/>
        <w:rPr>
          <w:sz w:val="24"/>
          <w:szCs w:val="24"/>
          <w:color w:val="auto"/>
        </w:rPr>
      </w:pPr>
    </w:p>
    <w:p>
      <w:pPr>
        <w:spacing w:after="0" w:line="328"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line="256"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1"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7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w:t>
      </w:r>
    </w:p>
    <w:p>
      <w:pPr>
        <w:spacing w:after="0" w:line="14" w:lineRule="exact"/>
        <w:rPr>
          <w:sz w:val="24"/>
          <w:szCs w:val="24"/>
          <w:color w:val="auto"/>
        </w:rPr>
      </w:pPr>
    </w:p>
    <w:p>
      <w:pPr>
        <w:sectPr>
          <w:pgSz w:w="11900" w:h="16838" w:orient="portrait"/>
          <w:cols w:equalWidth="0" w:num="2">
            <w:col w:w="200" w:space="640"/>
            <w:col w:w="10540"/>
          </w:cols>
          <w:pgMar w:left="240" w:top="922" w:right="279" w:bottom="1440" w:gutter="0" w:footer="0" w:header="0"/>
          <w:type w:val="continuous"/>
        </w:sect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OF 1934</w:t>
      </w:r>
    </w:p>
    <w:p>
      <w:pPr>
        <w:spacing w:after="0" w:line="218"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p>
      <w:pPr>
        <w:ind w:left="1820"/>
        <w:spacing w:after="0"/>
        <w:tabs>
          <w:tab w:leader="none" w:pos="90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26-2634160</w:t>
      </w:r>
    </w:p>
    <w:p>
      <w:pPr>
        <w:spacing w:after="0" w:line="59" w:lineRule="exact"/>
        <w:rPr>
          <w:sz w:val="24"/>
          <w:szCs w:val="24"/>
          <w:color w:val="auto"/>
        </w:rPr>
      </w:pPr>
    </w:p>
    <w:p>
      <w:pPr>
        <w:ind w:left="1280"/>
        <w:spacing w:after="0"/>
        <w:tabs>
          <w:tab w:leader="none" w:pos="90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spacing w:after="0" w:line="4" w:lineRule="exact"/>
        <w:rPr>
          <w:sz w:val="24"/>
          <w:szCs w:val="24"/>
          <w:color w:val="auto"/>
        </w:rPr>
      </w:pPr>
    </w:p>
    <w:p>
      <w:pPr>
        <w:ind w:left="1240"/>
        <w:spacing w:after="0"/>
        <w:tabs>
          <w:tab w:leader="none" w:pos="89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52" w:lineRule="exact"/>
        <w:rPr>
          <w:sz w:val="24"/>
          <w:szCs w:val="24"/>
          <w:color w:val="auto"/>
        </w:rPr>
      </w:pPr>
    </w:p>
    <w:p>
      <w:pPr>
        <w:ind w:left="300"/>
        <w:spacing w:after="0"/>
        <w:tabs>
          <w:tab w:leader="none" w:pos="2560" w:val="left"/>
          <w:tab w:leader="none" w:pos="3560" w:val="left"/>
          <w:tab w:leader="none" w:pos="9300" w:val="left"/>
        </w:tabs>
        <w:rPr>
          <w:sz w:val="20"/>
          <w:szCs w:val="20"/>
          <w:color w:val="auto"/>
        </w:rPr>
      </w:pPr>
      <w:r>
        <w:rPr>
          <w:rFonts w:ascii="Arial" w:cs="Arial" w:eastAsia="Arial" w:hAnsi="Arial"/>
          <w:sz w:val="18"/>
          <w:szCs w:val="18"/>
          <w:b w:val="1"/>
          <w:bCs w:val="1"/>
          <w:color w:val="auto"/>
        </w:rPr>
        <w:t>8283 Greensboro Drive,</w:t>
      </w:r>
      <w:r>
        <w:rPr>
          <w:sz w:val="20"/>
          <w:szCs w:val="20"/>
          <w:color w:val="auto"/>
        </w:rPr>
        <w:tab/>
      </w:r>
      <w:r>
        <w:rPr>
          <w:rFonts w:ascii="Arial" w:cs="Arial" w:eastAsia="Arial" w:hAnsi="Arial"/>
          <w:sz w:val="18"/>
          <w:szCs w:val="18"/>
          <w:b w:val="1"/>
          <w:bCs w:val="1"/>
          <w:color w:val="auto"/>
        </w:rPr>
        <w:t>McLean,</w:t>
      </w:r>
      <w:r>
        <w:rPr>
          <w:sz w:val="20"/>
          <w:szCs w:val="20"/>
          <w:color w:val="auto"/>
        </w:rPr>
        <w:tab/>
      </w:r>
      <w:r>
        <w:rPr>
          <w:rFonts w:ascii="Arial" w:cs="Arial" w:eastAsia="Arial" w:hAnsi="Arial"/>
          <w:sz w:val="18"/>
          <w:szCs w:val="18"/>
          <w:b w:val="1"/>
          <w:bCs w:val="1"/>
          <w:color w:val="auto"/>
        </w:rPr>
        <w:t>Virginia</w:t>
      </w:r>
      <w:r>
        <w:rPr>
          <w:sz w:val="20"/>
          <w:szCs w:val="20"/>
          <w:color w:val="auto"/>
        </w:rPr>
        <w:tab/>
      </w:r>
      <w:r>
        <w:rPr>
          <w:rFonts w:ascii="Arial" w:cs="Arial" w:eastAsia="Arial" w:hAnsi="Arial"/>
          <w:sz w:val="15"/>
          <w:szCs w:val="15"/>
          <w:b w:val="1"/>
          <w:bCs w:val="1"/>
          <w:color w:val="auto"/>
        </w:rPr>
        <w:t>22102</w:t>
      </w:r>
    </w:p>
    <w:p>
      <w:pPr>
        <w:spacing w:after="0" w:line="59" w:lineRule="exact"/>
        <w:rPr>
          <w:sz w:val="24"/>
          <w:szCs w:val="24"/>
          <w:color w:val="auto"/>
        </w:rPr>
      </w:pPr>
    </w:p>
    <w:p>
      <w:pPr>
        <w:ind w:left="1000"/>
        <w:spacing w:after="0"/>
        <w:tabs>
          <w:tab w:leader="none" w:pos="91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(703) 902-5000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8" w:lineRule="exact"/>
        <w:rPr>
          <w:sz w:val="24"/>
          <w:szCs w:val="24"/>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8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10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79"/>
        </w:trPr>
        <w:tc>
          <w:tcPr>
            <w:tcW w:w="3280" w:type="dxa"/>
            <w:vAlign w:val="bottom"/>
            <w:gridSpan w:val="3"/>
          </w:tcPr>
          <w:p>
            <w:pPr>
              <w:jc w:val="center"/>
              <w:ind w:right="1560"/>
              <w:spacing w:after="0"/>
              <w:rPr>
                <w:sz w:val="20"/>
                <w:szCs w:val="20"/>
                <w:color w:val="auto"/>
              </w:rPr>
            </w:pPr>
            <w:r>
              <w:rPr>
                <w:rFonts w:ascii="Arial" w:cs="Arial" w:eastAsia="Arial" w:hAnsi="Arial"/>
                <w:sz w:val="18"/>
                <w:szCs w:val="18"/>
                <w:color w:val="auto"/>
                <w:w w:val="90"/>
              </w:rPr>
              <w:t>Class A Common Stock</w:t>
            </w:r>
          </w:p>
        </w:tc>
        <w:tc>
          <w:tcPr>
            <w:tcW w:w="2100" w:type="dxa"/>
            <w:vAlign w:val="bottom"/>
            <w:gridSpan w:val="2"/>
          </w:tcPr>
          <w:p>
            <w:pPr>
              <w:jc w:val="center"/>
              <w:ind w:right="1100"/>
              <w:spacing w:after="0"/>
              <w:rPr>
                <w:sz w:val="20"/>
                <w:szCs w:val="20"/>
                <w:color w:val="auto"/>
              </w:rPr>
            </w:pPr>
            <w:r>
              <w:rPr>
                <w:rFonts w:ascii="Arial" w:cs="Arial" w:eastAsia="Arial" w:hAnsi="Arial"/>
                <w:sz w:val="14"/>
                <w:szCs w:val="14"/>
                <w:color w:val="auto"/>
              </w:rPr>
              <w:t>BAH</w:t>
            </w:r>
          </w:p>
        </w:tc>
        <w:tc>
          <w:tcPr>
            <w:tcW w:w="28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06"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p>
      <w:pPr>
        <w:ind w:left="360"/>
        <w:spacing w:after="0" w:line="361" w:lineRule="exact"/>
        <w:tabs>
          <w:tab w:leader="none" w:pos="2780" w:val="left"/>
          <w:tab w:leader="none" w:pos="7920" w:val="left"/>
          <w:tab w:leader="none" w:pos="109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36"/>
          <w:szCs w:val="36"/>
          <w:color w:val="auto"/>
          <w:vertAlign w:val="superscript"/>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87" w:lineRule="exact"/>
        <w:rPr>
          <w:sz w:val="24"/>
          <w:szCs w:val="24"/>
          <w:color w:val="auto"/>
        </w:rPr>
      </w:pPr>
    </w:p>
    <w:p>
      <w:pPr>
        <w:ind w:left="40"/>
        <w:spacing w:after="0" w:line="207" w:lineRule="exact"/>
        <w:tabs>
          <w:tab w:leader="none" w:pos="7920" w:val="left"/>
          <w:tab w:leader="none" w:pos="109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34" w:lineRule="exact"/>
        <w:rPr>
          <w:sz w:val="24"/>
          <w:szCs w:val="24"/>
          <w:color w:val="auto"/>
        </w:rPr>
      </w:pPr>
    </w:p>
    <w:p>
      <w:pPr>
        <w:ind w:left="7940"/>
        <w:spacing w:after="0" w:line="207" w:lineRule="exact"/>
        <w:tabs>
          <w:tab w:leader="none" w:pos="109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64"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922" w:right="279" w:bottom="1440" w:gutter="0" w:footer="0" w:header="0"/>
          <w:type w:val="continuous"/>
        </w:sectPr>
      </w:pPr>
    </w:p>
    <w:bookmarkStart w:id="1" w:name="page2"/>
    <w:bookmarkEnd w:id="1"/>
    <w:p>
      <w:pPr>
        <w:ind w:right="166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4960" w:type="dxa"/>
            <w:vAlign w:val="bottom"/>
          </w:tcPr>
          <w:p>
            <w:pPr>
              <w:jc w:val="right"/>
              <w:ind w:right="41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6100" w:type="dxa"/>
            <w:vAlign w:val="bottom"/>
          </w:tcPr>
          <w:p>
            <w:pPr>
              <w:spacing w:after="0"/>
              <w:rPr>
                <w:sz w:val="16"/>
                <w:szCs w:val="16"/>
                <w:color w:val="auto"/>
              </w:rPr>
            </w:pPr>
          </w:p>
        </w:tc>
        <w:tc>
          <w:tcPr>
            <w:tcW w:w="4960" w:type="dxa"/>
            <w:vAlign w:val="bottom"/>
          </w:tcPr>
          <w:p>
            <w:pPr>
              <w:jc w:val="right"/>
              <w:ind w:right="456"/>
              <w:spacing w:after="0"/>
              <w:rPr>
                <w:sz w:val="20"/>
                <w:szCs w:val="20"/>
                <w:color w:val="auto"/>
              </w:rPr>
            </w:pPr>
            <w:r>
              <w:rPr>
                <w:rFonts w:ascii="Arial" w:cs="Arial" w:eastAsia="Arial" w:hAnsi="Arial"/>
                <w:sz w:val="14"/>
                <w:szCs w:val="14"/>
                <w:b w:val="1"/>
                <w:bCs w:val="1"/>
                <w:color w:val="auto"/>
              </w:rPr>
              <w:t>as of July 24, 2019</w:t>
            </w:r>
          </w:p>
        </w:tc>
      </w:tr>
      <w:tr>
        <w:trPr>
          <w:trHeight w:val="256"/>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140,218,115</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96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7"/>
        </w:trPr>
        <w:tc>
          <w:tcPr>
            <w:tcW w:w="6100" w:type="dxa"/>
            <w:vAlign w:val="bottom"/>
          </w:tcPr>
          <w:p>
            <w:pPr>
              <w:spacing w:after="0"/>
              <w:rPr>
                <w:sz w:val="2"/>
                <w:szCs w:val="2"/>
                <w:color w:val="auto"/>
              </w:rPr>
            </w:pPr>
          </w:p>
        </w:tc>
        <w:tc>
          <w:tcPr>
            <w:tcW w:w="496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96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60"/>
          </w:cols>
          <w:pgMar w:left="240" w:top="606" w:right="5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7">
              <w:r>
                <w:rPr>
                  <w:rFonts w:ascii="Arial" w:cs="Arial" w:eastAsia="Arial" w:hAnsi="Arial"/>
                  <w:sz w:val="18"/>
                  <w:szCs w:val="18"/>
                  <w:b w:val="1"/>
                  <w:bCs w:val="1"/>
                  <w:color w:val="0000EE"/>
                  <w:w w:val="79"/>
                </w:rPr>
                <w:t>24</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3">
              <w:r>
                <w:rPr>
                  <w:rFonts w:ascii="Arial" w:cs="Arial" w:eastAsia="Arial" w:hAnsi="Arial"/>
                  <w:sz w:val="18"/>
                  <w:szCs w:val="18"/>
                  <w:b w:val="1"/>
                  <w:bCs w:val="1"/>
                  <w:color w:val="0000EE"/>
                  <w:w w:val="79"/>
                </w:rPr>
                <w:t>40</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4">
              <w:r>
                <w:rPr>
                  <w:rFonts w:ascii="Arial" w:cs="Arial" w:eastAsia="Arial" w:hAnsi="Arial"/>
                  <w:sz w:val="18"/>
                  <w:szCs w:val="18"/>
                  <w:b w:val="1"/>
                  <w:bCs w:val="1"/>
                  <w:color w:val="0000EE"/>
                  <w:w w:val="79"/>
                </w:rPr>
                <w:t>41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4">
              <w:r>
                <w:rPr>
                  <w:rFonts w:ascii="Arial" w:cs="Arial" w:eastAsia="Arial" w:hAnsi="Arial"/>
                  <w:sz w:val="18"/>
                  <w:szCs w:val="18"/>
                  <w:b w:val="1"/>
                  <w:bCs w:val="1"/>
                  <w:color w:val="0000EE"/>
                  <w:w w:val="79"/>
                </w:rPr>
                <w:t>41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45">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5">
              <w:r>
                <w:rPr>
                  <w:rFonts w:ascii="Arial" w:cs="Arial" w:eastAsia="Arial" w:hAnsi="Arial"/>
                  <w:sz w:val="18"/>
                  <w:szCs w:val="18"/>
                  <w:b w:val="1"/>
                  <w:bCs w:val="1"/>
                  <w:color w:val="0000EE"/>
                  <w:w w:val="79"/>
                </w:rPr>
                <w:t>42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0"/>
          </w:tcPr>
          <w:p>
            <w:pPr>
              <w:spacing w:after="0"/>
              <w:rPr>
                <w:rFonts w:ascii="Arial" w:cs="Arial" w:eastAsia="Arial" w:hAnsi="Arial"/>
                <w:sz w:val="18"/>
                <w:szCs w:val="18"/>
                <w:b w:val="1"/>
                <w:bCs w:val="1"/>
                <w:color w:val="0000EE"/>
                <w:w w:val="87"/>
              </w:rPr>
            </w:pPr>
            <w:hyperlink w:anchor="page45">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45">
              <w:r>
                <w:rPr>
                  <w:rFonts w:ascii="Arial" w:cs="Arial" w:eastAsia="Arial" w:hAnsi="Arial"/>
                  <w:sz w:val="18"/>
                  <w:szCs w:val="18"/>
                  <w:b w:val="1"/>
                  <w:bCs w:val="1"/>
                  <w:color w:val="0000EE"/>
                  <w:w w:val="79"/>
                </w:rPr>
                <w:t>42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Defaults Upon Senior Securities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5">
              <w:r>
                <w:rPr>
                  <w:rFonts w:ascii="Arial" w:cs="Arial" w:eastAsia="Arial" w:hAnsi="Arial"/>
                  <w:sz w:val="18"/>
                  <w:szCs w:val="18"/>
                  <w:b w:val="1"/>
                  <w:bCs w:val="1"/>
                  <w:color w:val="0000EE"/>
                  <w:w w:val="79"/>
                </w:rPr>
                <w:t>42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46">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6">
              <w:r>
                <w:rPr>
                  <w:rFonts w:ascii="Arial" w:cs="Arial" w:eastAsia="Arial" w:hAnsi="Arial"/>
                  <w:sz w:val="18"/>
                  <w:szCs w:val="18"/>
                  <w:b w:val="1"/>
                  <w:bCs w:val="1"/>
                  <w:color w:val="0000EE"/>
                  <w:w w:val="79"/>
                </w:rPr>
                <w:t>43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6">
              <w:r>
                <w:rPr>
                  <w:rFonts w:ascii="Arial" w:cs="Arial" w:eastAsia="Arial" w:hAnsi="Arial"/>
                  <w:sz w:val="18"/>
                  <w:szCs w:val="18"/>
                  <w:b w:val="1"/>
                  <w:bCs w:val="1"/>
                  <w:color w:val="0000EE"/>
                  <w:w w:val="79"/>
                </w:rPr>
                <w:t>43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47">
              <w:r>
                <w:rPr>
                  <w:rFonts w:ascii="Arial" w:cs="Arial" w:eastAsia="Arial" w:hAnsi="Arial"/>
                  <w:sz w:val="18"/>
                  <w:szCs w:val="18"/>
                  <w:b w:val="1"/>
                  <w:bCs w:val="1"/>
                  <w:color w:val="0000EE"/>
                  <w:w w:val="79"/>
                </w:rPr>
                <w:t>44</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98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4"/>
                <w:szCs w:val="24"/>
                <w:color w:val="auto"/>
              </w:rPr>
            </w:pPr>
          </w:p>
        </w:tc>
        <w:tc>
          <w:tcPr>
            <w:tcW w:w="1260" w:type="dxa"/>
            <w:vAlign w:val="bottom"/>
          </w:tcPr>
          <w:p>
            <w:pPr>
              <w:jc w:val="right"/>
              <w:ind w:right="271"/>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276"/>
        </w:trPr>
        <w:tc>
          <w:tcPr>
            <w:tcW w:w="540" w:type="dxa"/>
            <w:vAlign w:val="bottom"/>
          </w:tcPr>
          <w:p>
            <w:pPr>
              <w:spacing w:after="0"/>
              <w:rPr>
                <w:sz w:val="24"/>
                <w:szCs w:val="24"/>
                <w:color w:val="auto"/>
              </w:rPr>
            </w:pPr>
          </w:p>
        </w:tc>
        <w:tc>
          <w:tcPr>
            <w:tcW w:w="7800" w:type="dxa"/>
            <w:vAlign w:val="bottom"/>
          </w:tcPr>
          <w:p>
            <w:pPr>
              <w:ind w:left="33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649,100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283,990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1,330,364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59,583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84,986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1,699,340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177,837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172,453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257,310</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291,629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287,051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1,581,160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89,315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91,837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4,513,650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3,831,841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77,924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57,924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664,948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325,553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BFE4FF"/>
            </w:tcBorders>
            <w:gridSpan w:val="2"/>
            <w:shd w:val="clear" w:color="auto" w:fill="BFE4FF"/>
          </w:tcPr>
          <w:p>
            <w:pPr>
              <w:ind w:left="38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29,789</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178,200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130,814</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1,179,239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2,063,321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1,701,837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287,979</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275,399</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3,764,827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3,156,475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160,244,219 shares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88"/>
              </w:rPr>
              <w:t>June 30, 2019 and 159,924,825 shares at March 31, 2019; outstanding, 140,218,119 shares at June 30, 2019</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and 140,027,853 shares at March 31, 2019</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4"/>
              </w:rPr>
              <w:t>Treasury stock, at cost — 20,026,100 shares at June 30, 2019 and 19,896,972 shares at March 31, 2019</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(711,450)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413,293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401,596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994,811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748,823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675,366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4,513,650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3,831,841</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74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42"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gridSpan w:val="5"/>
          </w:tcPr>
          <w:p>
            <w:pPr>
              <w:jc w:val="center"/>
              <w:ind w:right="25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40" w:type="dxa"/>
            <w:vAlign w:val="bottom"/>
            <w:gridSpan w:val="5"/>
          </w:tcPr>
          <w:p>
            <w:pPr>
              <w:jc w:val="center"/>
              <w:ind w:right="27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1,825,176</w:t>
            </w:r>
          </w:p>
        </w:tc>
        <w:tc>
          <w:tcPr>
            <w:tcW w:w="72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1,646,848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840,654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785,812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551,175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477,435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205,836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16,153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1,646,130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1,485,236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179,046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161,612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137,367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33,163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117,386</w:t>
            </w:r>
          </w:p>
        </w:tc>
        <w:tc>
          <w:tcPr>
            <w:tcW w:w="72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104,204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72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0.83</w:t>
            </w:r>
          </w:p>
        </w:tc>
        <w:tc>
          <w:tcPr>
            <w:tcW w:w="7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85" w:right="239" w:bottom="1440" w:gutter="0" w:footer="0" w:header="0"/>
        </w:sectPr>
      </w:pPr>
    </w:p>
    <w:bookmarkStart w:id="5" w:name="page6"/>
    <w:bookmarkEnd w:id="5"/>
    <w:p>
      <w:pPr>
        <w:jc w:val="center"/>
        <w:ind w:right="20"/>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p>
      <w:pPr>
        <w:spacing w:after="0" w:line="2"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5130800</wp:posOffset>
            </wp:positionH>
            <wp:positionV relativeFrom="paragraph">
              <wp:posOffset>13335</wp:posOffset>
            </wp:positionV>
            <wp:extent cx="1903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196"/>
        </w:trPr>
        <w:tc>
          <w:tcPr>
            <w:tcW w:w="8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117,386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104,204</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unrealized gain (loss) on derivatives designated as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1,920</w:t>
            </w:r>
          </w:p>
        </w:tc>
      </w:tr>
      <w:tr>
        <w:trPr>
          <w:trHeight w:val="243"/>
        </w:trPr>
        <w:tc>
          <w:tcPr>
            <w:tcW w:w="8080" w:type="dxa"/>
            <w:vAlign w:val="bottom"/>
          </w:tcPr>
          <w:p>
            <w:pPr>
              <w:ind w:left="160"/>
              <w:spacing w:after="0"/>
              <w:rPr>
                <w:sz w:val="20"/>
                <w:szCs w:val="20"/>
                <w:color w:val="auto"/>
              </w:rPr>
            </w:pPr>
            <w:r>
              <w:rPr>
                <w:rFonts w:ascii="Arial" w:cs="Arial" w:eastAsia="Arial" w:hAnsi="Arial"/>
                <w:sz w:val="18"/>
                <w:szCs w:val="18"/>
                <w:color w:val="auto"/>
              </w:rPr>
              <w:t>Change in postretirement plan costs</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407</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2,327</w:t>
            </w:r>
          </w:p>
        </w:tc>
      </w:tr>
      <w:tr>
        <w:trPr>
          <w:trHeight w:val="237"/>
        </w:trPr>
        <w:tc>
          <w:tcPr>
            <w:tcW w:w="808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102,455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106,531</w:t>
            </w:r>
          </w:p>
        </w:tc>
      </w:tr>
      <w:tr>
        <w:trPr>
          <w:trHeight w:val="27"/>
        </w:trPr>
        <w:tc>
          <w:tcPr>
            <w:tcW w:w="8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420" w:top="1202"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117,386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104,204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net of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(141,516)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BFE4FF"/>
            </w:tcBorders>
            <w:shd w:val="clear" w:color="auto" w:fill="BFE4FF"/>
          </w:tcPr>
          <w:p>
            <w:pPr>
              <w:ind w:left="720"/>
              <w:spacing w:after="0"/>
              <w:rPr>
                <w:sz w:val="20"/>
                <w:szCs w:val="20"/>
                <w:color w:val="auto"/>
              </w:rPr>
            </w:pPr>
            <w:r>
              <w:rPr>
                <w:rFonts w:ascii="Arial" w:cs="Arial" w:eastAsia="Arial" w:hAnsi="Arial"/>
                <w:sz w:val="18"/>
                <w:szCs w:val="18"/>
                <w:color w:val="auto"/>
              </w:rPr>
              <w:t>Deferred income taxes and income taxes receivable / payable</w:t>
            </w:r>
          </w:p>
        </w:tc>
        <w:tc>
          <w:tcPr>
            <w:tcW w:w="36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42,342</w:t>
            </w:r>
          </w:p>
        </w:tc>
        <w:tc>
          <w:tcPr>
            <w:tcW w:w="10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20,781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(70,845)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equipment, and software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business acquisitions, net of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(75,775)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 on contingent liabilities from acquisition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341,463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283,990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286,958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649,100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149,723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 (refund)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26,726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23,938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(4,238)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repurchases transacted but not settled and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Noncash financing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2,682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985" w:right="239" w:bottom="78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985" w:right="239" w:bottom="786"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left="442"/>
              <w:spacing w:after="0"/>
              <w:rPr>
                <w:sz w:val="20"/>
                <w:szCs w:val="20"/>
                <w:color w:val="auto"/>
              </w:rPr>
            </w:pPr>
            <w:r>
              <w:rPr>
                <w:rFonts w:ascii="Arial" w:cs="Arial" w:eastAsia="Arial" w:hAnsi="Arial"/>
                <w:sz w:val="13"/>
                <w:szCs w:val="13"/>
                <w:b w:val="1"/>
                <w:bCs w:val="1"/>
                <w:color w:val="auto"/>
                <w:w w:val="83"/>
              </w:rPr>
              <w:t>Class A</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7"/>
          </w:tcPr>
          <w:p>
            <w:pPr>
              <w:jc w:val="center"/>
              <w:ind w:right="160"/>
              <w:spacing w:after="0"/>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7"/>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80" w:type="dxa"/>
            <w:vAlign w:val="bottom"/>
          </w:tcPr>
          <w:p>
            <w:pPr>
              <w:spacing w:after="0"/>
              <w:rPr>
                <w:sz w:val="12"/>
                <w:szCs w:val="12"/>
                <w:color w:val="auto"/>
              </w:rPr>
            </w:pPr>
          </w:p>
        </w:tc>
        <w:tc>
          <w:tcPr>
            <w:tcW w:w="1840" w:type="dxa"/>
            <w:vAlign w:val="bottom"/>
            <w:gridSpan w:val="7"/>
          </w:tcPr>
          <w:p>
            <w:pPr>
              <w:jc w:val="center"/>
              <w:ind w:right="180"/>
              <w:spacing w:after="0" w:line="144" w:lineRule="exact"/>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2"/>
                <w:szCs w:val="12"/>
                <w:color w:val="auto"/>
              </w:rPr>
            </w:pPr>
          </w:p>
        </w:tc>
        <w:tc>
          <w:tcPr>
            <w:tcW w:w="76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2"/>
              </w:rPr>
              <w:t>Other</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32"/>
        </w:trPr>
        <w:tc>
          <w:tcPr>
            <w:tcW w:w="4160" w:type="dxa"/>
            <w:vAlign w:val="bottom"/>
            <w:vMerge w:val="restart"/>
          </w:tcPr>
          <w:p>
            <w:pPr>
              <w:ind w:left="40"/>
              <w:spacing w:after="0" w:line="135" w:lineRule="exact"/>
              <w:rPr>
                <w:sz w:val="20"/>
                <w:szCs w:val="20"/>
                <w:color w:val="auto"/>
              </w:rPr>
            </w:pPr>
            <w:r>
              <w:rPr>
                <w:rFonts w:ascii="Arial" w:cs="Arial" w:eastAsia="Arial" w:hAnsi="Arial"/>
                <w:sz w:val="13"/>
                <w:szCs w:val="13"/>
                <w:b w:val="1"/>
                <w:bCs w:val="1"/>
                <w:color w:val="auto"/>
              </w:rPr>
              <w:t>(Amounts in thousands, except</w:t>
            </w: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760" w:type="dxa"/>
            <w:vAlign w:val="bottom"/>
            <w:gridSpan w:val="3"/>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vMerge w:val="restart"/>
          </w:tcPr>
          <w:p>
            <w:pPr>
              <w:spacing w:after="0"/>
              <w:rPr>
                <w:sz w:val="2"/>
                <w:szCs w:val="2"/>
                <w:color w:val="auto"/>
              </w:rPr>
            </w:pPr>
          </w:p>
        </w:tc>
        <w:tc>
          <w:tcPr>
            <w:tcW w:w="900" w:type="dxa"/>
            <w:vAlign w:val="bottom"/>
            <w:gridSpan w:val="2"/>
            <w:vMerge w:val="restart"/>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7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83"/>
        </w:trPr>
        <w:tc>
          <w:tcPr>
            <w:tcW w:w="4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160" w:type="dxa"/>
            <w:vAlign w:val="bottom"/>
          </w:tcPr>
          <w:p>
            <w:pPr>
              <w:ind w:left="40"/>
              <w:spacing w:after="0"/>
              <w:rPr>
                <w:sz w:val="20"/>
                <w:szCs w:val="20"/>
                <w:color w:val="auto"/>
              </w:rPr>
            </w:pPr>
            <w:r>
              <w:rPr>
                <w:rFonts w:ascii="Arial" w:cs="Arial" w:eastAsia="Arial" w:hAnsi="Arial"/>
                <w:sz w:val="13"/>
                <w:szCs w:val="13"/>
                <w:b w:val="1"/>
                <w:bCs w:val="1"/>
                <w:color w:val="auto"/>
              </w:rPr>
              <w:t>share data)</w:t>
            </w:r>
          </w:p>
        </w:tc>
        <w:tc>
          <w:tcPr>
            <w:tcW w:w="80" w:type="dxa"/>
            <w:vAlign w:val="bottom"/>
          </w:tcPr>
          <w:p>
            <w:pPr>
              <w:spacing w:after="0"/>
              <w:rPr>
                <w:sz w:val="15"/>
                <w:szCs w:val="15"/>
                <w:color w:val="auto"/>
              </w:rPr>
            </w:pPr>
          </w:p>
        </w:tc>
        <w:tc>
          <w:tcPr>
            <w:tcW w:w="960" w:type="dxa"/>
            <w:vAlign w:val="bottom"/>
            <w:gridSpan w:val="3"/>
          </w:tcPr>
          <w:p>
            <w:pPr>
              <w:ind w:left="200"/>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4"/>
          </w:tcPr>
          <w:p>
            <w:pPr>
              <w:ind w:left="8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920" w:type="dxa"/>
            <w:vAlign w:val="bottom"/>
            <w:gridSpan w:val="3"/>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82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5"/>
                <w:szCs w:val="15"/>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7"/>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940" w:type="dxa"/>
            <w:vAlign w:val="bottom"/>
            <w:tcBorders>
              <w:top w:val="single" w:sz="8" w:color="auto"/>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w w:val="92"/>
              </w:rPr>
              <w:t>159,924,825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93"/>
              </w:rPr>
              <w:t>$1,599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(19,896,972)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5"/>
              </w:rPr>
              <w:t>$(711,450)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6"/>
                <w:szCs w:val="16"/>
                <w:color w:val="auto"/>
                <w:w w:val="89"/>
              </w:rPr>
              <w:t>$401,596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w w:val="97"/>
              </w:rPr>
              <w:t>$  994,811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$ 675,366</w:t>
            </w:r>
          </w:p>
        </w:tc>
        <w:tc>
          <w:tcPr>
            <w:tcW w:w="0" w:type="dxa"/>
            <w:vAlign w:val="bottom"/>
          </w:tcPr>
          <w:p>
            <w:pPr>
              <w:spacing w:after="0"/>
              <w:rPr>
                <w:sz w:val="1"/>
                <w:szCs w:val="1"/>
                <w:color w:val="auto"/>
              </w:rPr>
            </w:pPr>
          </w:p>
        </w:tc>
      </w:tr>
      <w:tr>
        <w:trPr>
          <w:trHeight w:val="217"/>
        </w:trPr>
        <w:tc>
          <w:tcPr>
            <w:tcW w:w="4160" w:type="dxa"/>
            <w:vAlign w:val="bottom"/>
          </w:tcPr>
          <w:p>
            <w:pPr>
              <w:ind w:left="180"/>
              <w:spacing w:after="0"/>
              <w:rPr>
                <w:sz w:val="20"/>
                <w:szCs w:val="20"/>
                <w:color w:val="auto"/>
              </w:rPr>
            </w:pPr>
            <w:r>
              <w:rPr>
                <w:rFonts w:ascii="Arial" w:cs="Arial" w:eastAsia="Arial" w:hAnsi="Arial"/>
                <w:sz w:val="16"/>
                <w:szCs w:val="16"/>
                <w:color w:val="auto"/>
              </w:rPr>
              <w:t>Issuance of common stock</w:t>
            </w:r>
          </w:p>
        </w:tc>
        <w:tc>
          <w:tcPr>
            <w:tcW w:w="94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6"/>
                <w:szCs w:val="16"/>
                <w:color w:val="auto"/>
              </w:rPr>
              <w:t>158,092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740" w:type="dxa"/>
            <w:vAlign w:val="bottom"/>
            <w:tcBorders>
              <w:top w:val="single" w:sz="8" w:color="auto"/>
            </w:tcBorders>
            <w:gridSpan w:val="2"/>
          </w:tcPr>
          <w:p>
            <w:pPr>
              <w:jc w:val="right"/>
              <w:ind w:right="43"/>
              <w:spacing w:after="0"/>
              <w:rPr>
                <w:sz w:val="20"/>
                <w:szCs w:val="20"/>
                <w:color w:val="auto"/>
              </w:rPr>
            </w:pPr>
            <w:r>
              <w:rPr>
                <w:rFonts w:ascii="Arial" w:cs="Arial" w:eastAsia="Arial" w:hAnsi="Arial"/>
                <w:sz w:val="16"/>
                <w:szCs w:val="16"/>
                <w:color w:val="auto"/>
              </w:rPr>
              <w:t>3,376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3,378</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options exercised</w:t>
            </w:r>
          </w:p>
        </w:tc>
        <w:tc>
          <w:tcPr>
            <w:tcW w:w="9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161,302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2,154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Repurchase of common stock (1)</w:t>
            </w:r>
          </w:p>
        </w:tc>
        <w:tc>
          <w:tcPr>
            <w:tcW w:w="8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
              <w:spacing w:after="0"/>
              <w:rPr>
                <w:sz w:val="20"/>
                <w:szCs w:val="20"/>
                <w:color w:val="auto"/>
              </w:rPr>
            </w:pPr>
            <w:r>
              <w:rPr>
                <w:rFonts w:ascii="Arial" w:cs="Arial" w:eastAsia="Arial" w:hAnsi="Arial"/>
                <w:sz w:val="16"/>
                <w:szCs w:val="16"/>
                <w:color w:val="auto"/>
              </w:rPr>
              <w:t>(129,128)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(8,286)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(8,286)</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Recognition of liability related to future stock exercises</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
              <w:spacing w:after="0"/>
              <w:rPr>
                <w:sz w:val="20"/>
                <w:szCs w:val="20"/>
                <w:color w:val="auto"/>
              </w:rPr>
            </w:pPr>
            <w:r>
              <w:rPr>
                <w:rFonts w:ascii="Arial" w:cs="Arial" w:eastAsia="Arial" w:hAnsi="Arial"/>
                <w:sz w:val="16"/>
                <w:szCs w:val="16"/>
                <w:color w:val="auto"/>
              </w:rPr>
              <w:t>117,386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117,386</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(14,931)</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Dividends paid of $0.23 per common share</w:t>
            </w:r>
          </w:p>
        </w:tc>
        <w:tc>
          <w:tcPr>
            <w:tcW w:w="8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(32,412)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(32,412)</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6,444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6,444</w:t>
            </w: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94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6"/>
                <w:szCs w:val="16"/>
                <w:color w:val="auto"/>
                <w:w w:val="92"/>
              </w:rPr>
              <w:t>160,244,219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w w:val="93"/>
              </w:rPr>
              <w:t>$1,602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4"/>
              </w:rPr>
              <w:t>(20,026,100)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5"/>
              </w:rPr>
              <w:t>$(719,736)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43"/>
              <w:spacing w:after="0"/>
              <w:rPr>
                <w:sz w:val="20"/>
                <w:szCs w:val="20"/>
                <w:color w:val="auto"/>
              </w:rPr>
            </w:pPr>
            <w:r>
              <w:rPr>
                <w:rFonts w:ascii="Arial" w:cs="Arial" w:eastAsia="Arial" w:hAnsi="Arial"/>
                <w:sz w:val="16"/>
                <w:szCs w:val="16"/>
                <w:color w:val="auto"/>
                <w:w w:val="89"/>
              </w:rPr>
              <w:t>$413,293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6"/>
                <w:szCs w:val="16"/>
                <w:color w:val="auto"/>
                <w:w w:val="92"/>
              </w:rPr>
              <w:t>$1,079,785</w:t>
            </w:r>
          </w:p>
        </w:tc>
        <w:tc>
          <w:tcPr>
            <w:tcW w:w="12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(26,121)</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2"/>
              </w:rPr>
              <w:t>$ 748,823</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1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2018</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158,028,673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(14,582,134)</w:t>
            </w: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$(461,457)</w:t>
            </w:r>
          </w:p>
        </w:tc>
        <w:tc>
          <w:tcPr>
            <w:tcW w:w="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$346,958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$ 690,516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(15,106)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$ 562,491</w:t>
            </w:r>
          </w:p>
        </w:tc>
        <w:tc>
          <w:tcPr>
            <w:tcW w:w="0" w:type="dxa"/>
            <w:vAlign w:val="bottom"/>
          </w:tcPr>
          <w:p>
            <w:pPr>
              <w:spacing w:after="0"/>
              <w:rPr>
                <w:sz w:val="1"/>
                <w:szCs w:val="1"/>
                <w:color w:val="auto"/>
              </w:rPr>
            </w:pPr>
          </w:p>
        </w:tc>
      </w:tr>
      <w:tr>
        <w:trPr>
          <w:trHeight w:val="217"/>
        </w:trPr>
        <w:tc>
          <w:tcPr>
            <w:tcW w:w="4160" w:type="dxa"/>
            <w:vAlign w:val="bottom"/>
          </w:tcPr>
          <w:p>
            <w:pPr>
              <w:ind w:left="180"/>
              <w:spacing w:after="0"/>
              <w:rPr>
                <w:sz w:val="20"/>
                <w:szCs w:val="20"/>
                <w:color w:val="auto"/>
              </w:rPr>
            </w:pPr>
            <w:r>
              <w:rPr>
                <w:rFonts w:ascii="Arial" w:cs="Arial" w:eastAsia="Arial" w:hAnsi="Arial"/>
                <w:sz w:val="16"/>
                <w:szCs w:val="16"/>
                <w:color w:val="auto"/>
              </w:rPr>
              <w:t>Issuance of common stock</w:t>
            </w:r>
          </w:p>
        </w:tc>
        <w:tc>
          <w:tcPr>
            <w:tcW w:w="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320,275</w:t>
            </w: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2,581</w:t>
            </w: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options exercised</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445,067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5,265</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Repurchase of common stock (2)</w:t>
            </w:r>
          </w:p>
        </w:tc>
        <w:tc>
          <w:tcPr>
            <w:tcW w:w="8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(1,089,945)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(48,064)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(48,064)</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104,204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104,204</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8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2,327</w:t>
            </w:r>
          </w:p>
        </w:tc>
        <w:tc>
          <w:tcPr>
            <w:tcW w:w="12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2,327</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 of $0.19 per common share</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(27,442)</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8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6,115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6,115</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158,794,015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(15,672,079)</w:t>
            </w:r>
          </w:p>
        </w:tc>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$(509,521)</w:t>
            </w: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$360,915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$ 767,278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(12,779)</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$ 607,481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20" w:firstLine="2"/>
        <w:spacing w:after="0" w:line="264"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first quarter of fiscal 2020, the Company purchased 93.0 thousand shares of the Company’s Class A Common Stock in a series of open market transactions for $5.9 million. Additionally, the Company repurchased shares during the first quarter of fiscal 2020 to cover the minimum statutory withholding taxes on restricted stock awards and restricted stock units that vested on June 30, 2019.</w:t>
      </w:r>
    </w:p>
    <w:p>
      <w:pPr>
        <w:spacing w:after="0" w:line="73" w:lineRule="exact"/>
        <w:rPr>
          <w:rFonts w:ascii="Arial" w:cs="Arial" w:eastAsia="Arial" w:hAnsi="Arial"/>
          <w:sz w:val="18"/>
          <w:szCs w:val="18"/>
          <w:color w:val="auto"/>
        </w:rPr>
      </w:pPr>
    </w:p>
    <w:p>
      <w:pPr>
        <w:ind w:left="60" w:right="240" w:firstLine="2"/>
        <w:spacing w:after="0" w:line="264" w:lineRule="auto"/>
        <w:tabs>
          <w:tab w:leader="none" w:pos="315"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first quarter of fiscal 2019, the Company purchased 1.0 million shares of the Company’s Class A Common Stock in a series of open market transactions for $44.2 million. Additionally, the Company repurchased shares during the first quarter of fiscal 2019 to cover the minimum statutory withholding taxes on restricted stock awards and restricted stock units that vested on June 30, 2018.</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0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both"/>
        <w:ind w:left="2180" w:right="2180" w:firstLine="11"/>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7" w:lineRule="exact"/>
        <w:rPr>
          <w:sz w:val="20"/>
          <w:szCs w:val="20"/>
          <w:color w:val="auto"/>
        </w:rPr>
      </w:pPr>
    </w:p>
    <w:p>
      <w:pPr>
        <w:ind w:left="260" w:right="9300" w:hanging="252"/>
        <w:spacing w:after="0" w:line="400" w:lineRule="auto"/>
        <w:tabs>
          <w:tab w:leader="none" w:pos="19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Organization</w:t>
      </w:r>
    </w:p>
    <w:p>
      <w:pPr>
        <w:spacing w:after="0" w:line="1" w:lineRule="exact"/>
        <w:rPr>
          <w:sz w:val="20"/>
          <w:szCs w:val="20"/>
          <w:color w:val="auto"/>
        </w:rPr>
      </w:pPr>
    </w:p>
    <w:p>
      <w:pPr>
        <w:jc w:val="both"/>
        <w:ind w:right="120" w:firstLine="405"/>
        <w:spacing w:after="0" w:line="302"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expertise to U.S. and international governments, major corporations, and not-for-profit organizations. The Company reports operating results and financial data in one reportable segment. The Company is headquartered in McLean, Virginia, with approximately 26,400 employees as of June 30,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2019.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three months ended June 30, 2019 are not necessarily indicative of results to be expected for the full fiscal year.</w:t>
      </w:r>
    </w:p>
    <w:p>
      <w:pPr>
        <w:spacing w:after="0" w:line="7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3"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 xml:space="preserve">Effective April 1, 2019, the Company adopted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using the modified retrospective transition approach and, as a result, comparative information for the prior fiscal year has not been retrospectively adjusted.</w:t>
      </w:r>
    </w:p>
    <w:p>
      <w:pPr>
        <w:spacing w:after="0" w:line="6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Certain amounts reported in the Company's prior year condensed consolidated financial statements have been reclassified to conform to the current year presentation.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including the accrual of indirect costs, bonus and other incentive compensation, lease incremental borrowing rates,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to increase transparency and comparability of accounting for lease transactions. The new leasing standard requires lessees to recognize lease assets and lease liabilities on their balance sheet for all leases with a lease term greater than 12 months. Topic 842 is effective for fiscal years beginning after December 15, 2018, with early adoption permitted. In July 2018, the FASB provided an alternative transition method of adoption through ASU No. 2018-11, Targeted Improvements, which permits the recognition of a cumulative-effect adjustment to retained earnings on the date of adoption.</w:t>
      </w:r>
    </w:p>
    <w:p>
      <w:pPr>
        <w:spacing w:after="0" w:line="80"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The Company adopted the standard on April 1, 2019 using the modified retrospective transition approach provided by ASU 2018-11, and, as a result, did not recast comparative prior period information. In addition, the Company elected certain practical expedients permitted under Topic 842, including the option not to apply lease recognition for short-term leases;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2" w:right="239" w:bottom="1440" w:gutter="0" w:footer="0" w:header="0"/>
        </w:sectPr>
      </w:pPr>
    </w:p>
    <w:bookmarkStart w:id="9" w:name="page10"/>
    <w:bookmarkEnd w:id="9"/>
    <w:p>
      <w:pPr>
        <w:ind w:right="220"/>
        <w:spacing w:after="0" w:line="259" w:lineRule="auto"/>
        <w:rPr>
          <w:sz w:val="20"/>
          <w:szCs w:val="20"/>
          <w:color w:val="auto"/>
        </w:rPr>
      </w:pPr>
      <w:r>
        <w:rPr>
          <w:rFonts w:ascii="Arial" w:cs="Arial" w:eastAsia="Arial" w:hAnsi="Arial"/>
          <w:sz w:val="18"/>
          <w:szCs w:val="18"/>
          <w:color w:val="auto"/>
        </w:rPr>
        <w:t>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right-of-use (ROU) assets.</w:t>
      </w:r>
    </w:p>
    <w:p>
      <w:pPr>
        <w:spacing w:after="0" w:line="7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Upon the adoption of Topic 842, the Company recognized right-of-use assets of $268.8 million and lease liabilities of $330.6 million on the condensed consolidated balance sheets, inclusive of required conforming balance sheet reclassifications pertaining to accounts such as deferred rent, tenant allowances, and lease receivables. As required under Topic 842 transition guidance, the lease liabilities recognized were measured at the present value of remaining minimum rental payments pursuant to Topic 840 which include executory costs.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impact to the condensed consolidated balance sheet at April 1 for the adoption of Topic 842 is as follows: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Balance at March 31, 2019</w:t>
            </w:r>
          </w:p>
        </w:tc>
        <w:tc>
          <w:tcPr>
            <w:tcW w:w="120" w:type="dxa"/>
            <w:vAlign w:val="bottom"/>
          </w:tcPr>
          <w:p>
            <w:pPr>
              <w:spacing w:after="0"/>
              <w:rPr>
                <w:sz w:val="14"/>
                <w:szCs w:val="14"/>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Adoption adjustments for</w:t>
            </w:r>
          </w:p>
        </w:tc>
        <w:tc>
          <w:tcPr>
            <w:tcW w:w="140" w:type="dxa"/>
            <w:vAlign w:val="bottom"/>
          </w:tcPr>
          <w:p>
            <w:pPr>
              <w:spacing w:after="0"/>
              <w:rPr>
                <w:sz w:val="14"/>
                <w:szCs w:val="14"/>
                <w:color w:val="auto"/>
              </w:rPr>
            </w:pPr>
          </w:p>
        </w:tc>
        <w:tc>
          <w:tcPr>
            <w:tcW w:w="16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4"/>
              </w:rPr>
              <w:t>Balance at April 1, 2019</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Topic 842</w:t>
            </w:r>
          </w:p>
        </w:tc>
        <w:tc>
          <w:tcPr>
            <w:tcW w:w="14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jc w:val="right"/>
              <w:ind w:right="434"/>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84,986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(27,515)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57,471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 right-of-use assets</w:t>
            </w:r>
          </w:p>
        </w:tc>
        <w:tc>
          <w:tcPr>
            <w:tcW w:w="62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268,840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268,840</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91,837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87,218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and other accrued expenses</w:t>
            </w:r>
          </w:p>
        </w:tc>
        <w:tc>
          <w:tcPr>
            <w:tcW w:w="62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664,948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649,751</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6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34,645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34,645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 liabilities, net of current portion</w:t>
            </w:r>
          </w:p>
        </w:tc>
        <w:tc>
          <w:tcPr>
            <w:tcW w:w="62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295,915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295,915</w:t>
            </w:r>
          </w:p>
        </w:tc>
        <w:tc>
          <w:tcPr>
            <w:tcW w:w="0" w:type="dxa"/>
            <w:vAlign w:val="bottom"/>
          </w:tcPr>
          <w:p>
            <w:pPr>
              <w:spacing w:after="0"/>
              <w:rPr>
                <w:sz w:val="1"/>
                <w:szCs w:val="1"/>
                <w:color w:val="auto"/>
              </w:rPr>
            </w:pPr>
          </w:p>
        </w:tc>
      </w:tr>
      <w:tr>
        <w:trPr>
          <w:trHeight w:val="243"/>
        </w:trPr>
        <w:tc>
          <w:tcPr>
            <w:tcW w:w="572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275,399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(78,657)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196,742</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Further, at the adoption of Topic 842, the Company recognized a deferred tax liability corresponding to the operating lease right-of-use assets of $69 million and a deferred tax asset corresponding to the operating lease liabilities of $93 million, inclusive of a decrease to deferred tax assets for the deferred rent and tenant allowances of $24 million as of March 31, 2019. There was no cumulative impact to retained earnings and the April 1, 2019 adoption of Topic 842 did not have a material impact to either of the condensed consolidated statements of operations or cash flows.</w:t>
      </w:r>
    </w:p>
    <w:p>
      <w:pPr>
        <w:spacing w:after="0" w:line="63"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In March 2019, the SEC issued Final Rule Release No. 33-10618, FAST Act Modernization and Simplification of Regulation S-K, amending certain disclosure requirements in Regulation S-K, with the intent of improving the readability of filed documents and simplifying registrants' compliance efforts. The Company adopted certain aspects of this final rule in the fourth quarter of fiscal 2019 which did not have a material impact on the condensed consolidated financial statements. Other aspects not yet adopted are still being evaluated but are not expected to be material.</w:t>
      </w:r>
    </w:p>
    <w:p>
      <w:pPr>
        <w:spacing w:after="0" w:line="63"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 xml:space="preserve">In August 2018, the SEC issued Final Rule Release No. 33-10532, </w:t>
      </w: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This analysis should present a reconciliation of the beginning balance to the ending balance of each period for which a statement of comprehensive income is required to be filed. The amendments became effective on November 5, 2018; however the SEC allows the filer’s first presentation of the changes in stockholders’ equity to be included in its Form 10-Q for the quarter that begins after the effective date of the amendments. Accordingly, the Company has first presented the condensed consolidated statement of stockholders' equity in the Form 10-Q in the first quarter of fiscal 2020. The Company's adoption of this final rule did not have a material effect on the condensed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54" w:right="23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That Is a Service Contract</w:t>
      </w:r>
      <w:r>
        <w:rPr>
          <w:rFonts w:ascii="Arial" w:cs="Arial" w:eastAsia="Arial" w:hAnsi="Arial"/>
          <w:sz w:val="16"/>
          <w:szCs w:val="16"/>
          <w:color w:val="auto"/>
        </w:rPr>
        <w:t>. This guidance requires a customer in a cloud computing arrangement that is a service contract to follow existing internal-use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guidance to determine which implementation costs to defer and recognize as an asset. ASU 2018-15 generally aligns the guidance on capitalizing implementation costs incurred in a cloud computing arrangement that is a service contract with that of implementation costs incurred to develop or obtain internal-use software, including hosting arrangements that include an internal-use software license. ASU 2018-15 is effective for interim reporting periods for fiscal years beginning after December 15, 2019. Early adoption is permitted. The standard may be adopted either retrospectively or prospectively. The Company is currently assessing the future impact of this update on its consolidated financial statements and related disclosures.</w:t>
      </w:r>
    </w:p>
    <w:p>
      <w:pPr>
        <w:spacing w:after="0" w:line="5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Other accounting and reporting pronouncements issued after June 30, 2019 and through the filing date are not expected to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Company's revenues from contracts with customers (clients) are derived from offerings that include consulting, analytics, digital solutions, engineering,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time-and-materials contracts, and fixed-price contracts.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17" w:lineRule="exact"/>
        <w:rPr>
          <w:sz w:val="20"/>
          <w:szCs w:val="20"/>
          <w:color w:val="auto"/>
        </w:rPr>
      </w:pPr>
    </w:p>
    <w:p>
      <w:pPr>
        <w:ind w:right="220" w:firstLine="405"/>
        <w:spacing w:after="0" w:line="289" w:lineRule="auto"/>
        <w:rPr>
          <w:sz w:val="20"/>
          <w:szCs w:val="20"/>
          <w:color w:val="auto"/>
        </w:rPr>
      </w:pPr>
      <w:r>
        <w:rPr>
          <w:rFonts w:ascii="Arial" w:cs="Arial" w:eastAsia="Arial" w:hAnsi="Arial"/>
          <w:sz w:val="16"/>
          <w:szCs w:val="16"/>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on a cumulative catch-up basis in the period when such changes are determinable and reasonable estimable. If the estimate of contract profitability indicates an anticipated loss on a contract, the Company recognizes the total loss at the time it is identified. For each of the three months ended June 30, 2019 and 2018, the aggregate impact of adjustments in contract estimates was not material.</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Contract Type: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940" w:hanging="655"/>
        <w:spacing w:after="0" w:line="342" w:lineRule="auto"/>
        <w:tabs>
          <w:tab w:leader="none" w:pos="1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15" w:lineRule="exact"/>
        <w:rPr>
          <w:rFonts w:ascii="Arial" w:cs="Arial" w:eastAsia="Arial" w:hAnsi="Arial"/>
          <w:sz w:val="16"/>
          <w:szCs w:val="16"/>
          <w:color w:val="auto"/>
        </w:rPr>
      </w:pPr>
    </w:p>
    <w:p>
      <w:pPr>
        <w:ind w:left="1960" w:right="380" w:hanging="655"/>
        <w:spacing w:after="0" w:line="259"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78" w:lineRule="exact"/>
        <w:rPr>
          <w:rFonts w:ascii="Arial" w:cs="Arial" w:eastAsia="Arial" w:hAnsi="Arial"/>
          <w:sz w:val="18"/>
          <w:szCs w:val="18"/>
          <w:color w:val="auto"/>
        </w:rPr>
      </w:pPr>
    </w:p>
    <w:p>
      <w:pPr>
        <w:ind w:left="1960" w:right="220" w:hanging="655"/>
        <w:spacing w:after="0" w:line="264"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presents the total revenue for each type of contract: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54" w:right="239" w:bottom="1440" w:gutter="0" w:footer="0" w:header="0"/>
        </w:sectPr>
      </w:pPr>
    </w:p>
    <w:bookmarkStart w:id="11" w:name="page12"/>
    <w:bookmarkEnd w:id="11"/>
    <w:p>
      <w:pPr>
        <w:jc w:val="center"/>
        <w:ind w:left="53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13335</wp:posOffset>
            </wp:positionV>
            <wp:extent cx="2452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8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Cost-reimbursable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1,026,593</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859,884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Time-and-materials</w:t>
            </w:r>
          </w:p>
        </w:tc>
        <w:tc>
          <w:tcPr>
            <w:tcW w:w="220" w:type="dxa"/>
            <w:vAlign w:val="bottom"/>
          </w:tcPr>
          <w:p>
            <w:pPr>
              <w:spacing w:after="0"/>
              <w:rPr>
                <w:sz w:val="20"/>
                <w:szCs w:val="20"/>
                <w:color w:val="auto"/>
              </w:rPr>
            </w:pP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420,595</w:t>
            </w: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21"/>
              <w:spacing w:after="0"/>
              <w:rPr>
                <w:sz w:val="20"/>
                <w:szCs w:val="20"/>
                <w:color w:val="auto"/>
              </w:rPr>
            </w:pPr>
            <w:r>
              <w:rPr>
                <w:rFonts w:ascii="Arial" w:cs="Arial" w:eastAsia="Arial" w:hAnsi="Arial"/>
                <w:sz w:val="16"/>
                <w:szCs w:val="16"/>
                <w:color w:val="auto"/>
              </w:rPr>
              <w:t>405,584</w:t>
            </w:r>
          </w:p>
        </w:tc>
        <w:tc>
          <w:tcPr>
            <w:tcW w:w="6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377,988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381,380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53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rPr>
              <w:t>1,825,176</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rPr>
              <w:t>1,646,848</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Customer Type:</w:t>
      </w:r>
    </w:p>
    <w:p>
      <w:pPr>
        <w:spacing w:after="0" w:line="325"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13335</wp:posOffset>
            </wp:positionV>
            <wp:extent cx="2452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8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5340" w:type="dxa"/>
            <w:vAlign w:val="bottom"/>
          </w:tcPr>
          <w:p>
            <w:pPr>
              <w:ind w:left="160"/>
              <w:spacing w:after="0"/>
              <w:rPr>
                <w:sz w:val="20"/>
                <w:szCs w:val="20"/>
                <w:color w:val="auto"/>
              </w:rPr>
            </w:pPr>
            <w:r>
              <w:rPr>
                <w:rFonts w:ascii="Arial" w:cs="Arial" w:eastAsia="Arial" w:hAnsi="Arial"/>
                <w:sz w:val="16"/>
                <w:szCs w:val="16"/>
                <w:color w:val="auto"/>
              </w:rPr>
              <w:t>Defense Clients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858,936</w:t>
            </w: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757,982</w:t>
            </w:r>
          </w:p>
        </w:tc>
        <w:tc>
          <w:tcPr>
            <w:tcW w:w="6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Intelligence Clients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419,067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397,480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5340" w:type="dxa"/>
            <w:vAlign w:val="bottom"/>
          </w:tcPr>
          <w:p>
            <w:pPr>
              <w:ind w:left="160"/>
              <w:spacing w:after="0"/>
              <w:rPr>
                <w:sz w:val="20"/>
                <w:szCs w:val="20"/>
                <w:color w:val="auto"/>
              </w:rPr>
            </w:pPr>
            <w:r>
              <w:rPr>
                <w:rFonts w:ascii="Arial" w:cs="Arial" w:eastAsia="Arial" w:hAnsi="Arial"/>
                <w:sz w:val="16"/>
                <w:szCs w:val="16"/>
                <w:color w:val="auto"/>
              </w:rPr>
              <w:t>Civil Clients</w:t>
            </w:r>
          </w:p>
        </w:tc>
        <w:tc>
          <w:tcPr>
            <w:tcW w:w="220" w:type="dxa"/>
            <w:vAlign w:val="bottom"/>
          </w:tcPr>
          <w:p>
            <w:pPr>
              <w:spacing w:after="0"/>
              <w:rPr>
                <w:sz w:val="20"/>
                <w:szCs w:val="20"/>
                <w:color w:val="auto"/>
              </w:rPr>
            </w:pP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492,033</w:t>
            </w: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435,526</w:t>
            </w: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U.S. government</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1,770,036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1,590,988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Global Commercial Clients</w:t>
            </w:r>
          </w:p>
        </w:tc>
        <w:tc>
          <w:tcPr>
            <w:tcW w:w="220" w:type="dxa"/>
            <w:vAlign w:val="bottom"/>
          </w:tcPr>
          <w:p>
            <w:pPr>
              <w:spacing w:after="0"/>
              <w:rPr>
                <w:sz w:val="20"/>
                <w:szCs w:val="20"/>
                <w:color w:val="auto"/>
              </w:rPr>
            </w:pP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55,140</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20"/>
              <w:spacing w:after="0"/>
              <w:rPr>
                <w:sz w:val="20"/>
                <w:szCs w:val="20"/>
                <w:color w:val="auto"/>
              </w:rPr>
            </w:pPr>
            <w:r>
              <w:rPr>
                <w:rFonts w:ascii="Arial" w:cs="Arial" w:eastAsia="Arial" w:hAnsi="Arial"/>
                <w:sz w:val="16"/>
                <w:szCs w:val="16"/>
                <w:color w:val="auto"/>
              </w:rPr>
              <w:t>55,860</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1,825,176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rPr>
              <w:t>1,646,848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Whether the Company Acts as a Prime Contractor or a Sub-Contractor:</w:t>
      </w:r>
    </w:p>
    <w:p>
      <w:pPr>
        <w:spacing w:after="0" w:line="163"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13335</wp:posOffset>
            </wp:positionV>
            <wp:extent cx="2538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8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6"/>
                <w:szCs w:val="16"/>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Contractor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1,673,429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rPr>
              <w:t>1,507,182</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37"/>
        </w:trPr>
        <w:tc>
          <w:tcPr>
            <w:tcW w:w="5200" w:type="dxa"/>
            <w:vAlign w:val="bottom"/>
          </w:tcPr>
          <w:p>
            <w:pPr>
              <w:ind w:left="20"/>
              <w:spacing w:after="0"/>
              <w:rPr>
                <w:sz w:val="20"/>
                <w:szCs w:val="20"/>
                <w:color w:val="auto"/>
              </w:rPr>
            </w:pPr>
            <w:r>
              <w:rPr>
                <w:rFonts w:ascii="Arial" w:cs="Arial" w:eastAsia="Arial" w:hAnsi="Arial"/>
                <w:sz w:val="16"/>
                <w:szCs w:val="16"/>
                <w:color w:val="auto"/>
              </w:rPr>
              <w:t>Sub-contractor</w:t>
            </w:r>
          </w:p>
        </w:tc>
        <w:tc>
          <w:tcPr>
            <w:tcW w:w="220" w:type="dxa"/>
            <w:vAlign w:val="bottom"/>
          </w:tcPr>
          <w:p>
            <w:pPr>
              <w:spacing w:after="0"/>
              <w:rPr>
                <w:sz w:val="20"/>
                <w:szCs w:val="20"/>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151,747</w:t>
            </w: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61"/>
              <w:spacing w:after="0"/>
              <w:rPr>
                <w:sz w:val="20"/>
                <w:szCs w:val="20"/>
                <w:color w:val="auto"/>
              </w:rPr>
            </w:pPr>
            <w:r>
              <w:rPr>
                <w:rFonts w:ascii="Arial" w:cs="Arial" w:eastAsia="Arial" w:hAnsi="Arial"/>
                <w:sz w:val="16"/>
                <w:szCs w:val="16"/>
                <w:color w:val="auto"/>
              </w:rPr>
              <w:t>139,666</w:t>
            </w: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rPr>
              <w:t>1,825,176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rPr>
              <w:t>1,646,848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73"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As of June 30, 2019 and March 31, 2019, the Company had $6.2 billion and $5.8 billion, respectively, of remaining performance obligations and we expect to recognize more than half of the remaining performance obligations as revenue over the next 12 months, and approximately three quarters over the next 24 months. The remainder is expected to be recognized thereafter.</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results in net contract assets or liabilities being recognized at the end of each reporting period.</w:t>
      </w:r>
    </w:p>
    <w:p>
      <w:pPr>
        <w:spacing w:after="0" w:line="8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5 for more information on receivables recognized from contracts accounted for under Topic 606.</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contract balances recognized on the Company’s condensed consolidated balance sheets: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900" w:right="319" w:bottom="1440" w:gutter="0" w:footer="0" w:header="0"/>
        </w:sectPr>
      </w:pPr>
    </w:p>
    <w:bookmarkStart w:id="12" w:name="page13"/>
    <w:bookmarkEnd w:id="12"/>
    <w:tbl>
      <w:tblPr>
        <w:tblLayout w:type="fixed"/>
        <w:tblInd w:w="1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889,744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846,372</w:t>
            </w: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61,575</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61,391</w:t>
            </w:r>
          </w:p>
        </w:tc>
      </w:tr>
      <w:tr>
        <w:trPr>
          <w:trHeight w:val="237"/>
        </w:trPr>
        <w:tc>
          <w:tcPr>
            <w:tcW w:w="6580" w:type="dxa"/>
            <w:vAlign w:val="bottom"/>
          </w:tcPr>
          <w:p>
            <w:pPr>
              <w:ind w:left="5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951,319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907,763</w:t>
            </w: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Advance payments, billings in excess of costs incurred and deferred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20,821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21,316</w:t>
            </w:r>
          </w:p>
        </w:tc>
      </w:tr>
    </w:tbl>
    <w:p>
      <w:pPr>
        <w:spacing w:after="0" w:line="337" w:lineRule="exact"/>
        <w:rPr>
          <w:sz w:val="20"/>
          <w:szCs w:val="20"/>
          <w:color w:val="auto"/>
        </w:rPr>
      </w:pPr>
    </w:p>
    <w:p>
      <w:pPr>
        <w:ind w:right="460" w:firstLine="405"/>
        <w:spacing w:after="0" w:line="276" w:lineRule="auto"/>
        <w:rPr>
          <w:sz w:val="20"/>
          <w:szCs w:val="20"/>
          <w:color w:val="auto"/>
        </w:rPr>
      </w:pPr>
      <w:r>
        <w:rPr>
          <w:rFonts w:ascii="Arial" w:cs="Arial" w:eastAsia="Arial" w:hAnsi="Arial"/>
          <w:sz w:val="17"/>
          <w:szCs w:val="17"/>
          <w:color w:val="auto"/>
        </w:rPr>
        <w:t>Changes in contract assets and contract liabilities are primarily due to the timing difference between the Company’s performance of services and payments from customers. For the three months ended June 30, 2019 and 2018, we recognized revenue of $16.7 million and $19.8 million, respectively, related to our contract liabilities on April 1, 2019 and 2018,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quarter of fiscal 2020 and 2019.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ectPr>
          <w:pgSz w:w="11900" w:h="16838" w:orient="portrait"/>
          <w:cols w:equalWidth="0" w:num="1">
            <w:col w:w="11420"/>
          </w:cols>
          <w:pgMar w:left="240" w:top="9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for basic computations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Weighted-average common shares outstanding for basic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for diluted computations (1)</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Dilutive stock options and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Weighted-average common shares outstanding for diluted computations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common share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116,766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103,572</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140,004,627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143,273,387</w:t>
            </w:r>
          </w:p>
        </w:tc>
      </w:tr>
      <w:tr>
        <w:trPr>
          <w:trHeight w:val="27"/>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116,770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103,576</w:t>
            </w:r>
          </w:p>
        </w:tc>
      </w:tr>
      <w:tr>
        <w:trPr>
          <w:trHeight w:val="270"/>
        </w:trPr>
        <w:tc>
          <w:tcPr>
            <w:tcW w:w="30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1,124,674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1,420,186</w:t>
            </w:r>
          </w:p>
        </w:tc>
      </w:tr>
      <w:tr>
        <w:trPr>
          <w:trHeight w:val="27"/>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141,129,301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144,693,573</w:t>
            </w:r>
          </w:p>
        </w:tc>
      </w:tr>
      <w:tr>
        <w:trPr>
          <w:trHeight w:val="27"/>
        </w:trPr>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70" w:lineRule="exact"/>
        <w:rPr>
          <w:sz w:val="20"/>
          <w:szCs w:val="20"/>
          <w:color w:val="auto"/>
        </w:rPr>
      </w:pPr>
    </w:p>
    <w:p>
      <w:pPr>
        <w:sectPr>
          <w:pgSz w:w="11900" w:h="16838" w:orient="portrait"/>
          <w:cols w:equalWidth="0" w:num="2">
            <w:col w:w="7620" w:space="720"/>
            <w:col w:w="3080"/>
          </w:cols>
          <w:pgMar w:left="240" w:top="996"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180" w:hanging="332"/>
        <w:spacing w:after="0" w:line="276" w:lineRule="auto"/>
        <w:tabs>
          <w:tab w:leader="none" w:pos="271"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three months ended June 30, 2019 and 2018, approximately 0.7 million and 0.9 million participating securities, respectively, were paid dividends totaling $0.2 million and $0.2 million, respectively. For the three months ended June 30, 2019 and 2018, there were undistributed earnings of $0.4 million and $0.5 million,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months ended June 30, 2019 and 2018.</w:t>
      </w:r>
    </w:p>
    <w:p>
      <w:pPr>
        <w:spacing w:after="0" w:line="2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EPS calculation for the three months ended June 30, 2019 and 2018 excludes 0.1 million and 0.1 million options, respectively, as their impact was anti-dilutive.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96" w:right="239" w:bottom="1440" w:gutter="0" w:footer="0" w:header="0"/>
          <w:type w:val="continuous"/>
        </w:sectPr>
      </w:pPr>
    </w:p>
    <w:bookmarkStart w:id="13" w:name="page14"/>
    <w:bookmarkEnd w:id="13"/>
    <w:p>
      <w:pPr>
        <w:ind w:left="420" w:right="6280" w:hanging="412"/>
        <w:spacing w:after="0" w:line="445" w:lineRule="auto"/>
        <w:tabs>
          <w:tab w:leader="none" w:pos="19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OF ALLOWANCE </w:t>
      </w:r>
      <w:r>
        <w:rPr>
          <w:rFonts w:ascii="Arial" w:cs="Arial" w:eastAsia="Arial" w:hAnsi="Arial"/>
          <w:sz w:val="17"/>
          <w:szCs w:val="17"/>
          <w:color w:val="auto"/>
        </w:rPr>
        <w:t>Accounts receivable, net of allowance consisted of the following:</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530,678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494,671</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889,744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846,372</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(10,679)</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 of allowance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1,407,716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1,330,364</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61,391</w:t>
            </w:r>
          </w:p>
        </w:tc>
      </w:tr>
      <w:tr>
        <w:trPr>
          <w:trHeight w:val="237"/>
        </w:trPr>
        <w:tc>
          <w:tcPr>
            <w:tcW w:w="83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1,469,291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1,391,755</w:t>
            </w:r>
          </w:p>
        </w:tc>
      </w:tr>
      <w:tr>
        <w:trPr>
          <w:trHeight w:val="27"/>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Unbilled amounts represent revenues for which billings have not been presented to customers at quarter-end or year-end.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provision for doubtful accounts (including certain unbilled reserves) of $0.8 million and $0.04 million for the three months ended June 30, 2019 and 2018, respectively.</w:t>
      </w:r>
    </w:p>
    <w:p>
      <w:pPr>
        <w:spacing w:after="0" w:line="8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continuously reviews its accounts receivable and records provisions for doubtful accounts as needed.</w:t>
      </w:r>
    </w:p>
    <w:p>
      <w:pPr>
        <w:spacing w:after="0" w:line="69" w:lineRule="exact"/>
        <w:rPr>
          <w:sz w:val="20"/>
          <w:szCs w:val="20"/>
          <w:color w:val="auto"/>
        </w:rPr>
      </w:pPr>
    </w:p>
    <w:p>
      <w:pPr>
        <w:ind w:left="440" w:right="5680" w:hanging="432"/>
        <w:spacing w:after="0" w:line="428" w:lineRule="auto"/>
        <w:tabs>
          <w:tab w:leader="none" w:pos="18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409,292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417,648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265,216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247,300</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674,508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664,948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18 for further discussion of this reserve.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4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117,604</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3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54,518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37,678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3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141,953</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Other</w:t>
            </w:r>
          </w:p>
        </w:tc>
        <w:tc>
          <w:tcPr>
            <w:tcW w:w="3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22,850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28,318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4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251,093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325,553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4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5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March 31, 2019</w:t>
            </w:r>
          </w:p>
        </w:tc>
      </w:tr>
      <w:tr>
        <w:trPr>
          <w:trHeight w:val="152"/>
        </w:trPr>
        <w:tc>
          <w:tcPr>
            <w:tcW w:w="550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9"/>
              </w:rPr>
              <w:t>Outstanding</w:t>
            </w:r>
          </w:p>
        </w:tc>
      </w:tr>
      <w:tr>
        <w:trPr>
          <w:trHeight w:val="192"/>
        </w:trPr>
        <w:tc>
          <w:tcPr>
            <w:tcW w:w="55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Balance</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1,419,219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1,037,713</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390,063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391,050</w:t>
            </w: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(18,037)</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(19,002)</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2,141,245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1,759,761</w:t>
            </w:r>
          </w:p>
        </w:tc>
      </w:tr>
      <w:tr>
        <w:trPr>
          <w:trHeight w:val="243"/>
        </w:trPr>
        <w:tc>
          <w:tcPr>
            <w:tcW w:w="5500" w:type="dxa"/>
            <w:vAlign w:val="bottom"/>
          </w:tcPr>
          <w:p>
            <w:pPr>
              <w:ind w:left="700"/>
              <w:spacing w:after="0"/>
              <w:rPr>
                <w:sz w:val="20"/>
                <w:szCs w:val="20"/>
                <w:color w:val="auto"/>
              </w:rPr>
            </w:pPr>
            <w:r>
              <w:rPr>
                <w:rFonts w:ascii="Arial" w:cs="Arial" w:eastAsia="Arial" w:hAnsi="Arial"/>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(77,924)</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(57,924)</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2,063,321</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1,701,837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 and Revolving Credit Facility</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July 23, 2018 (the "Amendment Effective Date"), Booz Allen Hamilton Inc. ("Booz Allen Hamilton") and Booz Allen Hamilton Investor Corporation ("Investor"), and certain wholly-owned subsidiaries of Booz Allen Hamilton, entered into the Sixth Amendment (the "Sixth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the Credit Agreement, dated as of August 16, 2013, the Second Amendment to Credit Agreement, dated as of May 7, 2014, the Third Amendment to the Credit Agreement, dated as of July 13, 2016, the Fourth Amendment to the Credit Agreement, dated as of February 6, 2017, and the Fifth Amendment to the Credit Agreement, dated as of March 7, 2018). The Sixth Amendment provided for a delayed draw (the "Delayed Draw Facility") on the tranche A term loan ("Term Loan A") facility in the amount of up to $400.0 million and extended the maturity of the Term Loan A and the revolving credit facility (the "Revolving Credit Facility") to July 2023. Additionally, the Sixth Amendment reduced the interest rate spread applicable to the Term Loan A and the Revolving Credit Facility from a range of 1.50% to 2.25% to a range of 1.25% to 2.00% based on consolidated net total leverage. The interest rate applicable to the Term Loan B ("Term Loan B" and, together with Term Loan A, the "Term Loans") remained unchanged.</w:t>
      </w:r>
    </w:p>
    <w:p>
      <w:pPr>
        <w:spacing w:after="0" w:line="7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Prior to the Sixth Amendment, approximately $1,079.5 million was outstanding under Term Loan A. Pursuant to the Sixth Amendment, certain lenders converted their existing Term Loan A loans into a new tranche of Term Loan A loans in an aggregate amount, along with Term Loan A loans advanced by certain new lenders, of approximately $1,479.5 million, $400.0 million of which was available as the Delayed Draw Facility. On April 23, 2019, Booz Allen Hamilton drew down $400 million of the Delayed Draw Facility, the proceeds of which are expected to be used for general corporate purposes and other purposes not prohibited by the Credit Agreement.</w:t>
      </w:r>
    </w:p>
    <w:p>
      <w:pPr>
        <w:spacing w:after="0" w:line="8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Prior to the Sixth Amendment, $500.0 million was available under the Revolving Credit Facility. Pursuant to the Sixth Amendment, certain lenders under the Existing Credit Agreement converted their Existing Revolving Commitments into a new tranche of revolving commitments (the "New Revolving Commitments" and the revolving credit loans made thereunder, the "New Revolving Loans") in an aggregate amount, along with New Revolving Commitments of certain new lenders, of $500.0 million.</w:t>
      </w:r>
    </w:p>
    <w:p>
      <w:pPr>
        <w:spacing w:after="0" w:line="7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As of June 30, 2019, the Credit Agreement provided Booz Allen Hamilton with a $1,419.2 million Term Loan A, a $390.1 million Term Loan B, and $500.0 million in New Revolving Commitments with a sub-limit for letters of credit of $100.0 million. As of June 30, 2019, the maturity date of Term Loan A and the termination date for the Revolving Credit Facility was July 23, 2023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New Revolving Credit Facility may be expanded (or a new term loan facility or revolving credit facility added to the existing facilities) by up to (i)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50" w:right="259" w:bottom="1440" w:gutter="0" w:footer="0" w:header="0"/>
        </w:sectPr>
      </w:pPr>
    </w:p>
    <w:bookmarkStart w:id="15" w:name="page16"/>
    <w:bookmarkEnd w:id="15"/>
    <w:p>
      <w:pPr>
        <w:ind w:right="16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8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2.00% for LIBOR loans and 1.00% for base rate loans. Unused commitments under the Revolving Credit Facility are subject to a quarterly fee ranging from 0.20% to 0.35% based on Booz Allen Hamilton’s consolidated total net leverage ratio.</w:t>
      </w:r>
    </w:p>
    <w:p>
      <w:pPr>
        <w:spacing w:after="0" w:line="8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the first quarter of fiscal 2020, Booz Allen Hamilton accessed no amounts of its $500.0 million Revolving Credit Facility. During the first quarter of fiscal 2019, Booz Allen Hamilton accessed a total of $60.0 million of its $500.0 million Revolving Credit Facility. As of June 30, 2019 and March 31, 2019, there were no amounts outstanding under the Revolving Credit Facility.</w:t>
      </w:r>
    </w:p>
    <w:p>
      <w:pPr>
        <w:spacing w:after="0" w:line="7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ind w:right="60" w:firstLine="8"/>
        <w:spacing w:after="0" w:line="251" w:lineRule="auto"/>
        <w:tabs>
          <w:tab w:leader="none" w:pos="30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June 30, 2019 and March 31, 2019, Booz Allen Hamilton was in compliance with all financial covenants associated with its debt and debt-like instruments.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first quarter of fiscal 2020, interest payments of $13.3 million and $4.4 million were made for Term Loan A and Term Loan B,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2019, interest payments of $11.0 million and $4.0 million were made for Term Loan A and Term Loan B,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April 25, 2017, Booz Allen Hamilton issued $350 million aggregate principal amount of its 5.125% Senior Notes (the "Senior Notes"),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guarantee the Senior Notes on a senior unsecured basis.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 During each of the first quarters of fiscal 2020 and 2019, interest payments of $9.0 million were made for the Senior Notes.</w:t>
      </w:r>
    </w:p>
    <w:p>
      <w:pPr>
        <w:spacing w:after="0" w:line="74"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Borrowings under the Term Loans and, if used, the Revolving Credit Facility, incur interest at a variable rate. In accordance with Booz Allen Hamilton’s risk management strategy, Booz Allen Hamilton executed a series of interest rate swaps. As of June 30, 2019, Booz Allen Hamilton had interest rate swaps with an aggregate notional amount of $1 billion. These instruments hedge the variability of cash outflows for interest payments on the floating portion of the Company's debt. The Company's objectives in using cash flow hedges are to reduce volatility due to interest rate movements and to add stability to interest expense (See Note 9 in our condensed consolidated financial statements).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854" w:right="279" w:bottom="1440" w:gutter="0" w:footer="0" w:header="0"/>
        </w:sectPr>
      </w:pPr>
    </w:p>
    <w:bookmarkStart w:id="16" w:name="page17"/>
    <w:bookmarkEnd w:id="16"/>
    <w:p>
      <w:pPr>
        <w:ind w:left="40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271"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13335</wp:posOffset>
            </wp:positionV>
            <wp:extent cx="1869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6"/>
        </w:trPr>
        <w:tc>
          <w:tcPr>
            <w:tcW w:w="7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shd w:val="clear" w:color="auto" w:fill="CCEEFF"/>
          </w:tcPr>
          <w:p>
            <w:pPr>
              <w:spacing w:after="0"/>
              <w:rPr>
                <w:sz w:val="22"/>
                <w:szCs w:val="22"/>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Term Loan A Interest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10,842</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B 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Interest on Revolving Credit Facility</w:t>
            </w: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59</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4,484</w:t>
            </w:r>
          </w:p>
        </w:tc>
      </w:tr>
      <w:tr>
        <w:trPr>
          <w:trHeight w:val="270"/>
        </w:trPr>
        <w:tc>
          <w:tcPr>
            <w:tcW w:w="79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Deferred Payment Obligation Interest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2,022</w:t>
            </w:r>
          </w:p>
        </w:tc>
      </w:tr>
      <w:tr>
        <w:trPr>
          <w:trHeight w:val="270"/>
        </w:trPr>
        <w:tc>
          <w:tcPr>
            <w:tcW w:w="79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Amortization of Debt Issuance Cost (DIC) and Original Issue Discount (OID)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390</w:t>
            </w: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25,187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23,074</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60" w:hanging="190"/>
        <w:spacing w:after="0"/>
        <w:tabs>
          <w:tab w:leader="none" w:pos="360" w:val="left"/>
        </w:tabs>
        <w:numPr>
          <w:ilvl w:val="1"/>
          <w:numId w:val="10"/>
        </w:numPr>
        <w:rPr>
          <w:rFonts w:ascii="Arial" w:cs="Arial" w:eastAsia="Arial" w:hAnsi="Arial"/>
          <w:sz w:val="23"/>
          <w:szCs w:val="23"/>
          <w:color w:val="auto"/>
          <w:vertAlign w:val="superscript"/>
        </w:rPr>
      </w:pPr>
      <w:r>
        <w:rPr>
          <w:rFonts w:ascii="Arial" w:cs="Arial" w:eastAsia="Arial" w:hAnsi="Arial"/>
          <w:sz w:val="17"/>
          <w:szCs w:val="17"/>
          <w:color w:val="auto"/>
        </w:rPr>
        <w:t>Interest payments on the deferred payment obligation are made twice a year in January and July.</w:t>
      </w:r>
    </w:p>
    <w:p>
      <w:pPr>
        <w:spacing w:after="0" w:line="98" w:lineRule="exact"/>
        <w:rPr>
          <w:rFonts w:ascii="Arial" w:cs="Arial" w:eastAsia="Arial" w:hAnsi="Arial"/>
          <w:sz w:val="23"/>
          <w:szCs w:val="23"/>
          <w:color w:val="auto"/>
          <w:vertAlign w:val="superscript"/>
        </w:rPr>
      </w:pPr>
    </w:p>
    <w:p>
      <w:pPr>
        <w:ind w:left="180" w:right="140" w:hanging="10"/>
        <w:spacing w:after="0" w:line="236" w:lineRule="auto"/>
        <w:tabs>
          <w:tab w:leader="none" w:pos="372" w:val="left"/>
        </w:tabs>
        <w:numPr>
          <w:ilvl w:val="1"/>
          <w:numId w:val="10"/>
        </w:numPr>
        <w:rPr>
          <w:rFonts w:ascii="Arial" w:cs="Arial" w:eastAsia="Arial" w:hAnsi="Arial"/>
          <w:sz w:val="24"/>
          <w:szCs w:val="24"/>
          <w:color w:val="auto"/>
          <w:vertAlign w:val="superscript"/>
        </w:rPr>
      </w:pPr>
      <w:r>
        <w:rPr>
          <w:rFonts w:ascii="Arial" w:cs="Arial" w:eastAsia="Arial" w:hAnsi="Arial"/>
          <w:sz w:val="17"/>
          <w:szCs w:val="17"/>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307" w:lineRule="exact"/>
        <w:rPr>
          <w:rFonts w:ascii="Arial" w:cs="Arial" w:eastAsia="Arial" w:hAnsi="Arial"/>
          <w:sz w:val="24"/>
          <w:szCs w:val="24"/>
          <w:color w:val="auto"/>
          <w:vertAlign w:val="superscript"/>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240" w:firstLine="405"/>
        <w:spacing w:after="0" w:line="297" w:lineRule="auto"/>
        <w:rPr>
          <w:sz w:val="20"/>
          <w:szCs w:val="20"/>
          <w:color w:val="auto"/>
        </w:rPr>
      </w:pPr>
      <w:r>
        <w:rPr>
          <w:rFonts w:ascii="Arial" w:cs="Arial" w:eastAsia="Arial" w:hAnsi="Arial"/>
          <w:sz w:val="16"/>
          <w:szCs w:val="16"/>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During the first quarter of fiscal 2020, the Company entered into eight floating-to-fixed interest rate swap agreements with six financial institutions with a start date of April 30, 2019 with an aggregate notional amount of $400 million. The aggregate notional amount of all interest rate swap agreements increased to $1 billion as of June 30, 2019. The swaps have staggered maturities, ranging from June 30, 2021 to June 30, 2025.</w:t>
      </w:r>
    </w:p>
    <w:p>
      <w:pPr>
        <w:spacing w:after="0" w:line="5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73"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Derivative instruments are recorded in the condensed consolidated balance sheet on a gross basis at estimated fair value. As of June 30, 2019, $4.0 million and $19.1 million were classified as other current liabilities and other long-term liabilities, respectively, on the condensed consolidated balance sheet. As of March 31, 2019, $1.8 million, $0.6 million, $0.9 million, and $4.3 million were classified as other current assets, other long-term assets, other current liabilities, and other long-term liabilities, respectively, on the condensed consolidated balance sheet.</w:t>
      </w:r>
    </w:p>
    <w:p>
      <w:pPr>
        <w:spacing w:after="0" w:line="63"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For interest rate swaps designated as cash flow hedges, the changes in the fair value of derivatives is recorded in Accumulated Other Comprehensive Income, or AOCI, net of taxes, and is subsequently reclassified into interest expense in the period that the hedged forecasted interest payments are made on the Company's variable-rate debt. The effect of derivative instruments on the accompanying consolidated financial statements for the three months ended June 30, 2019 and 2018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2"/>
            <w:vMerge w:val="restart"/>
          </w:tcPr>
          <w:p>
            <w:pPr>
              <w:jc w:val="center"/>
              <w:ind w:right="108"/>
              <w:spacing w:after="0"/>
              <w:rPr>
                <w:sz w:val="20"/>
                <w:szCs w:val="20"/>
                <w:color w:val="auto"/>
              </w:rPr>
            </w:pPr>
            <w:r>
              <w:rPr>
                <w:rFonts w:ascii="Arial" w:cs="Arial" w:eastAsia="Arial" w:hAnsi="Arial"/>
                <w:sz w:val="14"/>
                <w:szCs w:val="14"/>
                <w:b w:val="1"/>
                <w:bCs w:val="1"/>
                <w:color w:val="auto"/>
                <w:w w:val="93"/>
              </w:rPr>
              <w:t>Amount of Gain or (Loss)</w:t>
            </w:r>
          </w:p>
        </w:tc>
        <w:tc>
          <w:tcPr>
            <w:tcW w:w="120" w:type="dxa"/>
            <w:vAlign w:val="bottom"/>
          </w:tcPr>
          <w:p>
            <w:pPr>
              <w:spacing w:after="0"/>
              <w:rPr>
                <w:sz w:val="13"/>
                <w:szCs w:val="13"/>
                <w:color w:val="auto"/>
              </w:rPr>
            </w:pPr>
          </w:p>
        </w:tc>
        <w:tc>
          <w:tcPr>
            <w:tcW w:w="20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Amount of Gain or (Loss)</w:t>
            </w:r>
          </w:p>
        </w:tc>
        <w:tc>
          <w:tcPr>
            <w:tcW w:w="140" w:type="dxa"/>
            <w:vAlign w:val="bottom"/>
          </w:tcPr>
          <w:p>
            <w:pPr>
              <w:spacing w:after="0"/>
              <w:rPr>
                <w:sz w:val="13"/>
                <w:szCs w:val="13"/>
                <w:color w:val="auto"/>
              </w:rPr>
            </w:pPr>
          </w:p>
        </w:tc>
        <w:tc>
          <w:tcPr>
            <w:tcW w:w="2140" w:type="dxa"/>
            <w:vAlign w:val="bottom"/>
            <w:gridSpan w:val="2"/>
            <w:vMerge w:val="restart"/>
          </w:tcPr>
          <w:p>
            <w:pPr>
              <w:jc w:val="center"/>
              <w:ind w:right="8"/>
              <w:spacing w:after="0"/>
              <w:rPr>
                <w:sz w:val="20"/>
                <w:szCs w:val="20"/>
                <w:color w:val="auto"/>
              </w:rPr>
            </w:pPr>
            <w:r>
              <w:rPr>
                <w:rFonts w:ascii="Arial" w:cs="Arial" w:eastAsia="Arial" w:hAnsi="Arial"/>
                <w:sz w:val="14"/>
                <w:szCs w:val="14"/>
                <w:b w:val="1"/>
                <w:bCs w:val="1"/>
                <w:color w:val="auto"/>
                <w:w w:val="91"/>
              </w:rPr>
              <w:t>Interest Expense on Consolidated</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of Gain or Loss</w:t>
            </w:r>
          </w:p>
        </w:tc>
        <w:tc>
          <w:tcPr>
            <w:tcW w:w="2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Reclassified from AOCI into</w:t>
            </w:r>
          </w:p>
        </w:tc>
        <w:tc>
          <w:tcPr>
            <w:tcW w:w="14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2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Recognized in AOCI on Derivatives</w:t>
            </w:r>
          </w:p>
        </w:tc>
        <w:tc>
          <w:tcPr>
            <w:tcW w:w="120" w:type="dxa"/>
            <w:vAlign w:val="bottom"/>
          </w:tcPr>
          <w:p>
            <w:pPr>
              <w:spacing w:after="0"/>
              <w:rPr>
                <w:sz w:val="5"/>
                <w:szCs w:val="5"/>
                <w:color w:val="auto"/>
              </w:rPr>
            </w:pPr>
          </w:p>
        </w:tc>
        <w:tc>
          <w:tcPr>
            <w:tcW w:w="1260" w:type="dxa"/>
            <w:vAlign w:val="bottom"/>
            <w:vMerge w:val="restart"/>
          </w:tcPr>
          <w:p>
            <w:pPr>
              <w:jc w:val="center"/>
              <w:ind w:left="628"/>
              <w:spacing w:after="0"/>
              <w:rPr>
                <w:sz w:val="20"/>
                <w:szCs w:val="20"/>
                <w:color w:val="auto"/>
              </w:rPr>
            </w:pPr>
            <w:r>
              <w:rPr>
                <w:rFonts w:ascii="Arial" w:cs="Arial" w:eastAsia="Arial" w:hAnsi="Arial"/>
                <w:sz w:val="14"/>
                <w:szCs w:val="14"/>
                <w:b w:val="1"/>
                <w:bCs w:val="1"/>
                <w:color w:val="auto"/>
                <w:w w:val="89"/>
              </w:rPr>
              <w:t>Income</w:t>
            </w: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Statements of Operations</w:t>
            </w:r>
          </w:p>
        </w:tc>
        <w:tc>
          <w:tcPr>
            <w:tcW w:w="0" w:type="dxa"/>
            <w:vAlign w:val="bottom"/>
          </w:tcPr>
          <w:p>
            <w:pPr>
              <w:spacing w:after="0"/>
              <w:rPr>
                <w:sz w:val="1"/>
                <w:szCs w:val="1"/>
                <w:color w:val="auto"/>
              </w:rPr>
            </w:pPr>
          </w:p>
        </w:tc>
      </w:tr>
      <w:tr>
        <w:trPr>
          <w:trHeight w:val="125"/>
        </w:trPr>
        <w:tc>
          <w:tcPr>
            <w:tcW w:w="2940" w:type="dxa"/>
            <w:vAlign w:val="bottom"/>
          </w:tcPr>
          <w:p>
            <w:pPr>
              <w:ind w:left="40"/>
              <w:spacing w:after="0" w:line="125" w:lineRule="exact"/>
              <w:rPr>
                <w:sz w:val="20"/>
                <w:szCs w:val="20"/>
                <w:color w:val="auto"/>
              </w:rPr>
            </w:pPr>
            <w:r>
              <w:rPr>
                <w:rFonts w:ascii="Arial" w:cs="Arial" w:eastAsia="Arial" w:hAnsi="Arial"/>
                <w:sz w:val="14"/>
                <w:szCs w:val="14"/>
                <w:b w:val="1"/>
                <w:bCs w:val="1"/>
                <w:color w:val="auto"/>
              </w:rPr>
              <w:t>Derivatives in Cash Flow Hedging</w:t>
            </w:r>
          </w:p>
        </w:tc>
        <w:tc>
          <w:tcPr>
            <w:tcW w:w="17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1"/>
              </w:rPr>
              <w:t>Recognized in Income on</w:t>
            </w:r>
          </w:p>
        </w:tc>
        <w:tc>
          <w:tcPr>
            <w:tcW w:w="2320" w:type="dxa"/>
            <w:vAlign w:val="bottom"/>
            <w:tcBorders>
              <w:bottom w:val="single" w:sz="8" w:color="auto"/>
            </w:tcBorders>
            <w:gridSpan w:val="3"/>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Relationships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780"/>
              <w:spacing w:after="0"/>
              <w:rPr>
                <w:sz w:val="20"/>
                <w:szCs w:val="20"/>
                <w:color w:val="auto"/>
              </w:rPr>
            </w:pPr>
            <w:r>
              <w:rPr>
                <w:rFonts w:ascii="Arial" w:cs="Arial" w:eastAsia="Arial" w:hAnsi="Arial"/>
                <w:sz w:val="14"/>
                <w:szCs w:val="14"/>
                <w:color w:val="auto"/>
                <w:w w:val="96"/>
              </w:rPr>
              <w:t>Interest rate swaps</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Interest expense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(19,748)  $</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(386)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(25,187)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54" w:right="239" w:bottom="1440" w:gutter="0" w:footer="0" w:header="0"/>
        </w:sectPr>
      </w:pPr>
    </w:p>
    <w:bookmarkStart w:id="17" w:name="page18"/>
    <w:bookmarkEnd w:id="17"/>
    <w:p>
      <w:pPr>
        <w:ind w:right="320" w:firstLine="405"/>
        <w:spacing w:after="0" w:line="342" w:lineRule="auto"/>
        <w:rPr>
          <w:sz w:val="20"/>
          <w:szCs w:val="20"/>
          <w:color w:val="auto"/>
        </w:rPr>
      </w:pPr>
      <w:r>
        <w:rPr>
          <w:rFonts w:ascii="Arial" w:cs="Arial" w:eastAsia="Arial" w:hAnsi="Arial"/>
          <w:sz w:val="16"/>
          <w:szCs w:val="16"/>
          <w:color w:val="auto"/>
        </w:rPr>
        <w:t>Over the next 12 months, the Company estimates that $4.1 million will be reclassified as an increase to interest expense. Cash flows associated with periodic settlements of interest rate swaps will be classified as operating activities in the condensed consolidated statement of cash flows.</w:t>
      </w:r>
    </w:p>
    <w:p>
      <w:pPr>
        <w:spacing w:after="0" w:line="16"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Under Topic 842, the Company determines whether the contract is, or contains, a lease, which exists when the contract conveys the right to control the use of identified property or equipment for a period of time in exchange for consideration. Operating leases are included in operating lease right-of-use ("ROU") assets, operating lease liabilities, and operating lease liabilities, net of current portion in our condensed consolidated balance sheets. Cash payments arising from operating leases are classified within operating activities in the condensed consolidated statement of cash flows. At June 30, 2019, the Company had no finance leases.</w:t>
      </w:r>
    </w:p>
    <w:p>
      <w:pPr>
        <w:spacing w:after="0" w:line="107"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Company's leases are generally for facilities and office space and the Company recognizes operating lease ROU assets and operating lease liabilities at lease commencement date, for those arrangements. The initial lease liability is equal to the present value of the future minimum lease payments over the lease term. The initial measurement of the right-of-use asset is equal to the initial lease liability plus any initial direct costs and prepaid lease payments, less any lease incentives. At the lease commencement date the Company estimates its collateralized incremental borrowing rate based on publicly available yields adjusted for Company-specific considerations and the Company's varying lease terms in determining the present value of future payments. Certain of the Company’s leases contain options to renew or to terminate the lease which are included in the determination of the ROU assets and lease liabilities when it is reasonably certain that the Company will exercise the option. The Company's leases may also include variable lease payments, such as maintenance costs, utilities, or other variable lease-related payments which are not included in measuring ROU assets and lease liabilities and are recorded as lease expense in the period incurred.</w:t>
      </w:r>
    </w:p>
    <w:p>
      <w:pPr>
        <w:spacing w:after="0" w:line="10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As permitted under Topic 842, the Company elected not to recognize ROU assets and lease liabilities for leases with an initial term of 12 months or less; lease expense from these leases are recognized on a straight-line basis over the lease term. As further permitted under Topic 842, the Company elected to not separate lease components from non-lease components, accounting for both components as a single lease component.</w:t>
      </w:r>
    </w:p>
    <w:p>
      <w:pPr>
        <w:spacing w:after="0" w:line="8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Company’s total lease cost is recorded primarily within general and administrative expenses on the condensed consolidated statement of operations and consisted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Borders>
              <w:bottom w:val="single" w:sz="8" w:color="CCEEFF"/>
            </w:tcBorders>
          </w:tcPr>
          <w:p>
            <w:pPr>
              <w:spacing w:after="0"/>
              <w:rPr>
                <w:sz w:val="16"/>
                <w:szCs w:val="16"/>
                <w:color w:val="auto"/>
              </w:rPr>
            </w:pPr>
          </w:p>
        </w:tc>
        <w:tc>
          <w:tcPr>
            <w:tcW w:w="466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Three Months Ended June 30, 2019</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5620" w:type="dxa"/>
            <w:vAlign w:val="bottom"/>
            <w:tcBorders>
              <w:bottom w:val="single" w:sz="8" w:color="CCEEFF"/>
            </w:tcBorders>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17,960</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46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46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57"/>
        </w:trPr>
        <w:tc>
          <w:tcPr>
            <w:tcW w:w="384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46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22,939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660" w:type="dxa"/>
            <w:vAlign w:val="bottom"/>
            <w:vMerge w:val="restart"/>
          </w:tcPr>
          <w:p>
            <w:pPr>
              <w:jc w:val="right"/>
              <w:ind w:right="261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54" w:right="25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color w:val="auto"/>
        </w:rPr>
        <w:t>Future minimum operating lease payments for noncancelable operating leases as of June 30, 2019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9"/>
              </w:rPr>
              <w:t>Operating Lease Payments</w:t>
            </w: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24,609</w:t>
            </w:r>
          </w:p>
        </w:tc>
        <w:tc>
          <w:tcPr>
            <w:tcW w:w="0" w:type="dxa"/>
            <w:vAlign w:val="bottom"/>
          </w:tcPr>
          <w:p>
            <w:pPr>
              <w:spacing w:after="0"/>
              <w:rPr>
                <w:sz w:val="1"/>
                <w:szCs w:val="1"/>
                <w:color w:val="auto"/>
              </w:rPr>
            </w:pP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69,224</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58,767</w:t>
            </w:r>
          </w:p>
        </w:tc>
        <w:tc>
          <w:tcPr>
            <w:tcW w:w="0" w:type="dxa"/>
            <w:vAlign w:val="bottom"/>
          </w:tcPr>
          <w:p>
            <w:pPr>
              <w:spacing w:after="0"/>
              <w:rPr>
                <w:sz w:val="1"/>
                <w:szCs w:val="1"/>
                <w:color w:val="auto"/>
              </w:rPr>
            </w:pP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53,745</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46,425</w:t>
            </w:r>
          </w:p>
        </w:tc>
        <w:tc>
          <w:tcPr>
            <w:tcW w:w="0" w:type="dxa"/>
            <w:vAlign w:val="bottom"/>
          </w:tcPr>
          <w:p>
            <w:pPr>
              <w:spacing w:after="0"/>
              <w:rPr>
                <w:sz w:val="1"/>
                <w:szCs w:val="1"/>
                <w:color w:val="auto"/>
              </w:rPr>
            </w:pP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125,642</w:t>
            </w:r>
          </w:p>
        </w:tc>
        <w:tc>
          <w:tcPr>
            <w:tcW w:w="0" w:type="dxa"/>
            <w:vAlign w:val="bottom"/>
          </w:tcPr>
          <w:p>
            <w:pPr>
              <w:spacing w:after="0"/>
              <w:rPr>
                <w:sz w:val="1"/>
                <w:szCs w:val="1"/>
                <w:color w:val="auto"/>
              </w:rPr>
            </w:pPr>
          </w:p>
        </w:tc>
      </w:tr>
      <w:tr>
        <w:trPr>
          <w:trHeight w:val="27"/>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378,412</w:t>
            </w:r>
          </w:p>
        </w:tc>
        <w:tc>
          <w:tcPr>
            <w:tcW w:w="0" w:type="dxa"/>
            <w:vAlign w:val="bottom"/>
          </w:tcPr>
          <w:p>
            <w:pPr>
              <w:spacing w:after="0"/>
              <w:rPr>
                <w:sz w:val="1"/>
                <w:szCs w:val="1"/>
                <w:color w:val="auto"/>
              </w:rPr>
            </w:pPr>
          </w:p>
        </w:tc>
      </w:tr>
      <w:tr>
        <w:trPr>
          <w:trHeight w:val="243"/>
        </w:trPr>
        <w:tc>
          <w:tcPr>
            <w:tcW w:w="8500" w:type="dxa"/>
            <w:vAlign w:val="bottom"/>
          </w:tcPr>
          <w:p>
            <w:pPr>
              <w:ind w:left="18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(60,644)</w:t>
            </w:r>
          </w:p>
        </w:tc>
        <w:tc>
          <w:tcPr>
            <w:tcW w:w="0" w:type="dxa"/>
            <w:vAlign w:val="bottom"/>
          </w:tcPr>
          <w:p>
            <w:pPr>
              <w:spacing w:after="0"/>
              <w:rPr>
                <w:sz w:val="1"/>
                <w:szCs w:val="1"/>
                <w:color w:val="auto"/>
              </w:rPr>
            </w:pPr>
          </w:p>
        </w:tc>
      </w:tr>
      <w:tr>
        <w:trPr>
          <w:trHeight w:val="27"/>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317,768</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4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00" w:type="dxa"/>
            <w:vAlign w:val="bottom"/>
            <w:tcBorders>
              <w:bottom w:val="single" w:sz="8" w:color="CCEEFF"/>
            </w:tcBorders>
          </w:tcPr>
          <w:p>
            <w:pPr>
              <w:spacing w:after="0"/>
              <w:rPr>
                <w:sz w:val="24"/>
                <w:szCs w:val="24"/>
                <w:color w:val="auto"/>
              </w:rPr>
            </w:pPr>
          </w:p>
        </w:tc>
        <w:tc>
          <w:tcPr>
            <w:tcW w:w="24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7"/>
              </w:rPr>
              <w:t>Three Months Ended June 30, 2019</w:t>
            </w:r>
          </w:p>
        </w:tc>
        <w:tc>
          <w:tcPr>
            <w:tcW w:w="0" w:type="dxa"/>
            <w:vAlign w:val="bottom"/>
          </w:tcPr>
          <w:p>
            <w:pPr>
              <w:spacing w:after="0"/>
              <w:rPr>
                <w:sz w:val="1"/>
                <w:szCs w:val="1"/>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19,912</w:t>
            </w:r>
          </w:p>
        </w:tc>
        <w:tc>
          <w:tcPr>
            <w:tcW w:w="0" w:type="dxa"/>
            <w:vAlign w:val="bottom"/>
          </w:tcPr>
          <w:p>
            <w:pPr>
              <w:spacing w:after="0"/>
              <w:rPr>
                <w:sz w:val="1"/>
                <w:szCs w:val="1"/>
                <w:color w:val="auto"/>
              </w:rPr>
            </w:pPr>
          </w:p>
        </w:tc>
      </w:tr>
      <w:tr>
        <w:trPr>
          <w:trHeight w:val="341"/>
        </w:trPr>
        <w:tc>
          <w:tcPr>
            <w:tcW w:w="8500" w:type="dxa"/>
            <w:vAlign w:val="bottom"/>
          </w:tcPr>
          <w:p>
            <w:pPr>
              <w:ind w:left="40"/>
              <w:spacing w:after="0"/>
              <w:rPr>
                <w:sz w:val="20"/>
                <w:szCs w:val="20"/>
                <w:color w:val="auto"/>
              </w:rPr>
            </w:pPr>
            <w:r>
              <w:rPr>
                <w:rFonts w:ascii="Arial" w:cs="Arial" w:eastAsia="Arial" w:hAnsi="Arial"/>
                <w:sz w:val="18"/>
                <w:szCs w:val="18"/>
                <w:color w:val="auto"/>
              </w:rPr>
              <w:t xml:space="preserve">Operating lease liabilities arising from obtaining ROU assets </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right="2980" w:hanging="7"/>
        <w:spacing w:after="0" w:line="464" w:lineRule="auto"/>
        <w:tabs>
          <w:tab w:leader="none" w:pos="6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all noncash increases and decreases arising from new or remeasured operating lease arrangements Other information related to leases was as follows:</w:t>
      </w:r>
    </w:p>
    <w:tbl>
      <w:tblPr>
        <w:tblLayout w:type="fixed"/>
        <w:tblInd w:w="0" w:type="dxa"/>
        <w:tblCellMar>
          <w:top w:w="0" w:type="dxa"/>
          <w:left w:w="0" w:type="dxa"/>
          <w:bottom w:w="0" w:type="dxa"/>
          <w:right w:w="0" w:type="dxa"/>
        </w:tblCellMar>
      </w:tblPr>
      <w:tr>
        <w:trPr>
          <w:trHeight w:val="150"/>
        </w:trPr>
        <w:tc>
          <w:tcPr>
            <w:tcW w:w="8440" w:type="dxa"/>
            <w:vAlign w:val="bottom"/>
          </w:tcPr>
          <w:p>
            <w:pPr>
              <w:spacing w:after="0"/>
              <w:rPr>
                <w:sz w:val="13"/>
                <w:szCs w:val="13"/>
                <w:color w:val="auto"/>
              </w:rPr>
            </w:pPr>
          </w:p>
        </w:tc>
        <w:tc>
          <w:tcPr>
            <w:tcW w:w="24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3"/>
              </w:rPr>
              <w:t>At June 30,</w:t>
            </w:r>
          </w:p>
        </w:tc>
      </w:tr>
      <w:tr>
        <w:trPr>
          <w:trHeight w:val="192"/>
        </w:trPr>
        <w:tc>
          <w:tcPr>
            <w:tcW w:w="844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246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8"/>
                <w:szCs w:val="18"/>
                <w:color w:val="auto"/>
              </w:rPr>
              <w:t>6.38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2460" w:type="dxa"/>
            <w:vAlign w:val="bottom"/>
          </w:tcPr>
          <w:p>
            <w:pPr>
              <w:ind w:left="1960"/>
              <w:spacing w:after="0"/>
              <w:rPr>
                <w:sz w:val="20"/>
                <w:szCs w:val="20"/>
                <w:color w:val="auto"/>
              </w:rPr>
            </w:pPr>
            <w:r>
              <w:rPr>
                <w:rFonts w:ascii="Arial" w:cs="Arial" w:eastAsia="Arial" w:hAnsi="Arial"/>
                <w:sz w:val="18"/>
                <w:szCs w:val="18"/>
                <w:color w:val="auto"/>
                <w:w w:val="93"/>
              </w:rPr>
              <w:t>4.59%</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The Company’s effective income tax rates were 24.7% and 24.1% for the three months ended June 30, 2019 and 2018, respectively. The three months effective tax rates of 24.7% and 24.1% differ from the federal statutory rate of 21.0% primarily due to the inclusion of state income taxes and permanent rate differences, primarily related to meals and entertainment and certain executive compensation, which were partially offset by discrete tax items.</w:t>
      </w:r>
    </w:p>
    <w:p>
      <w:pPr>
        <w:spacing w:after="0" w:line="3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As of the end of fiscal 2019, the examinations of the Company’s federal income tax returns and refund claims for fiscal years 2013 through 2015 were completed by the IRS. The Company received the full refund claim of $10.9 million during the first quarter of fiscal 2020.</w:t>
      </w:r>
    </w:p>
    <w:p>
      <w:pPr>
        <w:spacing w:after="0" w:line="62"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$11.4 million, net of associated tax benefits as of June 30, 2019. The Company has taken similar tax positions with respect to subsequent fiscal years, totaling in aggregate $27.4 million. As of June 30, 2019, the Company does not maintain reserves for any uncertain tax positions related to the contested tax benefits or the similar tax positions taken in the subsequent fiscal years. Given the recoverable nature of the state tax expense, the Company does not believe that the resolution of these matters will have a material adverse effect on its results of operations, cash flows or financial condition.</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maintained a reserve of $10.2 million as of June 30, 2019 relating to the acquisition of eGov Holdings, Inc. (d/b/a Aquilent) in the fourth quarter of fiscal 2017 for pre-acquisition period tax return uncertain tax positions.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746"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78,658</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126,465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124,925</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(2)</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75,548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71,816</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202,013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275,399</w:t>
            </w:r>
          </w:p>
        </w:tc>
      </w:tr>
      <w:tr>
        <w:trPr>
          <w:trHeight w:val="27"/>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Deferred rent balance was reclassified to operating lease right-of-use assets on the condensed consolidated balance sheet as a result of the adoption of Topic 842. See Notes 2 and 10, respectively to our condensed consolidated financial statements.</w:t>
      </w:r>
    </w:p>
    <w:p>
      <w:pPr>
        <w:spacing w:after="0" w:line="170" w:lineRule="exact"/>
        <w:rPr>
          <w:rFonts w:ascii="Arial" w:cs="Arial" w:eastAsia="Arial" w:hAnsi="Arial"/>
          <w:sz w:val="18"/>
          <w:szCs w:val="18"/>
          <w:color w:val="auto"/>
        </w:rPr>
      </w:pPr>
    </w:p>
    <w:p>
      <w:pPr>
        <w:jc w:val="both"/>
        <w:ind w:right="180" w:firstLine="8"/>
        <w:spacing w:after="0" w:line="26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Because of condensed financial statement presentation, components of other long-term liabilities at June 30, 2019 and March 31, 2019 primarily include the Company's long-term disability obligation, the long-term liability portion of the Company's derivative instruments, income tax reserves and deferred tax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was $36.9 million and $32.6 million for the three months ended June 30, 2019 and 2018, respectively. The Company-paid contributions were $19.9 million and $17.5 million for the three months ended June 30, 2019 and 2018,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and other expenses. The Retired Officers' Bonus Plan is not salary related, but rather is based primarily on years of service. During fiscal 2017, the Company adopted a new plan which will provide for a one-time, lump sum retirement payment of one month’s salary when a vice-president retires from the Company, effective April 1, 2017. This is referred to as the Retired Vice-President Bonus Plan. Additionally, the Company offers medical and dental benefits to inactive employees (and their eligible dependents) on long-term disability.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7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1,215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1,282</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2,454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3,297</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income (expense), net in the accompanying condensed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20" w:name="page21"/>
    <w:bookmarkEnd w:id="20"/>
    <w:p>
      <w:pPr>
        <w:ind w:right="180" w:firstLine="405"/>
        <w:spacing w:after="0" w:line="277" w:lineRule="auto"/>
        <w:rPr>
          <w:sz w:val="20"/>
          <w:szCs w:val="20"/>
          <w:color w:val="auto"/>
        </w:rPr>
      </w:pPr>
      <w:r>
        <w:rPr>
          <w:rFonts w:ascii="Arial" w:cs="Arial" w:eastAsia="Arial" w:hAnsi="Arial"/>
          <w:sz w:val="18"/>
          <w:szCs w:val="18"/>
          <w:color w:val="auto"/>
        </w:rPr>
        <w:t>As of June 30, 2019 and March 31, 2019, the unfunded status of the post-retirement medical plan was $121.8 million and $120.3 million, respectively, which is included in other long-term liabilities in the accompanying condensed consolidated balance sheets.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Disability Benefits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$11.6 million at both June 30, 2019 and March 31, 2019, and is presented in other long-term liabilities in the accompanying consolidated balance sheets.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established a non-qualified deferred compensation plan (the "Plan") for certain executives and other highly compensated employees that was effective in fiscal 2018.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46"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fair values of both plan investments and obligations at June 30, 2019 and March 31, 2019 were $6.8 million and $3.2 million, respectively, and were recorded in other long term assets and in other long term liabilities, respectively, in the condensed consolidated balance sheets. Adjustments to the fair value of the plan investments and obligations are recorded in operating expenses.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amounts recorded in other comprehensive loss are related to the Company's post-retirement plans and interest rate swaps designated as cash flow hedges.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accumulated other comprehensive income (loss), net of tax: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gridSpan w:val="5"/>
          </w:tcPr>
          <w:p>
            <w:pPr>
              <w:jc w:val="center"/>
              <w:ind w:right="190"/>
              <w:spacing w:after="0"/>
              <w:rPr>
                <w:sz w:val="20"/>
                <w:szCs w:val="20"/>
                <w:color w:val="auto"/>
              </w:rPr>
            </w:pPr>
            <w:r>
              <w:rPr>
                <w:rFonts w:ascii="Arial" w:cs="Arial" w:eastAsia="Arial" w:hAnsi="Arial"/>
                <w:sz w:val="18"/>
                <w:szCs w:val="18"/>
                <w:b w:val="1"/>
                <w:bCs w:val="1"/>
                <w:color w:val="auto"/>
                <w:w w:val="90"/>
              </w:rPr>
              <w:t>Three Months Ended June 30, 2019</w:t>
            </w:r>
          </w:p>
        </w:tc>
      </w:tr>
      <w:tr>
        <w:trPr>
          <w:trHeight w:val="27"/>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plans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Totals</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 (1)</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(14,579)</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(14,579)</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37"/>
        </w:trPr>
        <w:tc>
          <w:tcPr>
            <w:tcW w:w="73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(14,965)</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(14,931)</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(26,121)</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8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benefits of $5.2 million for the three months ended June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5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gridSpan w:val="5"/>
          </w:tcPr>
          <w:p>
            <w:pPr>
              <w:jc w:val="center"/>
              <w:ind w:right="190"/>
              <w:spacing w:after="0"/>
              <w:rPr>
                <w:sz w:val="20"/>
                <w:szCs w:val="20"/>
                <w:color w:val="auto"/>
              </w:rPr>
            </w:pPr>
            <w:r>
              <w:rPr>
                <w:rFonts w:ascii="Arial" w:cs="Arial" w:eastAsia="Arial" w:hAnsi="Arial"/>
                <w:sz w:val="18"/>
                <w:szCs w:val="18"/>
                <w:b w:val="1"/>
                <w:bCs w:val="1"/>
                <w:color w:val="auto"/>
                <w:w w:val="90"/>
              </w:rPr>
              <w:t>Three Months Ended June 30, 2018</w:t>
            </w:r>
          </w:p>
        </w:tc>
      </w:tr>
      <w:tr>
        <w:trPr>
          <w:trHeight w:val="27"/>
        </w:trPr>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plans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Totals</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5,849</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(15,106)</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 (2)</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1,896</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1,896</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r>
      <w:tr>
        <w:trPr>
          <w:trHeight w:val="237"/>
        </w:trPr>
        <w:tc>
          <w:tcPr>
            <w:tcW w:w="73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1,920</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2,327</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(12,779)</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expenses of $0.7 million for the three months ended June 30, 2018.</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75"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Amounts reclassified from accumulated other comprehensive loss:</w:t>
            </w: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Post-retirement plans (Note 13):</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net actuarial loss included in net periodic benefit cost</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of tax</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Derivatives designated as cash flow hedges (Note 9):</w:t>
            </w: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Reclassification of hedge (loss) gain</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8340" w:type="dxa"/>
            <w:vAlign w:val="bottom"/>
          </w:tcPr>
          <w:p>
            <w:pPr>
              <w:ind w:left="500"/>
              <w:spacing w:after="0"/>
              <w:rPr>
                <w:sz w:val="20"/>
                <w:szCs w:val="20"/>
                <w:color w:val="auto"/>
              </w:rPr>
            </w:pPr>
            <w:r>
              <w:rPr>
                <w:rFonts w:ascii="Arial" w:cs="Arial" w:eastAsia="Arial" w:hAnsi="Arial"/>
                <w:sz w:val="18"/>
                <w:szCs w:val="18"/>
                <w:color w:val="auto"/>
              </w:rPr>
              <w:t>Net of tax</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7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CCEEFF"/>
            </w:tcBorders>
          </w:tcPr>
          <w:p>
            <w:pPr>
              <w:spacing w:after="0"/>
              <w:rPr>
                <w:sz w:val="16"/>
                <w:szCs w:val="16"/>
                <w:color w:val="auto"/>
              </w:rPr>
            </w:pPr>
          </w:p>
        </w:tc>
        <w:tc>
          <w:tcPr>
            <w:tcW w:w="4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512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4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4,510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12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6,444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19</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3" w:right="239" w:bottom="1440" w:gutter="0" w:footer="0" w:header="0"/>
        </w:sectPr>
      </w:pPr>
    </w:p>
    <w:bookmarkStart w:id="22" w:name="page23"/>
    <w:bookmarkEnd w:id="22"/>
    <w:p>
      <w:pPr>
        <w:ind w:right="56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108"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Class A Restricted Common Stock</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5,959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5,782</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6,444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As of June 30, 2019, there was $52.3 million of total unrecognized compensation cost related to unvested stock-based compensation agreements. The unrecognized compensation cost as of June 30, 2019 is expected to be fully amortized over the next 4.76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June 30, 2019</w:t>
            </w:r>
          </w:p>
        </w:tc>
      </w:tr>
      <w:tr>
        <w:trPr>
          <w:trHeight w:val="152"/>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r>
      <w:tr>
        <w:trPr>
          <w:trHeight w:val="192"/>
        </w:trPr>
        <w:tc>
          <w:tcPr>
            <w:tcW w:w="7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3"/>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 (in years)</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5,801</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4.70</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46,469</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2.24</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52,270</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During the three months ended June 30, 2019, 240,611 options were granted under the Amended and Restated Equity Incentive Plan, or EIP. The aggregate fair value of options granted was $2.9 million and was based on the estimated fair value per-option grant of $12.26.</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2019, there were 2,152,728 EIP options outstanding, of which 831,288 were unvested.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Grants of Restricted Stock Units and Class A Restricted Common Stock</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During the three months ended June 30, 2019, the Board of Directors granted 463,737 restricted stock units to certain employees of the Company. The aggregate value of these awards was $28.8 million based on the grant date stock price of $62.12.</w:t>
      </w:r>
    </w:p>
    <w:p>
      <w:pPr>
        <w:spacing w:after="0" w:line="62"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As permitted under the terms of the EIP, the Compensation Committee, as Administrator of the EIP, authorized the withholding of taxes not to exceed the minimum statutory withholding amount, through the surrender of restricted stock units upon the vesting of restricted stock units and the surrender of shares of Class A Common Stock issuable upon the vesting of restricted stock. The participants surrendered 36,000 shares of Class A Common Stock issuable upon the vesting of restricted stock and recorded them as treasury shares at a cost of $2.4 million during the three months ended June 30, 2019.</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800" w:firstLine="405"/>
        <w:spacing w:after="0" w:line="342" w:lineRule="auto"/>
        <w:rPr>
          <w:sz w:val="20"/>
          <w:szCs w:val="20"/>
          <w:color w:val="auto"/>
        </w:rPr>
      </w:pPr>
      <w:r>
        <w:rPr>
          <w:rFonts w:ascii="Arial" w:cs="Arial" w:eastAsia="Arial" w:hAnsi="Arial"/>
          <w:sz w:val="16"/>
          <w:szCs w:val="16"/>
          <w:color w:val="auto"/>
        </w:rPr>
        <w:t>For the quarterly offering period that closed on June 30, 2019, 53,702 Class A Common Stock shares were purchased by employees under the Company's Employee Stock Purchase Plan, or ESPP. Since the program's inception, 2,485,695 shares have been purchased by employees.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54" w:right="239" w:bottom="1440" w:gutter="0" w:footer="0" w:header="0"/>
        </w:sectPr>
      </w:pPr>
    </w:p>
    <w:bookmarkStart w:id="23" w:name="page24"/>
    <w:bookmarkEnd w:id="23"/>
    <w:p>
      <w:pPr>
        <w:ind w:right="18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88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Arial" w:cs="Arial" w:eastAsia="Arial" w:hAnsi="Arial"/>
                <w:sz w:val="18"/>
                <w:szCs w:val="18"/>
                <w:b w:val="1"/>
                <w:bCs w:val="1"/>
                <w:color w:val="auto"/>
              </w:rPr>
              <w:t>as of June 30,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Long term derivative instruments (1)</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 term deferred compensation costs (2)</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6,758</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6,758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6,758</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Contingent consideration liability (3)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1,224</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Long term derivative instruments (1)</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19,116</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 term deferred compensation costs (2)</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6,758</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6,758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23,142</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1,224</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31,124</w:t>
            </w:r>
          </w:p>
        </w:tc>
      </w:tr>
      <w:tr>
        <w:trPr>
          <w:trHeight w:val="27"/>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90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March 31,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derivative instruments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1,790</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Long term derivative instruments (1)</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614</w:t>
            </w: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 term deferred compensation costs (2)</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3,169</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2,404</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5,573</w:t>
            </w:r>
          </w:p>
        </w:tc>
      </w:tr>
      <w:tr>
        <w:trPr>
          <w:trHeight w:val="27"/>
        </w:trPr>
        <w:tc>
          <w:tcPr>
            <w:tcW w:w="6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Contingent consideration liability (3)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1,224</w:t>
            </w: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derivative instruments (1)</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Long term derivative instruments (1)</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4,347</w:t>
            </w:r>
          </w:p>
        </w:tc>
      </w:tr>
      <w:tr>
        <w:trPr>
          <w:trHeight w:val="27"/>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 term deferred compensation costs (2)</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3,169</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9,669</w:t>
            </w:r>
          </w:p>
        </w:tc>
      </w:tr>
      <w:tr>
        <w:trPr>
          <w:trHeight w:val="27"/>
        </w:trPr>
        <w:tc>
          <w:tcPr>
            <w:tcW w:w="6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8"/>
        <w:spacing w:after="0" w:line="26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for further discussion on the Company’s derivative instruments designated as cash flow hedges.</w:t>
      </w:r>
    </w:p>
    <w:p>
      <w:pPr>
        <w:spacing w:after="0" w:line="73" w:lineRule="exact"/>
        <w:rPr>
          <w:rFonts w:ascii="Arial" w:cs="Arial" w:eastAsia="Arial" w:hAnsi="Arial"/>
          <w:sz w:val="18"/>
          <w:szCs w:val="18"/>
          <w:color w:val="auto"/>
        </w:rPr>
      </w:pPr>
    </w:p>
    <w:p>
      <w:pPr>
        <w:ind w:right="120" w:firstLine="8"/>
        <w:spacing w:after="0" w:line="259"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condensed consolidated balance sheets.</w:t>
      </w:r>
    </w:p>
    <w:p>
      <w:pPr>
        <w:spacing w:after="0" w:line="78" w:lineRule="exact"/>
        <w:rPr>
          <w:rFonts w:ascii="Arial" w:cs="Arial" w:eastAsia="Arial" w:hAnsi="Arial"/>
          <w:sz w:val="18"/>
          <w:szCs w:val="18"/>
          <w:color w:val="auto"/>
        </w:rPr>
      </w:pPr>
    </w:p>
    <w:p>
      <w:pPr>
        <w:jc w:val="both"/>
        <w:ind w:right="420" w:firstLine="8"/>
        <w:spacing w:after="0" w:line="264"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recognized a contingent consideration liability of $3.6 million in connection with its acquisition of Aquilent in fiscal 2017. As of both June 30, 2019 and March 31, 2019, the estimated fair value of the contingent consideration liability was $1.2 million, and was valued using probability-weighted cash flows, which is based on the use of Level 3 fair value measurement inputs.</w:t>
      </w:r>
    </w:p>
    <w:p>
      <w:pPr>
        <w:spacing w:after="0" w:line="73"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The fair value of the Company's cash and cash equivalents, which are primarily Level 1 inputs, approximated its carrying values at June 30, 2019 and March 31, 2019. The fair value of the Company's debt instruments approximated its carrying value at June 30, 2019 and March 31, 2019. The fair value of debt is determined using quoted prices or other market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854" w:right="25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Two of our directors currently serve on the board of directors of a subcontractor to which the Company subcontracted $24.2 million of services for the three months ended June 30,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As of June 30, 2019 and March 31, 2019, the Company was contingently liable under open standby letters of credit and bank guarantees issued by our banks in favor of third parties that totaled $8.9 million and $9.5 million, respectively. These letters of credit and bank guarantees primarily support insurance and bid and performance obligations. At June 30, 2019 and March 31, 2019, approximately $0.9 million and $1.0 million, respectively, of these instruments reduced the available borrowings under the Revolving Credit Facility. The remainder is guaranteed under a separate $15.0 million facility established in fiscal 2015 of which $7.0 million and $6.5 million were available to the Company at June 30, 2019 and March 31, 2019, respectively.</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For both the three months ended June 30, 2019 and 2018, approximately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Management believes it has recorded the appropriate provision for the estimated losses that may be experienced from any such reductions and/or penalties. As of June 30, 2019 and March 31, 2019, the Company had recorded liabilities of approximately $202.0 million and $195.3 million, respectively, for its current best estimate of amounts to be refunded to customers for potential adjustments from audits or reviews of contract costs incurred subsequent to fiscal 2011, and for contracts not yet closed that are impacted by settlement of audits or reviews of contract costs incurred in prior fiscal years.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2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854" w:right="279" w:bottom="1440" w:gutter="0" w:footer="0" w:header="0"/>
        </w:sectPr>
      </w:pPr>
    </w:p>
    <w:bookmarkStart w:id="25" w:name="page26"/>
    <w:bookmarkEnd w:id="25"/>
    <w:p>
      <w:pPr>
        <w:ind w:right="60"/>
        <w:spacing w:after="0" w:line="264" w:lineRule="auto"/>
        <w:rPr>
          <w:sz w:val="20"/>
          <w:szCs w:val="20"/>
          <w:color w:val="auto"/>
        </w:rPr>
      </w:pPr>
      <w:r>
        <w:rPr>
          <w:rFonts w:ascii="Arial" w:cs="Arial" w:eastAsia="Arial" w:hAnsi="Arial"/>
          <w:sz w:val="18"/>
          <w:szCs w:val="18"/>
          <w:color w:val="auto"/>
        </w:rPr>
        <w:t>be materially adverse, based on current information, we do not expect any of the currently ongoing audits, reviews, investigations, or litigation to have a material adverse effect on our financial condition and results of operations. As of June 30, 2019 and March 31, 2019, there were no material amounts accrued in the condensed consolidated financial statements related to these proceedings.</w:t>
      </w:r>
    </w:p>
    <w:p>
      <w:pPr>
        <w:spacing w:after="0" w:line="73"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Securities Exchange Act of 1934, as amended, or the Exchange Act. On June 2, 2019, the United States District Court for the Southern District of New York granted defendants' motion to dismiss the amended complaint in its entirety. On July 11, 2019, the plaintiff filed a notice to appeal the ruling.</w:t>
      </w:r>
    </w:p>
    <w:p>
      <w:pPr>
        <w:spacing w:after="0" w:line="279"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As of June 30, 2019, the aggregate alleged damages that will be sought in the remaining suit is unknown. As of June 30, 2019,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73"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right="40" w:firstLine="392"/>
        <w:spacing w:after="0" w:line="254" w:lineRule="auto"/>
        <w:rPr>
          <w:sz w:val="20"/>
          <w:szCs w:val="20"/>
          <w:color w:val="auto"/>
        </w:rPr>
      </w:pPr>
      <w:r>
        <w:rPr>
          <w:rFonts w:ascii="Arial" w:cs="Arial" w:eastAsia="Arial" w:hAnsi="Arial"/>
          <w:sz w:val="18"/>
          <w:szCs w:val="18"/>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6" w:name="page27"/>
    <w:bookmarkEnd w:id="26"/>
    <w:p>
      <w:pPr>
        <w:ind w:right="240"/>
        <w:spacing w:after="0" w:line="277" w:lineRule="auto"/>
        <w:rPr>
          <w:sz w:val="20"/>
          <w:szCs w:val="20"/>
          <w:color w:val="auto"/>
        </w:rPr>
      </w:pPr>
      <w:r>
        <w:rPr>
          <w:rFonts w:ascii="Arial" w:cs="Arial" w:eastAsia="Arial" w:hAnsi="Arial"/>
          <w:sz w:val="18"/>
          <w:szCs w:val="18"/>
          <w:color w:val="auto"/>
        </w:rPr>
        <w:t>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62" w:lineRule="exact"/>
        <w:rPr>
          <w:sz w:val="20"/>
          <w:szCs w:val="20"/>
          <w:color w:val="auto"/>
        </w:rPr>
      </w:pPr>
    </w:p>
    <w:p>
      <w:pPr>
        <w:ind w:right="80" w:firstLine="39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At this stage of the lawsuit, the Company is not able to reasonably estimate the expected amount or range of cost or any loss associated with the lawsuit.</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2019 filed with the Securities and Exchange Commission on May 28, 2019,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ind w:right="80"/>
        <w:spacing w:after="0" w:line="375" w:lineRule="auto"/>
        <w:rPr>
          <w:sz w:val="20"/>
          <w:szCs w:val="20"/>
          <w:color w:val="auto"/>
        </w:rPr>
      </w:pPr>
      <w:r>
        <w:rPr>
          <w:rFonts w:ascii="Arial" w:cs="Arial" w:eastAsia="Arial" w:hAnsi="Arial"/>
          <w:sz w:val="18"/>
          <w:szCs w:val="18"/>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a leading provider of management and technology consulting, analytics, digital solutions, engineering, mission operations, and cyber expertise to U.S. and international governments, major corporations, and not-for-profit organizations. Our ability to deliver value to our clients has always been, and continues to be, a product of the strong character, expertise and tremendous passion of our people. Our approximately 26,400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15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Through our dedication to our clients' missions, and a commitment to evolving our business to address their client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transportation to solve the hardest and most consequential challenges, including through our cybersecurity products and services. Our international clients are primarily in the Middle East and Southeast Asia.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Effective April 1, 2019, the Company adopted Accounting Standard Codification (ASC) No. 842 Leases (Topic 842), using the modified retrospective transition approach and, as a result, comparative information for the prior fiscal year has not been retrospectively adjusted. See Note 2 to our accompanying condensed consolidated financial statements for more information on the impact of the adoption of this accounting standard.</w:t>
      </w:r>
    </w:p>
    <w:p>
      <w:pPr>
        <w:spacing w:after="0" w:line="57" w:lineRule="exact"/>
        <w:rPr>
          <w:sz w:val="20"/>
          <w:szCs w:val="20"/>
          <w:color w:val="auto"/>
        </w:rPr>
      </w:pPr>
    </w:p>
    <w:p>
      <w:pPr>
        <w:jc w:val="both"/>
        <w:ind w:right="160" w:firstLine="405"/>
        <w:spacing w:after="0" w:line="277" w:lineRule="auto"/>
        <w:rPr>
          <w:sz w:val="20"/>
          <w:szCs w:val="20"/>
          <w:color w:val="auto"/>
        </w:rPr>
      </w:pPr>
      <w:r>
        <w:rPr>
          <w:rFonts w:ascii="Arial" w:cs="Arial" w:eastAsia="Arial" w:hAnsi="Arial"/>
          <w:sz w:val="18"/>
          <w:szCs w:val="18"/>
          <w:color w:val="auto"/>
        </w:rPr>
        <w:t>During the first quarter of fiscal 2020, the Company generated year over year revenue growth, delivered improved earnings over the prior year period, increased client staff headcount, and achieved record backlog for a first quarter.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54" w:right="259" w:bottom="1440" w:gutter="0" w:footer="0" w:header="0"/>
        </w:sectPr>
      </w:pPr>
    </w:p>
    <w:bookmarkStart w:id="27" w:name="page28"/>
    <w:bookmarkEnd w:id="27"/>
    <w:p>
      <w:pPr>
        <w:ind w:firstLine="405"/>
        <w:spacing w:after="0" w:line="264" w:lineRule="auto"/>
        <w:rPr>
          <w:sz w:val="20"/>
          <w:szCs w:val="20"/>
          <w:color w:val="auto"/>
        </w:rPr>
      </w:pPr>
      <w:r>
        <w:rPr>
          <w:rFonts w:ascii="Arial" w:cs="Arial" w:eastAsia="Arial" w:hAnsi="Arial"/>
          <w:sz w:val="18"/>
          <w:szCs w:val="18"/>
          <w:color w:val="auto"/>
        </w:rPr>
        <w:t>Revenue increased 10.8% from the three months ended June 30, 2018 to the three months ended June 30, 2019 primarily driven by continued strength in client demand, which led to increased client staff headcount, and an increase in client staff labor. Revenue also benefited from slightly higher billable expenses as compared to the prior year period.</w:t>
      </w:r>
    </w:p>
    <w:p>
      <w:pPr>
        <w:spacing w:after="0" w:line="73"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Operating income increased 10.8% to $179.0 million in the three months ended June 30, 2019 from $161.6 million in the three months ended June 30, 2018, while operating margin was 9.8% for both periods. The increase in operating income was primarily driven by the same factors as growth in revenue as well as improved contract performance in the current quarter compared to the prior year quarter. The Company also incurred incremental legal costs during the three months ended June 30, 2019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285" w:lineRule="exact"/>
        <w:rPr>
          <w:sz w:val="20"/>
          <w:szCs w:val="20"/>
          <w:color w:val="auto"/>
        </w:rPr>
      </w:pPr>
    </w:p>
    <w:p>
      <w:pPr>
        <w:ind w:left="1300" w:right="100" w:hanging="644"/>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8" w:lineRule="exact"/>
        <w:rPr>
          <w:rFonts w:ascii="Arial" w:cs="Arial" w:eastAsia="Arial" w:hAnsi="Arial"/>
          <w:sz w:val="18"/>
          <w:szCs w:val="18"/>
          <w:color w:val="auto"/>
        </w:rPr>
      </w:pPr>
    </w:p>
    <w:p>
      <w:pPr>
        <w:ind w:left="1300" w:right="20" w:hanging="644"/>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8" w:lineRule="exact"/>
        <w:rPr>
          <w:rFonts w:ascii="Arial" w:cs="Arial" w:eastAsia="Arial" w:hAnsi="Arial"/>
          <w:sz w:val="18"/>
          <w:szCs w:val="18"/>
          <w:color w:val="auto"/>
        </w:rPr>
      </w:pPr>
    </w:p>
    <w:p>
      <w:pPr>
        <w:ind w:left="1300" w:right="26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represents net income before income taxes, net interest and other expense and depreciation and amortization before certain other items, including transaction costs, fees, losses, and expenses, including fees associated with debt prepayments. "Adjusted EBITDA Margin on Revenue" 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54" w:right="259" w:bottom="1440" w:gutter="0" w:footer="0" w:header="0"/>
        </w:sectPr>
      </w:pPr>
    </w:p>
    <w:bookmarkStart w:id="28" w:name="page29"/>
    <w:bookmarkEnd w:id="28"/>
    <w:p>
      <w:pPr>
        <w:ind w:left="644" w:right="160"/>
        <w:spacing w:after="0" w:line="304" w:lineRule="auto"/>
        <w:rPr>
          <w:sz w:val="20"/>
          <w:szCs w:val="20"/>
          <w:color w:val="auto"/>
        </w:rPr>
      </w:pPr>
      <w:r>
        <w:rPr>
          <w:rFonts w:ascii="Arial" w:cs="Arial" w:eastAsia="Arial" w:hAnsi="Arial"/>
          <w:sz w:val="18"/>
          <w:szCs w:val="18"/>
          <w:color w:val="auto"/>
        </w:rPr>
        <w:t>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53" w:lineRule="exact"/>
        <w:rPr>
          <w:sz w:val="20"/>
          <w:szCs w:val="20"/>
          <w:color w:val="auto"/>
        </w:rPr>
      </w:pPr>
    </w:p>
    <w:p>
      <w:pPr>
        <w:ind w:left="644" w:hanging="644"/>
        <w:spacing w:after="0" w:line="270" w:lineRule="auto"/>
        <w:tabs>
          <w:tab w:leader="none" w:pos="6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Net Income" represents net income before: (i) transaction costs, fees, losses, and expenses, including fees associated with debt prepayments, (ii) amortization or write-off of debt issuance costs and write-off of original issue discount, (iii) release of income tax reserves, and (iv) re-measurement of deferred tax assets and liabilities as a result of the Tax Cuts and Jobs Act (the "2017 Tax Act")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 result of the 2017 Tax Act as an important indicator of performance consistent with the manner in which management measures and forecasts the Company's performance and the way in which management is incentivized to perform.</w:t>
      </w:r>
    </w:p>
    <w:p>
      <w:pPr>
        <w:spacing w:after="0" w:line="73" w:lineRule="exact"/>
        <w:rPr>
          <w:rFonts w:ascii="Arial" w:cs="Arial" w:eastAsia="Arial" w:hAnsi="Arial"/>
          <w:sz w:val="17"/>
          <w:szCs w:val="17"/>
          <w:color w:val="auto"/>
        </w:rPr>
      </w:pPr>
    </w:p>
    <w:p>
      <w:pPr>
        <w:ind w:left="644" w:hanging="644"/>
        <w:spacing w:after="0" w:line="264" w:lineRule="auto"/>
        <w:tabs>
          <w:tab w:leader="none" w:pos="6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73" w:lineRule="exact"/>
        <w:rPr>
          <w:rFonts w:ascii="Arial" w:cs="Arial" w:eastAsia="Arial" w:hAnsi="Arial"/>
          <w:sz w:val="18"/>
          <w:szCs w:val="18"/>
          <w:color w:val="auto"/>
        </w:rPr>
      </w:pPr>
    </w:p>
    <w:p>
      <w:pPr>
        <w:ind w:left="644" w:hanging="644"/>
        <w:spacing w:after="0"/>
        <w:tabs>
          <w:tab w:leader="none" w:pos="6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6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44"/>
          </w:cols>
          <w:pgMar w:left="896" w:top="881" w:right="259" w:bottom="1440" w:gutter="0" w:footer="0" w:header="0"/>
        </w:sectPr>
      </w:pPr>
    </w:p>
    <w:bookmarkStart w:id="29" w:name="page30"/>
    <w:bookmarkEnd w:id="29"/>
    <w:p>
      <w:pPr>
        <w:ind w:firstLine="405"/>
        <w:spacing w:after="0" w:line="264"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793"/>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8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7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center"/>
              <w:ind w:left="793"/>
              <w:spacing w:after="0"/>
              <w:rPr>
                <w:sz w:val="20"/>
                <w:szCs w:val="20"/>
                <w:color w:val="auto"/>
              </w:rPr>
            </w:pPr>
            <w:r>
              <w:rPr>
                <w:rFonts w:ascii="Arial" w:cs="Arial" w:eastAsia="Arial" w:hAnsi="Arial"/>
                <w:sz w:val="14"/>
                <w:szCs w:val="14"/>
                <w:b w:val="1"/>
                <w:bCs w:val="1"/>
                <w:color w:val="auto"/>
                <w:w w:val="97"/>
              </w:rPr>
              <w:t>(Unaudited)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1,825,176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1,646,848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Billable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551,175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477,435</w:t>
            </w:r>
          </w:p>
        </w:tc>
        <w:tc>
          <w:tcPr>
            <w:tcW w:w="0" w:type="dxa"/>
            <w:vAlign w:val="bottom"/>
          </w:tcPr>
          <w:p>
            <w:pPr>
              <w:spacing w:after="0"/>
              <w:rPr>
                <w:sz w:val="1"/>
                <w:szCs w:val="1"/>
                <w:color w:val="auto"/>
              </w:rPr>
            </w:pPr>
          </w:p>
        </w:tc>
      </w:tr>
      <w:tr>
        <w:trPr>
          <w:trHeight w:val="237"/>
        </w:trPr>
        <w:tc>
          <w:tcPr>
            <w:tcW w:w="7820" w:type="dxa"/>
            <w:vAlign w:val="bottom"/>
          </w:tcPr>
          <w:p>
            <w:pPr>
              <w:ind w:left="500"/>
              <w:spacing w:after="0"/>
              <w:rPr>
                <w:sz w:val="20"/>
                <w:szCs w:val="20"/>
                <w:color w:val="auto"/>
              </w:rPr>
            </w:pPr>
            <w:r>
              <w:rPr>
                <w:rFonts w:ascii="Arial" w:cs="Arial" w:eastAsia="Arial" w:hAnsi="Arial"/>
                <w:sz w:val="18"/>
                <w:szCs w:val="18"/>
                <w:color w:val="auto"/>
              </w:rPr>
              <w:t>Revenue, Excluding Billable Expenses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1,274,001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1,169,413</w:t>
            </w:r>
          </w:p>
        </w:tc>
        <w:tc>
          <w:tcPr>
            <w:tcW w:w="0" w:type="dxa"/>
            <w:vAlign w:val="bottom"/>
          </w:tcPr>
          <w:p>
            <w:pPr>
              <w:spacing w:after="0"/>
              <w:rPr>
                <w:sz w:val="1"/>
                <w:szCs w:val="1"/>
                <w:color w:val="auto"/>
              </w:rPr>
            </w:pPr>
          </w:p>
        </w:tc>
      </w:tr>
      <w:tr>
        <w:trPr>
          <w:trHeight w:val="67"/>
        </w:trPr>
        <w:tc>
          <w:tcPr>
            <w:tcW w:w="78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179,046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161,612</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179,046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161,612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Adjusted EBITDA, Adjusted EBITDA Margin on Revenue &amp; Adjusted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EBITDA Margin on Revenue, Excluding Billable Expenses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117,386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104,204</w:t>
            </w: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38,444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33,163</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net (a)</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23,216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24,245</w:t>
            </w: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20,021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16,153</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199,067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177,765</w:t>
            </w:r>
          </w:p>
        </w:tc>
        <w:tc>
          <w:tcPr>
            <w:tcW w:w="0" w:type="dxa"/>
            <w:vAlign w:val="bottom"/>
          </w:tcPr>
          <w:p>
            <w:pPr>
              <w:spacing w:after="0"/>
              <w:rPr>
                <w:sz w:val="1"/>
                <w:szCs w:val="1"/>
                <w:color w:val="auto"/>
              </w:rPr>
            </w:pPr>
          </w:p>
        </w:tc>
      </w:tr>
      <w:tr>
        <w:trPr>
          <w:trHeight w:val="237"/>
        </w:trPr>
        <w:tc>
          <w:tcPr>
            <w:tcW w:w="7820" w:type="dxa"/>
            <w:vAlign w:val="bottom"/>
          </w:tcPr>
          <w:p>
            <w:pPr>
              <w:ind w:left="50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199,067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177,765</w:t>
            </w:r>
          </w:p>
        </w:tc>
        <w:tc>
          <w:tcPr>
            <w:tcW w:w="0" w:type="dxa"/>
            <w:vAlign w:val="bottom"/>
          </w:tcPr>
          <w:p>
            <w:pPr>
              <w:spacing w:after="0"/>
              <w:rPr>
                <w:sz w:val="1"/>
                <w:szCs w:val="1"/>
                <w:color w:val="auto"/>
              </w:rPr>
            </w:pPr>
          </w:p>
        </w:tc>
      </w:tr>
      <w:tr>
        <w:trPr>
          <w:trHeight w:val="67"/>
        </w:trPr>
        <w:tc>
          <w:tcPr>
            <w:tcW w:w="78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82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Adjusted EBITDA Margin on Revenue</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7820" w:type="dxa"/>
            <w:vAlign w:val="bottom"/>
          </w:tcPr>
          <w:p>
            <w:pPr>
              <w:ind w:left="500"/>
              <w:spacing w:after="0"/>
              <w:rPr>
                <w:sz w:val="20"/>
                <w:szCs w:val="20"/>
                <w:color w:val="auto"/>
              </w:rPr>
            </w:pPr>
            <w:r>
              <w:rPr>
                <w:rFonts w:ascii="Arial" w:cs="Arial" w:eastAsia="Arial" w:hAnsi="Arial"/>
                <w:sz w:val="18"/>
                <w:szCs w:val="18"/>
                <w:color w:val="auto"/>
              </w:rPr>
              <w:t>Adjusted EBITDA Margin on Revenue, Excluding Billable Expenses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117,386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104,204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or write-off of debt issuance costs and write-off of original issue discount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Adjustments for tax effect (b)</w:t>
            </w:r>
          </w:p>
        </w:tc>
        <w:tc>
          <w:tcPr>
            <w:tcW w:w="26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117,724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104,695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number of diluted shares outstanding</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141,129,301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1"/>
              </w:rPr>
              <w:t>144,693,573</w:t>
            </w:r>
          </w:p>
        </w:tc>
        <w:tc>
          <w:tcPr>
            <w:tcW w:w="0" w:type="dxa"/>
            <w:vAlign w:val="bottom"/>
          </w:tcPr>
          <w:p>
            <w:pPr>
              <w:spacing w:after="0"/>
              <w:rPr>
                <w:sz w:val="1"/>
                <w:szCs w:val="1"/>
                <w:color w:val="auto"/>
              </w:rPr>
            </w:pPr>
          </w:p>
        </w:tc>
      </w:tr>
      <w:tr>
        <w:trPr>
          <w:trHeight w:val="237"/>
        </w:trPr>
        <w:tc>
          <w:tcPr>
            <w:tcW w:w="7820" w:type="dxa"/>
            <w:vAlign w:val="bottom"/>
          </w:tcPr>
          <w:p>
            <w:pPr>
              <w:ind w:left="280"/>
              <w:spacing w:after="0"/>
              <w:rPr>
                <w:sz w:val="20"/>
                <w:szCs w:val="20"/>
                <w:color w:val="auto"/>
              </w:rPr>
            </w:pPr>
            <w:r>
              <w:rPr>
                <w:rFonts w:ascii="Arial" w:cs="Arial" w:eastAsia="Arial" w:hAnsi="Arial"/>
                <w:sz w:val="18"/>
                <w:szCs w:val="18"/>
                <w:color w:val="auto"/>
              </w:rPr>
              <w:t>Adjusted Net Income Per Diluted Share (c)</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67"/>
        </w:trPr>
        <w:tc>
          <w:tcPr>
            <w:tcW w:w="78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8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50,983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(27,336)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(20,465)</w:t>
            </w:r>
          </w:p>
        </w:tc>
        <w:tc>
          <w:tcPr>
            <w:tcW w:w="0" w:type="dxa"/>
            <w:vAlign w:val="bottom"/>
          </w:tcPr>
          <w:p>
            <w:pPr>
              <w:spacing w:after="0"/>
              <w:rPr>
                <w:sz w:val="1"/>
                <w:szCs w:val="1"/>
                <w:color w:val="auto"/>
              </w:rPr>
            </w:pPr>
          </w:p>
        </w:tc>
      </w:tr>
      <w:tr>
        <w:trPr>
          <w:trHeight w:val="237"/>
        </w:trPr>
        <w:tc>
          <w:tcPr>
            <w:tcW w:w="7820" w:type="dxa"/>
            <w:vAlign w:val="bottom"/>
          </w:tcPr>
          <w:p>
            <w:pPr>
              <w:ind w:left="500"/>
              <w:spacing w:after="0"/>
              <w:rPr>
                <w:sz w:val="20"/>
                <w:szCs w:val="20"/>
                <w:color w:val="auto"/>
              </w:rPr>
            </w:pPr>
            <w:r>
              <w:rPr>
                <w:rFonts w:ascii="Arial" w:cs="Arial" w:eastAsia="Arial" w:hAnsi="Arial"/>
                <w:sz w:val="18"/>
                <w:szCs w:val="18"/>
                <w:color w:val="auto"/>
              </w:rPr>
              <w:t>Free Cash Flow</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23,647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(47,502)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the combination of Interest expense and Other income (expense), net from the condensed consolidated statement of operations.</w:t>
      </w:r>
    </w:p>
    <w:p>
      <w:pPr>
        <w:spacing w:after="0" w:line="128" w:lineRule="exact"/>
        <w:rPr>
          <w:rFonts w:ascii="Arial" w:cs="Arial" w:eastAsia="Arial" w:hAnsi="Arial"/>
          <w:sz w:val="17"/>
          <w:szCs w:val="17"/>
          <w:color w:val="auto"/>
        </w:rPr>
      </w:pPr>
    </w:p>
    <w:p>
      <w:pPr>
        <w:ind w:left="660" w:right="68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the tax effect of adjustments at an assumed effective tax rate of 26%, which approximates the blended federal and state tax rate and consistently excludes the impact of other tax credits and incentive benefits realized.</w:t>
      </w:r>
    </w:p>
    <w:p>
      <w:pPr>
        <w:spacing w:after="0" w:line="62"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an adjustment of approximately $0.6 million of net earnings for the three months ended June 30, 2019 and 2018, respectively, associated with the application of the two-class method for computing diluted earnings per share.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7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80" w:hanging="644"/>
        <w:spacing w:after="0" w:line="273"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 Payer Relief Act of 2012, the Bipartisan Budget Act of 2013, the Bipartisan Budget Act of 2015, and the Bipartisan Budget Act of 2018, and address the ability of Congress to determine how to allocate the available budget authority and pass appropriations bills to fund both U.S. government departments and agencies that are, and those that are not, subject to the caps;</w:t>
      </w:r>
    </w:p>
    <w:p>
      <w:pPr>
        <w:spacing w:after="0" w:line="70" w:lineRule="exact"/>
        <w:rPr>
          <w:rFonts w:ascii="Arial" w:cs="Arial" w:eastAsia="Arial" w:hAnsi="Arial"/>
          <w:sz w:val="17"/>
          <w:szCs w:val="17"/>
          <w:color w:val="auto"/>
        </w:rPr>
      </w:pPr>
    </w:p>
    <w:p>
      <w:pPr>
        <w:ind w:left="1300" w:right="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right="20" w:hanging="644"/>
        <w:spacing w:after="0" w:line="289"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right="160" w:hanging="644"/>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850" w:right="259" w:bottom="1440" w:gutter="0" w:footer="0" w:header="0"/>
        </w:sectPr>
      </w:pPr>
    </w:p>
    <w:bookmarkStart w:id="31" w:name="page32"/>
    <w:bookmarkEnd w:id="31"/>
    <w:p>
      <w:pPr>
        <w:ind w:left="1300" w:right="16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right="4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73" w:lineRule="exact"/>
        <w:rPr>
          <w:rFonts w:ascii="Arial" w:cs="Arial" w:eastAsia="Arial" w:hAnsi="Arial"/>
          <w:sz w:val="18"/>
          <w:szCs w:val="18"/>
          <w:color w:val="auto"/>
        </w:rPr>
      </w:pPr>
    </w:p>
    <w:p>
      <w:pPr>
        <w:ind w:left="1300" w:right="200" w:hanging="644"/>
        <w:spacing w:after="0" w:line="31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52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jc w:val="both"/>
        <w:ind w:left="1300" w:right="10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73" w:lineRule="exact"/>
        <w:rPr>
          <w:rFonts w:ascii="Arial" w:cs="Arial" w:eastAsia="Arial" w:hAnsi="Arial"/>
          <w:sz w:val="18"/>
          <w:szCs w:val="18"/>
          <w:color w:val="auto"/>
        </w:rPr>
      </w:pPr>
    </w:p>
    <w:p>
      <w:pPr>
        <w:jc w:val="both"/>
        <w:ind w:left="1300" w:right="460" w:hanging="644"/>
        <w:spacing w:after="0" w:line="286"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increasing small business regulations across the Department of Defense and civilian agency clients continue to gain traction, whereby agencies are required to meet high small business set aside targets, and large business prime contractors are required to subcontract in accordance with considerable small business participation goals necessary for contract award.</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(as amended by the American Taxpayer Relief Act of 2012, the Bipartisan Budget Act of 2013, the Bipartisan Budget Act of 2015, and the Bipartisan Budget Act of 2018), provides for automatic spending cuts (referred to as sequestration) totaling approximately $1.2 trillion between 2013 and 2021, including an estimated $500 billion in federal defense spending cuts over this time period. The Bipartisan Budget Act of 2018 raised BCA spending caps on defense spending by $80 billion for government fiscal 2018, and $85 billion for government fiscal 2019. For non-defense funding, the Bipartisan Budget Act of 2018 raised BCA spending caps by $63 billion for government fiscal 2018 and $67 billion for government fiscal 2019. While the American Taxpayer Relief Act of 2012, the Bipartisan Budget Act of 2013, the Bipartisan Budget Act of 2015, and the Bipartisan Budget Act of 2018 all negated and raised budget limits put in place by the BCA for both defense and non-defense spending, those spending limits are due to return in fiscal 2020, and absent another budget deal, could result in significant cuts to the budget levels allowed by the Bipartisan Budget Act of 2018.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20" w:hanging="655"/>
        <w:spacing w:after="0" w:line="255" w:lineRule="auto"/>
        <w:tabs>
          <w:tab w:leader="none" w:pos="19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Cost-Reimbursable Contracts. </w:t>
      </w:r>
      <w:r>
        <w:rPr>
          <w:rFonts w:ascii="Arial" w:cs="Arial" w:eastAsia="Arial" w:hAnsi="Arial"/>
          <w:sz w:val="18"/>
          <w:szCs w:val="18"/>
          <w:color w:val="auto"/>
        </w:rPr>
        <w:t>Cost-reimbursable contracts provide for the payment of allowable costs incurred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54" w:right="259" w:bottom="1440" w:gutter="0" w:footer="0" w:header="0"/>
        </w:sectPr>
      </w:pPr>
    </w:p>
    <w:bookmarkStart w:id="32" w:name="page33"/>
    <w:bookmarkEnd w:id="32"/>
    <w:p>
      <w:pPr>
        <w:ind w:left="1960" w:right="120"/>
        <w:spacing w:after="0" w:line="306" w:lineRule="auto"/>
        <w:rPr>
          <w:sz w:val="20"/>
          <w:szCs w:val="20"/>
          <w:color w:val="auto"/>
        </w:rPr>
      </w:pPr>
      <w:r>
        <w:rPr>
          <w:rFonts w:ascii="Arial" w:cs="Arial" w:eastAsia="Arial" w:hAnsi="Arial"/>
          <w:sz w:val="18"/>
          <w:szCs w:val="18"/>
          <w:color w:val="auto"/>
        </w:rPr>
        <w:t>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2" w:lineRule="exact"/>
        <w:rPr>
          <w:sz w:val="20"/>
          <w:szCs w:val="20"/>
          <w:color w:val="auto"/>
        </w:rPr>
      </w:pPr>
    </w:p>
    <w:p>
      <w:pPr>
        <w:ind w:left="1960" w:right="220" w:hanging="655"/>
        <w:spacing w:after="0" w:line="255" w:lineRule="auto"/>
        <w:tabs>
          <w:tab w:leader="none" w:pos="19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contracts in this category,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5" w:lineRule="exact"/>
        <w:rPr>
          <w:rFonts w:ascii="Arial" w:cs="Arial" w:eastAsia="Arial" w:hAnsi="Arial"/>
          <w:sz w:val="18"/>
          <w:szCs w:val="18"/>
          <w:i w:val="1"/>
          <w:iCs w:val="1"/>
          <w:color w:val="auto"/>
        </w:rPr>
      </w:pPr>
    </w:p>
    <w:p>
      <w:pPr>
        <w:ind w:left="1960" w:right="140" w:hanging="655"/>
        <w:spacing w:after="0" w:line="255" w:lineRule="auto"/>
        <w:tabs>
          <w:tab w:leader="none" w:pos="19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52"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13335</wp:posOffset>
            </wp:positionV>
            <wp:extent cx="1869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73" w:lineRule="exact"/>
        <w:rPr>
          <w:sz w:val="20"/>
          <w:szCs w:val="20"/>
          <w:color w:val="auto"/>
        </w:rPr>
      </w:pPr>
    </w:p>
    <w:tbl>
      <w:tblPr>
        <w:tblLayout w:type="fixed"/>
        <w:tblInd w:w="1960" w:type="dxa"/>
        <w:tblCellMar>
          <w:top w:w="0" w:type="dxa"/>
          <w:left w:w="0" w:type="dxa"/>
          <w:bottom w:w="0" w:type="dxa"/>
          <w:right w:w="0" w:type="dxa"/>
        </w:tblCellMar>
      </w:tblPr>
      <w:tr>
        <w:trPr>
          <w:trHeight w:val="192"/>
        </w:trPr>
        <w:tc>
          <w:tcPr>
            <w:tcW w:w="45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52%</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23%</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4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w:t>
            </w:r>
          </w:p>
        </w:tc>
      </w:tr>
      <w:tr>
        <w:trPr>
          <w:trHeight w:val="27"/>
        </w:trPr>
        <w:tc>
          <w:tcPr>
            <w:tcW w:w="4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81" w:right="239" w:bottom="1440" w:gutter="0" w:footer="0" w:header="0"/>
        </w:sectPr>
      </w:pPr>
    </w:p>
    <w:bookmarkStart w:id="33" w:name="page34"/>
    <w:bookmarkEnd w:id="33"/>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June 30, 2019 and 2018, we employed approximately 26,400 and 24,600 people, respectively, of which approximately 23,600 and 22,100, respectively, were consulting staff.</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i w:val="1"/>
          <w:iCs w:val="1"/>
          <w:color w:val="auto"/>
        </w:rPr>
      </w:pPr>
    </w:p>
    <w:p>
      <w:pPr>
        <w:ind w:left="1300" w:right="6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for which funding has not been appropriated or otherwise authorized.</w:t>
      </w:r>
    </w:p>
    <w:p>
      <w:pPr>
        <w:spacing w:after="0" w:line="62"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13335</wp:posOffset>
            </wp:positionV>
            <wp:extent cx="2058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7"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058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4576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45760" cy="171450"/>
                    </a:xfrm>
                    <a:prstGeom prst="rect">
                      <a:avLst/>
                    </a:prstGeom>
                    <a:noFill/>
                  </pic:spPr>
                </pic:pic>
              </a:graphicData>
            </a:graphic>
          </wp:anchor>
        </w:drawing>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Funded</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3,195</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2,810</w:t>
            </w:r>
          </w:p>
        </w:tc>
      </w:tr>
      <w:tr>
        <w:trPr>
          <w:trHeight w:val="27"/>
        </w:trPr>
        <w:tc>
          <w:tcPr>
            <w:tcW w:w="5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10,132</w:t>
            </w:r>
          </w:p>
        </w:tc>
      </w:tr>
      <w:tr>
        <w:trPr>
          <w:trHeight w:val="27"/>
        </w:trPr>
        <w:tc>
          <w:tcPr>
            <w:tcW w:w="5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total backlog consists of remaining performance obligations, certain orders under contracts for which the period of performance has expired, and unexercised option periods and other unexercised optional orders. As of June 30, 2019, the Company had $6.2 billion of remaining performance obligations and we expect to recognize more than half of the remaining performance obligations as revenue over the next 12 months, and approximately three quarters over the next 24 months. The remainder is expected to be recognized thereafter. However, given the uncertainties discussed below, as well as the risks described in "Item 1A. Risk Factors" of our Annual Report on Form 10-K for the fiscal year ended March 31, 2019,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7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We view growth in total backlog and consulting staff headcount as the two key measures of our potential business growth. Growing and deploying consulting staff is the primary means by which we are able to achieve profitable revenue growth.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54" w:right="239" w:bottom="1440" w:gutter="0" w:footer="0" w:header="0"/>
        </w:sectPr>
      </w:pPr>
    </w:p>
    <w:bookmarkStart w:id="34" w:name="page35"/>
    <w:bookmarkEnd w:id="34"/>
    <w:p>
      <w:pPr>
        <w:ind w:right="180"/>
        <w:spacing w:after="0" w:line="276" w:lineRule="auto"/>
        <w:rPr>
          <w:sz w:val="20"/>
          <w:szCs w:val="20"/>
          <w:color w:val="auto"/>
        </w:rPr>
      </w:pPr>
      <w:r>
        <w:rPr>
          <w:rFonts w:ascii="Arial" w:cs="Arial" w:eastAsia="Arial" w:hAnsi="Arial"/>
          <w:sz w:val="17"/>
          <w:szCs w:val="17"/>
          <w:color w:val="auto"/>
        </w:rPr>
        <w:t>extent that we are able to hire additional consulting staff and deploy them against funded backlog, we generally recognize increased revenue. Total backlog increased by 16.2% from June 30, 2018 to June 30, 2019. Additions to funded backlog during the twelve months ended June 30, 2019 totaled $7.3 billion in comparison to $6.3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6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4.6% of total backlog as of the end of any of the four fiscal quarters preceding the fiscal quarter ended June 30, 2019.</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8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62" w:lineRule="exact"/>
        <w:rPr>
          <w:rFonts w:ascii="Arial" w:cs="Arial" w:eastAsia="Arial" w:hAnsi="Arial"/>
          <w:sz w:val="18"/>
          <w:szCs w:val="18"/>
          <w:color w:val="auto"/>
        </w:rPr>
      </w:pPr>
    </w:p>
    <w:p>
      <w:pPr>
        <w:ind w:left="1300" w:right="20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It is also common for the expiration of periods of performance under U.S. government contracts to correspond to the end of the U.S. government’s fiscal year, which may result in us not recognizing revenue for such associated backlog thereafter.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54" w:right="239"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 Seasonality is just one of a number of factors, many of which are outside of our control, which may affect our results in any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2019. Effective April 1, 2019, we adopted Topic 842 using the modified retrospective transition approach. Refer to Note 2 and Note 10 to our accompanying condensed consolidated financial statements for information related to our adoption of new accounting standards and for additional information related to leases. There were no other material changes to our critical accounting policies, estimates or judgments that occurred in the quarterly period covered by this report.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See Note 2 to our accompanying condensed consolidated financial statements for information related to our adoption of new accounting standards and for information on our anticipated adoption of recently issued accounting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140" w:type="dxa"/>
            <w:vAlign w:val="bottom"/>
            <w:vMerge w:val="restart"/>
          </w:tcPr>
          <w:p>
            <w:pPr>
              <w:jc w:val="right"/>
              <w:ind w:right="75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2"/>
                <w:szCs w:val="22"/>
                <w:color w:val="auto"/>
              </w:rPr>
            </w:pPr>
          </w:p>
        </w:tc>
        <w:tc>
          <w:tcPr>
            <w:tcW w:w="214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6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1,825,176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1,646,848</w:t>
            </w:r>
          </w:p>
        </w:tc>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840,654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785,812</w:t>
            </w: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551,175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477,435</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234,280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205,836</w:t>
            </w: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20,021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16,153</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1,646,130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1,485,236</w:t>
            </w:r>
          </w:p>
        </w:tc>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179,046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161,612</w:t>
            </w:r>
          </w:p>
        </w:tc>
        <w:tc>
          <w:tcPr>
            <w:tcW w:w="180" w:type="dxa"/>
            <w:vAlign w:val="bottom"/>
          </w:tcPr>
          <w:p>
            <w:pPr>
              <w:spacing w:after="0"/>
              <w:rPr>
                <w:sz w:val="20"/>
                <w:szCs w:val="20"/>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(23,074)</w:t>
            </w: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80" w:type="dxa"/>
            <w:vAlign w:val="bottom"/>
          </w:tcPr>
          <w:p>
            <w:pPr>
              <w:spacing w:after="0"/>
              <w:rPr>
                <w:sz w:val="21"/>
                <w:szCs w:val="21"/>
                <w:color w:val="auto"/>
              </w:rPr>
            </w:pPr>
          </w:p>
        </w:tc>
        <w:tc>
          <w:tcPr>
            <w:tcW w:w="2140" w:type="dxa"/>
            <w:vAlign w:val="bottom"/>
          </w:tcPr>
          <w:p>
            <w:pPr>
              <w:jc w:val="right"/>
              <w:ind w:right="9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155,830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137,367</w:t>
            </w: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38,444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33,163</w:t>
            </w:r>
          </w:p>
        </w:tc>
        <w:tc>
          <w:tcPr>
            <w:tcW w:w="18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117,386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104,204</w:t>
            </w:r>
          </w:p>
        </w:tc>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r>
        <w:rPr>
          <w:rFonts w:ascii="Arial" w:cs="Arial" w:eastAsia="Arial" w:hAnsi="Arial"/>
          <w:sz w:val="18"/>
          <w:szCs w:val="18"/>
          <w:i w:val="1"/>
          <w:iCs w:val="1"/>
          <w:color w:val="auto"/>
        </w:rPr>
        <w: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Three Months Ended June 30, 2019 Compared to Three Months Ended June 30, 2018</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Revenue increased to $1,825.2 million from $1,646.8 million, or a 10.8% increase, primarily driven by continued strength in client demand which led to increased client staff headcount, and an increase in client staff labor. Revenue also benefited from slightly higher billable expenses as compared to the prior year period. Total headcount as of June 30, 2019 increased approximately 1,800 compared to June 30, 2018.</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Cost of revenue increased to $840.7 million from $785.8 million, or a 7.0% increase. The increase was primarily due to increases in salaries and salary-related benefits of $55.2 million driven by increased headcount and annual base salary increases. Cost of revenue as a percentage of revenue was 46.1% and 47.7% for the three months ended June 30, 2019 and 2018, respectively.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854" w:right="27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Billable expenses increased to $551.2 million from $477.4 million, or a 15.4% increase, primarily attributable to an increase in the use of subcontractors in the current quarter driven by client demand and an increase in contracts which require the Company to incur direct expenses on behalf of clients over the prior year period. Billable expenses as a percentage of revenue were 30.2% and 29.0% for the three months ended June 30, 2019 and 2018, respectively.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General and administrative expenses increased to $234.3 million from $205.8 million, or a 13.8% increase, primarily due to increases in salaries and salary-related benefits of $17.1 million, driven by an increase in headcount growth as well as annual base salary increases, and an increase in other business expenses and professional fees of $11.3 million. General and administrative expenses as a percentage of revenue were 12.8% and 12.5% for the three months ended June 30, 2019 and 2018,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Depreciation and amortization increased to $20.0 million from $16.2 million, or a 23.9% increase, primarily due to increases in depreciation expense resulting from the effects of higher capital expenditures in fiscal 2019.</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Interest expense increased to $25.2 million from $23.1 million, or a 9.2% increase, primarily as a result of increases in interest expense related to the $400 million Delayed Draw Facility (as defined below) which the Company drew down in April 2019.</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Income tax expense increased to $38.4 million from $33.2 million, or a 15.9% increase, primarily due to an increase in pre-tax income as compared to the prior year period. The effective tax rate increased to 24.7% from 24.1% in the first quarter of fiscal 2020 as compared to the prior year period.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Indebtedness</w:t>
      </w:r>
    </w:p>
    <w:p>
      <w:pPr>
        <w:spacing w:after="0" w:line="12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table presents selected financial information as of June 30, 2019 and March 31, 2019 and for the first three months of fiscal 2020 and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4"/>
                <w:szCs w:val="14"/>
                <w:color w:val="auto"/>
              </w:rPr>
            </w:pPr>
          </w:p>
        </w:tc>
        <w:tc>
          <w:tcPr>
            <w:tcW w:w="1400" w:type="dxa"/>
            <w:vAlign w:val="bottom"/>
          </w:tcPr>
          <w:p>
            <w:pPr>
              <w:jc w:val="center"/>
              <w:ind w:right="477"/>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2019</w:t>
            </w:r>
          </w:p>
        </w:tc>
      </w:tr>
      <w:tr>
        <w:trPr>
          <w:trHeight w:val="244"/>
        </w:trPr>
        <w:tc>
          <w:tcPr>
            <w:tcW w:w="7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9"/>
        </w:trPr>
        <w:tc>
          <w:tcPr>
            <w:tcW w:w="7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center"/>
              <w:ind w:left="100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649,100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283,990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21"/>
                <w:szCs w:val="21"/>
                <w:color w:val="auto"/>
              </w:rPr>
            </w:pPr>
          </w:p>
        </w:tc>
        <w:tc>
          <w:tcPr>
            <w:tcW w:w="1500" w:type="dxa"/>
            <w:vAlign w:val="bottom"/>
          </w:tcPr>
          <w:p>
            <w:pPr>
              <w:jc w:val="right"/>
              <w:ind w:right="21"/>
              <w:spacing w:after="0"/>
              <w:rPr>
                <w:sz w:val="20"/>
                <w:szCs w:val="20"/>
                <w:color w:val="auto"/>
              </w:rPr>
            </w:pPr>
            <w:r>
              <w:rPr>
                <w:rFonts w:ascii="Arial" w:cs="Arial" w:eastAsia="Arial" w:hAnsi="Arial"/>
                <w:sz w:val="18"/>
                <w:szCs w:val="18"/>
                <w:color w:val="auto"/>
              </w:rPr>
              <w:t>2,141,245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1,759,761</w:t>
            </w:r>
          </w:p>
        </w:tc>
      </w:tr>
      <w:tr>
        <w:trPr>
          <w:trHeight w:val="477"/>
        </w:trPr>
        <w:tc>
          <w:tcPr>
            <w:tcW w:w="7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gridSpan w:val="4"/>
          </w:tcPr>
          <w:p>
            <w:pPr>
              <w:jc w:val="center"/>
              <w:ind w:right="237"/>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1021"/>
              <w:spacing w:after="0"/>
              <w:rPr>
                <w:sz w:val="20"/>
                <w:szCs w:val="20"/>
                <w:color w:val="auto"/>
              </w:rPr>
            </w:pPr>
            <w:r>
              <w:rPr>
                <w:rFonts w:ascii="Arial" w:cs="Arial" w:eastAsia="Arial" w:hAnsi="Arial"/>
                <w:sz w:val="14"/>
                <w:szCs w:val="14"/>
                <w:b w:val="1"/>
                <w:bCs w:val="1"/>
                <w:color w:val="auto"/>
                <w:w w:val="92"/>
              </w:rPr>
              <w:t>June 30,</w:t>
            </w:r>
          </w:p>
        </w:tc>
        <w:tc>
          <w:tcPr>
            <w:tcW w:w="14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6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2018</w:t>
            </w:r>
          </w:p>
        </w:tc>
      </w:tr>
      <w:tr>
        <w:trPr>
          <w:trHeight w:val="244"/>
        </w:trPr>
        <w:tc>
          <w:tcPr>
            <w:tcW w:w="7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jc w:val="center"/>
              <w:ind w:right="457"/>
              <w:spacing w:after="0"/>
              <w:rPr>
                <w:sz w:val="20"/>
                <w:szCs w:val="20"/>
                <w:color w:val="auto"/>
              </w:rPr>
            </w:pPr>
            <w:r>
              <w:rPr>
                <w:rFonts w:ascii="Arial" w:cs="Arial" w:eastAsia="Arial" w:hAnsi="Arial"/>
                <w:sz w:val="14"/>
                <w:szCs w:val="14"/>
                <w:b w:val="1"/>
                <w:bCs w:val="1"/>
                <w:color w:val="auto"/>
                <w:w w:val="95"/>
              </w:rPr>
              <w:t>(Unaudited)</w:t>
            </w:r>
          </w:p>
        </w:tc>
      </w:tr>
      <w:tr>
        <w:trPr>
          <w:trHeight w:val="276"/>
        </w:trPr>
        <w:tc>
          <w:tcPr>
            <w:tcW w:w="7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3"/>
          </w:tcPr>
          <w:p>
            <w:pPr>
              <w:jc w:val="center"/>
              <w:ind w:left="100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50,983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(27,336)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(20,485)</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341,463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(89,713)</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increase (decrease)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365,110</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(137,235)</w:t>
            </w:r>
          </w:p>
        </w:tc>
      </w:tr>
      <w:tr>
        <w:trPr>
          <w:trHeight w:val="27"/>
        </w:trPr>
        <w:tc>
          <w:tcPr>
            <w:tcW w:w="7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54" w:right="239" w:bottom="1440" w:gutter="0" w:footer="0" w:header="0"/>
        </w:sectPr>
      </w:pPr>
    </w:p>
    <w:bookmarkStart w:id="37" w:name="page38"/>
    <w:bookmarkEnd w:id="37"/>
    <w:p>
      <w:pPr>
        <w:ind w:right="120" w:firstLine="405"/>
        <w:spacing w:after="0" w:line="270" w:lineRule="auto"/>
        <w:rPr>
          <w:sz w:val="20"/>
          <w:szCs w:val="20"/>
          <w:color w:val="auto"/>
        </w:rPr>
      </w:pPr>
      <w:r>
        <w:rPr>
          <w:rFonts w:ascii="Arial" w:cs="Arial" w:eastAsia="Arial" w:hAnsi="Arial"/>
          <w:sz w:val="17"/>
          <w:szCs w:val="17"/>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82"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build-out, testing, and potential implementation and operation of new financial management systems;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 Total accounts receivable (billed and unbilled combined, net of allowance for doubtful accounts) days sales outstanding, or DSO, which we calculate by dividing total accounts receivable by revenue per day during the relevant fiscal quarter, was 73 as of June 30, 2019 and 74 as of March 31, 2019.</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$51.0 million in the three months ended June 30, 2019 compared to $27.0 million net cash used in operations in the prior year period. The increase in operating cash flows was primarily due to collection of our revenue and net income growth.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54" w:right="25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Net cash used in investing activities was $27.3 million in the three months ended June 30, 2019 compared to $20.5 million in the prior year period, or a 33.4% increase. The increase in net cash used in investing activities was primarily due to an increase in capital expenditures over the prior period primarily related to investments in our facilities and infrastructure and information technology.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117" w:lineRule="exact"/>
        <w:rPr>
          <w:sz w:val="20"/>
          <w:szCs w:val="20"/>
          <w:color w:val="auto"/>
        </w:rPr>
      </w:pPr>
    </w:p>
    <w:p>
      <w:pPr>
        <w:ind w:right="420" w:firstLine="405"/>
        <w:spacing w:after="0" w:line="312" w:lineRule="auto"/>
        <w:rPr>
          <w:sz w:val="20"/>
          <w:szCs w:val="20"/>
          <w:color w:val="auto"/>
        </w:rPr>
      </w:pPr>
      <w:r>
        <w:rPr>
          <w:rFonts w:ascii="Arial" w:cs="Arial" w:eastAsia="Arial" w:hAnsi="Arial"/>
          <w:sz w:val="16"/>
          <w:szCs w:val="16"/>
          <w:color w:val="auto"/>
        </w:rPr>
        <w:t>Net cash provided by financing activities was $341.5 million in the three months ended June 30, 2019 compared to $89.7 million net cash used in financing activities in the prior year period. The increase in net cash provided by financing activities was primarily due to proceeds of $400 million from drawing down on our Delayed Draw Facility, partially offset by a $41.7 million decrease in share repurchases compared to the prior year period.</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On July 29, 2019, the Company announced a regular quarterly cash dividend in the amount of $0.23 per share. The quarterly dividend is payable on August 30, 2019 to stockholders of record on August 14, 2019.</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37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dividends (1)</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32,412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267</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distributions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32,412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27,709</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represent quarterly dividends of $0.23 per share and $0.19 per share that were declared and paid during fiscal 2020 and fiscal 2019, respectively.</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33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December 12, 2011, the Board of Directors approved a $30.0 million share repurchase program, which was further increased by the Board of Directors on (i) January 27, 2015 to $180.0 million, (ii) January 25, 2017 to $410.0 million, (iii) November 2, 2017 to $610.0 million, (iv) May 24, 2018 to $910.0 million, and (v) May 23, 2019 to $1,310.0 million. The Company may repurchase shares pursuant to the program by means of open market repurchases, directly negotiated repurchases or through agents acting pursuant to negotiated repurchase agreements. During the first quarter of fiscal 2020, the Company purchased 93 thousand shares of the Company's Class A Common Stock for an aggregate of $5.9 million. Following the aforementioned repurchases, as of June 30, 2019, the Company had $652.3 million remaining under the repurchase program.</w:t>
      </w:r>
    </w:p>
    <w:p>
      <w:pPr>
        <w:spacing w:after="0" w:line="70"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On July 23, 2018 (the "Amendment Effective Date"), Booz Allen Hamilton Inc. ("Booz Allen Hamilton") and Booz Allen Hamilton Investor Corporation ("Investor"), and certain wholly-owned subsidiaries of Booz Allen Hamilton, entered into the Sixth Amendment (the "Sixth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Credit Agreement, dated as of August 16, 2013, the Second Amendment to the Credit Agreement, dated as of May 7, 2014, the Third Amendment to the Credit Agreement, dated as of July 13, 2016, the Fourth Amendment to the Credit Agreement, dated as of February 6, 2017, and the Fifth Amendment to the Credit Agreement, dated as of March 7, 2018). The Sixth Amendment provided for a new delayed draw (the "Delayed Draw Facility") on the tranche A term loan ("Term Loan A") facility in the amount of up to $400.0 million and extended the maturity of the Term Loan A and the revolving credit facility (the "Revolving Credit Facility") to July 2023. Additionally, the Sixth Amendment reduced the interest rate spread applicable to the Term Loan A and the Revolving Credit Facility from a range of 1.50% to 2.25% to a range of 1.25% to 2.00% based on consolidated net total leverage. The interest rate applicable to the Term Loan B ("Term Loan B" and, together with Term Loan A, the "Term Loans") remained unchanged.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54" w:right="239" w:bottom="1440" w:gutter="0" w:footer="0" w:header="0"/>
        </w:sectPr>
      </w:pPr>
    </w:p>
    <w:bookmarkStart w:id="39" w:name="page40"/>
    <w:bookmarkEnd w:id="39"/>
    <w:p>
      <w:pPr>
        <w:ind w:right="80" w:firstLine="405"/>
        <w:spacing w:after="0" w:line="257" w:lineRule="auto"/>
        <w:rPr>
          <w:sz w:val="20"/>
          <w:szCs w:val="20"/>
          <w:color w:val="auto"/>
        </w:rPr>
      </w:pPr>
      <w:r>
        <w:rPr>
          <w:rFonts w:ascii="Arial" w:cs="Arial" w:eastAsia="Arial" w:hAnsi="Arial"/>
          <w:sz w:val="18"/>
          <w:szCs w:val="18"/>
          <w:color w:val="auto"/>
        </w:rPr>
        <w:t>Prior to the Sixth Amendment, approximately $1,079.5 million was outstanding under Term Loan A. Pursuant to the Sixth Amendment, certain lenders converted their existing Term Loan A loans into a new tranche of Term Loan A loans in an aggregate amount, along with Term Loan A loans advanced by certain new lenders, of approximately, $1,479.5 million, $400.0 million of which was available as the Delayed Draw Facility. On April 23, 2019, Booz Allen Hamilton drew down $400 million of the Delayed Draw Facility, the proceeds of which are expected to be used for general corporate purposes and other purposes not prohibited by the Credit Agreement.</w:t>
      </w:r>
    </w:p>
    <w:p>
      <w:pPr>
        <w:spacing w:after="0" w:line="80"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Prior to the Sixth Amendment, $500.0 million was available under the Revolving Credit Facility. Pursuant to the Sixth Amendment, certain lenders under the Credit Agreement converted their existing revolving commitments into a new tranche of revolving commitments (the "New Revolving Commitments" and the revolving credit loans made thereunder, the "New Revolving Loans") in an aggregate amount, along with the New Revolving Commitments of certain new lenders, of $500.0 million.</w:t>
      </w:r>
    </w:p>
    <w:p>
      <w:pPr>
        <w:spacing w:after="0" w:line="7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As of June 30, 2019, the Credit Agreement provided Booz Allen Hamilton with a $1,419.2 million Term Loan A, a $390.1 million Term Loan B, and $500.0 million in New Revolving Commitments with a sub-limit for letters of credit of $100.0 million. As of June 30, 2019, the maturity date of Term Loan A and the termination date for the Revolving Credit Facility was July 23, 2023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151"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100" w:firstLine="8"/>
        <w:spacing w:after="0" w:line="252"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2.00% for LIBOR loans and 1.00% for base rate loans. Unused commitments under the Revolving Credit Facility are subject to a quarterly fee ranging from 0.20% to 0.35% based on Booz Allen Hamilton’s consolidated total net leverage ratio.</w:t>
      </w:r>
    </w:p>
    <w:p>
      <w:pPr>
        <w:spacing w:after="0" w:line="16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Booz Allen Hamilton occasionally borrows under our Revolving Credit Facility in anticipation of cash demands. During the first quarter of fiscal 2020, Booz Allen Hamilton accessed no amounts of its $500.0 million Revolving Credit Facility. During the first quarter of fiscal 2019, Booz Allen Hamilton accessed a total of $60.0 million of it $500.0 million Revolving Credit Facility. As of June 30, 2019 and March 31, 2019, there were no amounts outstanding under the Revolving Credit Facility.</w:t>
      </w:r>
    </w:p>
    <w:p>
      <w:pPr>
        <w:spacing w:after="0" w:line="7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143"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Booz Allen Hamilton also has agreed to pay customary letter of credit and agency fees. As of June 30, 2019 and March 31, 2019, Booz Allen Hamilton was contingently liable under open standby letters of credit and bank guarantees issued by its banks in favor of third parties that totaled $8.9 million and $9.5 million, respectively. These letters of credit and bank guarantees primarily support insurance and bid and performance obligations. At June 30, 2019 and March 31, 2019, approximately $0.9 million and $1.0 million, respectively, of these instruments reduced the available borrowings under the Revolving Credit Facility. The remainder is guaranteed under a separate $15.0 million facility established in fiscal 2015 of which $7.0 million and $6.5 million, respectively, was available to Booz Allen Hamilton at June 30, 2019 and March 31, 2019. As of June 30, 2019, Booz Allen Hamilton had $499.0 million of capacity available for additional borrowings under the Revolving Credit Facility.</w:t>
      </w:r>
    </w:p>
    <w:p>
      <w:pPr>
        <w:spacing w:after="0" w:line="70"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ind w:right="360" w:firstLine="8"/>
        <w:spacing w:after="0" w:line="261" w:lineRule="auto"/>
        <w:tabs>
          <w:tab w:leader="none" w:pos="3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transactions with affiliates; (vii) change in fiscal periods; (viii) negative pledges; (ix) restrictive agreements; (x) line of business; and (xi) speculative hedging. The events of default include the following, in each case subject to certain exceptions: (a) failure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854" w:right="259" w:bottom="1440" w:gutter="0" w:footer="0" w:header="0"/>
        </w:sectPr>
      </w:pPr>
    </w:p>
    <w:bookmarkStart w:id="40" w:name="page41"/>
    <w:bookmarkEnd w:id="40"/>
    <w:p>
      <w:pPr>
        <w:spacing w:after="0" w:line="273" w:lineRule="auto"/>
        <w:rPr>
          <w:sz w:val="20"/>
          <w:szCs w:val="20"/>
          <w:color w:val="auto"/>
        </w:rPr>
      </w:pPr>
      <w:r>
        <w:rPr>
          <w:rFonts w:ascii="Arial" w:cs="Arial" w:eastAsia="Arial" w:hAnsi="Arial"/>
          <w:sz w:val="17"/>
          <w:szCs w:val="17"/>
          <w:color w:val="auto"/>
        </w:rPr>
        <w:t>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we are required to meet certain financial covenants at each quarter end, namely Consolidated Net Total Leverage and Consolidated Net Interest Coverage Ratios. As of June 30, 2019 and March 31, 2019, we were compliant with these covenants.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first quarter of fiscal 2020, interest payments of $13.3 million and $4.4 million were made for Term Loan A and Term Loan B,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2019, interest payments of $11.0 million and $4.0 million were made for Term Loan A and Term Loan B,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On April 25, 2017, Booz Allen Hamilton issued $350 million aggregate principal amount of its 5.125% Senior Notes due 2025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During each of the first quarters of fiscal 2020 and 2019, interest payments of $9.0 million were made for the Senior Notes.</w:t>
      </w:r>
    </w:p>
    <w:p>
      <w:pPr>
        <w:spacing w:after="0" w:line="188"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Borrowings under the Term Loans and, if used, the Revolving Credit Facility, incur interest at a variable rate. In accordance with our risk management strategy, between April 6, 2017 and April 4, 2019, Booz Allen Hamilton executed a series of interest rate swaps. As of June 30, 2019, Booz Allen Hamilton had interest rate swaps with an aggregate notional amount of $1 billion. These instruments hedge the variability of cash outflows for interest payments on the floating portion of our debt. The Company's objectives in using cash flow hedges are to reduce volatility due to interest rate movements and to add stability to interest expense (See Note 9 in our condensed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right="440" w:firstLine="405"/>
        <w:spacing w:after="0" w:line="302" w:lineRule="auto"/>
        <w:rPr>
          <w:sz w:val="20"/>
          <w:szCs w:val="20"/>
          <w:color w:val="auto"/>
        </w:rPr>
      </w:pPr>
      <w:r>
        <w:rPr>
          <w:rFonts w:ascii="Arial" w:cs="Arial" w:eastAsia="Arial" w:hAnsi="Arial"/>
          <w:sz w:val="16"/>
          <w:szCs w:val="16"/>
          <w:color w:val="auto"/>
        </w:rPr>
        <w:t>Our stockholders’ equity amounted to $748.8 million as of June 30, 2019, an increase of $73.5 million compared to stockholders’ equity of $675.4 million as of March 31, 2019. The increase was primarily due to net income of $117.4 million in the three months ended June 30, 2019, stock-based compensation expense of $6.4 million, and stock option exercises of $2.2 million, partially offset by $8.3 million in treasury stock resulting from the repurchase of shares of our Class A Common Stock and $32.4 million in quarterly dividend payments during the three months ended June 30, 2019.</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2019, we did not have any material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three months ended June 30, 2019 and 2018 were $27.3 million and $20.5 million, respectively. The increase in capital expenditures over the prior year primarily relates to investments in our facilities and infrastructure, and information technology. We expect capital expenditures for fiscal 2020 to increase from fiscal 2019 as a result of continuing investments in these areas.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55" w:right="239" w:bottom="1440" w:gutter="0" w:footer="0" w:header="0"/>
        </w:sectPr>
      </w:pPr>
    </w:p>
    <w:bookmarkStart w:id="41" w:name="page42"/>
    <w:bookmarkEnd w:id="41"/>
    <w:p>
      <w:pPr>
        <w:jc w:val="both"/>
        <w:ind w:left="328" w:right="160" w:hanging="328"/>
        <w:spacing w:after="0" w:line="264"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efforts by Congress and other U.S. government bodies to reduce U.S. government spending and address budgetary constraints, including automatic sequestration required by the Budget Control Act of 2011 (as subsequently amended) and the U.S. deficit, as well as associated uncertainty around the timing, extent, nature and effect of such efforts;</w:t>
      </w:r>
    </w:p>
    <w:p>
      <w:pPr>
        <w:spacing w:after="0" w:line="73" w:lineRule="exact"/>
        <w:rPr>
          <w:rFonts w:ascii="Arial" w:cs="Arial" w:eastAsia="Arial" w:hAnsi="Arial"/>
          <w:sz w:val="18"/>
          <w:szCs w:val="18"/>
          <w:color w:val="auto"/>
        </w:rPr>
      </w:pPr>
    </w:p>
    <w:p>
      <w:pPr>
        <w:ind w:left="328" w:right="320" w:hanging="328"/>
        <w:spacing w:after="0" w:line="259"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delayed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 (including those resulting from or related to cuts associated with sequestration);</w:t>
      </w:r>
    </w:p>
    <w:p>
      <w:pPr>
        <w:spacing w:after="0" w:line="78" w:lineRule="exact"/>
        <w:rPr>
          <w:rFonts w:ascii="Arial" w:cs="Arial" w:eastAsia="Arial" w:hAnsi="Arial"/>
          <w:sz w:val="18"/>
          <w:szCs w:val="18"/>
          <w:color w:val="auto"/>
        </w:rPr>
      </w:pPr>
    </w:p>
    <w:p>
      <w:pPr>
        <w:ind w:left="328" w:right="64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62" w:lineRule="exact"/>
        <w:rPr>
          <w:rFonts w:ascii="Arial" w:cs="Arial" w:eastAsia="Arial" w:hAnsi="Arial"/>
          <w:sz w:val="18"/>
          <w:szCs w:val="18"/>
          <w:color w:val="auto"/>
        </w:rPr>
      </w:pPr>
    </w:p>
    <w:p>
      <w:pPr>
        <w:ind w:left="328" w:right="360" w:hanging="328"/>
        <w:spacing w:after="0" w:line="308"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spacing w:after="0" w:line="38" w:lineRule="exact"/>
        <w:rPr>
          <w:rFonts w:ascii="Arial" w:cs="Arial" w:eastAsia="Arial" w:hAnsi="Arial"/>
          <w:sz w:val="17"/>
          <w:szCs w:val="17"/>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government shutdowns, as a result of the failure by elected officials to fund the government;</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117" w:lineRule="exact"/>
        <w:rPr>
          <w:rFonts w:ascii="Arial" w:cs="Arial" w:eastAsia="Arial" w:hAnsi="Arial"/>
          <w:sz w:val="18"/>
          <w:szCs w:val="18"/>
          <w:color w:val="auto"/>
        </w:rPr>
      </w:pPr>
    </w:p>
    <w:p>
      <w:pPr>
        <w:ind w:left="328" w:right="240" w:hanging="328"/>
        <w:spacing w:after="0" w:line="308"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38" w:lineRule="exact"/>
        <w:rPr>
          <w:rFonts w:ascii="Arial" w:cs="Arial" w:eastAsia="Arial" w:hAnsi="Arial"/>
          <w:sz w:val="17"/>
          <w:szCs w:val="17"/>
          <w:color w:val="auto"/>
        </w:rPr>
      </w:pPr>
    </w:p>
    <w:p>
      <w:pPr>
        <w:ind w:left="328" w:right="2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62" w:lineRule="exact"/>
        <w:rPr>
          <w:rFonts w:ascii="Arial" w:cs="Arial" w:eastAsia="Arial" w:hAnsi="Arial"/>
          <w:sz w:val="18"/>
          <w:szCs w:val="18"/>
          <w:color w:val="auto"/>
        </w:rPr>
      </w:pPr>
    </w:p>
    <w:p>
      <w:pPr>
        <w:ind w:left="328" w:right="84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128" w:lineRule="exact"/>
        <w:rPr>
          <w:rFonts w:ascii="Arial" w:cs="Arial" w:eastAsia="Arial" w:hAnsi="Arial"/>
          <w:sz w:val="17"/>
          <w:szCs w:val="17"/>
          <w:color w:val="auto"/>
        </w:rPr>
      </w:pPr>
    </w:p>
    <w:p>
      <w:pPr>
        <w:ind w:left="328" w:right="40" w:hanging="328"/>
        <w:spacing w:after="0" w:line="264"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costs and other expenses or otherwise limit such reimbursements, and an increased risk of compensation being deemed unallowable or payments being withheld as a result of U.S. government audit, review, or investigation;</w:t>
      </w:r>
    </w:p>
    <w:p>
      <w:pPr>
        <w:spacing w:after="0" w:line="73" w:lineRule="exact"/>
        <w:rPr>
          <w:rFonts w:ascii="Arial" w:cs="Arial" w:eastAsia="Arial" w:hAnsi="Arial"/>
          <w:sz w:val="18"/>
          <w:szCs w:val="18"/>
          <w:color w:val="auto"/>
        </w:rPr>
      </w:pPr>
    </w:p>
    <w:p>
      <w:pPr>
        <w:ind w:left="328" w:right="38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realize the full value of and replenish our backlog, generate revenue under certain of our contracts, and the timing of our receipt of revenue under contracts included in backlog;</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and experience;</w:t>
      </w:r>
    </w:p>
    <w:p>
      <w:pPr>
        <w:spacing w:after="0" w:line="117"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timely hire, assimilate and effectively utilize our employees, ensure that employees obtain and maintain necessary security clearances and/or effectively manage our cost structure;</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117" w:lineRule="exact"/>
        <w:rPr>
          <w:rFonts w:ascii="Arial" w:cs="Arial" w:eastAsia="Arial" w:hAnsi="Arial"/>
          <w:sz w:val="18"/>
          <w:szCs w:val="18"/>
          <w:color w:val="auto"/>
        </w:rPr>
      </w:pPr>
    </w:p>
    <w:p>
      <w:pPr>
        <w:ind w:left="328" w:right="46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62"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117" w:lineRule="exact"/>
        <w:rPr>
          <w:rFonts w:ascii="Arial" w:cs="Arial" w:eastAsia="Arial" w:hAnsi="Arial"/>
          <w:sz w:val="18"/>
          <w:szCs w:val="18"/>
          <w:color w:val="auto"/>
        </w:rPr>
      </w:pPr>
    </w:p>
    <w:p>
      <w:pPr>
        <w:ind w:left="328" w:right="68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62"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3"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or internal cyber attacks on our network and internal systems;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the potential implementation and operation of new financial management systems;</w:t>
      </w:r>
    </w:p>
    <w:p>
      <w:pPr>
        <w:spacing w:after="0" w:line="25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8"/>
          </w:cols>
          <w:pgMar w:left="572" w:top="854" w:right="259" w:bottom="1440" w:gutter="0" w:footer="0" w:header="0"/>
        </w:sectPr>
      </w:pPr>
    </w:p>
    <w:bookmarkStart w:id="42" w:name="page43"/>
    <w:bookmarkEnd w:id="42"/>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inherent in the government contracting environment;</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for any reason, including as a result of a change in laws or regulations;</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Quarterly Report.</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2019 filed with the Securities and Exchange Commission on May 28, 2019.</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854" w:right="2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2019 and March 31, 2019, there were no material amounts accrued in the condensed consolidated financial statements related to these proceedings.</w:t>
      </w:r>
    </w:p>
    <w:p>
      <w:pPr>
        <w:spacing w:after="0" w:line="153"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Exchange Act. On June 2, 2019, the United States District Court for the Southern District of New York granted defendants' motion to dismiss the amended complaint in its entirety. On July 11, 2019, the plaintiff filed a notice to appeal the ruling.</w:t>
      </w:r>
    </w:p>
    <w:p>
      <w:pPr>
        <w:spacing w:after="0" w:line="36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As of June 30, 2019, the aggregate alleged damages that will be sought in the remaining suit is unknown. As of June 30, 2019,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154"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4" w:name="page45"/>
    <w:bookmarkEnd w:id="44"/>
    <w:p>
      <w:pPr>
        <w:spacing w:after="0" w:line="264" w:lineRule="auto"/>
        <w:rPr>
          <w:sz w:val="20"/>
          <w:szCs w:val="20"/>
          <w:color w:val="auto"/>
        </w:rPr>
      </w:pPr>
      <w:r>
        <w:rPr>
          <w:rFonts w:ascii="Arial" w:cs="Arial" w:eastAsia="Arial" w:hAnsi="Arial"/>
          <w:sz w:val="18"/>
          <w:szCs w:val="18"/>
          <w:color w:val="auto"/>
        </w:rPr>
        <w:t>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3" w:lineRule="exact"/>
        <w:rPr>
          <w:sz w:val="20"/>
          <w:szCs w:val="20"/>
          <w:color w:val="auto"/>
        </w:rPr>
      </w:pPr>
    </w:p>
    <w:p>
      <w:pPr>
        <w:ind w:right="20" w:firstLine="392"/>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80" w:firstLine="39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2019 filed with the Securities and Exchange Commission on May 28, 2019.</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share repurchase activity during the three months ended June 30, 2019:</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6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ind w:left="680"/>
              <w:spacing w:after="0"/>
              <w:rPr>
                <w:sz w:val="20"/>
                <w:szCs w:val="20"/>
                <w:color w:val="auto"/>
              </w:rPr>
            </w:pPr>
            <w:r>
              <w:rPr>
                <w:rFonts w:ascii="Arial" w:cs="Arial" w:eastAsia="Arial" w:hAnsi="Arial"/>
                <w:sz w:val="16"/>
                <w:szCs w:val="16"/>
                <w:b w:val="1"/>
                <w:bCs w:val="1"/>
                <w:color w:val="auto"/>
              </w:rPr>
              <w:t>(1)</w:t>
            </w:r>
          </w:p>
        </w:tc>
      </w:tr>
      <w:tr>
        <w:trPr>
          <w:trHeight w:val="33"/>
        </w:trPr>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2019</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658,174,390</w:t>
            </w: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May 2019</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680"/>
              <w:spacing w:after="0"/>
              <w:rPr>
                <w:sz w:val="20"/>
                <w:szCs w:val="20"/>
                <w:color w:val="auto"/>
              </w:rPr>
            </w:pPr>
            <w:r>
              <w:rPr>
                <w:rFonts w:ascii="Arial" w:cs="Arial" w:eastAsia="Arial" w:hAnsi="Arial"/>
                <w:sz w:val="18"/>
                <w:szCs w:val="18"/>
                <w:color w:val="auto"/>
                <w:w w:val="97"/>
              </w:rPr>
              <w:t>658,174,390</w:t>
            </w: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2019</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92,528</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$63.34</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92,528</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652,314,007</w:t>
            </w:r>
          </w:p>
        </w:tc>
      </w:tr>
      <w:tr>
        <w:trPr>
          <w:trHeight w:val="257"/>
        </w:trPr>
        <w:tc>
          <w:tcPr>
            <w:tcW w:w="3760" w:type="dxa"/>
            <w:vAlign w:val="bottom"/>
            <w:gridSpan w:val="2"/>
          </w:tcPr>
          <w:p>
            <w:pPr>
              <w:ind w:left="326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92,528</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92,528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line="276"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December 12, 2011, the Board of Directors approved a $30.0 million share repurchase program, which was further increased by the Board of Directors on (i) January 27, 2015 to $180.0 million, (ii) January 25, 2017 to $410.0 million, (iii) November 2, 2017 to $610.0 million, (iv) May 24, 2018 to $910.0 million, and (v) May 23, 2019 to $1,310.0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200" w:lineRule="exact"/>
        <w:rPr>
          <w:sz w:val="20"/>
          <w:szCs w:val="20"/>
          <w:color w:val="auto"/>
        </w:rPr>
      </w:pPr>
    </w:p>
    <w:p>
      <w:pPr>
        <w:spacing w:after="0" w:line="3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54" w:right="259" w:bottom="1440" w:gutter="0" w:footer="0" w:header="0"/>
        </w:sectPr>
      </w:pPr>
    </w:p>
    <w:bookmarkStart w:id="45" w:name="page46"/>
    <w:bookmarkEnd w:id="45"/>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850"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17"/>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280" w:type="dxa"/>
            <w:vAlign w:val="bottom"/>
            <w:gridSpan w:val="17"/>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320" w:type="dxa"/>
            <w:vAlign w:val="bottom"/>
          </w:tcPr>
          <w:p>
            <w:pPr>
              <w:spacing w:after="0"/>
              <w:rPr>
                <w:sz w:val="11"/>
                <w:szCs w:val="11"/>
                <w:color w:val="auto"/>
              </w:rPr>
            </w:pPr>
          </w:p>
        </w:tc>
        <w:tc>
          <w:tcPr>
            <w:tcW w:w="10280" w:type="dxa"/>
            <w:vAlign w:val="bottom"/>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10.1</w:t>
            </w:r>
          </w:p>
        </w:tc>
        <w:tc>
          <w:tcPr>
            <w:tcW w:w="320" w:type="dxa"/>
            <w:vAlign w:val="bottom"/>
          </w:tcPr>
          <w:p>
            <w:pPr>
              <w:spacing w:after="0"/>
              <w:rPr>
                <w:sz w:val="24"/>
                <w:szCs w:val="24"/>
                <w:color w:val="auto"/>
              </w:rPr>
            </w:pPr>
          </w:p>
        </w:tc>
        <w:tc>
          <w:tcPr>
            <w:tcW w:w="9840" w:type="dxa"/>
            <w:vAlign w:val="bottom"/>
            <w:tcBorders>
              <w:bottom w:val="single" w:sz="8" w:color="0000FF"/>
            </w:tcBorders>
            <w:gridSpan w:val="14"/>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Confirmation of transaction, by and between Booz Allen Hamilton Inc. and Capital One, National Association, dated as of April 4, 2019</w:t>
              </w:r>
            </w:hyperlink>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6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(incorporated by reference to Exhibit 10.7 of the Company’s Current Report on Form 8-K filed April 8, 2019).</w:t>
              </w:r>
            </w:hyperlink>
          </w:p>
        </w:tc>
        <w:tc>
          <w:tcPr>
            <w:tcW w:w="2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10.2</w:t>
            </w:r>
          </w:p>
        </w:tc>
        <w:tc>
          <w:tcPr>
            <w:tcW w:w="320" w:type="dxa"/>
            <w:vAlign w:val="bottom"/>
          </w:tcPr>
          <w:p>
            <w:pPr>
              <w:spacing w:after="0"/>
              <w:rPr>
                <w:sz w:val="24"/>
                <w:szCs w:val="24"/>
                <w:color w:val="auto"/>
              </w:rPr>
            </w:pPr>
          </w:p>
        </w:tc>
        <w:tc>
          <w:tcPr>
            <w:tcW w:w="9820" w:type="dxa"/>
            <w:vAlign w:val="bottom"/>
            <w:tcBorders>
              <w:bottom w:val="single" w:sz="8" w:color="0000FF"/>
            </w:tcBorders>
            <w:gridSpan w:val="13"/>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Confirmation of transaction, by and between Booz Allen Hamilton Inc. and Fifth Third Bank, dated as of April 2, 2019 (incorporated by</w:t>
              </w:r>
            </w:hyperlink>
          </w:p>
        </w:tc>
        <w:tc>
          <w:tcPr>
            <w:tcW w:w="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2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reference to Exhibit 10.8 of the Company’s Current Report on Form 8-K filed April 8, 2019).</w:t>
              </w:r>
            </w:hyperlink>
          </w:p>
        </w:tc>
        <w:tc>
          <w:tcPr>
            <w:tcW w:w="3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10.3</w:t>
            </w:r>
          </w:p>
        </w:tc>
        <w:tc>
          <w:tcPr>
            <w:tcW w:w="320" w:type="dxa"/>
            <w:vAlign w:val="bottom"/>
          </w:tcPr>
          <w:p>
            <w:pPr>
              <w:spacing w:after="0"/>
              <w:rPr>
                <w:sz w:val="24"/>
                <w:szCs w:val="24"/>
                <w:color w:val="auto"/>
              </w:rPr>
            </w:pPr>
          </w:p>
        </w:tc>
        <w:tc>
          <w:tcPr>
            <w:tcW w:w="9840" w:type="dxa"/>
            <w:vAlign w:val="bottom"/>
            <w:tcBorders>
              <w:bottom w:val="single" w:sz="8" w:color="0000FF"/>
            </w:tcBorders>
            <w:gridSpan w:val="14"/>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Confirmation of transaction, by and between Booz Allen Hamilton Inc. and Capital One, National Association, dated as of April 4, 2019</w:t>
              </w:r>
            </w:hyperlink>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6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(incorporated by reference to Exhibit 10.9 of the Company’s Current Report on Form 8-K filed April 8, 2019).</w:t>
              </w:r>
            </w:hyperlink>
          </w:p>
        </w:tc>
        <w:tc>
          <w:tcPr>
            <w:tcW w:w="2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10.4</w:t>
            </w:r>
          </w:p>
        </w:tc>
        <w:tc>
          <w:tcPr>
            <w:tcW w:w="320" w:type="dxa"/>
            <w:vAlign w:val="bottom"/>
          </w:tcPr>
          <w:p>
            <w:pPr>
              <w:spacing w:after="0"/>
              <w:rPr>
                <w:sz w:val="24"/>
                <w:szCs w:val="24"/>
                <w:color w:val="auto"/>
              </w:rPr>
            </w:pPr>
          </w:p>
        </w:tc>
        <w:tc>
          <w:tcPr>
            <w:tcW w:w="9740" w:type="dxa"/>
            <w:vAlign w:val="bottom"/>
            <w:tcBorders>
              <w:bottom w:val="single" w:sz="8" w:color="0000FF"/>
            </w:tcBorders>
            <w:gridSpan w:val="12"/>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Confirmation of transaction, by and between Booz Allen Hamilton Inc. and PNC Bank, National Association, dated as of April 2, 2019</w:t>
              </w:r>
            </w:hyperlink>
          </w:p>
        </w:tc>
        <w:tc>
          <w:tcPr>
            <w:tcW w:w="5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80" w:type="dxa"/>
            <w:vAlign w:val="bottom"/>
            <w:gridSpan w:val="17"/>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(incorporated by reference to Exhibit 10.10 of the Company’s Current Report on Form 8-K filed April 8, 2019).</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10.5</w:t>
            </w:r>
          </w:p>
        </w:tc>
        <w:tc>
          <w:tcPr>
            <w:tcW w:w="32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color w:val="0000FF"/>
              </w:rPr>
            </w:pPr>
            <w:hyperlink r:id="rId33">
              <w:r>
                <w:rPr>
                  <w:rFonts w:ascii="Arial" w:cs="Arial" w:eastAsia="Arial" w:hAnsi="Arial"/>
                  <w:sz w:val="18"/>
                  <w:szCs w:val="18"/>
                  <w:color w:val="0000FF"/>
                </w:rPr>
                <w:t>Confirmation of transaction, by and between Booz Allen Hamilton Inc. and SMBC Capital Markets, Inc., dated as of April 2, 2019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(incorporated by reference to Exhibit 10.11 of the Company’s Current Report on Form 8-K filed April 8, 2019).</w:t>
              </w:r>
            </w:hyperlink>
          </w:p>
        </w:tc>
        <w:tc>
          <w:tcPr>
            <w:tcW w:w="1380" w:type="dxa"/>
            <w:vAlign w:val="bottom"/>
            <w:tcBorders>
              <w:top w:val="single" w:sz="8" w:color="0000FF"/>
            </w:tcBorders>
          </w:tcPr>
          <w:p>
            <w:pPr>
              <w:spacing w:after="0"/>
              <w:rPr>
                <w:sz w:val="17"/>
                <w:szCs w:val="17"/>
                <w:color w:val="auto"/>
              </w:rPr>
            </w:pPr>
          </w:p>
        </w:tc>
        <w:tc>
          <w:tcPr>
            <w:tcW w:w="8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10.6</w:t>
            </w:r>
          </w:p>
        </w:tc>
        <w:tc>
          <w:tcPr>
            <w:tcW w:w="320" w:type="dxa"/>
            <w:vAlign w:val="bottom"/>
          </w:tcPr>
          <w:p>
            <w:pPr>
              <w:spacing w:after="0"/>
              <w:rPr>
                <w:sz w:val="24"/>
                <w:szCs w:val="24"/>
                <w:color w:val="auto"/>
              </w:rPr>
            </w:pPr>
          </w:p>
        </w:tc>
        <w:tc>
          <w:tcPr>
            <w:tcW w:w="10280" w:type="dxa"/>
            <w:vAlign w:val="bottom"/>
            <w:tcBorders>
              <w:bottom w:val="single" w:sz="8" w:color="0000FF"/>
            </w:tcBorders>
            <w:gridSpan w:val="17"/>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Confirmation of transaction, by and between Booz Allen Hamilton Inc. and Bank of America, N.A., dated as of April 3, 2019 (incorporated by</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2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reference to Exhibit 10.12 of the Company’s Current Report on Form 8-K filed April 8, 2019).</w:t>
              </w:r>
            </w:hyperlink>
          </w:p>
        </w:tc>
        <w:tc>
          <w:tcPr>
            <w:tcW w:w="3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10.7</w:t>
            </w:r>
          </w:p>
        </w:tc>
        <w:tc>
          <w:tcPr>
            <w:tcW w:w="32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color w:val="0000FF"/>
                <w:w w:val="97"/>
              </w:rPr>
            </w:pPr>
            <w:hyperlink r:id="rId35">
              <w:r>
                <w:rPr>
                  <w:rFonts w:ascii="Arial" w:cs="Arial" w:eastAsia="Arial" w:hAnsi="Arial"/>
                  <w:sz w:val="18"/>
                  <w:szCs w:val="18"/>
                  <w:color w:val="0000FF"/>
                  <w:w w:val="97"/>
                </w:rPr>
                <w:t>Confirmation of transaction, by and between Booz Allen Hamilton Inc. and U.S. Bank National Association, dated as of April 2, 2019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(incorporated by reference to Exhibit 10.13 of the Company’s Current Report on Form 8-K filed April 8, 2019).</w:t>
              </w:r>
            </w:hyperlink>
          </w:p>
        </w:tc>
        <w:tc>
          <w:tcPr>
            <w:tcW w:w="6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10.8</w:t>
            </w:r>
          </w:p>
        </w:tc>
        <w:tc>
          <w:tcPr>
            <w:tcW w:w="320" w:type="dxa"/>
            <w:vAlign w:val="bottom"/>
          </w:tcPr>
          <w:p>
            <w:pPr>
              <w:spacing w:after="0"/>
              <w:rPr>
                <w:sz w:val="24"/>
                <w:szCs w:val="24"/>
                <w:color w:val="auto"/>
              </w:rPr>
            </w:pPr>
          </w:p>
        </w:tc>
        <w:tc>
          <w:tcPr>
            <w:tcW w:w="9820" w:type="dxa"/>
            <w:vAlign w:val="bottom"/>
            <w:tcBorders>
              <w:bottom w:val="single" w:sz="8" w:color="0000FF"/>
            </w:tcBorders>
            <w:gridSpan w:val="13"/>
          </w:tcPr>
          <w:p>
            <w:pPr>
              <w:spacing w:after="0"/>
              <w:rPr>
                <w:rFonts w:ascii="Arial" w:cs="Arial" w:eastAsia="Arial" w:hAnsi="Arial"/>
                <w:sz w:val="18"/>
                <w:szCs w:val="18"/>
                <w:color w:val="0000FF"/>
                <w:w w:val="92"/>
              </w:rPr>
            </w:pPr>
            <w:hyperlink r:id="rId36">
              <w:r>
                <w:rPr>
                  <w:rFonts w:ascii="Arial" w:cs="Arial" w:eastAsia="Arial" w:hAnsi="Arial"/>
                  <w:sz w:val="18"/>
                  <w:szCs w:val="18"/>
                  <w:color w:val="0000FF"/>
                  <w:w w:val="92"/>
                </w:rPr>
                <w:t>Confirmation of transaction, by and between Booz Allen Hamilton Inc. and Fifth Third Bank, dated as of April 2, 2019 (incorporated by</w:t>
              </w:r>
            </w:hyperlink>
          </w:p>
        </w:tc>
        <w:tc>
          <w:tcPr>
            <w:tcW w:w="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80" w:type="dxa"/>
            <w:vAlign w:val="bottom"/>
            <w:gridSpan w:val="17"/>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reference to Exhibit 10.14 of the Company’s Current Report on Form 8-K filed April 8, 2019).</w:t>
              </w:r>
            </w:hyperlink>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31.1</w:t>
            </w:r>
          </w:p>
        </w:tc>
        <w:tc>
          <w:tcPr>
            <w:tcW w:w="320" w:type="dxa"/>
            <w:vAlign w:val="bottom"/>
          </w:tcPr>
          <w:p>
            <w:pPr>
              <w:spacing w:after="0"/>
              <w:rPr>
                <w:sz w:val="24"/>
                <w:szCs w:val="24"/>
                <w:color w:val="auto"/>
              </w:rPr>
            </w:pPr>
          </w:p>
        </w:tc>
        <w:tc>
          <w:tcPr>
            <w:tcW w:w="51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3"/>
              </w:rPr>
            </w:pPr>
            <w:hyperlink w:anchor="page49">
              <w:r>
                <w:rPr>
                  <w:rFonts w:ascii="Arial" w:cs="Arial" w:eastAsia="Arial" w:hAnsi="Arial"/>
                  <w:sz w:val="18"/>
                  <w:szCs w:val="18"/>
                  <w:color w:val="0000FF"/>
                  <w:w w:val="93"/>
                </w:rPr>
                <w:t>Rule 13a-14(a)/15d-14(a) Certification of the Chief Executive Officer*</w:t>
              </w:r>
            </w:hyperlink>
          </w:p>
        </w:tc>
        <w:tc>
          <w:tcPr>
            <w:tcW w:w="1680" w:type="dxa"/>
            <w:vAlign w:val="bottom"/>
            <w:tcBorders>
              <w:top w:val="single" w:sz="8" w:color="0000FF"/>
            </w:tcBorders>
            <w:gridSpan w:val="2"/>
          </w:tcPr>
          <w:p>
            <w:pPr>
              <w:spacing w:after="0"/>
              <w:rPr>
                <w:sz w:val="24"/>
                <w:szCs w:val="24"/>
                <w:color w:val="auto"/>
              </w:rPr>
            </w:pPr>
          </w:p>
        </w:tc>
        <w:tc>
          <w:tcPr>
            <w:tcW w:w="3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31.2</w:t>
            </w:r>
          </w:p>
        </w:tc>
        <w:tc>
          <w:tcPr>
            <w:tcW w:w="32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96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32.1</w:t>
            </w:r>
          </w:p>
        </w:tc>
        <w:tc>
          <w:tcPr>
            <w:tcW w:w="320" w:type="dxa"/>
            <w:vAlign w:val="bottom"/>
          </w:tcPr>
          <w:p>
            <w:pPr>
              <w:spacing w:after="0"/>
              <w:rPr>
                <w:sz w:val="24"/>
                <w:szCs w:val="24"/>
                <w:color w:val="auto"/>
              </w:rPr>
            </w:pPr>
          </w:p>
        </w:tc>
        <w:tc>
          <w:tcPr>
            <w:tcW w:w="1008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Certification of the Chief Executive Officer required by Rule 13a-14(b) or Rule 15d-14(b) and Section 1350 of Chapter 63 of Title 18 of the</w:t>
              </w:r>
            </w:hyperlink>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United States Code (18 U.S.C. 1350)*</w:t>
              </w:r>
            </w:hyperlink>
          </w:p>
        </w:tc>
        <w:tc>
          <w:tcPr>
            <w:tcW w:w="7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32.2</w:t>
            </w:r>
          </w:p>
        </w:tc>
        <w:tc>
          <w:tcPr>
            <w:tcW w:w="32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color w:val="0000FF"/>
                <w:w w:val="94"/>
              </w:rPr>
            </w:pPr>
            <w:hyperlink w:anchor="page52">
              <w:r>
                <w:rPr>
                  <w:rFonts w:ascii="Arial" w:cs="Arial" w:eastAsia="Arial" w:hAnsi="Arial"/>
                  <w:sz w:val="18"/>
                  <w:szCs w:val="18"/>
                  <w:color w:val="0000FF"/>
                  <w:w w:val="94"/>
                </w:rPr>
                <w:t>Certification of the Chief Financial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United States Code (18 U.S.C. 1350)*</w:t>
              </w:r>
            </w:hyperlink>
          </w:p>
        </w:tc>
        <w:tc>
          <w:tcPr>
            <w:tcW w:w="7260" w:type="dxa"/>
            <w:vAlign w:val="bottom"/>
            <w:tcBorders>
              <w:top w:val="single" w:sz="8" w:color="0000FF"/>
            </w:tcBorders>
            <w:gridSpan w:val="13"/>
          </w:tcPr>
          <w:p>
            <w:pPr>
              <w:spacing w:after="0"/>
              <w:rPr>
                <w:sz w:val="17"/>
                <w:szCs w:val="17"/>
                <w:color w:val="auto"/>
              </w:rPr>
            </w:pPr>
          </w:p>
        </w:tc>
        <w:tc>
          <w:tcPr>
            <w:tcW w:w="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60" w:hanging="925"/>
        <w:spacing w:after="0" w:line="288"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following materials from Booz Allen Hamilton Holding Corporation’s Quarterly Report on Form 10-Q for the three months ended June 30, 2019 formatted in Inline XBRL (eXtensible Business Reporting Language): (i) Condensed Consolidated Balance Sheets at June 30, 2019 and March 31, 2019; (ii) Condensed Consolidated Statements of Operations for the three months ended June 30, 2019 and 2018; (iii) Condensed Consolidated Statements of Comprehensive Income for the three months ended June 30, 2019 and 2018; (iv) Condensed Consolidated Statements of Cash Flows for the three months ended June 30, 2019 and 2018;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742" w:right="359" w:bottom="1440" w:gutter="0" w:footer="0" w:header="0"/>
        </w:sectPr>
      </w:pPr>
    </w:p>
    <w:bookmarkStart w:id="47" w:name="page48"/>
    <w:bookmarkEnd w:id="47"/>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40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July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60"/>
          </w:cols>
          <w:pgMar w:left="240" w:top="742" w:right="8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July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July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2019,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July 29, 2019</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2019,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July 29, 2019</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5"/>
    </w:lvl>
  </w:abstractNum>
  <w:abstractNum w:abstractNumId="6">
    <w:nsid w:val="4353D0CD"/>
    <w:multiLevelType w:val="hybridMultilevel"/>
    <w:lvl w:ilvl="0">
      <w:lvlJc w:val="left"/>
      <w:lvlText w:val="%1."/>
      <w:numFmt w:val="decimal"/>
      <w:start w:val="6"/>
    </w:lvl>
  </w:abstractNum>
  <w:abstractNum w:abstractNumId="7">
    <w:nsid w:val="B03E0C6"/>
    <w:multiLevelType w:val="hybridMultilevel"/>
    <w:lvl w:ilvl="0">
      <w:lvlJc w:val="left"/>
      <w:lvlText w:val="(%1)"/>
      <w:numFmt w:val="lowerLetter"/>
      <w:start w:val="25"/>
    </w:lvl>
  </w:abstractNum>
  <w:abstractNum w:abstractNumId="8">
    <w:nsid w:val="189A769B"/>
    <w:multiLevelType w:val="hybridMultilevel"/>
    <w:lvl w:ilvl="0">
      <w:lvlJc w:val="left"/>
      <w:lvlText w:val="(%1)"/>
      <w:numFmt w:val="lowerRoman"/>
      <w:start w:val="6"/>
    </w:lvl>
  </w:abstractNum>
  <w:abstractNum w:abstractNumId="9">
    <w:nsid w:val="54E49EB4"/>
    <w:multiLevelType w:val="hybridMultilevel"/>
    <w:lvl w:ilvl="0">
      <w:lvlJc w:val="left"/>
      <w:lvlText w:val="%1"/>
      <w:numFmt w:val="decimal"/>
      <w:start w:val="1"/>
    </w:lvl>
    <w:lvl w:ilvl="1">
      <w:lvlJc w:val="left"/>
      <w:lvlText w:val="(%2)"/>
      <w:numFmt w:val="decimal"/>
      <w:start w:val="1"/>
    </w:lvl>
  </w:abstractNum>
  <w:abstractNum w:abstractNumId="10">
    <w:nsid w:val="71F32454"/>
    <w:multiLevelType w:val="hybridMultilevel"/>
    <w:lvl w:ilvl="0">
      <w:lvlJc w:val="left"/>
      <w:lvlText w:val="%1."/>
      <w:numFmt w:val="decimal"/>
      <w:start w:val="9"/>
    </w:lvl>
    <w:lvl w:ilvl="1">
      <w:lvlJc w:val="left"/>
      <w:lvlText w:val="%2"/>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2"/>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lowerLetter"/>
      <w:start w:val="25"/>
    </w:lvl>
  </w:abstractNum>
  <w:abstractNum w:abstractNumId="28">
    <w:nsid w:val="3804823E"/>
    <w:multiLevelType w:val="hybridMultilevel"/>
    <w:lvl w:ilvl="0">
      <w:lvlJc w:val="left"/>
      <w:lvlText w:val="(%1)"/>
      <w:numFmt w:val="lowerRoman"/>
      <w:start w:val="6"/>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0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29" Type="http://schemas.openxmlformats.org/officeDocument/2006/relationships/hyperlink" Target="http://www.sec.gov/Archives/edgar/data/1443646/000119312519100694/d733342dex107.htm" TargetMode="External"/><Relationship Id="rId30" Type="http://schemas.openxmlformats.org/officeDocument/2006/relationships/hyperlink" Target="http://www.sec.gov/Archives/edgar/data/1443646/000119312519100694/d733342dex108.htm" TargetMode="External"/><Relationship Id="rId31" Type="http://schemas.openxmlformats.org/officeDocument/2006/relationships/hyperlink" Target="http://www.sec.gov/Archives/edgar/data/1443646/000119312519100694/d733342dex109.htm" TargetMode="External"/><Relationship Id="rId32" Type="http://schemas.openxmlformats.org/officeDocument/2006/relationships/hyperlink" Target="http://www.sec.gov/Archives/edgar/data/1443646/000119312519100694/d733342dex1010.htm" TargetMode="External"/><Relationship Id="rId33" Type="http://schemas.openxmlformats.org/officeDocument/2006/relationships/hyperlink" Target="http://www.sec.gov/Archives/edgar/data/1443646/000119312519100694/d733342dex1011.htm" TargetMode="External"/><Relationship Id="rId34" Type="http://schemas.openxmlformats.org/officeDocument/2006/relationships/hyperlink" Target="http://www.sec.gov/Archives/edgar/data/1443646/000119312519100694/d733342dex1012.htm" TargetMode="External"/><Relationship Id="rId35" Type="http://schemas.openxmlformats.org/officeDocument/2006/relationships/hyperlink" Target="http://www.sec.gov/Archives/edgar/data/1443646/000119312519100694/d733342dex1013.htm" TargetMode="External"/><Relationship Id="rId36" Type="http://schemas.openxmlformats.org/officeDocument/2006/relationships/hyperlink" Target="http://www.sec.gov/Archives/edgar/data/1443646/000119312519100694/d733342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2019-12-28T10:00:16Z</dcterms:created>
  <dcterms:modified xsi:type="dcterms:W3CDTF">2019-12-28T10:00:16Z</dcterms:modified>
</cp:coreProperties>
</file>