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306705</wp:posOffset>
            </wp:positionH>
            <wp:positionV relativeFrom="page">
              <wp:posOffset>635000</wp:posOffset>
            </wp:positionV>
            <wp:extent cx="69430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090" cy="7620"/>
                    </a:xfrm>
                    <a:prstGeom prst="rect">
                      <a:avLst/>
                    </a:prstGeom>
                    <a:noFill/>
                  </pic:spPr>
                </pic:pic>
              </a:graphicData>
            </a:graphic>
          </wp:anchor>
        </w:drawing>
        <w:drawing>
          <wp:anchor simplePos="0" relativeHeight="251657728" behindDoc="1" locked="0" layoutInCell="0" allowOverlap="1">
            <wp:simplePos x="0" y="0"/>
            <wp:positionH relativeFrom="page">
              <wp:posOffset>306705</wp:posOffset>
            </wp:positionH>
            <wp:positionV relativeFrom="page">
              <wp:posOffset>657860</wp:posOffset>
            </wp:positionV>
            <wp:extent cx="69430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090" cy="762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5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rPr>
          <w:sz w:val="20"/>
          <w:szCs w:val="20"/>
          <w:color w:val="auto"/>
        </w:rPr>
      </w:pPr>
      <w:r>
        <w:rPr>
          <w:rFonts w:ascii="Times New Roman" w:cs="Times New Roman" w:eastAsia="Times New Roman" w:hAnsi="Times New Roman"/>
          <w:sz w:val="13"/>
          <w:szCs w:val="13"/>
          <w:color w:val="auto"/>
        </w:rPr>
        <w:t>(Mark One)</w:t>
      </w:r>
    </w:p>
    <w:p>
      <w:pPr>
        <w:sectPr>
          <w:pgSz w:w="11900" w:h="16838" w:orient="portrait"/>
          <w:cols w:equalWidth="0" w:num="1">
            <w:col w:w="11260"/>
          </w:cols>
          <w:pgMar w:left="320" w:top="1101" w:right="319" w:bottom="1440" w:gutter="0" w:footer="0" w:header="0"/>
        </w:sectPr>
      </w:pPr>
    </w:p>
    <w:p>
      <w:pPr>
        <w:spacing w:after="0" w:line="212"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8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2023</w:t>
      </w:r>
    </w:p>
    <w:p>
      <w:pPr>
        <w:spacing w:after="0" w:line="130" w:lineRule="exact"/>
        <w:rPr>
          <w:sz w:val="24"/>
          <w:szCs w:val="24"/>
          <w:color w:val="auto"/>
        </w:rPr>
      </w:pPr>
    </w:p>
    <w:p>
      <w:pPr>
        <w:sectPr>
          <w:pgSz w:w="11900" w:h="16838" w:orient="portrait"/>
          <w:cols w:equalWidth="0" w:num="2">
            <w:col w:w="160" w:space="680"/>
            <w:col w:w="10420"/>
          </w:cols>
          <w:pgMar w:left="320" w:top="1101" w:right="319" w:bottom="1440" w:gutter="0" w:footer="0" w:header="0"/>
          <w:type w:val="continuous"/>
        </w:sectPr>
      </w:pPr>
    </w:p>
    <w:p>
      <w:pPr>
        <w:ind w:left="840" w:hanging="829"/>
        <w:spacing w:after="0"/>
        <w:tabs>
          <w:tab w:leader="none" w:pos="8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89" w:lineRule="exact"/>
        <w:rPr>
          <w:sz w:val="24"/>
          <w:szCs w:val="24"/>
          <w:color w:val="auto"/>
        </w:rPr>
      </w:pPr>
    </w:p>
    <w:p>
      <w:pPr>
        <w:ind w:left="4020"/>
        <w:spacing w:after="0"/>
        <w:tabs>
          <w:tab w:leader="none" w:pos="65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001-34972</w:t>
      </w:r>
    </w:p>
    <w:p>
      <w:pPr>
        <w:spacing w:after="0" w:line="2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Booz Allen Hamilton Holding Corporation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97" w:lineRule="exact"/>
        <w:rPr>
          <w:sz w:val="24"/>
          <w:szCs w:val="24"/>
          <w:color w:val="auto"/>
        </w:rPr>
      </w:pPr>
    </w:p>
    <w:p>
      <w:pPr>
        <w:ind w:left="1820"/>
        <w:spacing w:after="0"/>
        <w:tabs>
          <w:tab w:leader="none" w:pos="898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26-2634160</w:t>
      </w:r>
    </w:p>
    <w:p>
      <w:pPr>
        <w:spacing w:after="0" w:line="14" w:lineRule="exact"/>
        <w:rPr>
          <w:sz w:val="24"/>
          <w:szCs w:val="24"/>
          <w:color w:val="auto"/>
        </w:rPr>
      </w:pPr>
    </w:p>
    <w:p>
      <w:pPr>
        <w:ind w:left="1340"/>
        <w:spacing w:after="0"/>
        <w:tabs>
          <w:tab w:leader="none" w:pos="8900" w:val="left"/>
        </w:tabs>
        <w:rPr>
          <w:sz w:val="20"/>
          <w:szCs w:val="20"/>
          <w:color w:val="auto"/>
        </w:rPr>
      </w:pPr>
      <w:r>
        <w:rPr>
          <w:rFonts w:ascii="Times New Roman" w:cs="Times New Roman" w:eastAsia="Times New Roman" w:hAnsi="Times New Roman"/>
          <w:sz w:val="13"/>
          <w:szCs w:val="13"/>
          <w:b w:val="1"/>
          <w:bCs w:val="1"/>
          <w:color w:val="auto"/>
        </w:rPr>
        <w:t>(State or other jurisdiction of</w:t>
      </w:r>
      <w:r>
        <w:rPr>
          <w:sz w:val="20"/>
          <w:szCs w:val="20"/>
          <w:color w:val="auto"/>
        </w:rPr>
        <w:tab/>
      </w:r>
      <w:r>
        <w:rPr>
          <w:rFonts w:ascii="Times New Roman" w:cs="Times New Roman" w:eastAsia="Times New Roman" w:hAnsi="Times New Roman"/>
          <w:sz w:val="12"/>
          <w:szCs w:val="12"/>
          <w:b w:val="1"/>
          <w:bCs w:val="1"/>
          <w:color w:val="auto"/>
        </w:rPr>
        <w:t>(I.R.S. Employer</w:t>
      </w:r>
    </w:p>
    <w:p>
      <w:pPr>
        <w:ind w:left="1300"/>
        <w:spacing w:after="0"/>
        <w:tabs>
          <w:tab w:leader="none" w:pos="8860" w:val="left"/>
        </w:tabs>
        <w:rPr>
          <w:sz w:val="20"/>
          <w:szCs w:val="20"/>
          <w:color w:val="auto"/>
        </w:rPr>
      </w:pPr>
      <w:r>
        <w:rPr>
          <w:rFonts w:ascii="Times New Roman" w:cs="Times New Roman" w:eastAsia="Times New Roman" w:hAnsi="Times New Roman"/>
          <w:sz w:val="13"/>
          <w:szCs w:val="13"/>
          <w:b w:val="1"/>
          <w:bCs w:val="1"/>
          <w:color w:val="auto"/>
        </w:rPr>
        <w:t>incorporation or organization)</w:t>
      </w:r>
      <w:r>
        <w:rPr>
          <w:sz w:val="20"/>
          <w:szCs w:val="20"/>
          <w:color w:val="auto"/>
        </w:rPr>
        <w:tab/>
      </w:r>
      <w:r>
        <w:rPr>
          <w:rFonts w:ascii="Times New Roman" w:cs="Times New Roman" w:eastAsia="Times New Roman" w:hAnsi="Times New Roman"/>
          <w:sz w:val="12"/>
          <w:szCs w:val="12"/>
          <w:b w:val="1"/>
          <w:bCs w:val="1"/>
          <w:color w:val="auto"/>
        </w:rPr>
        <w:t>Identification No.)</w:t>
      </w:r>
    </w:p>
    <w:p>
      <w:pPr>
        <w:spacing w:after="0" w:line="53" w:lineRule="exact"/>
        <w:rPr>
          <w:sz w:val="24"/>
          <w:szCs w:val="24"/>
          <w:color w:val="auto"/>
        </w:rPr>
      </w:pPr>
    </w:p>
    <w:p>
      <w:pPr>
        <w:ind w:left="360"/>
        <w:spacing w:after="0"/>
        <w:tabs>
          <w:tab w:leader="none" w:pos="2540" w:val="left"/>
          <w:tab w:leader="none" w:pos="3520" w:val="left"/>
          <w:tab w:leader="none" w:pos="9160" w:val="left"/>
        </w:tabs>
        <w:rPr>
          <w:sz w:val="20"/>
          <w:szCs w:val="20"/>
          <w:color w:val="auto"/>
        </w:rPr>
      </w:pPr>
      <w:r>
        <w:rPr>
          <w:rFonts w:ascii="Times New Roman" w:cs="Times New Roman" w:eastAsia="Times New Roman" w:hAnsi="Times New Roman"/>
          <w:sz w:val="16"/>
          <w:szCs w:val="16"/>
          <w:b w:val="1"/>
          <w:bCs w:val="1"/>
          <w:color w:val="auto"/>
        </w:rPr>
        <w:t>8283 Greensboro Drive,</w:t>
      </w:r>
      <w:r>
        <w:rPr>
          <w:sz w:val="20"/>
          <w:szCs w:val="20"/>
          <w:color w:val="auto"/>
        </w:rPr>
        <w:tab/>
      </w:r>
      <w:r>
        <w:rPr>
          <w:rFonts w:ascii="Times New Roman" w:cs="Times New Roman" w:eastAsia="Times New Roman" w:hAnsi="Times New Roman"/>
          <w:sz w:val="16"/>
          <w:szCs w:val="16"/>
          <w:b w:val="1"/>
          <w:bCs w:val="1"/>
          <w:color w:val="auto"/>
        </w:rPr>
        <w:t>McLean,</w:t>
      </w:r>
      <w:r>
        <w:rPr>
          <w:sz w:val="20"/>
          <w:szCs w:val="20"/>
          <w:color w:val="auto"/>
        </w:rPr>
        <w:tab/>
      </w:r>
      <w:r>
        <w:rPr>
          <w:rFonts w:ascii="Times New Roman" w:cs="Times New Roman" w:eastAsia="Times New Roman" w:hAnsi="Times New Roman"/>
          <w:sz w:val="16"/>
          <w:szCs w:val="16"/>
          <w:b w:val="1"/>
          <w:bCs w:val="1"/>
          <w:color w:val="auto"/>
        </w:rPr>
        <w:t>Virginia</w:t>
      </w:r>
      <w:r>
        <w:rPr>
          <w:sz w:val="20"/>
          <w:szCs w:val="20"/>
          <w:color w:val="auto"/>
        </w:rPr>
        <w:tab/>
      </w:r>
      <w:r>
        <w:rPr>
          <w:rFonts w:ascii="Times New Roman" w:cs="Times New Roman" w:eastAsia="Times New Roman" w:hAnsi="Times New Roman"/>
          <w:sz w:val="16"/>
          <w:szCs w:val="16"/>
          <w:b w:val="1"/>
          <w:bCs w:val="1"/>
          <w:color w:val="auto"/>
        </w:rPr>
        <w:t>22102</w:t>
      </w:r>
    </w:p>
    <w:p>
      <w:pPr>
        <w:spacing w:after="0" w:line="26" w:lineRule="exact"/>
        <w:rPr>
          <w:sz w:val="24"/>
          <w:szCs w:val="24"/>
          <w:color w:val="auto"/>
        </w:rPr>
      </w:pPr>
    </w:p>
    <w:p>
      <w:pPr>
        <w:ind w:left="1080"/>
        <w:spacing w:after="0"/>
        <w:tabs>
          <w:tab w:leader="none" w:pos="906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(703) 902-5000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ind w:left="424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74" w:lineRule="exact"/>
        <w:rPr>
          <w:sz w:val="24"/>
          <w:szCs w:val="24"/>
          <w:color w:val="auto"/>
        </w:rPr>
      </w:pPr>
    </w:p>
    <w:tbl>
      <w:tblPr>
        <w:tblLayout w:type="fixed"/>
        <w:tblInd w:w="188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1900" w:type="dxa"/>
            <w:vAlign w:val="bottom"/>
          </w:tcPr>
          <w:p>
            <w:pPr>
              <w:spacing w:after="0"/>
              <w:rPr>
                <w:sz w:val="12"/>
                <w:szCs w:val="12"/>
                <w:color w:val="auto"/>
              </w:rPr>
            </w:pPr>
          </w:p>
        </w:tc>
        <w:tc>
          <w:tcPr>
            <w:tcW w:w="2180" w:type="dxa"/>
            <w:vAlign w:val="bottom"/>
            <w:gridSpan w:val="2"/>
          </w:tcPr>
          <w:p>
            <w:pPr>
              <w:jc w:val="center"/>
              <w:ind w:right="1300"/>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0"/>
        </w:trPr>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231"/>
        </w:trPr>
        <w:tc>
          <w:tcPr>
            <w:tcW w:w="3180" w:type="dxa"/>
            <w:vAlign w:val="bottom"/>
            <w:gridSpan w:val="3"/>
          </w:tcPr>
          <w:p>
            <w:pPr>
              <w:jc w:val="center"/>
              <w:ind w:right="1660"/>
              <w:spacing w:after="0"/>
              <w:rPr>
                <w:sz w:val="20"/>
                <w:szCs w:val="20"/>
                <w:color w:val="auto"/>
              </w:rPr>
            </w:pPr>
            <w:r>
              <w:rPr>
                <w:rFonts w:ascii="Times New Roman" w:cs="Times New Roman" w:eastAsia="Times New Roman" w:hAnsi="Times New Roman"/>
                <w:sz w:val="16"/>
                <w:szCs w:val="16"/>
                <w:color w:val="auto"/>
                <w:w w:val="98"/>
              </w:rPr>
              <w:t>Class A Common Stock</w:t>
            </w:r>
          </w:p>
        </w:tc>
        <w:tc>
          <w:tcPr>
            <w:tcW w:w="2180" w:type="dxa"/>
            <w:vAlign w:val="bottom"/>
            <w:gridSpan w:val="2"/>
          </w:tcPr>
          <w:p>
            <w:pPr>
              <w:jc w:val="center"/>
              <w:ind w:right="1280"/>
              <w:spacing w:after="0"/>
              <w:rPr>
                <w:sz w:val="20"/>
                <w:szCs w:val="20"/>
                <w:color w:val="auto"/>
              </w:rPr>
            </w:pPr>
            <w:r>
              <w:rPr>
                <w:rFonts w:ascii="Times New Roman" w:cs="Times New Roman" w:eastAsia="Times New Roman" w:hAnsi="Times New Roman"/>
                <w:sz w:val="16"/>
                <w:szCs w:val="16"/>
                <w:color w:val="auto"/>
              </w:rPr>
              <w:t>BAH</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79" w:lineRule="exact"/>
        <w:rPr>
          <w:sz w:val="24"/>
          <w:szCs w:val="24"/>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60" w:val="left"/>
          <w:tab w:leader="none" w:pos="10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3" w:lineRule="exact"/>
        <w:rPr>
          <w:sz w:val="24"/>
          <w:szCs w:val="24"/>
          <w:color w:val="auto"/>
        </w:rPr>
      </w:pPr>
    </w:p>
    <w:p>
      <w:pPr>
        <w:ind w:right="6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720"/>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28"/>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10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90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 w:lineRule="exact"/>
        <w:rPr>
          <w:sz w:val="24"/>
          <w:szCs w:val="24"/>
          <w:color w:val="auto"/>
        </w:rPr>
      </w:pPr>
    </w:p>
    <w:p>
      <w:pPr>
        <w:ind w:right="2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960"/>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179"/>
        </w:trPr>
        <w:tc>
          <w:tcPr>
            <w:tcW w:w="8680" w:type="dxa"/>
            <w:vAlign w:val="bottom"/>
          </w:tcPr>
          <w:p>
            <w:pPr>
              <w:spacing w:after="0"/>
              <w:rPr>
                <w:sz w:val="15"/>
                <w:szCs w:val="15"/>
                <w:color w:val="auto"/>
              </w:rPr>
            </w:pPr>
          </w:p>
        </w:tc>
        <w:tc>
          <w:tcPr>
            <w:tcW w:w="2580" w:type="dxa"/>
            <w:vAlign w:val="bottom"/>
            <w:gridSpan w:val="2"/>
          </w:tcPr>
          <w:p>
            <w:pPr>
              <w:jc w:val="center"/>
              <w:ind w:right="380"/>
              <w:spacing w:after="0" w:line="179" w:lineRule="exact"/>
              <w:rPr>
                <w:sz w:val="20"/>
                <w:szCs w:val="20"/>
                <w:color w:val="auto"/>
              </w:rPr>
            </w:pPr>
            <w:r>
              <w:rPr>
                <w:rFonts w:ascii="Times New Roman" w:cs="Times New Roman" w:eastAsia="Times New Roman" w:hAnsi="Times New Roman"/>
                <w:sz w:val="16"/>
                <w:szCs w:val="16"/>
                <w:b w:val="1"/>
                <w:bCs w:val="1"/>
                <w:color w:val="auto"/>
              </w:rPr>
              <w:t>Shares Outstanding</w:t>
            </w:r>
          </w:p>
        </w:tc>
      </w:tr>
      <w:tr>
        <w:trPr>
          <w:trHeight w:val="213"/>
        </w:trPr>
        <w:tc>
          <w:tcPr>
            <w:tcW w:w="868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as of 1/23/2024</w:t>
            </w:r>
          </w:p>
        </w:tc>
      </w:tr>
      <w:tr>
        <w:trPr>
          <w:trHeight w:val="198"/>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129,745,860</w:t>
            </w:r>
          </w:p>
        </w:tc>
        <w:tc>
          <w:tcPr>
            <w:tcW w:w="380" w:type="dxa"/>
            <w:vAlign w:val="bottom"/>
          </w:tcPr>
          <w:p>
            <w:pPr>
              <w:spacing w:after="0"/>
              <w:rPr>
                <w:sz w:val="17"/>
                <w:szCs w:val="17"/>
                <w:color w:val="auto"/>
              </w:rPr>
            </w:pPr>
          </w:p>
        </w:tc>
      </w:tr>
      <w:tr>
        <w:trPr>
          <w:trHeight w:val="685"/>
        </w:trPr>
        <w:tc>
          <w:tcPr>
            <w:tcW w:w="86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01"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10500" w:type="dxa"/>
            <w:vAlign w:val="bottom"/>
            <w:gridSpan w:val="16"/>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10500" w:type="dxa"/>
            <w:vAlign w:val="bottom"/>
            <w:gridSpan w:val="16"/>
            <w:vMerge w:val="restart"/>
          </w:tcPr>
          <w:p>
            <w:pPr>
              <w:ind w:left="20"/>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7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47"/>
        </w:trPr>
        <w:tc>
          <w:tcPr>
            <w:tcW w:w="10500" w:type="dxa"/>
            <w:vAlign w:val="bottom"/>
            <w:gridSpan w:val="16"/>
            <w:vMerge w:val="continue"/>
          </w:tcPr>
          <w:p>
            <w:pPr>
              <w:spacing w:after="0"/>
              <w:rPr>
                <w:sz w:val="12"/>
                <w:szCs w:val="12"/>
                <w:color w:val="auto"/>
              </w:rPr>
            </w:pPr>
          </w:p>
        </w:tc>
        <w:tc>
          <w:tcPr>
            <w:tcW w:w="720" w:type="dxa"/>
            <w:vAlign w:val="bottom"/>
            <w:tcBorders>
              <w:top w:val="single" w:sz="8" w:color="auto"/>
            </w:tcBorders>
            <w:gridSpan w:val="3"/>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0000FF"/>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5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4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0000FF"/>
                <w:w w:val="98"/>
              </w:rPr>
              <w:t>Financial Statements</w:t>
            </w:r>
          </w:p>
        </w:tc>
        <w:tc>
          <w:tcPr>
            <w:tcW w:w="7500" w:type="dxa"/>
            <w:vAlign w:val="bottom"/>
            <w:gridSpan w:val="7"/>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894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0000FF"/>
              </w:rPr>
              <w:t>Management's Discussion and Analysis of Financial Condition and Results of Operations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14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0000FF"/>
                <w:w w:val="99"/>
              </w:rPr>
              <w:t>Quantitative and Qualitative Disclosures About Market Risk</w:t>
            </w:r>
          </w:p>
        </w:tc>
        <w:tc>
          <w:tcPr>
            <w:tcW w:w="19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0000FF"/>
                <w:w w:val="98"/>
              </w:rPr>
              <w:t>Controls and Procedures</w:t>
            </w:r>
          </w:p>
        </w:tc>
        <w:tc>
          <w:tcPr>
            <w:tcW w:w="2440" w:type="dxa"/>
            <w:vAlign w:val="bottom"/>
            <w:gridSpan w:val="3"/>
          </w:tcPr>
          <w:p>
            <w:pPr>
              <w:spacing w:after="0"/>
              <w:rPr>
                <w:sz w:val="15"/>
                <w:szCs w:val="15"/>
                <w:color w:val="auto"/>
              </w:rPr>
            </w:pPr>
          </w:p>
        </w:tc>
        <w:tc>
          <w:tcPr>
            <w:tcW w:w="4800" w:type="dxa"/>
            <w:vAlign w:val="bottom"/>
            <w:gridSpan w:val="2"/>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00" w:type="dxa"/>
            <w:vAlign w:val="bottom"/>
            <w:gridSpan w:val="16"/>
          </w:tcPr>
          <w:p>
            <w:pPr>
              <w:ind w:left="2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894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0000FF"/>
              </w:rPr>
              <w:t>Legal Proceedings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1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Risk Factors</w:t>
            </w:r>
          </w:p>
        </w:tc>
        <w:tc>
          <w:tcPr>
            <w:tcW w:w="7700" w:type="dxa"/>
            <w:vAlign w:val="bottom"/>
            <w:gridSpan w:val="9"/>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894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0000FF"/>
              </w:rPr>
              <w:t>Unregistered Sales of Equity Securities and Use of Proceeds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0000FF"/>
              </w:rPr>
              <w:t>Defaults Upon Senior Securities</w:t>
            </w:r>
          </w:p>
        </w:tc>
        <w:tc>
          <w:tcPr>
            <w:tcW w:w="4900" w:type="dxa"/>
            <w:vAlign w:val="bottom"/>
            <w:gridSpan w:val="3"/>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216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0000FF"/>
              </w:rPr>
              <w:t>Mine Safety Disclosures</w:t>
            </w:r>
          </w:p>
        </w:tc>
        <w:tc>
          <w:tcPr>
            <w:tcW w:w="6780" w:type="dxa"/>
            <w:vAlign w:val="bottom"/>
            <w:gridSpan w:val="4"/>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5</w:t>
            </w:r>
          </w:p>
        </w:tc>
        <w:tc>
          <w:tcPr>
            <w:tcW w:w="162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7320" w:type="dxa"/>
            <w:vAlign w:val="bottom"/>
            <w:gridSpan w:val="6"/>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6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12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0000FF"/>
              </w:rPr>
              <w:t>Exhibits</w:t>
            </w:r>
          </w:p>
        </w:tc>
        <w:tc>
          <w:tcPr>
            <w:tcW w:w="7660" w:type="dxa"/>
            <w:vAlign w:val="bottom"/>
            <w:gridSpan w:val="8"/>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0000FF"/>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3"/>
        </w:trPr>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2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918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82"/>
        </w:trPr>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6"/>
        </w:trPr>
        <w:tc>
          <w:tcPr>
            <w:tcW w:w="9180" w:type="dxa"/>
            <w:vAlign w:val="bottom"/>
            <w:gridSpan w:val="24"/>
          </w:tcPr>
          <w:p>
            <w:pPr>
              <w:spacing w:after="0"/>
              <w:rPr>
                <w:sz w:val="20"/>
                <w:szCs w:val="20"/>
                <w:color w:val="auto"/>
              </w:rPr>
            </w:pPr>
            <w:r>
              <w:rPr>
                <w:rFonts w:ascii="Times New Roman" w:cs="Times New Roman" w:eastAsia="Times New Roman" w:hAnsi="Times New Roman"/>
                <w:sz w:val="16"/>
                <w:szCs w:val="16"/>
                <w:b w:val="1"/>
                <w:bCs w:val="1"/>
                <w:color w:val="auto"/>
              </w:rPr>
              <w:t>Item 1</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 xml:space="preserve">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00" w:type="dxa"/>
            <w:vAlign w:val="bottom"/>
            <w:gridSpan w:val="13"/>
          </w:tcPr>
          <w:p>
            <w:pPr>
              <w:ind w:left="20"/>
              <w:spacing w:after="0"/>
              <w:rPr>
                <w:sz w:val="20"/>
                <w:szCs w:val="20"/>
                <w:color w:val="auto"/>
              </w:rPr>
            </w:pPr>
            <w:r>
              <w:rPr>
                <w:rFonts w:ascii="Times New Roman" w:cs="Times New Roman" w:eastAsia="Times New Roman" w:hAnsi="Times New Roman"/>
                <w:sz w:val="16"/>
                <w:szCs w:val="16"/>
                <w:b w:val="1"/>
                <w:bCs w:val="1"/>
                <w:color w:val="auto"/>
              </w:rPr>
              <w:t>INDEX TO THE UNAUDITED CONDENSED CONSOLIDATED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8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59"/>
        </w:trPr>
        <w:tc>
          <w:tcPr>
            <w:tcW w:w="20" w:type="dxa"/>
            <w:vAlign w:val="bottom"/>
          </w:tcPr>
          <w:p>
            <w:pPr>
              <w:spacing w:after="0"/>
              <w:rPr>
                <w:sz w:val="13"/>
                <w:szCs w:val="13"/>
                <w:color w:val="auto"/>
              </w:rPr>
            </w:pPr>
          </w:p>
        </w:tc>
        <w:tc>
          <w:tcPr>
            <w:tcW w:w="2740" w:type="dxa"/>
            <w:vAlign w:val="bottom"/>
            <w:gridSpan w:val="14"/>
          </w:tcPr>
          <w:p>
            <w:pPr>
              <w:spacing w:after="0" w:line="159" w:lineRule="exact"/>
              <w:rPr>
                <w:sz w:val="20"/>
                <w:szCs w:val="20"/>
                <w:color w:val="auto"/>
              </w:rPr>
            </w:pPr>
            <w:r>
              <w:rPr>
                <w:rFonts w:ascii="Times New Roman" w:cs="Times New Roman" w:eastAsia="Times New Roman" w:hAnsi="Times New Roman"/>
                <w:sz w:val="16"/>
                <w:szCs w:val="16"/>
                <w:b w:val="1"/>
                <w:bCs w:val="1"/>
                <w:color w:val="0000FF"/>
                <w:w w:val="98"/>
              </w:rPr>
              <w:t>Condensed Consolidated Balance Sheets</w:t>
            </w:r>
          </w:p>
        </w:tc>
        <w:tc>
          <w:tcPr>
            <w:tcW w:w="6420" w:type="dxa"/>
            <w:vAlign w:val="bottom"/>
            <w:gridSpan w:val="9"/>
          </w:tcPr>
          <w:p>
            <w:pPr>
              <w:spacing w:after="0"/>
              <w:rPr>
                <w:sz w:val="13"/>
                <w:szCs w:val="13"/>
                <w:color w:val="auto"/>
              </w:rPr>
            </w:pPr>
          </w:p>
        </w:tc>
        <w:tc>
          <w:tcPr>
            <w:tcW w:w="560" w:type="dxa"/>
            <w:vAlign w:val="bottom"/>
            <w:tcBorders>
              <w:top w:val="single" w:sz="8" w:color="auto"/>
            </w:tcBorders>
            <w:gridSpan w:val="2"/>
          </w:tcPr>
          <w:p>
            <w:pPr>
              <w:spacing w:after="0"/>
              <w:rPr>
                <w:sz w:val="13"/>
                <w:szCs w:val="13"/>
                <w:color w:val="auto"/>
              </w:rPr>
            </w:pPr>
          </w:p>
        </w:tc>
        <w:tc>
          <w:tcPr>
            <w:tcW w:w="120" w:type="dxa"/>
            <w:vAlign w:val="bottom"/>
            <w:tcBorders>
              <w:top w:val="single" w:sz="8" w:color="auto"/>
            </w:tcBorders>
            <w:gridSpan w:val="2"/>
          </w:tcPr>
          <w:p>
            <w:pPr>
              <w:jc w:val="center"/>
              <w:ind w:right="40"/>
              <w:spacing w:after="0" w:line="159" w:lineRule="exact"/>
              <w:rPr>
                <w:sz w:val="20"/>
                <w:szCs w:val="20"/>
                <w:color w:val="auto"/>
              </w:rPr>
            </w:pPr>
            <w:r>
              <w:rPr>
                <w:rFonts w:ascii="Times New Roman" w:cs="Times New Roman" w:eastAsia="Times New Roman" w:hAnsi="Times New Roman"/>
                <w:sz w:val="16"/>
                <w:szCs w:val="16"/>
                <w:b w:val="1"/>
                <w:bCs w:val="1"/>
                <w:color w:val="0000FF"/>
                <w:w w:val="99"/>
              </w:rPr>
              <w:t>1</w:t>
            </w:r>
          </w:p>
        </w:tc>
        <w:tc>
          <w:tcPr>
            <w:tcW w:w="540" w:type="dxa"/>
            <w:vAlign w:val="bottom"/>
            <w:tcBorders>
              <w:top w:val="single" w:sz="8" w:color="auto"/>
            </w:tcBorders>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160" w:type="dxa"/>
            <w:vAlign w:val="bottom"/>
            <w:gridSpan w:val="23"/>
          </w:tcPr>
          <w:p>
            <w:pPr>
              <w:spacing w:after="0"/>
              <w:rPr>
                <w:sz w:val="20"/>
                <w:szCs w:val="20"/>
                <w:color w:val="auto"/>
              </w:rPr>
            </w:pPr>
            <w:r>
              <w:rPr>
                <w:rFonts w:ascii="Times New Roman" w:cs="Times New Roman" w:eastAsia="Times New Roman" w:hAnsi="Times New Roman"/>
                <w:sz w:val="16"/>
                <w:szCs w:val="16"/>
                <w:b w:val="1"/>
                <w:bCs w:val="1"/>
                <w:color w:val="0000FF"/>
              </w:rPr>
              <w:t>Condensed Consolidated Statements of Operations</w:t>
            </w:r>
          </w:p>
        </w:tc>
        <w:tc>
          <w:tcPr>
            <w:tcW w:w="680" w:type="dxa"/>
            <w:vAlign w:val="bottom"/>
            <w:gridSpan w:val="4"/>
          </w:tcPr>
          <w:p>
            <w:pPr>
              <w:jc w:val="center"/>
              <w:ind w:left="440"/>
              <w:spacing w:after="0"/>
              <w:rPr>
                <w:sz w:val="20"/>
                <w:szCs w:val="20"/>
                <w:color w:val="auto"/>
              </w:rPr>
            </w:pPr>
            <w:r>
              <w:rPr>
                <w:rFonts w:ascii="Times New Roman" w:cs="Times New Roman" w:eastAsia="Times New Roman" w:hAnsi="Times New Roman"/>
                <w:sz w:val="16"/>
                <w:szCs w:val="16"/>
                <w:b w:val="1"/>
                <w:bCs w:val="1"/>
                <w:color w:val="0000FF"/>
                <w:w w:val="99"/>
              </w:rPr>
              <w:t>2</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160" w:type="dxa"/>
            <w:vAlign w:val="bottom"/>
            <w:gridSpan w:val="23"/>
          </w:tcPr>
          <w:p>
            <w:pPr>
              <w:spacing w:after="0"/>
              <w:rPr>
                <w:sz w:val="20"/>
                <w:szCs w:val="20"/>
                <w:color w:val="auto"/>
              </w:rPr>
            </w:pPr>
            <w:r>
              <w:rPr>
                <w:rFonts w:ascii="Times New Roman" w:cs="Times New Roman" w:eastAsia="Times New Roman" w:hAnsi="Times New Roman"/>
                <w:sz w:val="16"/>
                <w:szCs w:val="16"/>
                <w:b w:val="1"/>
                <w:bCs w:val="1"/>
                <w:color w:val="0000FF"/>
              </w:rPr>
              <w:t>Condensed Consolidated Statements of Comprehensive Income</w:t>
            </w:r>
          </w:p>
        </w:tc>
        <w:tc>
          <w:tcPr>
            <w:tcW w:w="680" w:type="dxa"/>
            <w:vAlign w:val="bottom"/>
            <w:gridSpan w:val="4"/>
          </w:tcPr>
          <w:p>
            <w:pPr>
              <w:jc w:val="center"/>
              <w:ind w:left="440"/>
              <w:spacing w:after="0"/>
              <w:rPr>
                <w:sz w:val="20"/>
                <w:szCs w:val="20"/>
                <w:color w:val="auto"/>
              </w:rPr>
            </w:pPr>
            <w:r>
              <w:rPr>
                <w:rFonts w:ascii="Times New Roman" w:cs="Times New Roman" w:eastAsia="Times New Roman" w:hAnsi="Times New Roman"/>
                <w:sz w:val="16"/>
                <w:szCs w:val="16"/>
                <w:b w:val="1"/>
                <w:bCs w:val="1"/>
                <w:color w:val="0000FF"/>
                <w:w w:val="99"/>
              </w:rPr>
              <w:t>3</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0000FF"/>
              </w:rPr>
              <w:t>Condensed Consolidated Statements of Cash Flows</w:t>
            </w:r>
          </w:p>
        </w:tc>
        <w:tc>
          <w:tcPr>
            <w:tcW w:w="488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0000FF"/>
                <w:w w:val="99"/>
              </w:rPr>
              <w:t>4</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w w:val="99"/>
              </w:rPr>
              <w:t>Condensed Consolidated Statements of Stockholders' Equity</w:t>
            </w:r>
          </w:p>
        </w:tc>
        <w:tc>
          <w:tcPr>
            <w:tcW w:w="5040" w:type="dxa"/>
            <w:vAlign w:val="bottom"/>
            <w:gridSpan w:val="3"/>
          </w:tcPr>
          <w:p>
            <w:pPr>
              <w:spacing w:after="0"/>
              <w:rPr>
                <w:sz w:val="15"/>
                <w:szCs w:val="15"/>
                <w:color w:val="auto"/>
              </w:rPr>
            </w:pPr>
          </w:p>
        </w:tc>
        <w:tc>
          <w:tcPr>
            <w:tcW w:w="560" w:type="dxa"/>
            <w:vAlign w:val="bottom"/>
            <w:gridSpan w:val="2"/>
          </w:tcPr>
          <w:p>
            <w:pPr>
              <w:spacing w:after="0"/>
              <w:rPr>
                <w:sz w:val="15"/>
                <w:szCs w:val="15"/>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0000FF"/>
                <w:w w:val="99"/>
              </w:rPr>
              <w:t>5</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0000FF"/>
                <w:w w:val="99"/>
              </w:rPr>
              <w:t>Notes to Unaudited Condensed Consolidated Financial Statements</w:t>
            </w:r>
          </w:p>
        </w:tc>
        <w:tc>
          <w:tcPr>
            <w:tcW w:w="466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0000FF"/>
                <w:w w:val="99"/>
              </w:rPr>
              <w:t>7</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0000FF"/>
                <w:w w:val="99"/>
              </w:rPr>
              <w:t>1.</w:t>
            </w:r>
          </w:p>
        </w:tc>
        <w:tc>
          <w:tcPr>
            <w:tcW w:w="4080" w:type="dxa"/>
            <w:vAlign w:val="bottom"/>
            <w:gridSpan w:val="20"/>
          </w:tcPr>
          <w:p>
            <w:pPr>
              <w:ind w:left="20"/>
              <w:spacing w:after="0"/>
              <w:rPr>
                <w:sz w:val="20"/>
                <w:szCs w:val="20"/>
                <w:color w:val="auto"/>
              </w:rPr>
            </w:pPr>
            <w:r>
              <w:rPr>
                <w:rFonts w:ascii="Times New Roman" w:cs="Times New Roman" w:eastAsia="Times New Roman" w:hAnsi="Times New Roman"/>
                <w:sz w:val="16"/>
                <w:szCs w:val="16"/>
                <w:b w:val="1"/>
                <w:bCs w:val="1"/>
                <w:color w:val="0000FF"/>
              </w:rPr>
              <w:t>Business Overview</w:t>
            </w:r>
          </w:p>
        </w:tc>
        <w:tc>
          <w:tcPr>
            <w:tcW w:w="466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0000FF"/>
                <w:w w:val="99"/>
              </w:rPr>
              <w:t>7</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4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0000FF"/>
                <w:w w:val="99"/>
              </w:rPr>
              <w:t>2.</w:t>
            </w:r>
          </w:p>
        </w:tc>
        <w:tc>
          <w:tcPr>
            <w:tcW w:w="8740" w:type="dxa"/>
            <w:vAlign w:val="bottom"/>
            <w:gridSpan w:val="21"/>
          </w:tcPr>
          <w:p>
            <w:pPr>
              <w:ind w:left="20"/>
              <w:spacing w:after="0"/>
              <w:rPr>
                <w:sz w:val="20"/>
                <w:szCs w:val="20"/>
                <w:color w:val="auto"/>
              </w:rPr>
            </w:pPr>
            <w:r>
              <w:rPr>
                <w:rFonts w:ascii="Times New Roman" w:cs="Times New Roman" w:eastAsia="Times New Roman" w:hAnsi="Times New Roman"/>
                <w:sz w:val="16"/>
                <w:szCs w:val="16"/>
                <w:b w:val="1"/>
                <w:bCs w:val="1"/>
                <w:color w:val="0000FF"/>
              </w:rPr>
              <w:t>Basis of Presentation</w:t>
            </w:r>
          </w:p>
        </w:tc>
        <w:tc>
          <w:tcPr>
            <w:tcW w:w="680" w:type="dxa"/>
            <w:vAlign w:val="bottom"/>
            <w:gridSpan w:val="4"/>
          </w:tcPr>
          <w:p>
            <w:pPr>
              <w:jc w:val="center"/>
              <w:ind w:left="440"/>
              <w:spacing w:after="0"/>
              <w:rPr>
                <w:sz w:val="20"/>
                <w:szCs w:val="20"/>
                <w:color w:val="auto"/>
              </w:rPr>
            </w:pPr>
            <w:r>
              <w:rPr>
                <w:rFonts w:ascii="Times New Roman" w:cs="Times New Roman" w:eastAsia="Times New Roman" w:hAnsi="Times New Roman"/>
                <w:sz w:val="16"/>
                <w:szCs w:val="16"/>
                <w:b w:val="1"/>
                <w:bCs w:val="1"/>
                <w:color w:val="0000FF"/>
                <w:w w:val="99"/>
              </w:rPr>
              <w:t>7</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4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0000FF"/>
                <w:w w:val="99"/>
              </w:rPr>
              <w:t>3.</w:t>
            </w:r>
          </w:p>
        </w:tc>
        <w:tc>
          <w:tcPr>
            <w:tcW w:w="8740" w:type="dxa"/>
            <w:vAlign w:val="bottom"/>
            <w:gridSpan w:val="21"/>
          </w:tcPr>
          <w:p>
            <w:pPr>
              <w:ind w:left="20"/>
              <w:spacing w:after="0"/>
              <w:rPr>
                <w:sz w:val="20"/>
                <w:szCs w:val="20"/>
                <w:color w:val="auto"/>
              </w:rPr>
            </w:pPr>
            <w:r>
              <w:rPr>
                <w:rFonts w:ascii="Times New Roman" w:cs="Times New Roman" w:eastAsia="Times New Roman" w:hAnsi="Times New Roman"/>
                <w:sz w:val="16"/>
                <w:szCs w:val="16"/>
                <w:b w:val="1"/>
                <w:bCs w:val="1"/>
                <w:color w:val="0000FF"/>
              </w:rPr>
              <w:t>Revenue</w:t>
            </w:r>
          </w:p>
        </w:tc>
        <w:tc>
          <w:tcPr>
            <w:tcW w:w="680" w:type="dxa"/>
            <w:vAlign w:val="bottom"/>
            <w:gridSpan w:val="4"/>
          </w:tcPr>
          <w:p>
            <w:pPr>
              <w:jc w:val="center"/>
              <w:ind w:left="440"/>
              <w:spacing w:after="0"/>
              <w:rPr>
                <w:sz w:val="20"/>
                <w:szCs w:val="20"/>
                <w:color w:val="auto"/>
              </w:rPr>
            </w:pPr>
            <w:r>
              <w:rPr>
                <w:rFonts w:ascii="Times New Roman" w:cs="Times New Roman" w:eastAsia="Times New Roman" w:hAnsi="Times New Roman"/>
                <w:sz w:val="16"/>
                <w:szCs w:val="16"/>
                <w:b w:val="1"/>
                <w:bCs w:val="1"/>
                <w:color w:val="0000FF"/>
                <w:w w:val="99"/>
              </w:rPr>
              <w:t>8</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4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0000FF"/>
                <w:w w:val="99"/>
              </w:rPr>
              <w:t>4.</w:t>
            </w:r>
          </w:p>
        </w:tc>
        <w:tc>
          <w:tcPr>
            <w:tcW w:w="8740" w:type="dxa"/>
            <w:vAlign w:val="bottom"/>
            <w:gridSpan w:val="21"/>
          </w:tcPr>
          <w:p>
            <w:pPr>
              <w:ind w:left="20"/>
              <w:spacing w:after="0"/>
              <w:rPr>
                <w:sz w:val="20"/>
                <w:szCs w:val="20"/>
                <w:color w:val="auto"/>
              </w:rPr>
            </w:pPr>
            <w:r>
              <w:rPr>
                <w:rFonts w:ascii="Times New Roman" w:cs="Times New Roman" w:eastAsia="Times New Roman" w:hAnsi="Times New Roman"/>
                <w:sz w:val="16"/>
                <w:szCs w:val="16"/>
                <w:b w:val="1"/>
                <w:bCs w:val="1"/>
                <w:color w:val="0000FF"/>
              </w:rPr>
              <w:t>Earnings Per Share</w:t>
            </w: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10</w:t>
            </w:r>
          </w:p>
        </w:tc>
        <w:tc>
          <w:tcPr>
            <w:tcW w:w="860" w:type="dxa"/>
            <w:vAlign w:val="bottom"/>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4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0000FF"/>
                <w:w w:val="99"/>
              </w:rPr>
              <w:t>5.</w:t>
            </w:r>
          </w:p>
        </w:tc>
        <w:tc>
          <w:tcPr>
            <w:tcW w:w="8740" w:type="dxa"/>
            <w:vAlign w:val="bottom"/>
            <w:gridSpan w:val="21"/>
          </w:tcPr>
          <w:p>
            <w:pPr>
              <w:ind w:left="20"/>
              <w:spacing w:after="0"/>
              <w:rPr>
                <w:sz w:val="20"/>
                <w:szCs w:val="20"/>
                <w:color w:val="auto"/>
              </w:rPr>
            </w:pPr>
            <w:r>
              <w:rPr>
                <w:rFonts w:ascii="Times New Roman" w:cs="Times New Roman" w:eastAsia="Times New Roman" w:hAnsi="Times New Roman"/>
                <w:sz w:val="16"/>
                <w:szCs w:val="16"/>
                <w:b w:val="1"/>
                <w:bCs w:val="1"/>
                <w:color w:val="0000FF"/>
              </w:rPr>
              <w:t>Acquisition, Goodwill and Intangible Assets</w:t>
            </w:r>
          </w:p>
        </w:tc>
        <w:tc>
          <w:tcPr>
            <w:tcW w:w="680" w:type="dxa"/>
            <w:vAlign w:val="bottom"/>
            <w:gridSpan w:val="4"/>
          </w:tcPr>
          <w:p>
            <w:pPr>
              <w:jc w:val="center"/>
              <w:ind w:left="440"/>
              <w:spacing w:after="0"/>
              <w:rPr>
                <w:sz w:val="20"/>
                <w:szCs w:val="20"/>
                <w:color w:val="auto"/>
              </w:rPr>
            </w:pPr>
            <w:r>
              <w:rPr>
                <w:rFonts w:ascii="Times New Roman" w:cs="Times New Roman" w:eastAsia="Times New Roman" w:hAnsi="Times New Roman"/>
                <w:sz w:val="16"/>
                <w:szCs w:val="16"/>
                <w:b w:val="1"/>
                <w:bCs w:val="1"/>
                <w:color w:val="0000FF"/>
                <w:w w:val="99"/>
              </w:rPr>
              <w:t>11</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4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0000FF"/>
                <w:w w:val="99"/>
              </w:rPr>
              <w:t>6.</w:t>
            </w:r>
          </w:p>
        </w:tc>
        <w:tc>
          <w:tcPr>
            <w:tcW w:w="8740" w:type="dxa"/>
            <w:vAlign w:val="bottom"/>
            <w:gridSpan w:val="21"/>
          </w:tcPr>
          <w:p>
            <w:pPr>
              <w:ind w:left="20"/>
              <w:spacing w:after="0"/>
              <w:rPr>
                <w:sz w:val="20"/>
                <w:szCs w:val="20"/>
                <w:color w:val="auto"/>
              </w:rPr>
            </w:pPr>
            <w:r>
              <w:rPr>
                <w:rFonts w:ascii="Times New Roman" w:cs="Times New Roman" w:eastAsia="Times New Roman" w:hAnsi="Times New Roman"/>
                <w:sz w:val="16"/>
                <w:szCs w:val="16"/>
                <w:b w:val="1"/>
                <w:bCs w:val="1"/>
                <w:color w:val="0000FF"/>
              </w:rPr>
              <w:t>Accounts Payable and Other Accrued Expenses</w:t>
            </w: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12</w:t>
            </w:r>
          </w:p>
        </w:tc>
        <w:tc>
          <w:tcPr>
            <w:tcW w:w="860" w:type="dxa"/>
            <w:vAlign w:val="bottom"/>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4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0000FF"/>
                <w:w w:val="99"/>
              </w:rPr>
              <w:t>7.</w:t>
            </w:r>
          </w:p>
        </w:tc>
        <w:tc>
          <w:tcPr>
            <w:tcW w:w="8740" w:type="dxa"/>
            <w:vAlign w:val="bottom"/>
            <w:gridSpan w:val="21"/>
          </w:tcPr>
          <w:p>
            <w:pPr>
              <w:ind w:left="20"/>
              <w:spacing w:after="0"/>
              <w:rPr>
                <w:sz w:val="20"/>
                <w:szCs w:val="20"/>
                <w:color w:val="auto"/>
              </w:rPr>
            </w:pPr>
            <w:r>
              <w:rPr>
                <w:rFonts w:ascii="Times New Roman" w:cs="Times New Roman" w:eastAsia="Times New Roman" w:hAnsi="Times New Roman"/>
                <w:sz w:val="16"/>
                <w:szCs w:val="16"/>
                <w:b w:val="1"/>
                <w:bCs w:val="1"/>
                <w:color w:val="0000FF"/>
              </w:rPr>
              <w:t>Accrued Compensation and Benefits</w:t>
            </w: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13</w:t>
            </w:r>
          </w:p>
        </w:tc>
        <w:tc>
          <w:tcPr>
            <w:tcW w:w="860" w:type="dxa"/>
            <w:vAlign w:val="bottom"/>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4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0000FF"/>
                <w:w w:val="99"/>
              </w:rPr>
              <w:t>8.</w:t>
            </w:r>
          </w:p>
        </w:tc>
        <w:tc>
          <w:tcPr>
            <w:tcW w:w="8740" w:type="dxa"/>
            <w:vAlign w:val="bottom"/>
            <w:gridSpan w:val="21"/>
          </w:tcPr>
          <w:p>
            <w:pPr>
              <w:ind w:left="20"/>
              <w:spacing w:after="0"/>
              <w:rPr>
                <w:sz w:val="20"/>
                <w:szCs w:val="20"/>
                <w:color w:val="auto"/>
              </w:rPr>
            </w:pPr>
            <w:r>
              <w:rPr>
                <w:rFonts w:ascii="Times New Roman" w:cs="Times New Roman" w:eastAsia="Times New Roman" w:hAnsi="Times New Roman"/>
                <w:sz w:val="16"/>
                <w:szCs w:val="16"/>
                <w:b w:val="1"/>
                <w:bCs w:val="1"/>
                <w:color w:val="0000FF"/>
              </w:rPr>
              <w:t>Debt</w:t>
            </w: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13</w:t>
            </w:r>
          </w:p>
        </w:tc>
        <w:tc>
          <w:tcPr>
            <w:tcW w:w="860" w:type="dxa"/>
            <w:vAlign w:val="bottom"/>
          </w:tcPr>
          <w:p>
            <w:pPr>
              <w:spacing w:after="0"/>
              <w:rPr>
                <w:sz w:val="15"/>
                <w:szCs w:val="15"/>
                <w:color w:val="auto"/>
              </w:rPr>
            </w:pPr>
          </w:p>
        </w:tc>
      </w:tr>
      <w:tr>
        <w:trPr>
          <w:trHeight w:val="20"/>
        </w:trPr>
        <w:tc>
          <w:tcPr>
            <w:tcW w:w="3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4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0000FF"/>
                <w:w w:val="99"/>
              </w:rPr>
              <w:t>9.</w:t>
            </w:r>
          </w:p>
        </w:tc>
        <w:tc>
          <w:tcPr>
            <w:tcW w:w="8740" w:type="dxa"/>
            <w:vAlign w:val="bottom"/>
            <w:gridSpan w:val="21"/>
          </w:tcPr>
          <w:p>
            <w:pPr>
              <w:ind w:left="20"/>
              <w:spacing w:after="0"/>
              <w:rPr>
                <w:sz w:val="20"/>
                <w:szCs w:val="20"/>
                <w:color w:val="auto"/>
              </w:rPr>
            </w:pPr>
            <w:r>
              <w:rPr>
                <w:rFonts w:ascii="Times New Roman" w:cs="Times New Roman" w:eastAsia="Times New Roman" w:hAnsi="Times New Roman"/>
                <w:sz w:val="16"/>
                <w:szCs w:val="16"/>
                <w:b w:val="1"/>
                <w:bCs w:val="1"/>
                <w:color w:val="0000FF"/>
              </w:rPr>
              <w:t>Derivatives</w:t>
            </w: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15</w:t>
            </w: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8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0000FF"/>
              </w:rPr>
              <w:t>10. Income Taxes</w:t>
            </w: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16</w:t>
            </w: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b w:val="1"/>
                <w:bCs w:val="1"/>
                <w:color w:val="0000FF"/>
                <w:w w:val="97"/>
              </w:rPr>
              <w:t>11. Employee Benefit Plans</w:t>
            </w:r>
          </w:p>
        </w:tc>
        <w:tc>
          <w:tcPr>
            <w:tcW w:w="7040" w:type="dxa"/>
            <w:vAlign w:val="bottom"/>
            <w:gridSpan w:val="12"/>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0000FF"/>
                <w:w w:val="87"/>
              </w:rPr>
              <w:t>17</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8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0000FF"/>
              </w:rPr>
              <w:t>12. Accumulated Other Comprehensive Income</w:t>
            </w: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18</w:t>
            </w:r>
          </w:p>
        </w:tc>
        <w:tc>
          <w:tcPr>
            <w:tcW w:w="8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b w:val="1"/>
                <w:bCs w:val="1"/>
                <w:color w:val="0000FF"/>
                <w:w w:val="98"/>
              </w:rPr>
              <w:t>13. Stock-Based Compensation</w:t>
            </w:r>
          </w:p>
        </w:tc>
        <w:tc>
          <w:tcPr>
            <w:tcW w:w="1120" w:type="dxa"/>
            <w:vAlign w:val="bottom"/>
            <w:tcBorders>
              <w:top w:val="single" w:sz="8" w:color="0000FF"/>
            </w:tcBorders>
            <w:gridSpan w:val="5"/>
          </w:tcPr>
          <w:p>
            <w:pPr>
              <w:spacing w:after="0"/>
              <w:rPr>
                <w:sz w:val="15"/>
                <w:szCs w:val="15"/>
                <w:color w:val="auto"/>
              </w:rPr>
            </w:pPr>
          </w:p>
        </w:tc>
        <w:tc>
          <w:tcPr>
            <w:tcW w:w="5660" w:type="dxa"/>
            <w:vAlign w:val="bottom"/>
            <w:gridSpan w:val="5"/>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0000FF"/>
                <w:w w:val="87"/>
              </w:rPr>
              <w:t>18</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8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0000FF"/>
              </w:rPr>
              <w:t>14. Fair Value Measurements</w:t>
            </w: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19</w:t>
            </w: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11"/>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8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0000FF"/>
              </w:rPr>
              <w:t>15. Commitments and Contingencies</w:t>
            </w: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000FF"/>
                <w:w w:val="99"/>
              </w:rPr>
              <w:t>21</w:t>
            </w:r>
          </w:p>
        </w:tc>
        <w:tc>
          <w:tcPr>
            <w:tcW w:w="860" w:type="dxa"/>
            <w:vAlign w:val="bottom"/>
          </w:tcPr>
          <w:p>
            <w:pPr>
              <w:spacing w:after="0"/>
              <w:rPr>
                <w:sz w:val="15"/>
                <w:szCs w:val="15"/>
                <w:color w:val="auto"/>
              </w:rPr>
            </w:pPr>
          </w:p>
        </w:tc>
      </w:tr>
      <w:tr>
        <w:trPr>
          <w:trHeight w:val="880"/>
        </w:trPr>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8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1280" w:type="dxa"/>
            <w:vAlign w:val="bottom"/>
            <w:tcBorders>
              <w:top w:val="single" w:sz="8" w:color="0000FF"/>
            </w:tcBorders>
          </w:tcPr>
          <w:p>
            <w:pPr>
              <w:spacing w:after="0"/>
              <w:rPr>
                <w:sz w:val="24"/>
                <w:szCs w:val="24"/>
                <w:color w:val="auto"/>
              </w:rPr>
            </w:pPr>
          </w:p>
        </w:tc>
        <w:tc>
          <w:tcPr>
            <w:tcW w:w="6980" w:type="dxa"/>
            <w:vAlign w:val="bottom"/>
          </w:tcPr>
          <w:p>
            <w:pPr>
              <w:jc w:val="center"/>
              <w:ind w:left="1640"/>
              <w:spacing w:after="0"/>
              <w:rPr>
                <w:sz w:val="20"/>
                <w:szCs w:val="20"/>
                <w:color w:val="auto"/>
              </w:rPr>
            </w:pPr>
            <w:r>
              <w:rPr>
                <w:rFonts w:ascii="Times New Roman" w:cs="Times New Roman" w:eastAsia="Times New Roman" w:hAnsi="Times New Roman"/>
                <w:sz w:val="16"/>
                <w:szCs w:val="16"/>
                <w:b w:val="1"/>
                <w:bCs w:val="1"/>
                <w:color w:val="auto"/>
                <w:w w:val="98"/>
              </w:rPr>
              <w:t>BOOZ ALLEN HAMILTON HOLDING CORPORATION</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6980" w:type="dxa"/>
            <w:vAlign w:val="bottom"/>
          </w:tcPr>
          <w:p>
            <w:pPr>
              <w:jc w:val="center"/>
              <w:ind w:left="1620"/>
              <w:spacing w:after="0"/>
              <w:rPr>
                <w:sz w:val="20"/>
                <w:szCs w:val="20"/>
                <w:color w:val="auto"/>
              </w:rPr>
            </w:pPr>
            <w:r>
              <w:rPr>
                <w:rFonts w:ascii="Times New Roman" w:cs="Times New Roman" w:eastAsia="Times New Roman" w:hAnsi="Times New Roman"/>
                <w:sz w:val="16"/>
                <w:szCs w:val="16"/>
                <w:b w:val="1"/>
                <w:bCs w:val="1"/>
                <w:color w:val="auto"/>
                <w:w w:val="99"/>
              </w:rPr>
              <w:t>CONDENSED CONSOLIDATED BALANCE SHEETS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6980" w:type="dxa"/>
            <w:vAlign w:val="bottom"/>
          </w:tcPr>
          <w:p>
            <w:pPr>
              <w:jc w:val="center"/>
              <w:ind w:left="1640"/>
              <w:spacing w:after="0"/>
              <w:rPr>
                <w:sz w:val="20"/>
                <w:szCs w:val="20"/>
                <w:color w:val="auto"/>
              </w:rPr>
            </w:pPr>
            <w:r>
              <w:rPr>
                <w:rFonts w:ascii="Times New Roman" w:cs="Times New Roman" w:eastAsia="Times New Roman" w:hAnsi="Times New Roman"/>
                <w:sz w:val="16"/>
                <w:szCs w:val="16"/>
                <w:b w:val="1"/>
                <w:bCs w:val="1"/>
                <w:color w:val="auto"/>
                <w:w w:val="99"/>
              </w:rPr>
              <w:t>(Amounts in thousands, except share and per share data)</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22"/>
                <w:szCs w:val="22"/>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6980" w:type="dxa"/>
            <w:vAlign w:val="bottom"/>
            <w:vMerge w:val="restart"/>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7"/>
                <w:szCs w:val="17"/>
                <w:color w:val="auto"/>
              </w:rPr>
            </w:pPr>
          </w:p>
        </w:tc>
        <w:tc>
          <w:tcPr>
            <w:tcW w:w="134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601,813</w:t>
            </w:r>
          </w:p>
        </w:tc>
        <w:tc>
          <w:tcPr>
            <w:tcW w:w="80" w:type="dxa"/>
            <w:vAlign w:val="bottom"/>
          </w:tcPr>
          <w:p>
            <w:pPr>
              <w:spacing w:after="0"/>
              <w:rPr>
                <w:sz w:val="17"/>
                <w:szCs w:val="17"/>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404,862</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1,968,086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1,774,830</w:t>
            </w: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107,036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108,366</w:t>
            </w:r>
          </w:p>
        </w:tc>
        <w:tc>
          <w:tcPr>
            <w:tcW w:w="0" w:type="dxa"/>
            <w:vAlign w:val="bottom"/>
          </w:tcPr>
          <w:p>
            <w:pPr>
              <w:spacing w:after="0"/>
              <w:rPr>
                <w:sz w:val="1"/>
                <w:szCs w:val="1"/>
                <w:color w:val="auto"/>
              </w:rPr>
            </w:pPr>
          </w:p>
        </w:tc>
      </w:tr>
      <w:tr>
        <w:trPr>
          <w:trHeight w:val="195"/>
        </w:trPr>
        <w:tc>
          <w:tcPr>
            <w:tcW w:w="82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2,676,935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2,288,058</w:t>
            </w:r>
          </w:p>
        </w:tc>
        <w:tc>
          <w:tcPr>
            <w:tcW w:w="0" w:type="dxa"/>
            <w:vAlign w:val="bottom"/>
          </w:tcPr>
          <w:p>
            <w:pPr>
              <w:spacing w:after="0"/>
              <w:rPr>
                <w:sz w:val="1"/>
                <w:szCs w:val="1"/>
                <w:color w:val="auto"/>
              </w:rPr>
            </w:pPr>
          </w:p>
        </w:tc>
      </w:tr>
      <w:tr>
        <w:trPr>
          <w:trHeight w:val="20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195,186</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158,567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187,798</w:t>
            </w:r>
          </w:p>
        </w:tc>
        <w:tc>
          <w:tcPr>
            <w:tcW w:w="0" w:type="dxa"/>
            <w:vAlign w:val="bottom"/>
          </w:tcPr>
          <w:p>
            <w:pPr>
              <w:spacing w:after="0"/>
              <w:rPr>
                <w:sz w:val="1"/>
                <w:szCs w:val="1"/>
                <w:color w:val="auto"/>
              </w:rPr>
            </w:pPr>
          </w:p>
        </w:tc>
      </w:tr>
      <w:tr>
        <w:trPr>
          <w:trHeight w:val="20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685,615</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2,343,789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2,338,399</w:t>
            </w:r>
          </w:p>
        </w:tc>
        <w:tc>
          <w:tcPr>
            <w:tcW w:w="0" w:type="dxa"/>
            <w:vAlign w:val="bottom"/>
          </w:tcPr>
          <w:p>
            <w:pPr>
              <w:spacing w:after="0"/>
              <w:rPr>
                <w:sz w:val="1"/>
                <w:szCs w:val="1"/>
                <w:color w:val="auto"/>
              </w:rPr>
            </w:pPr>
          </w:p>
        </w:tc>
      </w:tr>
      <w:tr>
        <w:trPr>
          <w:trHeight w:val="20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573,780</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301,738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281,816</w:t>
            </w:r>
          </w:p>
        </w:tc>
        <w:tc>
          <w:tcPr>
            <w:tcW w:w="0" w:type="dxa"/>
            <w:vAlign w:val="bottom"/>
          </w:tcPr>
          <w:p>
            <w:pPr>
              <w:spacing w:after="0"/>
              <w:rPr>
                <w:sz w:val="1"/>
                <w:szCs w:val="1"/>
                <w:color w:val="auto"/>
              </w:rPr>
            </w:pPr>
          </w:p>
        </w:tc>
      </w:tr>
      <w:tr>
        <w:trPr>
          <w:trHeight w:val="195"/>
        </w:trPr>
        <w:tc>
          <w:tcPr>
            <w:tcW w:w="82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6,474,728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6,550,652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280" w:type="dxa"/>
            <w:vAlign w:val="bottom"/>
            <w:shd w:val="clear" w:color="auto" w:fill="CCEEFF"/>
          </w:tcPr>
          <w:p>
            <w:pPr>
              <w:spacing w:after="0"/>
              <w:rPr>
                <w:sz w:val="14"/>
                <w:szCs w:val="14"/>
                <w:color w:val="auto"/>
              </w:rPr>
            </w:pPr>
          </w:p>
        </w:tc>
        <w:tc>
          <w:tcPr>
            <w:tcW w:w="6980" w:type="dxa"/>
            <w:vAlign w:val="bottom"/>
            <w:shd w:val="clear" w:color="auto" w:fill="CCEEFF"/>
          </w:tcPr>
          <w:p>
            <w:pPr>
              <w:jc w:val="center"/>
              <w:ind w:right="1200"/>
              <w:spacing w:after="0" w:line="167" w:lineRule="exact"/>
              <w:rPr>
                <w:sz w:val="20"/>
                <w:szCs w:val="20"/>
                <w:color w:val="auto"/>
              </w:rPr>
            </w:pPr>
            <w:r>
              <w:rPr>
                <w:rFonts w:ascii="Times New Roman" w:cs="Times New Roman" w:eastAsia="Times New Roman" w:hAnsi="Times New Roman"/>
                <w:sz w:val="16"/>
                <w:szCs w:val="16"/>
                <w:b w:val="1"/>
                <w:bCs w:val="1"/>
                <w:color w:val="auto"/>
                <w:w w:val="99"/>
              </w:rPr>
              <w:t>LIABILITIES AND STOCKHOLDERS’ EQUITY</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41,250</w:t>
            </w:r>
          </w:p>
        </w:tc>
        <w:tc>
          <w:tcPr>
            <w:tcW w:w="0" w:type="dxa"/>
            <w:vAlign w:val="bottom"/>
          </w:tcPr>
          <w:p>
            <w:pPr>
              <w:spacing w:after="0"/>
              <w:rPr>
                <w:sz w:val="1"/>
                <w:szCs w:val="1"/>
                <w:color w:val="auto"/>
              </w:rPr>
            </w:pPr>
          </w:p>
        </w:tc>
      </w:tr>
      <w:tr>
        <w:trPr>
          <w:trHeight w:val="203"/>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Accounts payable and other accrued expenses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993,512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1,316,640</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474,786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445,205</w:t>
            </w:r>
          </w:p>
        </w:tc>
        <w:tc>
          <w:tcPr>
            <w:tcW w:w="0" w:type="dxa"/>
            <w:vAlign w:val="bottom"/>
          </w:tcPr>
          <w:p>
            <w:pPr>
              <w:spacing w:after="0"/>
              <w:rPr>
                <w:sz w:val="1"/>
                <w:szCs w:val="1"/>
                <w:color w:val="auto"/>
              </w:rPr>
            </w:pPr>
          </w:p>
        </w:tc>
      </w:tr>
      <w:tr>
        <w:trPr>
          <w:trHeight w:val="203"/>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51,238</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42,721</w:t>
            </w:r>
          </w:p>
        </w:tc>
        <w:tc>
          <w:tcPr>
            <w:tcW w:w="0" w:type="dxa"/>
            <w:vAlign w:val="bottom"/>
          </w:tcPr>
          <w:p>
            <w:pPr>
              <w:spacing w:after="0"/>
              <w:rPr>
                <w:sz w:val="1"/>
                <w:szCs w:val="1"/>
                <w:color w:val="auto"/>
              </w:rPr>
            </w:pPr>
          </w:p>
        </w:tc>
      </w:tr>
      <w:tr>
        <w:trPr>
          <w:trHeight w:val="195"/>
        </w:trPr>
        <w:tc>
          <w:tcPr>
            <w:tcW w:w="82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1,597,408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1,897,054</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3,369,543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2,770,895</w:t>
            </w:r>
          </w:p>
        </w:tc>
        <w:tc>
          <w:tcPr>
            <w:tcW w:w="0" w:type="dxa"/>
            <w:vAlign w:val="bottom"/>
          </w:tcPr>
          <w:p>
            <w:pPr>
              <w:spacing w:after="0"/>
              <w:rPr>
                <w:sz w:val="1"/>
                <w:szCs w:val="1"/>
                <w:color w:val="auto"/>
              </w:rPr>
            </w:pPr>
          </w:p>
        </w:tc>
      </w:tr>
      <w:tr>
        <w:trPr>
          <w:trHeight w:val="20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198,144</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reserves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106,801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552,623</w:t>
            </w: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149,564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139,934</w:t>
            </w:r>
          </w:p>
        </w:tc>
        <w:tc>
          <w:tcPr>
            <w:tcW w:w="0" w:type="dxa"/>
            <w:vAlign w:val="bottom"/>
          </w:tcPr>
          <w:p>
            <w:pPr>
              <w:spacing w:after="0"/>
              <w:rPr>
                <w:sz w:val="1"/>
                <w:szCs w:val="1"/>
                <w:color w:val="auto"/>
              </w:rPr>
            </w:pPr>
          </w:p>
        </w:tc>
      </w:tr>
      <w:tr>
        <w:trPr>
          <w:trHeight w:val="195"/>
        </w:trPr>
        <w:tc>
          <w:tcPr>
            <w:tcW w:w="82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5,388,485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5,558,650</w:t>
            </w:r>
          </w:p>
        </w:tc>
        <w:tc>
          <w:tcPr>
            <w:tcW w:w="0" w:type="dxa"/>
            <w:vAlign w:val="bottom"/>
          </w:tcPr>
          <w:p>
            <w:pPr>
              <w:spacing w:after="0"/>
              <w:rPr>
                <w:sz w:val="1"/>
                <w:szCs w:val="1"/>
                <w:color w:val="auto"/>
              </w:rPr>
            </w:pPr>
          </w:p>
        </w:tc>
      </w:tr>
      <w:tr>
        <w:trPr>
          <w:trHeight w:val="20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60" w:type="dxa"/>
            <w:vAlign w:val="bottom"/>
            <w:gridSpan w:val="2"/>
          </w:tcPr>
          <w:p>
            <w:pPr>
              <w:ind w:left="300"/>
              <w:spacing w:after="0" w:line="155" w:lineRule="exact"/>
              <w:rPr>
                <w:sz w:val="20"/>
                <w:szCs w:val="20"/>
                <w:color w:val="auto"/>
              </w:rPr>
            </w:pPr>
            <w:r>
              <w:rPr>
                <w:rFonts w:ascii="Times New Roman" w:cs="Times New Roman" w:eastAsia="Times New Roman" w:hAnsi="Times New Roman"/>
                <w:sz w:val="16"/>
                <w:szCs w:val="16"/>
                <w:color w:val="auto"/>
              </w:rPr>
              <w:t>Common stock, Class A - $0.01 par value - authorized, 600,000,000 shares; issued, 166,799,073 shares at December 31,</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60" w:type="dxa"/>
            <w:vAlign w:val="bottom"/>
            <w:gridSpan w:val="2"/>
          </w:tcPr>
          <w:p>
            <w:pPr>
              <w:ind w:left="300"/>
              <w:spacing w:after="0" w:line="155" w:lineRule="exact"/>
              <w:rPr>
                <w:sz w:val="20"/>
                <w:szCs w:val="20"/>
                <w:color w:val="auto"/>
              </w:rPr>
            </w:pPr>
            <w:r>
              <w:rPr>
                <w:rFonts w:ascii="Times New Roman" w:cs="Times New Roman" w:eastAsia="Times New Roman" w:hAnsi="Times New Roman"/>
                <w:sz w:val="16"/>
                <w:szCs w:val="16"/>
                <w:color w:val="auto"/>
              </w:rPr>
              <w:t>2023 and 165,872,332 shares at March 31, 2023; outstanding, 129,939,050 shares at December 31, 2023 and 131,637,588</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shares at March 31, 2023</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Treasury stock, at cost — 36,860,023 shares at December 31, 2023 and 34,234,744 shares at March 31, 2023</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(2,149,734)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(1,859,905)</w:t>
            </w:r>
          </w:p>
        </w:tc>
        <w:tc>
          <w:tcPr>
            <w:tcW w:w="0" w:type="dxa"/>
            <w:vAlign w:val="bottom"/>
          </w:tcPr>
          <w:p>
            <w:pPr>
              <w:spacing w:after="0"/>
              <w:rPr>
                <w:sz w:val="1"/>
                <w:szCs w:val="1"/>
                <w:color w:val="auto"/>
              </w:rPr>
            </w:pPr>
          </w:p>
        </w:tc>
      </w:tr>
      <w:tr>
        <w:trPr>
          <w:trHeight w:val="203"/>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866,036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769,460</w:t>
            </w:r>
          </w:p>
        </w:tc>
        <w:tc>
          <w:tcPr>
            <w:tcW w:w="0" w:type="dxa"/>
            <w:vAlign w:val="bottom"/>
          </w:tcPr>
          <w:p>
            <w:pPr>
              <w:spacing w:after="0"/>
              <w:rPr>
                <w:sz w:val="1"/>
                <w:szCs w:val="1"/>
                <w:color w:val="auto"/>
              </w:rPr>
            </w:pPr>
          </w:p>
        </w:tc>
      </w:tr>
      <w:tr>
        <w:trPr>
          <w:trHeight w:val="203"/>
        </w:trPr>
        <w:tc>
          <w:tcPr>
            <w:tcW w:w="8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2,342,770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2,051,455</w:t>
            </w: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29,333</w:t>
            </w:r>
          </w:p>
        </w:tc>
        <w:tc>
          <w:tcPr>
            <w:tcW w:w="0" w:type="dxa"/>
            <w:vAlign w:val="bottom"/>
          </w:tcPr>
          <w:p>
            <w:pPr>
              <w:spacing w:after="0"/>
              <w:rPr>
                <w:sz w:val="1"/>
                <w:szCs w:val="1"/>
                <w:color w:val="auto"/>
              </w:rPr>
            </w:pPr>
          </w:p>
        </w:tc>
      </w:tr>
      <w:tr>
        <w:trPr>
          <w:trHeight w:val="195"/>
        </w:trPr>
        <w:tc>
          <w:tcPr>
            <w:tcW w:w="82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1,086,243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992,002</w:t>
            </w:r>
          </w:p>
        </w:tc>
        <w:tc>
          <w:tcPr>
            <w:tcW w:w="0" w:type="dxa"/>
            <w:vAlign w:val="bottom"/>
          </w:tcPr>
          <w:p>
            <w:pPr>
              <w:spacing w:after="0"/>
              <w:rPr>
                <w:sz w:val="1"/>
                <w:szCs w:val="1"/>
                <w:color w:val="auto"/>
              </w:rPr>
            </w:pPr>
          </w:p>
        </w:tc>
      </w:tr>
      <w:tr>
        <w:trPr>
          <w:trHeight w:val="203"/>
        </w:trPr>
        <w:tc>
          <w:tcPr>
            <w:tcW w:w="82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6,474,728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6,550,652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8185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Revenue</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Operating costs and expenses:</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Cost of revenue</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Billable expenses</w:t>
      </w:r>
    </w:p>
    <w:p>
      <w:pPr>
        <w:spacing w:after="0" w:line="19" w:lineRule="exact"/>
        <w:rPr>
          <w:sz w:val="20"/>
          <w:szCs w:val="20"/>
          <w:color w:val="auto"/>
        </w:rPr>
      </w:pPr>
    </w:p>
    <w:p>
      <w:pPr>
        <w:ind w:left="380" w:right="160"/>
        <w:spacing w:after="0" w:line="282" w:lineRule="auto"/>
        <w:rPr>
          <w:sz w:val="20"/>
          <w:szCs w:val="20"/>
          <w:color w:val="auto"/>
        </w:rPr>
      </w:pPr>
      <w:r>
        <w:rPr>
          <w:rFonts w:ascii="Times New Roman" w:cs="Times New Roman" w:eastAsia="Times New Roman" w:hAnsi="Times New Roman"/>
          <w:sz w:val="15"/>
          <w:szCs w:val="15"/>
          <w:color w:val="auto"/>
        </w:rPr>
        <w:t>General and administrative expenses Depreciation and amortization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color w:val="auto"/>
        </w:rPr>
        <w:t>Total operating costs and expenses</w:t>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Operating income</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Other income, net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55"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p>
      <w:pPr>
        <w:spacing w:after="0" w:line="67"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5"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p>
      <w:pPr>
        <w:spacing w:after="0" w:line="105"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27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66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13"/>
        </w:trPr>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5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960" w:type="dxa"/>
            <w:vAlign w:val="bottom"/>
            <w:tcBorders>
              <w:bottom w:val="single" w:sz="8" w:color="auto"/>
            </w:tcBorders>
          </w:tcPr>
          <w:p>
            <w:pPr>
              <w:spacing w:after="0"/>
              <w:rPr>
                <w:sz w:val="18"/>
                <w:szCs w:val="18"/>
                <w:color w:val="auto"/>
              </w:rPr>
            </w:pPr>
          </w:p>
        </w:tc>
      </w:tr>
      <w:tr>
        <w:trPr>
          <w:trHeight w:val="198"/>
        </w:trPr>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0"/>
        </w:trPr>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2,569,801</w:t>
            </w:r>
          </w:p>
        </w:tc>
        <w:tc>
          <w:tcPr>
            <w:tcW w:w="100" w:type="dxa"/>
            <w:vAlign w:val="bottom"/>
          </w:tcPr>
          <w:p>
            <w:pPr>
              <w:spacing w:after="0"/>
              <w:rPr>
                <w:sz w:val="17"/>
                <w:szCs w:val="17"/>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2,277,074</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7,890,569</w:t>
            </w:r>
          </w:p>
        </w:tc>
        <w:tc>
          <w:tcPr>
            <w:tcW w:w="120" w:type="dxa"/>
            <w:vAlign w:val="bottom"/>
          </w:tcPr>
          <w:p>
            <w:pPr>
              <w:spacing w:after="0"/>
              <w:rPr>
                <w:sz w:val="17"/>
                <w:szCs w:val="17"/>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6,825,650</w:t>
            </w:r>
          </w:p>
        </w:tc>
      </w:tr>
      <w:tr>
        <w:trPr>
          <w:trHeight w:val="397"/>
        </w:trPr>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1,180,961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1,043,474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3,665,589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3,175,897</w:t>
            </w:r>
          </w:p>
        </w:tc>
      </w:tr>
      <w:tr>
        <w:trPr>
          <w:trHeight w:val="203"/>
        </w:trPr>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799,896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710,526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2,436,988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2,069,733</w:t>
            </w:r>
          </w:p>
        </w:tc>
      </w:tr>
      <w:tr>
        <w:trPr>
          <w:trHeight w:val="203"/>
        </w:trPr>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300,273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915,160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969,064</w:t>
            </w:r>
          </w:p>
        </w:tc>
      </w:tr>
      <w:tr>
        <w:trPr>
          <w:trHeight w:val="208"/>
        </w:trPr>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41,113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42,046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123,867</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121,200</w:t>
            </w:r>
          </w:p>
        </w:tc>
      </w:tr>
      <w:tr>
        <w:trPr>
          <w:trHeight w:val="195"/>
        </w:trPr>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2,322,243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2,218,434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7,141,604</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6,335,894</w:t>
            </w:r>
          </w:p>
        </w:tc>
      </w:tr>
      <w:tr>
        <w:trPr>
          <w:trHeight w:val="191"/>
        </w:trPr>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247,558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748,965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489,756</w:t>
            </w:r>
          </w:p>
        </w:tc>
      </w:tr>
      <w:tr>
        <w:trPr>
          <w:trHeight w:val="203"/>
        </w:trPr>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(46,582)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(126,812)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(85,028)</w:t>
            </w:r>
          </w:p>
        </w:tc>
      </w:tr>
      <w:tr>
        <w:trPr>
          <w:trHeight w:val="206"/>
        </w:trPr>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-1310640</wp:posOffset>
            </wp:positionV>
            <wp:extent cx="7056755" cy="136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6755" cy="13652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-1045210</wp:posOffset>
            </wp:positionV>
            <wp:extent cx="705675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6755" cy="12890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-787400</wp:posOffset>
            </wp:positionV>
            <wp:extent cx="705675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6755" cy="12890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-528955</wp:posOffset>
            </wp:positionV>
            <wp:extent cx="7056755"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6755" cy="13652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-255905</wp:posOffset>
            </wp:positionV>
            <wp:extent cx="705675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6755"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60" w:space="380"/>
            <w:col w:w="7940"/>
          </w:cols>
          <w:pgMar w:left="320" w:top="338" w:right="399" w:bottom="1440" w:gutter="0" w:footer="0" w:header="0"/>
          <w:type w:val="continuous"/>
        </w:sectPr>
      </w:pPr>
    </w:p>
    <w:tbl>
      <w:tblPr>
        <w:tblLayout w:type="fixed"/>
        <w:tblInd w:w="60" w:type="dxa"/>
        <w:tblCellMar>
          <w:top w:w="0" w:type="dxa"/>
          <w:left w:w="0" w:type="dxa"/>
          <w:bottom w:w="0" w:type="dxa"/>
          <w:right w:w="0" w:type="dxa"/>
        </w:tblCellMar>
      </w:tblPr>
      <w:tr>
        <w:trPr>
          <w:trHeight w:val="197"/>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207,384</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41,228</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634,041</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442,849</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61,740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156,291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103,286</w:t>
            </w:r>
          </w:p>
        </w:tc>
        <w:tc>
          <w:tcPr>
            <w:tcW w:w="0" w:type="dxa"/>
            <w:vAlign w:val="bottom"/>
          </w:tcPr>
          <w:p>
            <w:pPr>
              <w:spacing w:after="0"/>
              <w:rPr>
                <w:sz w:val="1"/>
                <w:szCs w:val="1"/>
                <w:color w:val="auto"/>
              </w:rPr>
            </w:pPr>
          </w:p>
        </w:tc>
      </w:tr>
      <w:tr>
        <w:trPr>
          <w:trHeight w:val="19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477,750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339,563</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2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48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340,213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common share (Note 4):</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480" w:type="dxa"/>
            <w:vAlign w:val="bottom"/>
            <w:tcBorders>
              <w:bottom w:val="single" w:sz="8" w:color="auto"/>
            </w:tcBorders>
          </w:tcPr>
          <w:p>
            <w:pPr>
              <w:jc w:val="right"/>
              <w:ind w:right="300"/>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40"/>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00"/>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ind w:right="300"/>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5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530"/>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200" w:type="dxa"/>
            <w:vAlign w:val="bottom"/>
            <w:gridSpan w:val="8"/>
          </w:tcPr>
          <w:p>
            <w:pPr>
              <w:jc w:val="center"/>
              <w:ind w:left="1420"/>
              <w:spacing w:after="0"/>
              <w:rPr>
                <w:sz w:val="20"/>
                <w:szCs w:val="20"/>
                <w:color w:val="auto"/>
              </w:rPr>
            </w:pPr>
            <w:r>
              <w:rPr>
                <w:rFonts w:ascii="Times New Roman" w:cs="Times New Roman" w:eastAsia="Times New Roman" w:hAnsi="Times New Roman"/>
                <w:sz w:val="16"/>
                <w:szCs w:val="16"/>
                <w:b w:val="1"/>
                <w:bCs w:val="1"/>
                <w:color w:val="auto"/>
                <w:w w:val="98"/>
              </w:rPr>
              <w:t>BOOZ ALLEN HAMILTON HOLDING CORPORATION</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500" w:type="dxa"/>
            <w:vAlign w:val="bottom"/>
            <w:gridSpan w:val="9"/>
          </w:tcPr>
          <w:p>
            <w:pPr>
              <w:jc w:val="center"/>
              <w:ind w:left="1120"/>
              <w:spacing w:after="0"/>
              <w:rPr>
                <w:sz w:val="20"/>
                <w:szCs w:val="20"/>
                <w:color w:val="auto"/>
              </w:rPr>
            </w:pPr>
            <w:r>
              <w:rPr>
                <w:rFonts w:ascii="Times New Roman" w:cs="Times New Roman" w:eastAsia="Times New Roman" w:hAnsi="Times New Roman"/>
                <w:sz w:val="16"/>
                <w:szCs w:val="16"/>
                <w:b w:val="1"/>
                <w:bCs w:val="1"/>
                <w:color w:val="auto"/>
                <w:w w:val="98"/>
              </w:rPr>
              <w:t>CONDENSED CONSOLIDATED STATEMENTS OF COMPREHENSIVE INCOME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80" w:type="dxa"/>
            <w:vAlign w:val="bottom"/>
            <w:gridSpan w:val="5"/>
          </w:tcPr>
          <w:p>
            <w:pPr>
              <w:jc w:val="center"/>
              <w:ind w:left="2820"/>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3"/>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22"/>
                <w:szCs w:val="22"/>
                <w:color w:val="auto"/>
              </w:rPr>
            </w:pPr>
          </w:p>
        </w:tc>
        <w:tc>
          <w:tcPr>
            <w:tcW w:w="24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3"/>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198"/>
        </w:trPr>
        <w:tc>
          <w:tcPr>
            <w:tcW w:w="40" w:type="dxa"/>
            <w:vAlign w:val="bottom"/>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39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40" w:type="dxa"/>
            <w:vAlign w:val="bottom"/>
          </w:tcPr>
          <w:p>
            <w:pPr>
              <w:spacing w:after="0"/>
              <w:rPr>
                <w:sz w:val="16"/>
                <w:szCs w:val="16"/>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477,750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339,563</w:t>
            </w:r>
          </w:p>
        </w:tc>
      </w:tr>
      <w:tr>
        <w:trPr>
          <w:trHeight w:val="203"/>
        </w:trPr>
        <w:tc>
          <w:tcPr>
            <w:tcW w:w="4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Change in unrealized gain (loss) on derivatives designated as cash flow hedges</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13,498</w:t>
            </w:r>
          </w:p>
        </w:tc>
      </w:tr>
      <w:tr>
        <w:trPr>
          <w:trHeight w:val="203"/>
        </w:trPr>
        <w:tc>
          <w:tcPr>
            <w:tcW w:w="40" w:type="dxa"/>
            <w:vAlign w:val="bottom"/>
          </w:tcPr>
          <w:p>
            <w:pPr>
              <w:spacing w:after="0"/>
              <w:rPr>
                <w:sz w:val="17"/>
                <w:szCs w:val="17"/>
                <w:color w:val="auto"/>
              </w:rPr>
            </w:pPr>
          </w:p>
        </w:tc>
        <w:tc>
          <w:tcPr>
            <w:tcW w:w="5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 in postretirement plan costs</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5"/>
        </w:trPr>
        <w:tc>
          <w:tcPr>
            <w:tcW w:w="40" w:type="dxa"/>
            <w:vAlign w:val="bottom"/>
          </w:tcPr>
          <w:p>
            <w:pPr>
              <w:spacing w:after="0"/>
              <w:rPr>
                <w:sz w:val="16"/>
                <w:szCs w:val="16"/>
                <w:color w:val="auto"/>
              </w:rPr>
            </w:pPr>
          </w:p>
        </w:tc>
        <w:tc>
          <w:tcPr>
            <w:tcW w:w="51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w:t>
            </w:r>
          </w:p>
        </w:tc>
      </w:tr>
      <w:tr>
        <w:trPr>
          <w:trHeight w:val="195"/>
        </w:trPr>
        <w:tc>
          <w:tcPr>
            <w:tcW w:w="40" w:type="dxa"/>
            <w:vAlign w:val="bottom"/>
          </w:tcPr>
          <w:p>
            <w:pPr>
              <w:spacing w:after="0"/>
              <w:rPr>
                <w:sz w:val="16"/>
                <w:szCs w:val="16"/>
                <w:color w:val="auto"/>
              </w:rPr>
            </w:pPr>
          </w:p>
        </w:tc>
        <w:tc>
          <w:tcPr>
            <w:tcW w:w="51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Comprehensive income</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353,057</w:t>
            </w:r>
          </w:p>
        </w:tc>
      </w:tr>
      <w:tr>
        <w:trPr>
          <w:trHeight w:val="203"/>
        </w:trPr>
        <w:tc>
          <w:tcPr>
            <w:tcW w:w="40" w:type="dxa"/>
            <w:vAlign w:val="bottom"/>
          </w:tcPr>
          <w:p>
            <w:pPr>
              <w:spacing w:after="0"/>
              <w:rPr>
                <w:sz w:val="17"/>
                <w:szCs w:val="17"/>
                <w:color w:val="auto"/>
              </w:rPr>
            </w:pPr>
          </w:p>
        </w:tc>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195"/>
        </w:trPr>
        <w:tc>
          <w:tcPr>
            <w:tcW w:w="40" w:type="dxa"/>
            <w:vAlign w:val="bottom"/>
          </w:tcPr>
          <w:p>
            <w:pPr>
              <w:spacing w:after="0"/>
              <w:rPr>
                <w:sz w:val="16"/>
                <w:szCs w:val="16"/>
                <w:color w:val="auto"/>
              </w:rPr>
            </w:pPr>
          </w:p>
        </w:tc>
        <w:tc>
          <w:tcPr>
            <w:tcW w:w="51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44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139,255</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30,935</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473,920</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353,707</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920" w:type="dxa"/>
            <w:vAlign w:val="bottom"/>
          </w:tcPr>
          <w:p>
            <w:pPr>
              <w:jc w:val="center"/>
              <w:ind w:left="1700"/>
              <w:spacing w:after="0"/>
              <w:rPr>
                <w:sz w:val="20"/>
                <w:szCs w:val="20"/>
                <w:color w:val="auto"/>
              </w:rPr>
            </w:pPr>
            <w:r>
              <w:rPr>
                <w:rFonts w:ascii="Times New Roman" w:cs="Times New Roman" w:eastAsia="Times New Roman" w:hAnsi="Times New Roman"/>
                <w:sz w:val="16"/>
                <w:szCs w:val="16"/>
                <w:b w:val="1"/>
                <w:bCs w:val="1"/>
                <w:color w:val="auto"/>
                <w:w w:val="98"/>
              </w:rPr>
              <w:t>BOOZ ALLEN HAMILTON HOLDING CORPORATION</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20" w:type="dxa"/>
            <w:vAlign w:val="bottom"/>
          </w:tcPr>
          <w:p>
            <w:pPr>
              <w:jc w:val="center"/>
              <w:ind w:left="1700"/>
              <w:spacing w:after="0"/>
              <w:rPr>
                <w:sz w:val="20"/>
                <w:szCs w:val="20"/>
                <w:color w:val="auto"/>
              </w:rPr>
            </w:pPr>
            <w:r>
              <w:rPr>
                <w:rFonts w:ascii="Times New Roman" w:cs="Times New Roman" w:eastAsia="Times New Roman" w:hAnsi="Times New Roman"/>
                <w:sz w:val="16"/>
                <w:szCs w:val="16"/>
                <w:b w:val="1"/>
                <w:bCs w:val="1"/>
                <w:color w:val="auto"/>
                <w:w w:val="98"/>
              </w:rPr>
              <w:t>CONDENSED CONSOLIDATED STATEMENTS OF CASH FLOWS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20" w:type="dxa"/>
            <w:vAlign w:val="bottom"/>
          </w:tcPr>
          <w:p>
            <w:pPr>
              <w:jc w:val="center"/>
              <w:ind w:left="17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340" w:type="dxa"/>
            <w:vAlign w:val="bottom"/>
          </w:tcPr>
          <w:p>
            <w:pPr>
              <w:spacing w:after="0"/>
              <w:rPr>
                <w:sz w:val="19"/>
                <w:szCs w:val="19"/>
                <w:color w:val="auto"/>
              </w:rPr>
            </w:pPr>
          </w:p>
        </w:tc>
        <w:tc>
          <w:tcPr>
            <w:tcW w:w="268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8160" w:type="dxa"/>
            <w:vAlign w:val="bottom"/>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6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477,750</w:t>
            </w:r>
          </w:p>
        </w:tc>
        <w:tc>
          <w:tcPr>
            <w:tcW w:w="80" w:type="dxa"/>
            <w:vAlign w:val="bottom"/>
          </w:tcPr>
          <w:p>
            <w:pPr>
              <w:spacing w:after="0"/>
              <w:rPr>
                <w:sz w:val="17"/>
                <w:szCs w:val="17"/>
                <w:color w:val="auto"/>
              </w:rPr>
            </w:pPr>
          </w:p>
        </w:tc>
        <w:tc>
          <w:tcPr>
            <w:tcW w:w="5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339,563</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121,200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Noncash lease expense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Losses (gains) on dispositions, and other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(193,483)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(169,375)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Deferred income taxes and income taxes receivable / payable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(206,065)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Prepaid expenses and other current and long-term assets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178,383</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Accounts payable and other accrued expenses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(323,730)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79,550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(40,145)</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(40,890)</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1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115,068</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365,674</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Purchases of property, equipment, and software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Payments for business acquisitions and dispositions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(440,069)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Payments for cost method investments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Proceeds from sale of businesses</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160" w:type="dxa"/>
            <w:vAlign w:val="bottom"/>
            <w:tcBorders>
              <w:top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(68,254)</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(440,058)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Stock option exercises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(303,654)</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(114,075)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Cash dividends paid</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(186,787)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(173,216)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Repayments on revolving credit facility, term loans, and Senior Notes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(530,937)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(406,755)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Net proceeds from debt issuance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636,207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414,751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16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150,137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(250,587)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196,951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(324,971)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and cash equivalents––beginning of period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404,862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695,910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8"/>
                <w:szCs w:val="18"/>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equivalents––end of period</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601,813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paid during the period for: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105,259</w:t>
            </w:r>
          </w:p>
        </w:tc>
        <w:tc>
          <w:tcPr>
            <w:tcW w:w="80" w:type="dxa"/>
            <w:vAlign w:val="bottom"/>
          </w:tcPr>
          <w:p>
            <w:pPr>
              <w:spacing w:after="0"/>
              <w:rPr>
                <w:sz w:val="17"/>
                <w:szCs w:val="17"/>
                <w:color w:val="auto"/>
              </w:rPr>
            </w:pPr>
          </w:p>
        </w:tc>
        <w:tc>
          <w:tcPr>
            <w:tcW w:w="5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222,267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123,214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35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0"/>
        </w:trPr>
        <w:tc>
          <w:tcPr>
            <w:tcW w:w="30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4420" w:type="dxa"/>
            <w:vAlign w:val="bottom"/>
            <w:gridSpan w:val="1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BOOZ ALLEN HAMILTON HOLDING CORPORATION</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540" w:type="dxa"/>
            <w:vAlign w:val="bottom"/>
            <w:gridSpan w:val="15"/>
          </w:tcPr>
          <w:p>
            <w:pPr>
              <w:jc w:val="center"/>
              <w:ind w:left="1080"/>
              <w:spacing w:after="0" w:line="161" w:lineRule="exact"/>
              <w:rPr>
                <w:sz w:val="20"/>
                <w:szCs w:val="20"/>
                <w:color w:val="auto"/>
              </w:rPr>
            </w:pPr>
            <w:r>
              <w:rPr>
                <w:rFonts w:ascii="Times New Roman" w:cs="Times New Roman" w:eastAsia="Times New Roman" w:hAnsi="Times New Roman"/>
                <w:sz w:val="16"/>
                <w:szCs w:val="16"/>
                <w:b w:val="1"/>
                <w:bCs w:val="1"/>
                <w:color w:val="auto"/>
                <w:w w:val="98"/>
              </w:rPr>
              <w:t>CONDENSED CONSOLIDATED STATEMENTS OF STOCKHOLDERS’ EQUITY</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1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gridSpan w:val="4"/>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00" w:type="dxa"/>
            <w:vAlign w:val="bottom"/>
          </w:tcPr>
          <w:p>
            <w:pPr>
              <w:spacing w:after="0"/>
              <w:rPr>
                <w:sz w:val="7"/>
                <w:szCs w:val="7"/>
                <w:color w:val="auto"/>
              </w:rPr>
            </w:pPr>
          </w:p>
        </w:tc>
        <w:tc>
          <w:tcPr>
            <w:tcW w:w="3220" w:type="dxa"/>
            <w:vAlign w:val="bottom"/>
            <w:gridSpan w:val="2"/>
            <w:vMerge w:val="restart"/>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(Amounts in thousands, except share data)</w:t>
            </w:r>
          </w:p>
        </w:tc>
        <w:tc>
          <w:tcPr>
            <w:tcW w:w="114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840" w:type="dxa"/>
            <w:vAlign w:val="bottom"/>
            <w:gridSpan w:val="3"/>
            <w:vMerge w:val="restart"/>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160"/>
              <w:spacing w:after="0" w:line="17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7"/>
                <w:szCs w:val="7"/>
                <w:color w:val="auto"/>
              </w:rPr>
            </w:pPr>
          </w:p>
        </w:tc>
        <w:tc>
          <w:tcPr>
            <w:tcW w:w="800" w:type="dxa"/>
            <w:vAlign w:val="bottom"/>
            <w:vMerge w:val="restart"/>
          </w:tcPr>
          <w:p>
            <w:pPr>
              <w:jc w:val="right"/>
              <w:ind w:right="240"/>
              <w:spacing w:after="0" w:line="179"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96"/>
        </w:trPr>
        <w:tc>
          <w:tcPr>
            <w:tcW w:w="300" w:type="dxa"/>
            <w:vAlign w:val="bottom"/>
          </w:tcPr>
          <w:p>
            <w:pPr>
              <w:spacing w:after="0"/>
              <w:rPr>
                <w:sz w:val="8"/>
                <w:szCs w:val="8"/>
                <w:color w:val="auto"/>
              </w:rPr>
            </w:pPr>
          </w:p>
        </w:tc>
        <w:tc>
          <w:tcPr>
            <w:tcW w:w="3220" w:type="dxa"/>
            <w:vAlign w:val="bottom"/>
            <w:gridSpan w:val="2"/>
            <w:vMerge w:val="continue"/>
          </w:tcPr>
          <w:p>
            <w:pPr>
              <w:spacing w:after="0"/>
              <w:rPr>
                <w:sz w:val="8"/>
                <w:szCs w:val="8"/>
                <w:color w:val="auto"/>
              </w:rPr>
            </w:pPr>
          </w:p>
        </w:tc>
        <w:tc>
          <w:tcPr>
            <w:tcW w:w="162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8"/>
                <w:szCs w:val="8"/>
                <w:color w:val="auto"/>
              </w:rPr>
            </w:pPr>
          </w:p>
        </w:tc>
        <w:tc>
          <w:tcPr>
            <w:tcW w:w="180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vMerge w:val="restart"/>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2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Borders>
              <w:bottom w:val="single" w:sz="8" w:color="auto"/>
            </w:tcBorders>
            <w:gridSpan w:val="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2"/>
          </w:tcPr>
          <w:p>
            <w:pPr>
              <w:ind w:left="100"/>
              <w:spacing w:after="0" w:line="117"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16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8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80" w:type="dxa"/>
            <w:vAlign w:val="bottom"/>
          </w:tcPr>
          <w:p>
            <w:pPr>
              <w:spacing w:after="0"/>
              <w:rPr>
                <w:sz w:val="18"/>
                <w:szCs w:val="18"/>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166,669,125</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(36,095,259)</w:t>
            </w:r>
          </w:p>
        </w:tc>
        <w:tc>
          <w:tcPr>
            <w:tcW w:w="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(2,054,418)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834,042</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2,258,947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31,892</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1,072,130</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6,951</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1,276</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(764,764)</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(95,316)</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145,644</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322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Dividends declared of $0.47 per share of</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3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(61,821)</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23,767</w:t>
            </w:r>
          </w:p>
        </w:tc>
        <w:tc>
          <w:tcPr>
            <w:tcW w:w="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23,767</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166,799,073</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(36,860,023)</w:t>
            </w:r>
          </w:p>
        </w:tc>
        <w:tc>
          <w:tcPr>
            <w:tcW w:w="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$(2,149,734)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866,036</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$2,342,770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25,503</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1,086,243</w:t>
            </w: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p>
        </w:tc>
        <w:tc>
          <w:tcPr>
            <w:tcW w:w="3220" w:type="dxa"/>
            <w:vAlign w:val="bottom"/>
            <w:tcBorders>
              <w:bottom w:val="single" w:sz="8" w:color="CCEEFF"/>
            </w:tcBorders>
            <w:gridSpan w:val="2"/>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165,872,332</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(34,234,744)</w:t>
            </w:r>
          </w:p>
        </w:tc>
        <w:tc>
          <w:tcPr>
            <w:tcW w:w="6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(1,859,905)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769,460</w:t>
            </w:r>
          </w:p>
        </w:tc>
        <w:tc>
          <w:tcPr>
            <w:tcW w:w="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2,051,455</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29,333</w:t>
            </w: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992,002</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610,945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20,893</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20,899</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315,796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14,406</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14,409</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tcPr>
          <w:p>
            <w:pPr>
              <w:ind w:left="120"/>
              <w:spacing w:after="0" w:line="204" w:lineRule="exact"/>
              <w:rPr>
                <w:sz w:val="20"/>
                <w:szCs w:val="20"/>
                <w:color w:val="auto"/>
              </w:rPr>
            </w:pPr>
            <w:r>
              <w:rPr>
                <w:rFonts w:ascii="Times New Roman" w:cs="Times New Roman" w:eastAsia="Times New Roman" w:hAnsi="Times New Roman"/>
                <w:sz w:val="16"/>
                <w:szCs w:val="16"/>
                <w:color w:val="auto"/>
              </w:rPr>
              <w:t xml:space="preserve">Repurchase of common stock </w:t>
            </w:r>
            <w:r>
              <w:rPr>
                <w:rFonts w:ascii="Times New Roman" w:cs="Times New Roman" w:eastAsia="Times New Roman" w:hAnsi="Times New Roman"/>
                <w:sz w:val="20"/>
                <w:szCs w:val="20"/>
                <w:color w:val="auto"/>
                <w:vertAlign w:val="superscript"/>
              </w:rPr>
              <w:t>(1)</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(2,625,279)</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(289,829)</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477,750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477,750</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322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Dividends declared of $1.41 per share of</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3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(186,435)</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61,277</w:t>
            </w:r>
          </w:p>
        </w:tc>
        <w:tc>
          <w:tcPr>
            <w:tcW w:w="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61,277</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166,799,073</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(36,860,023)</w:t>
            </w:r>
          </w:p>
        </w:tc>
        <w:tc>
          <w:tcPr>
            <w:tcW w:w="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(2,149,734)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866,036</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2,342,770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25,503</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1,086,243</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60" w:hanging="134"/>
        <w:spacing w:after="0" w:line="271" w:lineRule="auto"/>
        <w:tabs>
          <w:tab w:leader="none" w:pos="577"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nine months ended December 31, 2023, the Company purchased 2.5 million shares of the Company’s Class A Common Stock in a series of open market transactions for $272.8 million. Additionally, the Company repurchased shares for $14.9 million during the nine months ended December 31, 2023 to cover the minimum statutory withholding taxes on restricted stock units that vested on various dates during the period.</w:t>
      </w:r>
    </w:p>
    <w:p>
      <w:pPr>
        <w:spacing w:after="0" w:line="200" w:lineRule="exact"/>
        <w:rPr>
          <w:sz w:val="20"/>
          <w:szCs w:val="20"/>
          <w:color w:val="auto"/>
        </w:rPr>
      </w:pPr>
    </w:p>
    <w:p>
      <w:pPr>
        <w:spacing w:after="0" w:line="26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020"/>
          </w:cols>
          <w:pgMar w:left="320" w:top="326" w:right="5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15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6"/>
        </w:trPr>
        <w:tc>
          <w:tcPr>
            <w:tcW w:w="3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0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BOOZ ALLEN HAMILTON HOLDING CORPORATION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20" w:type="dxa"/>
            <w:vAlign w:val="bottom"/>
            <w:gridSpan w:val="14"/>
          </w:tcPr>
          <w:p>
            <w:pPr>
              <w:jc w:val="center"/>
              <w:ind w:right="360"/>
              <w:spacing w:after="0" w:line="161" w:lineRule="exact"/>
              <w:rPr>
                <w:sz w:val="20"/>
                <w:szCs w:val="20"/>
                <w:color w:val="auto"/>
              </w:rPr>
            </w:pPr>
            <w:r>
              <w:rPr>
                <w:rFonts w:ascii="Times New Roman" w:cs="Times New Roman" w:eastAsia="Times New Roman" w:hAnsi="Times New Roman"/>
                <w:sz w:val="16"/>
                <w:szCs w:val="16"/>
                <w:b w:val="1"/>
                <w:bCs w:val="1"/>
                <w:color w:val="auto"/>
                <w:w w:val="98"/>
              </w:rPr>
              <w:t>CONDENSED CONSOLIDATED STATEMENTS OF STOCKHOLDERS’ EQUITY</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(Amounts in</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w w:val="96"/>
              </w:rPr>
              <w:t>Class A</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4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22"/>
                <w:szCs w:val="22"/>
                <w:color w:val="auto"/>
              </w:rPr>
            </w:pPr>
          </w:p>
        </w:tc>
        <w:tc>
          <w:tcPr>
            <w:tcW w:w="10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22"/>
                <w:szCs w:val="22"/>
                <w:color w:val="auto"/>
              </w:rPr>
            </w:pPr>
          </w:p>
        </w:tc>
        <w:tc>
          <w:tcPr>
            <w:tcW w:w="80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thousands,</w:t>
            </w:r>
          </w:p>
        </w:tc>
        <w:tc>
          <w:tcPr>
            <w:tcW w:w="2040" w:type="dxa"/>
            <w:vAlign w:val="bottom"/>
            <w:gridSpan w:val="5"/>
          </w:tcPr>
          <w:p>
            <w:pPr>
              <w:ind w:left="360"/>
              <w:spacing w:after="0" w:line="155"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2340" w:type="dxa"/>
            <w:vAlign w:val="bottom"/>
            <w:gridSpan w:val="4"/>
          </w:tcPr>
          <w:p>
            <w:pPr>
              <w:ind w:left="820"/>
              <w:spacing w:after="0" w:line="155" w:lineRule="exact"/>
              <w:rPr>
                <w:sz w:val="20"/>
                <w:szCs w:val="20"/>
                <w:color w:val="auto"/>
              </w:rPr>
            </w:pPr>
            <w:r>
              <w:rPr>
                <w:rFonts w:ascii="Times New Roman" w:cs="Times New Roman" w:eastAsia="Times New Roman" w:hAnsi="Times New Roman"/>
                <w:sz w:val="16"/>
                <w:szCs w:val="16"/>
                <w:b w:val="1"/>
                <w:bCs w:val="1"/>
                <w:color w:val="auto"/>
              </w:rPr>
              <w:t>Stock</w:t>
            </w:r>
          </w:p>
        </w:tc>
        <w:tc>
          <w:tcPr>
            <w:tcW w:w="106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360" w:type="dxa"/>
            <w:vAlign w:val="bottom"/>
          </w:tcPr>
          <w:p>
            <w:pPr>
              <w:spacing w:after="0"/>
              <w:rPr>
                <w:sz w:val="5"/>
                <w:szCs w:val="5"/>
                <w:color w:val="auto"/>
              </w:rPr>
            </w:pPr>
          </w:p>
        </w:tc>
        <w:tc>
          <w:tcPr>
            <w:tcW w:w="1180" w:type="dxa"/>
            <w:vAlign w:val="bottom"/>
            <w:gridSpan w:val="2"/>
            <w:vMerge w:val="restart"/>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except share</w:t>
            </w:r>
          </w:p>
        </w:tc>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Paid-In</w:t>
            </w:r>
          </w:p>
        </w:tc>
        <w:tc>
          <w:tcPr>
            <w:tcW w:w="1100" w:type="dxa"/>
            <w:vAlign w:val="bottom"/>
            <w:gridSpan w:val="2"/>
            <w:vMerge w:val="restart"/>
          </w:tcPr>
          <w:p>
            <w:pPr>
              <w:ind w:left="80"/>
              <w:spacing w:after="0" w:line="131"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60" w:type="dxa"/>
            <w:vAlign w:val="bottom"/>
            <w:gridSpan w:val="3"/>
            <w:vMerge w:val="restart"/>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20" w:type="dxa"/>
            <w:vAlign w:val="bottom"/>
            <w:gridSpan w:val="3"/>
            <w:vMerge w:val="restart"/>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980" w:type="dxa"/>
            <w:vAlign w:val="bottom"/>
            <w:gridSpan w:val="2"/>
            <w:vMerge w:val="restart"/>
          </w:tcPr>
          <w:p>
            <w:pPr>
              <w:ind w:left="20"/>
              <w:spacing w:after="0" w:line="131"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52"/>
        </w:trPr>
        <w:tc>
          <w:tcPr>
            <w:tcW w:w="3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data)</w:t>
            </w:r>
          </w:p>
        </w:tc>
        <w:tc>
          <w:tcPr>
            <w:tcW w:w="1140" w:type="dxa"/>
            <w:vAlign w:val="bottom"/>
            <w:gridSpan w:val="2"/>
            <w:vMerge w:val="continue"/>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20" w:type="dxa"/>
            <w:vAlign w:val="bottom"/>
          </w:tcPr>
          <w:p>
            <w:pPr>
              <w:spacing w:after="0"/>
              <w:rPr>
                <w:sz w:val="17"/>
                <w:szCs w:val="17"/>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7"/>
                <w:szCs w:val="17"/>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180" w:type="dxa"/>
            <w:vAlign w:val="bottom"/>
            <w:tcBorders>
              <w:top w:val="single" w:sz="8" w:color="CCEEFF"/>
            </w:tcBorders>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118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165,110,617</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(32,795,658)</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(1,722,881)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706,620</w:t>
            </w: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2,208,952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22,141</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1,218,535</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18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5"/>
                <w:szCs w:val="15"/>
                <w:color w:val="auto"/>
              </w:rPr>
              <w:t>Issuance of</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3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Stock options</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Repurchase of</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30,689</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Other</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6"/>
                <w:szCs w:val="16"/>
                <w:color w:val="auto"/>
              </w:rPr>
              <w:t>comprehensive</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loss, net of tax</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Dividends</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shd w:val="clear" w:color="auto" w:fill="CCEEFF"/>
          </w:tcPr>
          <w:p>
            <w:pPr>
              <w:ind w:left="120"/>
              <w:spacing w:after="0" w:line="163" w:lineRule="exact"/>
              <w:rPr>
                <w:sz w:val="20"/>
                <w:szCs w:val="20"/>
                <w:color w:val="auto"/>
              </w:rPr>
            </w:pPr>
            <w:r>
              <w:rPr>
                <w:rFonts w:ascii="Times New Roman" w:cs="Times New Roman" w:eastAsia="Times New Roman" w:hAnsi="Times New Roman"/>
                <w:sz w:val="16"/>
                <w:szCs w:val="16"/>
                <w:color w:val="auto"/>
              </w:rPr>
              <w:t>declared of</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$0.43 per share</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of common</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(57,334)</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18,890</w:t>
            </w:r>
          </w:p>
        </w:tc>
        <w:tc>
          <w:tcPr>
            <w:tcW w:w="3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18,890</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Contribution to</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shd w:val="clear" w:color="auto" w:fill="CCEEFF"/>
          </w:tcPr>
          <w:p>
            <w:pPr>
              <w:ind w:left="120"/>
              <w:spacing w:after="0" w:line="163" w:lineRule="exact"/>
              <w:rPr>
                <w:sz w:val="20"/>
                <w:szCs w:val="20"/>
                <w:color w:val="auto"/>
              </w:rPr>
            </w:pPr>
            <w:r>
              <w:rPr>
                <w:rFonts w:ascii="Times New Roman" w:cs="Times New Roman" w:eastAsia="Times New Roman" w:hAnsi="Times New Roman"/>
                <w:sz w:val="16"/>
                <w:szCs w:val="16"/>
                <w:color w:val="auto"/>
              </w:rPr>
              <w:t>non-</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controlling</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De-</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6"/>
                <w:szCs w:val="16"/>
                <w:color w:val="auto"/>
              </w:rPr>
              <w:t>consolidation</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1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of non-</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controlling</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180" w:type="dxa"/>
            <w:vAlign w:val="bottom"/>
            <w:tcBorders>
              <w:top w:val="single" w:sz="8" w:color="CCEEFF"/>
            </w:tcBorders>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118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165,262,848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(32,907,013)</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$(1,733,690)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733,022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$2,182,615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1,205,679</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1180" w:type="dxa"/>
            <w:vAlign w:val="bottom"/>
            <w:tcBorders>
              <w:bottom w:val="single" w:sz="8" w:color="CCEEFF"/>
            </w:tcBorders>
            <w:gridSpan w:val="2"/>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18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164,372,545</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(31,788,197)</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(1,635,454)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656,222</w:t>
            </w: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2,015,071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1,046,721</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18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5"/>
                <w:szCs w:val="15"/>
                <w:color w:val="auto"/>
              </w:rPr>
              <w:t>Issuance of</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17,999</w:t>
            </w:r>
          </w:p>
        </w:tc>
        <w:tc>
          <w:tcPr>
            <w:tcW w:w="3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Stock options</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300,276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Repurchase of</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common stock</w:t>
            </w:r>
          </w:p>
        </w:tc>
        <w:tc>
          <w:tcPr>
            <w:tcW w:w="11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(1,118,816)</w:t>
            </w:r>
          </w:p>
        </w:tc>
        <w:tc>
          <w:tcPr>
            <w:tcW w:w="3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(98,236)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(98,236)</w:t>
            </w:r>
          </w:p>
        </w:tc>
        <w:tc>
          <w:tcPr>
            <w:tcW w:w="0" w:type="dxa"/>
            <w:vAlign w:val="bottom"/>
          </w:tcPr>
          <w:p>
            <w:pPr>
              <w:spacing w:after="0"/>
              <w:rPr>
                <w:sz w:val="1"/>
                <w:szCs w:val="1"/>
                <w:color w:val="auto"/>
              </w:rPr>
            </w:pPr>
          </w:p>
        </w:tc>
      </w:tr>
      <w:tr>
        <w:trPr>
          <w:trHeight w:val="155"/>
        </w:trPr>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(2)</w:t>
            </w:r>
          </w:p>
        </w:tc>
        <w:tc>
          <w:tcPr>
            <w:tcW w:w="2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340,213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339,563</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Other</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6"/>
                <w:szCs w:val="16"/>
                <w:color w:val="auto"/>
              </w:rPr>
              <w:t>comprehensive</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1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income, net of</w:t>
            </w:r>
          </w:p>
        </w:tc>
        <w:tc>
          <w:tcPr>
            <w:tcW w:w="11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w:t>
            </w: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Dividends</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shd w:val="clear" w:color="auto" w:fill="CCEEFF"/>
          </w:tcPr>
          <w:p>
            <w:pPr>
              <w:ind w:left="120"/>
              <w:spacing w:after="0" w:line="163" w:lineRule="exact"/>
              <w:rPr>
                <w:sz w:val="20"/>
                <w:szCs w:val="20"/>
                <w:color w:val="auto"/>
              </w:rPr>
            </w:pPr>
            <w:r>
              <w:rPr>
                <w:rFonts w:ascii="Times New Roman" w:cs="Times New Roman" w:eastAsia="Times New Roman" w:hAnsi="Times New Roman"/>
                <w:sz w:val="16"/>
                <w:szCs w:val="16"/>
                <w:color w:val="auto"/>
              </w:rPr>
              <w:t>declared of</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$1.29 per share</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of common</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(172,669)</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50,992</w:t>
            </w:r>
          </w:p>
        </w:tc>
        <w:tc>
          <w:tcPr>
            <w:tcW w:w="3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50,992</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Contribution to</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shd w:val="clear" w:color="auto" w:fill="CCEEFF"/>
          </w:tcPr>
          <w:p>
            <w:pPr>
              <w:ind w:left="120"/>
              <w:spacing w:after="0" w:line="163" w:lineRule="exact"/>
              <w:rPr>
                <w:sz w:val="20"/>
                <w:szCs w:val="20"/>
                <w:color w:val="auto"/>
              </w:rPr>
            </w:pPr>
            <w:r>
              <w:rPr>
                <w:rFonts w:ascii="Times New Roman" w:cs="Times New Roman" w:eastAsia="Times New Roman" w:hAnsi="Times New Roman"/>
                <w:sz w:val="16"/>
                <w:szCs w:val="16"/>
                <w:color w:val="auto"/>
              </w:rPr>
              <w:t>non-</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180" w:type="dxa"/>
            <w:vAlign w:val="bottom"/>
            <w:gridSpan w:val="2"/>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controlling</w:t>
            </w:r>
          </w:p>
        </w:tc>
        <w:tc>
          <w:tcPr>
            <w:tcW w:w="11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3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11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De-</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180" w:type="dxa"/>
            <w:vAlign w:val="bottom"/>
            <w:gridSpan w:val="2"/>
          </w:tcPr>
          <w:p>
            <w:pPr>
              <w:ind w:left="120"/>
              <w:spacing w:after="0" w:line="163" w:lineRule="exact"/>
              <w:rPr>
                <w:sz w:val="20"/>
                <w:szCs w:val="20"/>
                <w:color w:val="auto"/>
              </w:rPr>
            </w:pPr>
            <w:r>
              <w:rPr>
                <w:rFonts w:ascii="Times New Roman" w:cs="Times New Roman" w:eastAsia="Times New Roman" w:hAnsi="Times New Roman"/>
                <w:sz w:val="16"/>
                <w:szCs w:val="16"/>
                <w:color w:val="auto"/>
              </w:rPr>
              <w:t>consolidation</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18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color w:val="auto"/>
              </w:rPr>
              <w:t>of non-</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color w:val="auto"/>
              </w:rPr>
              <w:t>controlling</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1180" w:type="dxa"/>
            <w:vAlign w:val="bottom"/>
            <w:tcBorders>
              <w:top w:val="single" w:sz="8" w:color="CCEEFF"/>
            </w:tcBorders>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8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118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165,262,848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(32,907,013)</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(1,733,690)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733,022</w:t>
            </w: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2,182,615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22,079</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1,205,679</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60" w:right="320" w:hanging="134"/>
        <w:spacing w:after="0" w:line="271" w:lineRule="auto"/>
        <w:tabs>
          <w:tab w:leader="none" w:pos="577"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nine months ended December 31, 2022, the Company purchased 1.0 million shares of the Company’s Class A Common Stock in a series of open market transactions for $86.4 million. Additionally, the Company repurchased shares for $11.8 million during the nine months ended December 31, 2022 to cover the minimum statutory withholding taxes on restricted stock units that vested on various dates during the period.</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340"/>
          </w:cols>
          <w:pgMar w:left="320" w:top="326" w:right="239" w:bottom="61"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340"/>
          </w:cols>
          <w:pgMar w:left="320" w:top="326" w:right="239" w:bottom="61"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0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Business Overview</w:t>
      </w:r>
    </w:p>
    <w:p>
      <w:pPr>
        <w:spacing w:after="0" w:line="105" w:lineRule="exact"/>
        <w:rPr>
          <w:sz w:val="20"/>
          <w:szCs w:val="20"/>
          <w:color w:val="auto"/>
        </w:rPr>
      </w:pPr>
    </w:p>
    <w:p>
      <w:pPr>
        <w:ind w:right="220" w:firstLine="358"/>
        <w:spacing w:after="0" w:line="259" w:lineRule="auto"/>
        <w:rPr>
          <w:sz w:val="20"/>
          <w:szCs w:val="20"/>
          <w:color w:val="auto"/>
        </w:rPr>
      </w:pPr>
      <w:r>
        <w:rPr>
          <w:rFonts w:ascii="Times New Roman" w:cs="Times New Roman" w:eastAsia="Times New Roman" w:hAnsi="Times New Roman"/>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33,800 employees as of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w:t>
      </w:r>
    </w:p>
    <w:p>
      <w:pPr>
        <w:spacing w:after="0" w:line="105" w:lineRule="exact"/>
        <w:rPr>
          <w:sz w:val="20"/>
          <w:szCs w:val="20"/>
          <w:color w:val="auto"/>
        </w:rPr>
      </w:pPr>
    </w:p>
    <w:p>
      <w:pPr>
        <w:ind w:right="240" w:firstLine="358"/>
        <w:spacing w:after="0" w:line="254"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U.S. generally accepted accounting principles (“GAAP”) and pursuant to the rules and regulations of the U.S. Securities and Exchange Commission (the “SEC”) and should be read in conjunction with the information contained in the Company's Annual Report on Form 10-K for the year ended March 31, 2023.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nine months ended December 31, 2023 are not necessarily indicative of results to be expected for the full fiscal year.</w:t>
      </w:r>
    </w:p>
    <w:p>
      <w:pPr>
        <w:spacing w:after="0" w:line="71" w:lineRule="exact"/>
        <w:rPr>
          <w:sz w:val="20"/>
          <w:szCs w:val="20"/>
          <w:color w:val="auto"/>
        </w:rPr>
      </w:pPr>
    </w:p>
    <w:p>
      <w:pPr>
        <w:ind w:right="40" w:firstLine="358"/>
        <w:spacing w:after="0" w:line="280" w:lineRule="auto"/>
        <w:rPr>
          <w:sz w:val="20"/>
          <w:szCs w:val="20"/>
          <w:color w:val="auto"/>
        </w:rPr>
      </w:pPr>
      <w:r>
        <w:rPr>
          <w:rFonts w:ascii="Times New Roman" w:cs="Times New Roman" w:eastAsia="Times New Roman" w:hAnsi="Times New Roman"/>
          <w:sz w:val="16"/>
          <w:szCs w:val="16"/>
          <w:color w:val="auto"/>
        </w:rPr>
        <w:t>The condensed consolidated financial statements and notes of the Company include its subsidiaries, and other entities over which the Company has a controlling financial interest or where the Company is a primary beneficiary.</w:t>
      </w:r>
    </w:p>
    <w:p>
      <w:pPr>
        <w:spacing w:after="0" w:line="49" w:lineRule="exact"/>
        <w:rPr>
          <w:sz w:val="20"/>
          <w:szCs w:val="20"/>
          <w:color w:val="auto"/>
        </w:rPr>
      </w:pPr>
    </w:p>
    <w:p>
      <w:pPr>
        <w:ind w:right="420" w:firstLine="358"/>
        <w:spacing w:after="0" w:line="280" w:lineRule="auto"/>
        <w:rPr>
          <w:sz w:val="20"/>
          <w:szCs w:val="20"/>
          <w:color w:val="auto"/>
        </w:rPr>
      </w:pPr>
      <w:r>
        <w:rPr>
          <w:rFonts w:ascii="Times New Roman" w:cs="Times New Roman" w:eastAsia="Times New Roman" w:hAnsi="Times New Roman"/>
          <w:sz w:val="16"/>
          <w:szCs w:val="16"/>
          <w:color w:val="auto"/>
        </w:rPr>
        <w:t>Certain amounts reported in the Company's prior fiscal year condensed consolidated financial statements have been reclassified to conform to the current fiscal year presentation.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Variable Interest Entities and Other Investments</w:t>
      </w:r>
    </w:p>
    <w:p>
      <w:pPr>
        <w:spacing w:after="0" w:line="107" w:lineRule="exact"/>
        <w:rPr>
          <w:sz w:val="20"/>
          <w:szCs w:val="20"/>
          <w:color w:val="auto"/>
        </w:rPr>
      </w:pPr>
    </w:p>
    <w:p>
      <w:pPr>
        <w:ind w:firstLine="574"/>
        <w:spacing w:after="0" w:line="254" w:lineRule="auto"/>
        <w:rPr>
          <w:sz w:val="20"/>
          <w:szCs w:val="20"/>
          <w:color w:val="auto"/>
        </w:rPr>
      </w:pPr>
      <w:r>
        <w:rPr>
          <w:rFonts w:ascii="Times New Roman" w:cs="Times New Roman" w:eastAsia="Times New Roman" w:hAnsi="Times New Roman"/>
          <w:sz w:val="16"/>
          <w:szCs w:val="16"/>
          <w:color w:val="auto"/>
        </w:rPr>
        <w:t>The Company invests in certain companies that advance or develop new technologies applicable to its business. Each investment is evaluated for consolidation under the variable interest entities model and/or the voting interest model. The results of these investments are not material to the unaudited condensed and consolidated financial statements for the periods presented.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accounted for under the measurement alternative. As of December 31, 2023 and March 31, 2023, respectively, the total of equity and other investments related to unconsolidated entities included in other long term assets of the Company’s condensed consolidated balance sheet were $41.1 million and $23.1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Estimates</w:t>
      </w:r>
    </w:p>
    <w:p>
      <w:pPr>
        <w:spacing w:after="0" w:line="107" w:lineRule="exact"/>
        <w:rPr>
          <w:sz w:val="20"/>
          <w:szCs w:val="20"/>
          <w:color w:val="auto"/>
        </w:rPr>
      </w:pPr>
    </w:p>
    <w:p>
      <w:pPr>
        <w:ind w:right="80" w:firstLine="358"/>
        <w:spacing w:after="0" w:line="255"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expected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2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07" w:lineRule="exact"/>
        <w:rPr>
          <w:sz w:val="20"/>
          <w:szCs w:val="20"/>
          <w:color w:val="auto"/>
        </w:rPr>
      </w:pPr>
    </w:p>
    <w:p>
      <w:pPr>
        <w:ind w:right="40" w:firstLine="358"/>
        <w:spacing w:after="0" w:line="253" w:lineRule="auto"/>
        <w:rPr>
          <w:sz w:val="20"/>
          <w:szCs w:val="20"/>
          <w:color w:val="auto"/>
        </w:rPr>
      </w:pPr>
      <w:r>
        <w:rPr>
          <w:rFonts w:ascii="Times New Roman" w:cs="Times New Roman" w:eastAsia="Times New Roman" w:hAnsi="Times New Roman"/>
          <w:sz w:val="16"/>
          <w:szCs w:val="16"/>
          <w:color w:val="auto"/>
        </w:rPr>
        <w:t>In March 2020, the FASB issued ASU 2020-04, Reference Rate Reform (Topic 848): Facilitation of the Effects of Reference Rate Reform on Financial Reporting (“Topic 848”). The guidance is intended to provide relief for entities impacted by reference rate reform. Topic 848 contains provisions and optional accounting expedients designed to simplify requirements around the designation of hedging relationships, probability assessments of hedged forecasted transactions, and accounting for modifications of contracts that refer to the London Interbank Offered Rate (“LIBOR”) or other rates affected by reference rate reform. The guidance is elective and is effective on the date of issuance. Topic 848 is applied prospectively to contract modifications and as of the effective date for existing and new eligible hedging relationships. During the first quarter of fiscal 2024, the Company modified its interest rate swap agreements to transition from LIBOR-indexed to term SOFR-indexed periodic swap payments to align with interest payments in connection with its term SOFR-indexed debt. As such, the Company elected the optional expedients under Topic 848 which allows the cash flow hedge to continue being recognized under hedge accounting without de-designation upon a change in critical terms affected by the reference rate reform. The adoption of this guidance did not have a material impact on the condensed consolidated financial statements and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 Not Yet Adopted</w:t>
      </w:r>
    </w:p>
    <w:p>
      <w:pPr>
        <w:spacing w:after="0" w:line="107" w:lineRule="exact"/>
        <w:rPr>
          <w:sz w:val="20"/>
          <w:szCs w:val="20"/>
          <w:color w:val="auto"/>
        </w:rPr>
      </w:pPr>
    </w:p>
    <w:p>
      <w:pPr>
        <w:ind w:right="240" w:firstLine="358"/>
        <w:spacing w:after="0" w:line="255"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which enhances reportable segment disclosure requirements, including significant segment expenses and interim disclosures (“Topic 280”). The guidance allows for disclosure of multiple measures of a segment’s profit or loss, and it requires that public entities with a single reportable segment provide all disclosures required by the ASU and all existing disclosures in Topic 280. ASU 2023-07 is effective for annual periods beginning after December 15, 2023 and interim periods within fiscal years beginning after December 15, 2024. The amendments are to be applied retrospectively, and early adoption is permitted. The Company is currently assessing the impact of this update and does not expect this update to have a material impact on its present or historical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Revenue</w:t>
      </w:r>
    </w:p>
    <w:p>
      <w:pPr>
        <w:spacing w:after="0" w:line="105" w:lineRule="exact"/>
        <w:rPr>
          <w:sz w:val="20"/>
          <w:szCs w:val="20"/>
          <w:color w:val="auto"/>
        </w:rPr>
      </w:pPr>
    </w:p>
    <w:p>
      <w:pPr>
        <w:ind w:firstLine="358"/>
        <w:spacing w:after="0" w:line="259" w:lineRule="auto"/>
        <w:rPr>
          <w:sz w:val="20"/>
          <w:szCs w:val="20"/>
          <w:color w:val="auto"/>
        </w:rPr>
      </w:pPr>
      <w:r>
        <w:rPr>
          <w:rFonts w:ascii="Times New Roman" w:cs="Times New Roman" w:eastAsia="Times New Roman" w:hAnsi="Times New Roman"/>
          <w:sz w:val="16"/>
          <w:szCs w:val="16"/>
          <w:color w:val="auto"/>
        </w:rPr>
        <w:t>The Company's revenues from contracts with customers (clients) are derived from offerings that include management and technology consulting services, analytics, digital solutions, engineering, mission operations, and cyber services, substantially all with the U.S. government and its agencies and, to a lesser extent, subcontractors. The Company also serves foreign governments, as well as domestic and international commercial clients. The Company performs and generates revenue under three basic types of contracts, which include cost-reimbursable contracts, time-and-materials contracts, and fixed-price contracts.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 Estimates</w:t>
      </w:r>
    </w:p>
    <w:p>
      <w:pPr>
        <w:spacing w:after="0" w:line="107" w:lineRule="exact"/>
        <w:rPr>
          <w:sz w:val="20"/>
          <w:szCs w:val="20"/>
          <w:color w:val="auto"/>
        </w:rPr>
      </w:pPr>
    </w:p>
    <w:p>
      <w:pPr>
        <w:ind w:firstLine="358"/>
        <w:spacing w:after="0" w:line="253" w:lineRule="auto"/>
        <w:rPr>
          <w:sz w:val="20"/>
          <w:szCs w:val="20"/>
          <w:color w:val="auto"/>
        </w:rPr>
      </w:pPr>
      <w:r>
        <w:rPr>
          <w:rFonts w:ascii="Times New Roman" w:cs="Times New Roman" w:eastAsia="Times New Roman" w:hAnsi="Times New Roman"/>
          <w:sz w:val="16"/>
          <w:szCs w:val="16"/>
          <w:color w:val="auto"/>
        </w:rPr>
        <w:t>We recognize revenue for many of our contracts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both the three and nine months ended December 31, 2023 and 2022, the aggregate impact of adjustments in contract estimates was not material.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Disaggregation of Revenue</w:t>
      </w:r>
    </w:p>
    <w:p>
      <w:pPr>
        <w:spacing w:after="0" w:line="107" w:lineRule="exact"/>
        <w:rPr>
          <w:sz w:val="20"/>
          <w:szCs w:val="20"/>
          <w:color w:val="auto"/>
        </w:rPr>
      </w:pPr>
    </w:p>
    <w:p>
      <w:pPr>
        <w:ind w:right="220" w:firstLine="358"/>
        <w:spacing w:after="0" w:line="265" w:lineRule="auto"/>
        <w:rPr>
          <w:sz w:val="20"/>
          <w:szCs w:val="20"/>
          <w:color w:val="auto"/>
        </w:rPr>
      </w:pPr>
      <w:r>
        <w:rPr>
          <w:rFonts w:ascii="Times New Roman" w:cs="Times New Roman" w:eastAsia="Times New Roman" w:hAnsi="Times New Roman"/>
          <w:sz w:val="16"/>
          <w:szCs w:val="16"/>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by Contract Type:</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generate revenue under the following three basic types of contracts:</w:t>
      </w:r>
    </w:p>
    <w:p>
      <w:pPr>
        <w:spacing w:after="0" w:line="103" w:lineRule="exact"/>
        <w:rPr>
          <w:sz w:val="20"/>
          <w:szCs w:val="20"/>
          <w:color w:val="auto"/>
        </w:rPr>
      </w:pPr>
    </w:p>
    <w:p>
      <w:pPr>
        <w:ind w:left="560" w:right="360" w:hanging="206"/>
        <w:spacing w:after="0" w:line="280" w:lineRule="auto"/>
        <w:tabs>
          <w:tab w:leader="none" w:pos="5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2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81" w:lineRule="exact"/>
        <w:rPr>
          <w:sz w:val="20"/>
          <w:szCs w:val="20"/>
          <w:color w:val="auto"/>
        </w:rPr>
      </w:pPr>
    </w:p>
    <w:p>
      <w:pPr>
        <w:jc w:val="both"/>
        <w:ind w:left="560" w:right="60" w:hanging="206"/>
        <w:spacing w:after="0" w:line="265" w:lineRule="auto"/>
        <w:tabs>
          <w:tab w:leader="none" w:pos="55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59" w:lineRule="exact"/>
        <w:rPr>
          <w:rFonts w:ascii="Times New Roman" w:cs="Times New Roman" w:eastAsia="Times New Roman" w:hAnsi="Times New Roman"/>
          <w:sz w:val="16"/>
          <w:szCs w:val="16"/>
          <w:color w:val="auto"/>
        </w:rPr>
      </w:pPr>
    </w:p>
    <w:p>
      <w:pPr>
        <w:jc w:val="both"/>
        <w:ind w:left="560" w:right="320" w:hanging="206"/>
        <w:spacing w:after="0" w:line="315" w:lineRule="auto"/>
        <w:tabs>
          <w:tab w:leader="none" w:pos="55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table below presents the total revenue for each type of contract: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500" w:type="dxa"/>
            <w:vAlign w:val="bottom"/>
            <w:gridSpan w:val="6"/>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Cost-reimbursable</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1,403,297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6"/>
              </w:rPr>
              <w:t>1,211,589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4,317,430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3,603,824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0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614,339</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572,491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1,888,679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1,682,831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552,165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492,994</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1,684,460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1,538,995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195"/>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w w:val="99"/>
              </w:rPr>
              <w:t>2,569,801</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6"/>
              </w:rPr>
              <w:t>2,277,074</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7,890,569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6,825,650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Revenue by Customer Type:</w:t>
            </w: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1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gridSpan w:val="6"/>
          </w:tcPr>
          <w:p>
            <w:pPr>
              <w:jc w:val="right"/>
              <w:ind w:right="500"/>
              <w:spacing w:after="0" w:line="179"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00" w:type="dxa"/>
            <w:vAlign w:val="bottom"/>
            <w:gridSpan w:val="6"/>
          </w:tcPr>
          <w:p>
            <w:pPr>
              <w:jc w:val="center"/>
              <w:ind w:right="560"/>
              <w:spacing w:after="0" w:line="179"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6"/>
                <w:szCs w:val="16"/>
                <w:color w:val="auto"/>
              </w:rPr>
              <w:t>U.S. government</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Defense Clients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1,224,561</w:t>
            </w:r>
          </w:p>
        </w:tc>
        <w:tc>
          <w:tcPr>
            <w:tcW w:w="5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47 %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1,046,441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3,719,013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40" w:type="dxa"/>
            <w:vAlign w:val="bottom"/>
          </w:tcPr>
          <w:p>
            <w:pPr>
              <w:spacing w:after="0"/>
              <w:rPr>
                <w:sz w:val="17"/>
                <w:szCs w:val="17"/>
                <w:color w:val="auto"/>
              </w:rPr>
            </w:pPr>
          </w:p>
        </w:tc>
        <w:tc>
          <w:tcPr>
            <w:tcW w:w="520" w:type="dxa"/>
            <w:vAlign w:val="bottom"/>
          </w:tcPr>
          <w:p>
            <w:pPr>
              <w:jc w:val="center"/>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3,102,528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Intelligence Clients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408,458</w:t>
            </w:r>
          </w:p>
        </w:tc>
        <w:tc>
          <w:tcPr>
            <w:tcW w:w="5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418,783</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1,329,937</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1,248,779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3"/>
        </w:trPr>
        <w:tc>
          <w:tcPr>
            <w:tcW w:w="2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Civil Clients</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893,202</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5"/>
              </w:rPr>
              <w:t>35 %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756,010</w:t>
            </w: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2,714,231</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2,291,949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19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U.S. government</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2,526,221</w:t>
            </w:r>
          </w:p>
        </w:tc>
        <w:tc>
          <w:tcPr>
            <w:tcW w:w="5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98 %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2,221,234</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7,763,181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6,643,256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03"/>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Global Commercial Clients</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43,580</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55,840</w:t>
            </w: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127,388</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182,394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2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2,569,801</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2,277,074</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7,890,569</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6,825,650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720" w:right="20" w:hanging="151"/>
        <w:spacing w:after="0" w:line="225" w:lineRule="auto"/>
        <w:tabs>
          <w:tab w:leader="none" w:pos="735"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contracts were reassigned between the various verticals of our U.S. government business shown in the table above to better align our operations to the customers we serve within each market. Prior year revenue by customer type has been recast to reflect the changes.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by Whether the Company Acts as a Prime Contractor or a Subcontractor:</w:t>
      </w:r>
    </w:p>
    <w:p>
      <w:pPr>
        <w:spacing w:after="0" w:line="26"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20" w:type="dxa"/>
            <w:vAlign w:val="bottom"/>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60" w:type="dxa"/>
            <w:vAlign w:val="bottom"/>
          </w:tcPr>
          <w:p>
            <w:pPr>
              <w:spacing w:after="0"/>
              <w:rPr>
                <w:sz w:val="16"/>
                <w:szCs w:val="16"/>
                <w:color w:val="auto"/>
              </w:rPr>
            </w:pPr>
          </w:p>
        </w:tc>
      </w:tr>
      <w:tr>
        <w:trPr>
          <w:trHeight w:val="210"/>
        </w:trPr>
        <w:tc>
          <w:tcPr>
            <w:tcW w:w="1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95"/>
        </w:trPr>
        <w:tc>
          <w:tcPr>
            <w:tcW w:w="1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6"/>
                <w:szCs w:val="16"/>
                <w:color w:val="auto"/>
              </w:rPr>
            </w:pPr>
          </w:p>
        </w:tc>
      </w:tr>
      <w:tr>
        <w:trPr>
          <w:trHeight w:val="195"/>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 Contractor</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2,447,401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2,151,265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7,502,044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6,461,935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03"/>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Subcontractor</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122,400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125,809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388,525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363,715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2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2,569,801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2,277,074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7,890,569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6,825,650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Obligations</w:t>
      </w:r>
    </w:p>
    <w:p>
      <w:pPr>
        <w:spacing w:after="0" w:line="107" w:lineRule="exact"/>
        <w:rPr>
          <w:sz w:val="20"/>
          <w:szCs w:val="20"/>
          <w:color w:val="auto"/>
        </w:rPr>
      </w:pPr>
    </w:p>
    <w:p>
      <w:pPr>
        <w:ind w:right="100" w:firstLine="358"/>
        <w:spacing w:after="0" w:line="265"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60" w:lineRule="exact"/>
        <w:rPr>
          <w:sz w:val="20"/>
          <w:szCs w:val="20"/>
          <w:color w:val="auto"/>
        </w:rPr>
      </w:pPr>
    </w:p>
    <w:p>
      <w:pPr>
        <w:jc w:val="both"/>
        <w:ind w:right="60" w:firstLine="358"/>
        <w:spacing w:after="0" w:line="265" w:lineRule="auto"/>
        <w:rPr>
          <w:sz w:val="20"/>
          <w:szCs w:val="20"/>
          <w:color w:val="auto"/>
        </w:rPr>
      </w:pPr>
      <w:r>
        <w:rPr>
          <w:rFonts w:ascii="Times New Roman" w:cs="Times New Roman" w:eastAsia="Times New Roman" w:hAnsi="Times New Roman"/>
          <w:sz w:val="16"/>
          <w:szCs w:val="16"/>
          <w:color w:val="auto"/>
        </w:rPr>
        <w:t>As of December 31, 2023 and March 31, 2023, the Company had $8.8 billion and $7.9 billion of remaining performance obligations, respectively. We expect to recognize approximately 75% of the remaining performance obligations at December 31, 2023 as revenue over the next 12 months, and approximately 85% over the next 24 months. The remainder is expected to be recognized thereafter.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0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 Balances</w:t>
      </w:r>
    </w:p>
    <w:p>
      <w:pPr>
        <w:spacing w:after="0" w:line="107" w:lineRule="exact"/>
        <w:rPr>
          <w:sz w:val="20"/>
          <w:szCs w:val="20"/>
          <w:color w:val="auto"/>
        </w:rPr>
      </w:pPr>
    </w:p>
    <w:p>
      <w:pPr>
        <w:ind w:right="160" w:firstLine="358"/>
        <w:spacing w:after="0" w:line="259" w:lineRule="auto"/>
        <w:rPr>
          <w:sz w:val="20"/>
          <w:szCs w:val="20"/>
          <w:color w:val="auto"/>
        </w:rPr>
      </w:pPr>
      <w:r>
        <w:rPr>
          <w:rFonts w:ascii="Times New Roman" w:cs="Times New Roman" w:eastAsia="Times New Roman" w:hAnsi="Times New Roman"/>
          <w:sz w:val="16"/>
          <w:szCs w:val="16"/>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66" w:lineRule="exact"/>
        <w:rPr>
          <w:sz w:val="20"/>
          <w:szCs w:val="20"/>
          <w:color w:val="auto"/>
        </w:rPr>
      </w:pPr>
    </w:p>
    <w:p>
      <w:pPr>
        <w:ind w:firstLine="358"/>
        <w:spacing w:after="0" w:line="274" w:lineRule="auto"/>
        <w:rPr>
          <w:sz w:val="20"/>
          <w:szCs w:val="20"/>
          <w:color w:val="auto"/>
        </w:rPr>
      </w:pPr>
      <w:r>
        <w:rPr>
          <w:rFonts w:ascii="Times New Roman" w:cs="Times New Roman" w:eastAsia="Times New Roman" w:hAnsi="Times New Roman"/>
          <w:sz w:val="15"/>
          <w:szCs w:val="15"/>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Provision for credit losses recognized was not material for the three and nine months ended December 31, 2023 and 2022.</w:t>
      </w:r>
    </w:p>
    <w:p>
      <w:pPr>
        <w:spacing w:after="0" w:line="55" w:lineRule="exact"/>
        <w:rPr>
          <w:sz w:val="20"/>
          <w:szCs w:val="20"/>
          <w:color w:val="auto"/>
        </w:rPr>
      </w:pPr>
    </w:p>
    <w:p>
      <w:pPr>
        <w:ind w:right="500" w:firstLine="358"/>
        <w:spacing w:after="0" w:line="271" w:lineRule="auto"/>
        <w:rPr>
          <w:sz w:val="20"/>
          <w:szCs w:val="20"/>
          <w:color w:val="auto"/>
        </w:rPr>
      </w:pPr>
      <w:r>
        <w:rPr>
          <w:rFonts w:ascii="Times New Roman" w:cs="Times New Roman" w:eastAsia="Times New Roman" w:hAnsi="Times New Roman"/>
          <w:sz w:val="16"/>
          <w:szCs w:val="16"/>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63"/>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00"/>
              <w:spacing w:after="0" w:line="163"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4"/>
                <w:szCs w:val="14"/>
                <w:color w:val="auto"/>
              </w:rPr>
            </w:pPr>
          </w:p>
        </w:tc>
        <w:tc>
          <w:tcPr>
            <w:tcW w:w="1300" w:type="dxa"/>
            <w:vAlign w:val="bottom"/>
          </w:tcPr>
          <w:p>
            <w:pPr>
              <w:jc w:val="right"/>
              <w:ind w:right="360"/>
              <w:spacing w:after="0" w:line="163"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3"/>
        </w:trPr>
        <w:tc>
          <w:tcPr>
            <w:tcW w:w="7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03"/>
        </w:trPr>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receivable–billed</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737,599</w:t>
            </w:r>
          </w:p>
        </w:tc>
        <w:tc>
          <w:tcPr>
            <w:tcW w:w="12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551,666</w:t>
            </w:r>
          </w:p>
        </w:tc>
      </w:tr>
      <w:tr>
        <w:trPr>
          <w:trHeight w:val="203"/>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receivable–unbilled (contract assets)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1,223,482</w:t>
            </w:r>
          </w:p>
        </w:tc>
      </w:tr>
      <w:tr>
        <w:trPr>
          <w:trHeight w:val="203"/>
        </w:trPr>
        <w:tc>
          <w:tcPr>
            <w:tcW w:w="74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195"/>
        </w:trPr>
        <w:tc>
          <w:tcPr>
            <w:tcW w:w="7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1,968,086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1,774,830</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receivable–unbilled (contract assets)</w:t>
            </w: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59,455</w:t>
            </w:r>
          </w:p>
        </w:tc>
      </w:tr>
      <w:tr>
        <w:trPr>
          <w:trHeight w:val="195"/>
        </w:trPr>
        <w:tc>
          <w:tcPr>
            <w:tcW w:w="74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2,025,039</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1,834,285</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7"/>
        </w:trPr>
        <w:tc>
          <w:tcPr>
            <w:tcW w:w="74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8"/>
        </w:trPr>
        <w:tc>
          <w:tcPr>
            <w:tcW w:w="7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Advance payments, billings in excess of costs incurred and deferred revenue (contract liabilities)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18,995</w:t>
            </w:r>
          </w:p>
        </w:tc>
      </w:tr>
    </w:tbl>
    <w:p>
      <w:pPr>
        <w:spacing w:after="0" w:line="110" w:lineRule="exact"/>
        <w:rPr>
          <w:sz w:val="20"/>
          <w:szCs w:val="20"/>
          <w:color w:val="auto"/>
        </w:rPr>
      </w:pPr>
    </w:p>
    <w:p>
      <w:pPr>
        <w:ind w:right="20" w:firstLine="358"/>
        <w:spacing w:after="0" w:line="257" w:lineRule="auto"/>
        <w:rPr>
          <w:sz w:val="20"/>
          <w:szCs w:val="20"/>
          <w:color w:val="auto"/>
        </w:rPr>
      </w:pPr>
      <w:r>
        <w:rPr>
          <w:rFonts w:ascii="Times New Roman" w:cs="Times New Roman" w:eastAsia="Times New Roman" w:hAnsi="Times New Roman"/>
          <w:sz w:val="16"/>
          <w:szCs w:val="16"/>
          <w:color w:val="auto"/>
        </w:rPr>
        <w:t>Changes in contract assets and contract liabilities are primarily due to the timing difference between the Company’s performance of services and payments from customers. For the three months ended December 31, 2023 and 2022, we recognized revenue of $0.4 million and $4.2 million, respectively, and for the nine months ended December 31, 2023 and 2022, we recognized revenue of $16.6 million and $24.2 million, respectively, related to our contract liabilities on April 1, 2023 and 2022,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Earnings Per Share</w:t>
      </w:r>
    </w:p>
    <w:p>
      <w:pPr>
        <w:spacing w:after="0" w:line="57" w:lineRule="exact"/>
        <w:rPr>
          <w:sz w:val="20"/>
          <w:szCs w:val="20"/>
          <w:color w:val="auto"/>
        </w:rPr>
      </w:pPr>
    </w:p>
    <w:p>
      <w:pPr>
        <w:ind w:right="120" w:firstLine="358"/>
        <w:spacing w:after="0" w:line="265" w:lineRule="auto"/>
        <w:rPr>
          <w:sz w:val="20"/>
          <w:szCs w:val="20"/>
          <w:color w:val="auto"/>
        </w:rPr>
      </w:pPr>
      <w:r>
        <w:rPr>
          <w:rFonts w:ascii="Times New Roman" w:cs="Times New Roman" w:eastAsia="Times New Roman" w:hAnsi="Times New Roman"/>
          <w:sz w:val="16"/>
          <w:szCs w:val="16"/>
          <w:color w:val="auto"/>
        </w:rPr>
        <w:t>The Company computes basic and diluted earnings per share amounts based on net income attributable to common stockholders for the periods presented. The Company uses the weighted average number of shares of common stock outstanding during the period to calculate basic earnings per share, or EPS. Diluted EPS adjusts the weighted average number of shares outstanding to include the dilutive effect of outstanding common stock options and other stock-based awards.</w:t>
      </w:r>
    </w:p>
    <w:p>
      <w:pPr>
        <w:spacing w:after="0" w:line="60" w:lineRule="exact"/>
        <w:rPr>
          <w:sz w:val="20"/>
          <w:szCs w:val="20"/>
          <w:color w:val="auto"/>
        </w:rPr>
      </w:pPr>
    </w:p>
    <w:p>
      <w:pPr>
        <w:ind w:right="160" w:firstLine="358"/>
        <w:spacing w:after="0" w:line="257" w:lineRule="auto"/>
        <w:rPr>
          <w:sz w:val="20"/>
          <w:szCs w:val="20"/>
          <w:color w:val="auto"/>
        </w:rPr>
      </w:pPr>
      <w:r>
        <w:rPr>
          <w:rFonts w:ascii="Times New Roman" w:cs="Times New Roman" w:eastAsia="Times New Roman" w:hAnsi="Times New Roman"/>
          <w:sz w:val="16"/>
          <w:szCs w:val="16"/>
          <w:color w:val="auto"/>
        </w:rPr>
        <w:t>The Company currently has outstanding shares of Class A Common Stock. Holders of unvested Class A Restricted Common Stock are entitled to participate in non-forfeitable dividends or other distributions (“participating securities”). These unvested restricted shares participated in the Company's dividends declared and paid in the third quarter of fiscal 2024 and 2023.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8185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4" w:right="252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33" w:lineRule="exact"/>
        <w:rPr>
          <w:sz w:val="20"/>
          <w:szCs w:val="20"/>
          <w:color w:val="auto"/>
        </w:rPr>
      </w:pPr>
    </w:p>
    <w:tbl>
      <w:tblPr>
        <w:tblLayout w:type="fixed"/>
        <w:tblInd w:w="384"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32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8"/>
        </w:trPr>
        <w:tc>
          <w:tcPr>
            <w:tcW w:w="53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83"/>
        </w:trPr>
        <w:tc>
          <w:tcPr>
            <w:tcW w:w="53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Numerator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Earnings for basic computations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144,431</w:t>
            </w:r>
          </w:p>
        </w:tc>
        <w:tc>
          <w:tcPr>
            <w:tcW w:w="100" w:type="dxa"/>
            <w:vAlign w:val="bottom"/>
          </w:tcPr>
          <w:p>
            <w:pPr>
              <w:spacing w:after="0"/>
              <w:rPr>
                <w:sz w:val="17"/>
                <w:szCs w:val="17"/>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30,526</w:t>
            </w:r>
          </w:p>
        </w:tc>
        <w:tc>
          <w:tcPr>
            <w:tcW w:w="80" w:type="dxa"/>
            <w:vAlign w:val="bottom"/>
          </w:tcPr>
          <w:p>
            <w:pPr>
              <w:spacing w:after="0"/>
              <w:rPr>
                <w:sz w:val="17"/>
                <w:szCs w:val="17"/>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473,856</w:t>
            </w:r>
          </w:p>
        </w:tc>
        <w:tc>
          <w:tcPr>
            <w:tcW w:w="8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337,607</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Earnings for diluted computations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144,433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337,612</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Weighted-average common stock shares outstanding, basic</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130,121,092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132,224,802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130,647,687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132,286,243</w:t>
            </w:r>
          </w:p>
        </w:tc>
        <w:tc>
          <w:tcPr>
            <w:tcW w:w="0" w:type="dxa"/>
            <w:vAlign w:val="bottom"/>
          </w:tcPr>
          <w:p>
            <w:pPr>
              <w:spacing w:after="0"/>
              <w:rPr>
                <w:sz w:val="1"/>
                <w:szCs w:val="1"/>
                <w:color w:val="auto"/>
              </w:rPr>
            </w:pPr>
          </w:p>
        </w:tc>
      </w:tr>
      <w:tr>
        <w:trPr>
          <w:trHeight w:val="203"/>
        </w:trPr>
        <w:tc>
          <w:tcPr>
            <w:tcW w:w="5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Dilutive stock options and restricted stock</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411,067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545,326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ind w:left="300"/>
              <w:spacing w:after="0" w:line="204" w:lineRule="exact"/>
              <w:rPr>
                <w:sz w:val="20"/>
                <w:szCs w:val="20"/>
                <w:color w:val="auto"/>
              </w:rPr>
            </w:pPr>
            <w:r>
              <w:rPr>
                <w:rFonts w:ascii="Times New Roman" w:cs="Times New Roman" w:eastAsia="Times New Roman" w:hAnsi="Times New Roman"/>
                <w:sz w:val="16"/>
                <w:szCs w:val="16"/>
                <w:color w:val="auto"/>
              </w:rPr>
              <w:t xml:space="preserve">Weighted-average common stock shares outstanding, diluted </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130,489,050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132,759,877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131,058,754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132,831,569</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00"/>
              <w:spacing w:after="0" w:line="211" w:lineRule="exact"/>
              <w:rPr>
                <w:sz w:val="20"/>
                <w:szCs w:val="20"/>
                <w:color w:val="auto"/>
              </w:rPr>
            </w:pPr>
            <w:r>
              <w:rPr>
                <w:rFonts w:ascii="Times New Roman" w:cs="Times New Roman" w:eastAsia="Times New Roman" w:hAnsi="Times New Roman"/>
                <w:sz w:val="16"/>
                <w:szCs w:val="16"/>
                <w:color w:val="auto"/>
              </w:rPr>
              <w:t xml:space="preserve">Diluted </w:t>
            </w:r>
            <w:r>
              <w:rPr>
                <w:rFonts w:ascii="Times New Roman" w:cs="Times New Roman" w:eastAsia="Times New Roman" w:hAnsi="Times New Roman"/>
                <w:sz w:val="20"/>
                <w:szCs w:val="20"/>
                <w:color w:val="auto"/>
                <w:vertAlign w:val="superscript"/>
              </w:rPr>
              <w:t>(2)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30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60"/>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0"/>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0.23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0"/>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3.62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0"/>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224" w:right="100" w:hanging="153"/>
        <w:spacing w:after="0" w:line="231" w:lineRule="auto"/>
        <w:tabs>
          <w:tab w:leader="none" w:pos="358" w:val="left"/>
        </w:tabs>
        <w:numPr>
          <w:ilvl w:val="1"/>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difference between earnings for basic and diluted computations and net income presented on the condensed consolidated statements of operations is due to undistributed earnings and dividends allocated to the participating securities. There were approximately 1.1 million of participating securities for both the three months ended December 31, 2023 and 2022, and 1.1 million and 1.0 million shares of participating securities for the nine months ended December 31, 2023 and 2022, respectively.</w:t>
      </w:r>
    </w:p>
    <w:p>
      <w:pPr>
        <w:spacing w:after="0" w:line="1" w:lineRule="exact"/>
        <w:rPr>
          <w:rFonts w:ascii="Times New Roman" w:cs="Times New Roman" w:eastAsia="Times New Roman" w:hAnsi="Times New Roman"/>
          <w:sz w:val="20"/>
          <w:szCs w:val="20"/>
          <w:color w:val="auto"/>
          <w:vertAlign w:val="superscript"/>
        </w:rPr>
      </w:pPr>
    </w:p>
    <w:p>
      <w:pPr>
        <w:ind w:left="304" w:hanging="233"/>
        <w:spacing w:after="0" w:line="213" w:lineRule="auto"/>
        <w:tabs>
          <w:tab w:leader="none" w:pos="304" w:val="left"/>
        </w:tabs>
        <w:numPr>
          <w:ilvl w:val="1"/>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impact of anti-dilutive options excluded from the calculation of EPS was not material during the periods presented.</w:t>
      </w:r>
    </w:p>
    <w:p>
      <w:pPr>
        <w:spacing w:after="0" w:line="77" w:lineRule="exact"/>
        <w:rPr>
          <w:rFonts w:ascii="Times New Roman" w:cs="Times New Roman" w:eastAsia="Times New Roman" w:hAnsi="Times New Roman"/>
          <w:sz w:val="21"/>
          <w:szCs w:val="21"/>
          <w:color w:val="auto"/>
          <w:vertAlign w:val="superscript"/>
        </w:rPr>
      </w:pPr>
    </w:p>
    <w:p>
      <w:pPr>
        <w:ind w:left="164" w:hanging="164"/>
        <w:spacing w:after="0"/>
        <w:tabs>
          <w:tab w:leader="none" w:pos="164"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 Goodwill and Intangible Assets</w:t>
      </w:r>
    </w:p>
    <w:p>
      <w:pPr>
        <w:spacing w:after="0" w:line="1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Acquisition</w:t>
      </w:r>
    </w:p>
    <w:p>
      <w:pPr>
        <w:spacing w:after="0" w:line="107" w:lineRule="exact"/>
        <w:rPr>
          <w:sz w:val="20"/>
          <w:szCs w:val="20"/>
          <w:color w:val="auto"/>
        </w:rPr>
      </w:pPr>
    </w:p>
    <w:p>
      <w:pPr>
        <w:ind w:left="4" w:right="60" w:firstLine="358"/>
        <w:spacing w:after="0" w:line="265" w:lineRule="auto"/>
        <w:rPr>
          <w:sz w:val="20"/>
          <w:szCs w:val="20"/>
          <w:color w:val="auto"/>
        </w:rPr>
      </w:pPr>
      <w:r>
        <w:rPr>
          <w:rFonts w:ascii="Times New Roman" w:cs="Times New Roman" w:eastAsia="Times New Roman" w:hAnsi="Times New Roman"/>
          <w:sz w:val="16"/>
          <w:szCs w:val="16"/>
          <w:color w:val="auto"/>
        </w:rPr>
        <w:t>On October 14, 2022, the Company completed the acquisition of EverWatch Corp. (“EverWatch”), a leading provider of advanced solutions to the defense and intelligence communities for approximately $445.1 million, net of post-closing adjustments and incurred transaction costs as part of the acquisition. The acquisition was funded with cash on hand. As a result of the transaction, EverWatch became a wholly owned subsidiary of Booz Allen Hamilton Inc.</w:t>
      </w:r>
    </w:p>
    <w:p>
      <w:pPr>
        <w:spacing w:after="0" w:line="48" w:lineRule="exact"/>
        <w:rPr>
          <w:sz w:val="20"/>
          <w:szCs w:val="20"/>
          <w:color w:val="auto"/>
        </w:rPr>
      </w:pPr>
    </w:p>
    <w:p>
      <w:pPr>
        <w:ind w:left="4" w:right="80" w:firstLine="574"/>
        <w:spacing w:after="0" w:line="238" w:lineRule="auto"/>
        <w:rPr>
          <w:sz w:val="20"/>
          <w:szCs w:val="20"/>
          <w:color w:val="auto"/>
        </w:rPr>
      </w:pPr>
      <w:r>
        <w:rPr>
          <w:rFonts w:ascii="Times New Roman" w:cs="Times New Roman" w:eastAsia="Times New Roman" w:hAnsi="Times New Roman"/>
          <w:sz w:val="16"/>
          <w:szCs w:val="16"/>
          <w:color w:val="auto"/>
        </w:rPr>
        <w:t>The Company recognized $108.6 million of intangible assets which consists primarily of contract assets and were valued using the excess earnings method discounted cash flow approach, incorporating Level 3 inputs as described under the fair value hierarchy of Topic 820. These unobservable inputs reflect the Company's own judgment about which assumptions market participants would use in pricing an asset on a non-recurring basis. The intangible assets are being amortized over the estimated useful life of 14 years. The goodwill of $330.9 million is primarily attributable to EverWatch's specialized workforce and the expected synergies between the Company and EverWatch, and is non-deductible for tax purposes.</w:t>
      </w:r>
    </w:p>
    <w:p>
      <w:pPr>
        <w:spacing w:after="0" w:line="80"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6"/>
          <w:szCs w:val="16"/>
          <w:color w:val="auto"/>
        </w:rPr>
        <w:t>The following table summarizes the consideration and the allocation of the purchase price paid for EverWatch:</w:t>
      </w:r>
    </w:p>
    <w:p>
      <w:pPr>
        <w:spacing w:after="0" w:line="263"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360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Cash consideration (gross of cash acquired)</w:t>
            </w:r>
          </w:p>
        </w:tc>
        <w:tc>
          <w:tcPr>
            <w:tcW w:w="4260" w:type="dxa"/>
            <w:vAlign w:val="bottom"/>
            <w:gridSpan w:val="2"/>
            <w:shd w:val="clear" w:color="auto" w:fill="BFE4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445,074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4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Purchase price allocation:</w:t>
            </w:r>
          </w:p>
        </w:tc>
        <w:tc>
          <w:tcPr>
            <w:tcW w:w="374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3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74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27,725</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3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374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108,600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74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(20,394)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Operating lease liabilities - short-term</w:t>
            </w:r>
          </w:p>
        </w:tc>
        <w:tc>
          <w:tcPr>
            <w:tcW w:w="374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6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6"/>
                <w:szCs w:val="16"/>
                <w:color w:val="auto"/>
              </w:rPr>
              <w:t>Operating lease liabilities - long-term</w:t>
            </w:r>
          </w:p>
        </w:tc>
        <w:tc>
          <w:tcPr>
            <w:tcW w:w="3740" w:type="dxa"/>
            <w:vAlign w:val="bottom"/>
            <w:tcBorders>
              <w:bottom w:val="single" w:sz="8" w:color="BFE4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360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Total fair value of identifiable net assets acquired</w:t>
            </w:r>
          </w:p>
        </w:tc>
        <w:tc>
          <w:tcPr>
            <w:tcW w:w="3740" w:type="dxa"/>
            <w:vAlign w:val="bottom"/>
            <w:shd w:val="clear" w:color="auto" w:fill="BFE4FF"/>
          </w:tcPr>
          <w:p>
            <w:pPr>
              <w:spacing w:after="0"/>
              <w:rPr>
                <w:sz w:val="16"/>
                <w:szCs w:val="16"/>
                <w:color w:val="auto"/>
              </w:rPr>
            </w:pPr>
          </w:p>
        </w:tc>
        <w:tc>
          <w:tcPr>
            <w:tcW w:w="520" w:type="dxa"/>
            <w:vAlign w:val="bottom"/>
            <w:shd w:val="clear" w:color="auto" w:fill="BFE4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114,176</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80" w:type="dxa"/>
            <w:vAlign w:val="bottom"/>
          </w:tcPr>
          <w:p>
            <w:pPr>
              <w:spacing w:after="0"/>
              <w:rPr>
                <w:sz w:val="12"/>
                <w:szCs w:val="12"/>
                <w:color w:val="auto"/>
              </w:rPr>
            </w:pPr>
          </w:p>
        </w:tc>
        <w:tc>
          <w:tcPr>
            <w:tcW w:w="3600" w:type="dxa"/>
            <w:vAlign w:val="bottom"/>
            <w:tcBorders>
              <w:bottom w:val="single" w:sz="8" w:color="BFE4FF"/>
            </w:tcBorders>
          </w:tcPr>
          <w:p>
            <w:pPr>
              <w:spacing w:after="0"/>
              <w:rPr>
                <w:sz w:val="12"/>
                <w:szCs w:val="12"/>
                <w:color w:val="auto"/>
              </w:rPr>
            </w:pPr>
          </w:p>
        </w:tc>
        <w:tc>
          <w:tcPr>
            <w:tcW w:w="3740" w:type="dxa"/>
            <w:vAlign w:val="bottom"/>
            <w:tcBorders>
              <w:bottom w:val="single" w:sz="8" w:color="BFE4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1480" w:type="dxa"/>
            <w:vAlign w:val="bottom"/>
          </w:tcPr>
          <w:p>
            <w:pPr>
              <w:spacing w:after="0"/>
              <w:rPr>
                <w:sz w:val="18"/>
                <w:szCs w:val="18"/>
                <w:color w:val="auto"/>
              </w:rPr>
            </w:pPr>
          </w:p>
        </w:tc>
        <w:tc>
          <w:tcPr>
            <w:tcW w:w="360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6"/>
                <w:szCs w:val="16"/>
                <w:color w:val="auto"/>
              </w:rPr>
              <w:t>Goodwill</w:t>
            </w:r>
          </w:p>
        </w:tc>
        <w:tc>
          <w:tcPr>
            <w:tcW w:w="3740" w:type="dxa"/>
            <w:vAlign w:val="bottom"/>
            <w:tcBorders>
              <w:bottom w:val="single" w:sz="8" w:color="BFE4FF"/>
            </w:tcBorders>
            <w:shd w:val="clear" w:color="auto" w:fill="BFE4FF"/>
          </w:tcPr>
          <w:p>
            <w:pPr>
              <w:spacing w:after="0"/>
              <w:rPr>
                <w:sz w:val="18"/>
                <w:szCs w:val="18"/>
                <w:color w:val="auto"/>
              </w:rPr>
            </w:pPr>
          </w:p>
        </w:tc>
        <w:tc>
          <w:tcPr>
            <w:tcW w:w="520" w:type="dxa"/>
            <w:vAlign w:val="bottom"/>
            <w:tcBorders>
              <w:bottom w:val="single" w:sz="8" w:color="auto"/>
            </w:tcBorders>
            <w:shd w:val="clear" w:color="auto" w:fill="BFE4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330,898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0" w:type="dxa"/>
            <w:vAlign w:val="bottom"/>
            <w:tcBorders>
              <w:top w:val="single" w:sz="8" w:color="BFE4FF"/>
            </w:tcBorders>
          </w:tcPr>
          <w:p>
            <w:pPr>
              <w:spacing w:after="0" w:line="20" w:lineRule="exact"/>
              <w:rPr>
                <w:sz w:val="1"/>
                <w:szCs w:val="1"/>
                <w:color w:val="auto"/>
              </w:rPr>
            </w:pPr>
          </w:p>
        </w:tc>
        <w:tc>
          <w:tcPr>
            <w:tcW w:w="3740" w:type="dxa"/>
            <w:vAlign w:val="bottom"/>
            <w:tcBorders>
              <w:top w:val="single" w:sz="8" w:color="BFE4FF"/>
              <w:bottom w:val="single" w:sz="8" w:color="BFE4FF"/>
            </w:tcBorders>
            <w:vMerge w:val="restart"/>
          </w:tcPr>
          <w:p>
            <w:pPr>
              <w:jc w:val="right"/>
              <w:ind w:right="3040"/>
              <w:spacing w:after="0"/>
              <w:rPr>
                <w:sz w:val="20"/>
                <w:szCs w:val="20"/>
                <w:color w:val="auto"/>
              </w:rPr>
            </w:pPr>
            <w:r>
              <w:rPr>
                <w:rFonts w:ascii="Times New Roman" w:cs="Times New Roman" w:eastAsia="Times New Roman" w:hAnsi="Times New Roman"/>
                <w:sz w:val="16"/>
                <w:szCs w:val="16"/>
                <w:color w:val="auto"/>
              </w:rPr>
              <w:t>11</w:t>
            </w: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1"/>
        </w:trPr>
        <w:tc>
          <w:tcPr>
            <w:tcW w:w="1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48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-27305</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42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81" w:lineRule="exact"/>
        <w:rPr>
          <w:sz w:val="20"/>
          <w:szCs w:val="20"/>
          <w:color w:val="auto"/>
        </w:rPr>
      </w:pPr>
    </w:p>
    <w:p>
      <w:pPr>
        <w:ind w:right="20" w:firstLine="574"/>
        <w:spacing w:after="0" w:line="259" w:lineRule="auto"/>
        <w:rPr>
          <w:sz w:val="20"/>
          <w:szCs w:val="20"/>
          <w:color w:val="auto"/>
        </w:rPr>
      </w:pPr>
      <w:r>
        <w:rPr>
          <w:rFonts w:ascii="Times New Roman" w:cs="Times New Roman" w:eastAsia="Times New Roman" w:hAnsi="Times New Roman"/>
          <w:sz w:val="16"/>
          <w:szCs w:val="16"/>
          <w:color w:val="auto"/>
        </w:rPr>
        <w:t>The acquisition was accounted for under the acquisition method of accounting, which requires the total acquisition consideration to be allocated to the assets acquired and liabilities assumed based on an estimate of the acquisition date fair value, with the difference reflected in goodwill. During the first quarter of fiscal 2024, the Company completed the determination of fair values of the acquired assets and liabilities assumed. Pro forma results of operations for this acquisition are not presented because the acquisition is not material to the Company's consolidated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107" w:lineRule="exact"/>
        <w:rPr>
          <w:sz w:val="20"/>
          <w:szCs w:val="20"/>
          <w:color w:val="auto"/>
        </w:rPr>
      </w:pPr>
    </w:p>
    <w:p>
      <w:pPr>
        <w:ind w:right="240" w:firstLine="358"/>
        <w:spacing w:after="0" w:line="280" w:lineRule="auto"/>
        <w:rPr>
          <w:sz w:val="20"/>
          <w:szCs w:val="20"/>
          <w:color w:val="auto"/>
        </w:rPr>
      </w:pPr>
      <w:r>
        <w:rPr>
          <w:rFonts w:ascii="Times New Roman" w:cs="Times New Roman" w:eastAsia="Times New Roman" w:hAnsi="Times New Roman"/>
          <w:sz w:val="16"/>
          <w:szCs w:val="16"/>
          <w:color w:val="auto"/>
        </w:rPr>
        <w:t>As of December 31, 2023 and March 31, 2023, goodwill was $2,343.8 million and $2,338.4 million, respectively. The $5.4 million increase in the carrying amount of goodwill was attributable the Company's finalization of the accounting for the acquisition of EverWatch.</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Intangible assets consisted of the following: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40" w:type="dxa"/>
            <w:vAlign w:val="bottom"/>
          </w:tcPr>
          <w:p>
            <w:pPr>
              <w:spacing w:after="0"/>
              <w:rPr>
                <w:sz w:val="18"/>
                <w:szCs w:val="18"/>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8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0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rPr>
              <w:t>Programs and contract assets, channel relationships,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other amortizable intangible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591,894</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220,557</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371,337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599,794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169,316</w:t>
            </w:r>
          </w:p>
        </w:tc>
        <w:tc>
          <w:tcPr>
            <w:tcW w:w="8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430,478</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Software</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87,996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134,152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64,937</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737,507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308,553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428,954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733,946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238,531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495,415</w:t>
            </w: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Unamortizable intangible assets: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 name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190,200</w:t>
            </w: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190,200</w:t>
            </w:r>
          </w:p>
        </w:tc>
        <w:tc>
          <w:tcPr>
            <w:tcW w:w="0" w:type="dxa"/>
            <w:vAlign w:val="bottom"/>
          </w:tcPr>
          <w:p>
            <w:pPr>
              <w:spacing w:after="0"/>
              <w:rPr>
                <w:sz w:val="1"/>
                <w:szCs w:val="1"/>
                <w:color w:val="auto"/>
              </w:rPr>
            </w:pPr>
          </w:p>
        </w:tc>
      </w:tr>
      <w:tr>
        <w:trPr>
          <w:trHeight w:val="220"/>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685,615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440" w:firstLine="358"/>
        <w:spacing w:after="0" w:line="280" w:lineRule="auto"/>
        <w:rPr>
          <w:sz w:val="20"/>
          <w:szCs w:val="20"/>
          <w:color w:val="auto"/>
        </w:rPr>
      </w:pPr>
      <w:r>
        <w:rPr>
          <w:rFonts w:ascii="Times New Roman" w:cs="Times New Roman" w:eastAsia="Times New Roman" w:hAnsi="Times New Roman"/>
          <w:sz w:val="16"/>
          <w:szCs w:val="16"/>
          <w:color w:val="auto"/>
        </w:rPr>
        <w:t>The decrease in the gross carrying value of amortizable intangible assets (excluding software) was primarily attributable to a $7.9 million adjustment related to the Company's finalization of the accounting for the acquisition of EverWatch in the first quarter of fiscal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6. Accounts Payable and Other Accrued Expenses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7"/>
        </w:trPr>
        <w:tc>
          <w:tcPr>
            <w:tcW w:w="380" w:type="dxa"/>
            <w:vAlign w:val="bottom"/>
          </w:tcPr>
          <w:p>
            <w:pPr>
              <w:spacing w:after="0"/>
              <w:rPr>
                <w:sz w:val="24"/>
                <w:szCs w:val="24"/>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expenses consisted of the following:</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7"/>
        </w:trPr>
        <w:tc>
          <w:tcPr>
            <w:tcW w:w="3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3"/>
        </w:trPr>
        <w:tc>
          <w:tcPr>
            <w:tcW w:w="380" w:type="dxa"/>
            <w:vAlign w:val="bottom"/>
          </w:tcPr>
          <w:p>
            <w:pPr>
              <w:spacing w:after="0"/>
              <w:rPr>
                <w:sz w:val="18"/>
                <w:szCs w:val="18"/>
                <w:color w:val="auto"/>
              </w:rPr>
            </w:pPr>
          </w:p>
        </w:tc>
        <w:tc>
          <w:tcPr>
            <w:tcW w:w="7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380" w:type="dxa"/>
            <w:vAlign w:val="bottom"/>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Vendor payables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597,808</w:t>
            </w:r>
          </w:p>
        </w:tc>
      </w:tr>
      <w:tr>
        <w:trPr>
          <w:trHeight w:val="203"/>
        </w:trPr>
        <w:tc>
          <w:tcPr>
            <w:tcW w:w="380" w:type="dxa"/>
            <w:vAlign w:val="bottom"/>
          </w:tcPr>
          <w:p>
            <w:pPr>
              <w:spacing w:after="0"/>
              <w:rPr>
                <w:sz w:val="17"/>
                <w:szCs w:val="17"/>
                <w:color w:val="auto"/>
              </w:rPr>
            </w:pPr>
          </w:p>
        </w:tc>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428,564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718,832</w:t>
            </w:r>
          </w:p>
        </w:tc>
      </w:tr>
      <w:tr>
        <w:trPr>
          <w:trHeight w:val="220"/>
        </w:trPr>
        <w:tc>
          <w:tcPr>
            <w:tcW w:w="380" w:type="dxa"/>
            <w:vAlign w:val="bottom"/>
          </w:tcPr>
          <w:p>
            <w:pPr>
              <w:spacing w:after="0"/>
              <w:rPr>
                <w:sz w:val="18"/>
                <w:szCs w:val="18"/>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accounts payable and other accrued expenses</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993,512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1,316,640</w:t>
            </w:r>
          </w:p>
        </w:tc>
      </w:tr>
      <w:tr>
        <w:trPr>
          <w:trHeight w:val="20"/>
        </w:trPr>
        <w:tc>
          <w:tcPr>
            <w:tcW w:w="38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firstLine="394"/>
        <w:spacing w:after="0" w:line="259" w:lineRule="auto"/>
        <w:rPr>
          <w:sz w:val="20"/>
          <w:szCs w:val="20"/>
          <w:color w:val="auto"/>
        </w:rPr>
      </w:pPr>
      <w:r>
        <w:rPr>
          <w:rFonts w:ascii="Times New Roman" w:cs="Times New Roman" w:eastAsia="Times New Roman" w:hAnsi="Times New Roman"/>
          <w:sz w:val="16"/>
          <w:szCs w:val="16"/>
          <w:color w:val="auto"/>
        </w:rPr>
        <w:t>Accrued expenses consisted primarily of the Company’s provision for claimed indirect costs (approximately $339.9 million and $326.7 million as of December 31, 2023 and March 31, 2023, respectively). Accrued expenses at March 31, 2023 also included a $350.0 million reserve associated with the settlement of the U.S. Department of Justice's investigation of the Company which was subsequently settled and paid in the second quarter of fiscal 2024. See Note 15, “Commitments and Contingencies,” to the condensed consolidated financial statements for further discussion of these items.</w:t>
      </w: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0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7. Accrued Compensation and Benefits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87"/>
        </w:trPr>
        <w:tc>
          <w:tcPr>
            <w:tcW w:w="220" w:type="dxa"/>
            <w:vAlign w:val="bottom"/>
          </w:tcPr>
          <w:p>
            <w:pPr>
              <w:spacing w:after="0"/>
              <w:rPr>
                <w:sz w:val="24"/>
                <w:szCs w:val="24"/>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 consisted of the following:</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7"/>
        </w:trPr>
        <w:tc>
          <w:tcPr>
            <w:tcW w:w="2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9"/>
                <w:szCs w:val="19"/>
                <w:color w:val="auto"/>
              </w:rPr>
            </w:pPr>
          </w:p>
        </w:tc>
        <w:tc>
          <w:tcPr>
            <w:tcW w:w="12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3"/>
        </w:trPr>
        <w:tc>
          <w:tcPr>
            <w:tcW w:w="220" w:type="dxa"/>
            <w:vAlign w:val="bottom"/>
          </w:tcPr>
          <w:p>
            <w:pPr>
              <w:spacing w:after="0"/>
              <w:rPr>
                <w:sz w:val="18"/>
                <w:szCs w:val="18"/>
                <w:color w:val="auto"/>
              </w:rPr>
            </w:pPr>
          </w:p>
        </w:tc>
        <w:tc>
          <w:tcPr>
            <w:tcW w:w="7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2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Bonus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120,023</w:t>
            </w:r>
          </w:p>
        </w:tc>
      </w:tr>
      <w:tr>
        <w:trPr>
          <w:trHeight w:val="203"/>
        </w:trPr>
        <w:tc>
          <w:tcPr>
            <w:tcW w:w="2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Retirement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52,480</w:t>
            </w:r>
          </w:p>
        </w:tc>
      </w:tr>
      <w:tr>
        <w:trPr>
          <w:trHeight w:val="203"/>
        </w:trPr>
        <w:tc>
          <w:tcPr>
            <w:tcW w:w="2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203,627</w:t>
            </w:r>
          </w:p>
        </w:tc>
      </w:tr>
      <w:tr>
        <w:trPr>
          <w:trHeight w:val="203"/>
        </w:trPr>
        <w:tc>
          <w:tcPr>
            <w:tcW w:w="220" w:type="dxa"/>
            <w:vAlign w:val="bottom"/>
          </w:tcPr>
          <w:p>
            <w:pPr>
              <w:spacing w:after="0"/>
              <w:rPr>
                <w:sz w:val="17"/>
                <w:szCs w:val="17"/>
                <w:color w:val="auto"/>
              </w:rPr>
            </w:pPr>
          </w:p>
        </w:tc>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69,075</w:t>
            </w:r>
          </w:p>
        </w:tc>
      </w:tr>
      <w:tr>
        <w:trPr>
          <w:trHeight w:val="220"/>
        </w:trPr>
        <w:tc>
          <w:tcPr>
            <w:tcW w:w="2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accrued compensation and benefits</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474,786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445,205</w:t>
            </w:r>
          </w:p>
        </w:tc>
      </w:tr>
      <w:tr>
        <w:trPr>
          <w:trHeight w:val="20"/>
        </w:trPr>
        <w:tc>
          <w:tcPr>
            <w:tcW w:w="220" w:type="dxa"/>
            <w:vAlign w:val="bottom"/>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 Debt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7"/>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consisted of the following:</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9"/>
        </w:trPr>
        <w:tc>
          <w:tcPr>
            <w:tcW w:w="526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147"/>
        </w:trPr>
        <w:tc>
          <w:tcPr>
            <w:tcW w:w="5260" w:type="dxa"/>
            <w:vAlign w:val="bottom"/>
          </w:tcPr>
          <w:p>
            <w:pPr>
              <w:spacing w:after="0"/>
              <w:rPr>
                <w:sz w:val="12"/>
                <w:szCs w:val="12"/>
                <w:color w:val="auto"/>
              </w:rPr>
            </w:pPr>
          </w:p>
        </w:tc>
        <w:tc>
          <w:tcPr>
            <w:tcW w:w="156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2"/>
                <w:szCs w:val="12"/>
                <w:color w:val="auto"/>
              </w:rPr>
            </w:pPr>
          </w:p>
        </w:tc>
        <w:tc>
          <w:tcPr>
            <w:tcW w:w="1160" w:type="dxa"/>
            <w:vAlign w:val="bottom"/>
          </w:tcPr>
          <w:p>
            <w:pPr>
              <w:jc w:val="right"/>
              <w:ind w:right="160"/>
              <w:spacing w:after="0" w:line="148"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2"/>
                <w:szCs w:val="12"/>
                <w:color w:val="auto"/>
              </w:rPr>
            </w:pPr>
          </w:p>
        </w:tc>
        <w:tc>
          <w:tcPr>
            <w:tcW w:w="1740" w:type="dxa"/>
            <w:vAlign w:val="bottom"/>
            <w:gridSpan w:val="3"/>
          </w:tcPr>
          <w:p>
            <w:pPr>
              <w:jc w:val="right"/>
              <w:ind w:right="660"/>
              <w:spacing w:after="0" w:line="14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160" w:type="dxa"/>
            <w:vAlign w:val="bottom"/>
          </w:tcPr>
          <w:p>
            <w:pPr>
              <w:jc w:val="right"/>
              <w:ind w:right="160"/>
              <w:spacing w:after="0" w:line="148" w:lineRule="exact"/>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3"/>
        </w:trPr>
        <w:tc>
          <w:tcPr>
            <w:tcW w:w="526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80" w:type="dxa"/>
            <w:vAlign w:val="bottom"/>
          </w:tcPr>
          <w:p>
            <w:pPr>
              <w:spacing w:after="0"/>
              <w:rPr>
                <w:sz w:val="18"/>
                <w:szCs w:val="18"/>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74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198"/>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A</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1,598,438</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1,629,375</w:t>
            </w:r>
          </w:p>
        </w:tc>
      </w:tr>
      <w:tr>
        <w:trPr>
          <w:trHeight w:val="20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r>
      <w:tr>
        <w:trPr>
          <w:trHeight w:val="20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0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2033</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Unamortized debt issuance costs and discount on debt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(27,332)</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(17,230)</w:t>
            </w:r>
          </w:p>
        </w:tc>
      </w:tr>
      <w:tr>
        <w:trPr>
          <w:trHeight w:val="195"/>
        </w:trPr>
        <w:tc>
          <w:tcPr>
            <w:tcW w:w="5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3,421,106</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2,812,145</w:t>
            </w:r>
          </w:p>
        </w:tc>
      </w:tr>
      <w:tr>
        <w:trPr>
          <w:trHeight w:val="203"/>
        </w:trPr>
        <w:tc>
          <w:tcPr>
            <w:tcW w:w="5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(51,563)</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(41,250)</w:t>
            </w:r>
          </w:p>
        </w:tc>
      </w:tr>
      <w:tr>
        <w:trPr>
          <w:trHeight w:val="195"/>
        </w:trPr>
        <w:tc>
          <w:tcPr>
            <w:tcW w:w="5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3,369,543</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2,770,895</w:t>
            </w:r>
          </w:p>
        </w:tc>
      </w:tr>
      <w:tr>
        <w:trPr>
          <w:trHeight w:val="20"/>
        </w:trPr>
        <w:tc>
          <w:tcPr>
            <w:tcW w:w="5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w:t>
      </w:r>
    </w:p>
    <w:p>
      <w:pPr>
        <w:spacing w:after="0" w:line="107" w:lineRule="exact"/>
        <w:rPr>
          <w:sz w:val="20"/>
          <w:szCs w:val="20"/>
          <w:color w:val="auto"/>
        </w:rPr>
      </w:pPr>
    </w:p>
    <w:p>
      <w:pPr>
        <w:ind w:firstLine="358"/>
        <w:spacing w:after="0" w:line="252" w:lineRule="auto"/>
        <w:rPr>
          <w:sz w:val="20"/>
          <w:szCs w:val="20"/>
          <w:color w:val="auto"/>
        </w:rPr>
      </w:pPr>
      <w:r>
        <w:rPr>
          <w:rFonts w:ascii="Times New Roman" w:cs="Times New Roman" w:eastAsia="Times New Roman" w:hAnsi="Times New Roman"/>
          <w:sz w:val="16"/>
          <w:szCs w:val="16"/>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December 31, 2023, the Credit Agreement provided Booz Allen Hamilton with a $1,598.4 million Term Loan A (“Term Loan A”) and a $1.0 billion revolving credit facility (the “Revolving Credit Facility”), with a sub-limit for letters of credit of $200.0 million. As of December 31, 2023, the maturity date of the Term Loan A and the Revolving Commitments is September 7, 2027. Voluntary prepayments of the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76" w:lineRule="exact"/>
        <w:rPr>
          <w:sz w:val="20"/>
          <w:szCs w:val="20"/>
          <w:color w:val="auto"/>
        </w:rPr>
      </w:pPr>
    </w:p>
    <w:p>
      <w:pPr>
        <w:ind w:right="20" w:firstLine="358"/>
        <w:spacing w:after="0" w:line="253" w:lineRule="auto"/>
        <w:rPr>
          <w:sz w:val="20"/>
          <w:szCs w:val="20"/>
          <w:color w:val="auto"/>
        </w:rPr>
      </w:pPr>
      <w:r>
        <w:rPr>
          <w:rFonts w:ascii="Times New Roman" w:cs="Times New Roman" w:eastAsia="Times New Roman" w:hAnsi="Times New Roman"/>
          <w:sz w:val="16"/>
          <w:szCs w:val="16"/>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81851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4" w:right="250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81" w:lineRule="exact"/>
        <w:rPr>
          <w:sz w:val="20"/>
          <w:szCs w:val="20"/>
          <w:color w:val="auto"/>
        </w:rPr>
      </w:pPr>
    </w:p>
    <w:p>
      <w:pPr>
        <w:ind w:left="4" w:right="60" w:firstLine="358"/>
        <w:spacing w:after="0" w:line="259" w:lineRule="auto"/>
        <w:rPr>
          <w:sz w:val="20"/>
          <w:szCs w:val="20"/>
          <w:color w:val="auto"/>
        </w:rPr>
      </w:pPr>
      <w:r>
        <w:rPr>
          <w:rFonts w:ascii="Times New Roman" w:cs="Times New Roman" w:eastAsia="Times New Roman" w:hAnsi="Times New Roman"/>
          <w:sz w:val="16"/>
          <w:szCs w:val="16"/>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66" w:lineRule="exact"/>
        <w:rPr>
          <w:sz w:val="20"/>
          <w:szCs w:val="20"/>
          <w:color w:val="auto"/>
        </w:rPr>
      </w:pPr>
    </w:p>
    <w:p>
      <w:pPr>
        <w:ind w:left="4" w:right="140" w:firstLine="358"/>
        <w:spacing w:after="0" w:line="277" w:lineRule="auto"/>
        <w:rPr>
          <w:sz w:val="20"/>
          <w:szCs w:val="20"/>
          <w:color w:val="auto"/>
        </w:rPr>
      </w:pPr>
      <w:r>
        <w:rPr>
          <w:rFonts w:ascii="Times New Roman" w:cs="Times New Roman" w:eastAsia="Times New Roman" w:hAnsi="Times New Roman"/>
          <w:sz w:val="15"/>
          <w:szCs w:val="15"/>
          <w:color w:val="auto"/>
        </w:rPr>
        <w:t>The 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the Term Loan A and</w:t>
      </w:r>
    </w:p>
    <w:p>
      <w:pPr>
        <w:spacing w:after="0" w:line="1" w:lineRule="exact"/>
        <w:rPr>
          <w:sz w:val="20"/>
          <w:szCs w:val="20"/>
          <w:color w:val="auto"/>
        </w:rPr>
      </w:pPr>
    </w:p>
    <w:p>
      <w:pPr>
        <w:ind w:left="4" w:right="120" w:hanging="4"/>
        <w:spacing w:after="0" w:line="292" w:lineRule="auto"/>
        <w:tabs>
          <w:tab w:leader="none" w:pos="23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the last business day of each full fiscal quarter that begins after the two year anniversary of the Ninth Amendment Effective Date but before the five year anniversary of the Ninth Amendment Effective Date, 1.25% of the stated principal amount of the Term Loan A. The remaining balance of the Term Loan A will be payable upon maturity.</w:t>
      </w:r>
    </w:p>
    <w:p>
      <w:pPr>
        <w:spacing w:after="0" w:line="42" w:lineRule="exact"/>
        <w:rPr>
          <w:sz w:val="20"/>
          <w:szCs w:val="20"/>
          <w:color w:val="auto"/>
        </w:rPr>
      </w:pPr>
    </w:p>
    <w:p>
      <w:pPr>
        <w:ind w:left="4" w:firstLine="358"/>
        <w:spacing w:after="0" w:line="253" w:lineRule="auto"/>
        <w:rPr>
          <w:sz w:val="20"/>
          <w:szCs w:val="20"/>
          <w:color w:val="auto"/>
        </w:rPr>
      </w:pPr>
      <w:r>
        <w:rPr>
          <w:rFonts w:ascii="Times New Roman" w:cs="Times New Roman" w:eastAsia="Times New Roman" w:hAnsi="Times New Roman"/>
          <w:sz w:val="16"/>
          <w:szCs w:val="16"/>
          <w:color w:val="auto"/>
        </w:rPr>
        <w:t>The rate at which the Term Loan A and the Revolving Loans bear interest is based, at Booz Allen Hamilton’s option,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74" w:lineRule="exact"/>
        <w:rPr>
          <w:sz w:val="20"/>
          <w:szCs w:val="20"/>
          <w:color w:val="auto"/>
        </w:rPr>
      </w:pPr>
    </w:p>
    <w:p>
      <w:pPr>
        <w:jc w:val="both"/>
        <w:ind w:left="4" w:right="160" w:firstLine="358"/>
        <w:spacing w:after="0" w:line="265" w:lineRule="auto"/>
        <w:rPr>
          <w:sz w:val="20"/>
          <w:szCs w:val="20"/>
          <w:color w:val="auto"/>
        </w:rPr>
      </w:pPr>
      <w:r>
        <w:rPr>
          <w:rFonts w:ascii="Times New Roman" w:cs="Times New Roman" w:eastAsia="Times New Roman" w:hAnsi="Times New Roman"/>
          <w:sz w:val="16"/>
          <w:szCs w:val="16"/>
          <w:color w:val="auto"/>
        </w:rPr>
        <w:t>The Company occasionally borrows under the Revolving Credit Facility for our working capital needs. During the first and second quarters of fiscal 2024, we borrowed $500.0 million on our Revolving Credit Facility for our working capital needs, which was subsequently repaid in the second quarter of fiscal 2024. As of March 31, 2023 and December 31, 2023, respectively, there was no outstanding balance on the Revolving Credit Facility.</w:t>
      </w:r>
    </w:p>
    <w:p>
      <w:pPr>
        <w:spacing w:after="0" w:line="60" w:lineRule="exact"/>
        <w:rPr>
          <w:sz w:val="20"/>
          <w:szCs w:val="20"/>
          <w:color w:val="auto"/>
        </w:rPr>
      </w:pPr>
    </w:p>
    <w:p>
      <w:pPr>
        <w:ind w:left="4" w:right="20" w:firstLine="358"/>
        <w:spacing w:after="0" w:line="257" w:lineRule="auto"/>
        <w:rPr>
          <w:sz w:val="20"/>
          <w:szCs w:val="20"/>
          <w:color w:val="auto"/>
        </w:rPr>
      </w:pPr>
      <w:r>
        <w:rPr>
          <w:rFonts w:ascii="Times New Roman" w:cs="Times New Roman" w:eastAsia="Times New Roman" w:hAnsi="Times New Roman"/>
          <w:sz w:val="16"/>
          <w:szCs w:val="16"/>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December 31, 2023 and March 31, 2023, Booz Allen Hamilton was in compliance with all financial covenants associated with its debt and debt-like instruments. In connection with Booz Allen Hamilton obtaining investment grade ratings from both Moody's and S&amp;P, activities restricted by certain negative covenants are permitted subject to pro forma compliance with the financial covenants and no events of default having occurred and continuing.</w:t>
      </w:r>
    </w:p>
    <w:p>
      <w:pPr>
        <w:spacing w:after="0" w:line="6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6"/>
          <w:szCs w:val="16"/>
          <w:color w:val="auto"/>
        </w:rPr>
        <w:t>The following table summarizes interest payments made on the Company’s term loans:</w:t>
      </w:r>
    </w:p>
    <w:p>
      <w:pPr>
        <w:spacing w:after="0" w:line="67" w:lineRule="exact"/>
        <w:rPr>
          <w:sz w:val="20"/>
          <w:szCs w:val="20"/>
          <w:color w:val="auto"/>
        </w:rPr>
      </w:pPr>
    </w:p>
    <w:tbl>
      <w:tblPr>
        <w:tblLayout w:type="fixed"/>
        <w:tblInd w:w="904" w:type="dxa"/>
        <w:tblCellMar>
          <w:top w:w="0" w:type="dxa"/>
          <w:left w:w="0" w:type="dxa"/>
          <w:bottom w:w="0" w:type="dxa"/>
          <w:right w:w="0" w:type="dxa"/>
        </w:tblCellMar>
      </w:tblPr>
      <w:tr>
        <w:trPr>
          <w:trHeight w:val="184"/>
        </w:trPr>
        <w:tc>
          <w:tcPr>
            <w:tcW w:w="3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5"/>
                <w:szCs w:val="15"/>
                <w:color w:val="auto"/>
              </w:rPr>
            </w:pPr>
          </w:p>
        </w:tc>
        <w:tc>
          <w:tcPr>
            <w:tcW w:w="268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3"/>
        </w:trPr>
        <w:tc>
          <w:tcPr>
            <w:tcW w:w="3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198"/>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17"/>
                <w:szCs w:val="17"/>
                <w:color w:val="auto"/>
              </w:rPr>
            </w:pPr>
          </w:p>
        </w:tc>
        <w:tc>
          <w:tcPr>
            <w:tcW w:w="96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Pr>
          <w:p>
            <w:pPr>
              <w:spacing w:after="0"/>
              <w:rPr>
                <w:sz w:val="17"/>
                <w:szCs w:val="17"/>
                <w:color w:val="auto"/>
              </w:rPr>
            </w:pPr>
          </w:p>
        </w:tc>
        <w:tc>
          <w:tcPr>
            <w:tcW w:w="96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A</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27,161</w:t>
            </w:r>
          </w:p>
        </w:tc>
        <w:tc>
          <w:tcPr>
            <w:tcW w:w="5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80,259</w:t>
            </w:r>
          </w:p>
        </w:tc>
        <w:tc>
          <w:tcPr>
            <w:tcW w:w="5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39,010</w:t>
            </w:r>
          </w:p>
        </w:tc>
      </w:tr>
      <w:tr>
        <w:trPr>
          <w:trHeight w:val="20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Term Loan B</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w:t>
            </w:r>
          </w:p>
        </w:tc>
      </w:tr>
      <w:tr>
        <w:trPr>
          <w:trHeight w:val="195"/>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27,161</w:t>
            </w:r>
          </w:p>
        </w:tc>
        <w:tc>
          <w:tcPr>
            <w:tcW w:w="5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80,259</w:t>
            </w:r>
          </w:p>
        </w:tc>
        <w:tc>
          <w:tcPr>
            <w:tcW w:w="58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44,219</w:t>
            </w:r>
          </w:p>
        </w:tc>
      </w:tr>
    </w:tbl>
    <w:p>
      <w:pPr>
        <w:spacing w:after="0" w:line="163" w:lineRule="exact"/>
        <w:rPr>
          <w:sz w:val="20"/>
          <w:szCs w:val="20"/>
          <w:color w:val="auto"/>
        </w:rPr>
      </w:pPr>
    </w:p>
    <w:p>
      <w:pPr>
        <w:ind w:left="4" w:right="100" w:firstLine="358"/>
        <w:spacing w:after="0" w:line="259" w:lineRule="auto"/>
        <w:rPr>
          <w:sz w:val="20"/>
          <w:szCs w:val="20"/>
          <w:color w:val="auto"/>
        </w:rPr>
      </w:pPr>
      <w:r>
        <w:rPr>
          <w:rFonts w:ascii="Times New Roman" w:cs="Times New Roman" w:eastAsia="Times New Roman" w:hAnsi="Times New Roman"/>
          <w:sz w:val="16"/>
          <w:szCs w:val="16"/>
          <w:color w:val="auto"/>
        </w:rPr>
        <w:t>Borrowings under the Term Loan A, and if used, the Revolving Credit Facility, incur interest at a variable rate. As of December 31, 2023, Booz Allen Hamilton had interest rate swaps with an aggregate notional amount of $550.0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“Derivatives,” to our condensed consolidated financial statements).</w:t>
      </w:r>
    </w:p>
    <w:p>
      <w:pPr>
        <w:spacing w:after="0" w:line="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07" w:lineRule="exact"/>
        <w:rPr>
          <w:sz w:val="20"/>
          <w:szCs w:val="20"/>
          <w:color w:val="auto"/>
        </w:rPr>
      </w:pPr>
    </w:p>
    <w:p>
      <w:pPr>
        <w:ind w:left="4" w:right="300" w:firstLine="358"/>
        <w:spacing w:after="0" w:line="265" w:lineRule="auto"/>
        <w:rPr>
          <w:sz w:val="20"/>
          <w:szCs w:val="20"/>
          <w:color w:val="auto"/>
        </w:rPr>
      </w:pPr>
      <w:r>
        <w:rPr>
          <w:rFonts w:ascii="Times New Roman" w:cs="Times New Roman" w:eastAsia="Times New Roman" w:hAnsi="Times New Roman"/>
          <w:sz w:val="16"/>
          <w:szCs w:val="16"/>
          <w:color w:val="auto"/>
        </w:rPr>
        <w:t>For information on the terms, conditions, and restrictions of Booz Allen Hamilton's 4.000% Senior Notes due July 1, 2029 (the “Senior Notes due 2029”) and 3.875% Senior Notes due September 1, 2028 (the “Senior Notes due 2028”), see Note 10, “Debt,” of the Company’s consolidated financial statements included in the fiscal 2023 Annual Report on Form 10-K.</w:t>
      </w:r>
    </w:p>
    <w:p>
      <w:pPr>
        <w:spacing w:after="0" w:line="60" w:lineRule="exact"/>
        <w:rPr>
          <w:sz w:val="20"/>
          <w:szCs w:val="20"/>
          <w:color w:val="auto"/>
        </w:rPr>
      </w:pPr>
    </w:p>
    <w:p>
      <w:pPr>
        <w:ind w:left="4" w:right="380" w:firstLine="358"/>
        <w:spacing w:after="0" w:line="280" w:lineRule="auto"/>
        <w:rPr>
          <w:sz w:val="20"/>
          <w:szCs w:val="20"/>
          <w:color w:val="auto"/>
        </w:rPr>
      </w:pPr>
      <w:r>
        <w:rPr>
          <w:rFonts w:ascii="Times New Roman" w:cs="Times New Roman" w:eastAsia="Times New Roman" w:hAnsi="Times New Roman"/>
          <w:sz w:val="16"/>
          <w:szCs w:val="16"/>
          <w:color w:val="auto"/>
        </w:rPr>
        <w:t>In connection with Booz Allen Hamilton obtaining investment grade ratings from both Moody's and S&amp;P, certain negative covenants in the indentures governing the Senior Notes were suspended, and guarantees of the Senior Notes were released.</w:t>
      </w:r>
    </w:p>
    <w:p>
      <w:pPr>
        <w:spacing w:after="0" w:line="200" w:lineRule="exact"/>
        <w:rPr>
          <w:sz w:val="20"/>
          <w:szCs w:val="20"/>
          <w:color w:val="auto"/>
        </w:rPr>
      </w:pPr>
    </w:p>
    <w:p>
      <w:pPr>
        <w:spacing w:after="0" w:line="24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4"/>
          </w:cols>
          <w:pgMar w:left="316" w:top="123" w:right="33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81851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4" w:right="246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81" w:lineRule="exact"/>
        <w:rPr>
          <w:sz w:val="20"/>
          <w:szCs w:val="20"/>
          <w:color w:val="auto"/>
        </w:rPr>
      </w:pPr>
    </w:p>
    <w:p>
      <w:pPr>
        <w:ind w:left="4" w:right="60" w:firstLine="358"/>
        <w:spacing w:after="0" w:line="255" w:lineRule="auto"/>
        <w:rPr>
          <w:sz w:val="20"/>
          <w:szCs w:val="20"/>
          <w:color w:val="auto"/>
        </w:rPr>
      </w:pPr>
      <w:r>
        <w:rPr>
          <w:rFonts w:ascii="Times New Roman" w:cs="Times New Roman" w:eastAsia="Times New Roman" w:hAnsi="Times New Roman"/>
          <w:sz w:val="16"/>
          <w:szCs w:val="16"/>
          <w:color w:val="auto"/>
        </w:rPr>
        <w:t>On August 4, 2023, Booz Allen Hamilton completed an offering of $650.0 million aggregate principal amount of its 5.950% senior unsecured notes due August 4, 2033 (the “Senior Notes due 2033”, and, together with the Senior Notes due 2028 and Senior Notes due 2029, the “Senior Notes”). The Senior Notes due 2033 were issued pursuant to an Indenture, dated as of August 4, 2023 (the “Base Indenture”), among Booz Allen Hamilton, Booz Allen Hamilton Holding Corporation, and U.S. Bank Trust Company, National Association, as trustee, as supplemented by the First Supplemental Indenture, dated as of August 4, 2023 (the “Supplemental Indenture” and, together with the Base Indenture, the “Indenture”). The Indenture contains certain covenants, events of default, and other customary provisions. The Senior Notes due 2033 are fully and unconditionally guaranteed on an unsecured and unsubordinated basis by Booz Allen Hamilton Holding Corporation, pursuant to the Indenture.</w:t>
      </w:r>
    </w:p>
    <w:p>
      <w:pPr>
        <w:spacing w:after="0" w:line="66"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Interest on debt and debt-like instruments consisted of the following: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2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23"/>
                <w:szCs w:val="23"/>
                <w:color w:val="auto"/>
              </w:rPr>
            </w:pPr>
          </w:p>
        </w:tc>
        <w:tc>
          <w:tcPr>
            <w:tcW w:w="22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0" w:type="dxa"/>
            <w:vAlign w:val="bottom"/>
          </w:tcPr>
          <w:p>
            <w:pPr>
              <w:spacing w:after="0"/>
              <w:rPr>
                <w:sz w:val="1"/>
                <w:szCs w:val="1"/>
                <w:color w:val="auto"/>
              </w:rPr>
            </w:pPr>
          </w:p>
        </w:tc>
      </w:tr>
      <w:tr>
        <w:trPr>
          <w:trHeight w:val="213"/>
        </w:trPr>
        <w:tc>
          <w:tcPr>
            <w:tcW w:w="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0" w:type="dxa"/>
            <w:vAlign w:val="bottom"/>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center"/>
              <w:ind w:left="422"/>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center"/>
              <w:ind w:left="442"/>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Term Loan A Interest Expense</w:t>
            </w:r>
          </w:p>
        </w:tc>
        <w:tc>
          <w:tcPr>
            <w:tcW w:w="28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27,459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80,874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39,210</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B Interest Expense</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Revolving Credit Facility Interest Expense</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Interest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21,451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51,243</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35,344</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500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w w:val="99"/>
              </w:rPr>
              <w:t>Amortization of Debt Issuance Cost (DIC) and Original Issue Discount (OID)</w:t>
            </w:r>
          </w:p>
        </w:tc>
        <w:tc>
          <w:tcPr>
            <w:tcW w:w="280" w:type="dxa"/>
            <w:vAlign w:val="bottom"/>
          </w:tcPr>
          <w:p>
            <w:pPr>
              <w:spacing w:after="0"/>
              <w:rPr>
                <w:sz w:val="13"/>
                <w:szCs w:val="13"/>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1,335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0" w:type="dxa"/>
            <w:vAlign w:val="bottom"/>
          </w:tcPr>
          <w:p>
            <w:pPr>
              <w:spacing w:after="0"/>
              <w:rPr>
                <w:sz w:val="1"/>
                <w:szCs w:val="1"/>
                <w:color w:val="auto"/>
              </w:rPr>
            </w:pPr>
          </w:p>
        </w:tc>
      </w:tr>
      <w:tr>
        <w:trPr>
          <w:trHeight w:val="155"/>
        </w:trPr>
        <w:tc>
          <w:tcPr>
            <w:tcW w:w="5720" w:type="dxa"/>
            <w:vAlign w:val="bottom"/>
            <w:gridSpan w:val="2"/>
          </w:tcPr>
          <w:p>
            <w:pPr>
              <w:ind w:left="720"/>
              <w:spacing w:after="0"/>
              <w:rPr>
                <w:sz w:val="20"/>
                <w:szCs w:val="20"/>
                <w:color w:val="auto"/>
              </w:rPr>
            </w:pPr>
            <w:r>
              <w:rPr>
                <w:rFonts w:ascii="Times New Roman" w:cs="Times New Roman" w:eastAsia="Times New Roman" w:hAnsi="Times New Roman"/>
                <w:sz w:val="10"/>
                <w:szCs w:val="10"/>
                <w:color w:val="auto"/>
              </w:rPr>
              <w:t>(1)</w:t>
            </w: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Swap (Income)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46,582</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126,812</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left="724" w:right="360" w:hanging="151"/>
        <w:spacing w:after="0" w:line="271" w:lineRule="auto"/>
        <w:tabs>
          <w:tab w:leader="none" w:pos="727" w:val="left"/>
        </w:tabs>
        <w:numPr>
          <w:ilvl w:val="1"/>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56" w:lineRule="exact"/>
        <w:rPr>
          <w:rFonts w:ascii="Times New Roman" w:cs="Times New Roman" w:eastAsia="Times New Roman" w:hAnsi="Times New Roman"/>
          <w:sz w:val="19"/>
          <w:szCs w:val="19"/>
          <w:color w:val="auto"/>
          <w:vertAlign w:val="superscript"/>
        </w:rPr>
      </w:pPr>
    </w:p>
    <w:p>
      <w:pPr>
        <w:ind w:left="164" w:hanging="164"/>
        <w:spacing w:after="0"/>
        <w:tabs>
          <w:tab w:leader="none" w:pos="164"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Derivatives</w:t>
      </w:r>
    </w:p>
    <w:p>
      <w:pPr>
        <w:spacing w:after="0" w:line="105" w:lineRule="exact"/>
        <w:rPr>
          <w:sz w:val="20"/>
          <w:szCs w:val="20"/>
          <w:color w:val="auto"/>
        </w:rPr>
      </w:pPr>
    </w:p>
    <w:p>
      <w:pPr>
        <w:ind w:left="4" w:right="160" w:firstLine="358"/>
        <w:spacing w:after="0" w:line="280" w:lineRule="auto"/>
        <w:rPr>
          <w:sz w:val="20"/>
          <w:szCs w:val="20"/>
          <w:color w:val="auto"/>
        </w:rPr>
      </w:pPr>
      <w:r>
        <w:rPr>
          <w:rFonts w:ascii="Times New Roman" w:cs="Times New Roman" w:eastAsia="Times New Roman" w:hAnsi="Times New Roman"/>
          <w:sz w:val="16"/>
          <w:szCs w:val="16"/>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w:t>
      </w:r>
    </w:p>
    <w:p>
      <w:pPr>
        <w:spacing w:after="0" w:line="49"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6"/>
          <w:szCs w:val="16"/>
          <w:color w:val="auto"/>
        </w:rPr>
        <w:t>The following table summarizes the material terms of the Company’s outstanding interest rate swap derivative contracts as of December 31, 2023:</w:t>
      </w:r>
    </w:p>
    <w:p>
      <w:pPr>
        <w:spacing w:after="0" w:line="41" w:lineRule="exact"/>
        <w:rPr>
          <w:sz w:val="20"/>
          <w:szCs w:val="20"/>
          <w:color w:val="auto"/>
        </w:rPr>
      </w:pPr>
    </w:p>
    <w:tbl>
      <w:tblPr>
        <w:tblLayout w:type="fixed"/>
        <w:tblInd w:w="1964" w:type="dxa"/>
        <w:tblCellMar>
          <w:top w:w="0" w:type="dxa"/>
          <w:left w:w="0" w:type="dxa"/>
          <w:bottom w:w="0" w:type="dxa"/>
          <w:right w:w="0" w:type="dxa"/>
        </w:tblCellMar>
      </w:tblPr>
      <w:tr>
        <w:trPr>
          <w:trHeight w:val="210"/>
        </w:trPr>
        <w:tc>
          <w:tcPr>
            <w:tcW w:w="138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7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156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6"/>
                <w:szCs w:val="16"/>
                <w:b w:val="1"/>
                <w:bCs w:val="1"/>
                <w:color w:val="auto"/>
                <w:w w:val="94"/>
              </w:rPr>
              <w:t>Terms</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0" w:type="dxa"/>
            <w:vAlign w:val="bottom"/>
          </w:tcPr>
          <w:p>
            <w:pPr>
              <w:spacing w:after="0"/>
              <w:rPr>
                <w:sz w:val="1"/>
                <w:szCs w:val="1"/>
                <w:color w:val="auto"/>
              </w:rPr>
            </w:pPr>
          </w:p>
        </w:tc>
      </w:tr>
      <w:tr>
        <w:trPr>
          <w:trHeight w:val="126"/>
        </w:trPr>
        <w:tc>
          <w:tcPr>
            <w:tcW w:w="1380" w:type="dxa"/>
            <w:vAlign w:val="bottom"/>
            <w:vMerge w:val="restart"/>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rPr>
              <w:t>April 28, 2023</w:t>
            </w:r>
          </w:p>
        </w:tc>
        <w:tc>
          <w:tcPr>
            <w:tcW w:w="78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0"/>
                <w:szCs w:val="10"/>
                <w:color w:val="auto"/>
              </w:rPr>
              <w:t>(1)</w:t>
            </w:r>
          </w:p>
        </w:tc>
        <w:tc>
          <w:tcPr>
            <w:tcW w:w="1880" w:type="dxa"/>
            <w:vAlign w:val="bottom"/>
            <w:vMerge w:val="restart"/>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June 30, 2024</w:t>
            </w:r>
          </w:p>
        </w:tc>
        <w:tc>
          <w:tcPr>
            <w:tcW w:w="1560" w:type="dxa"/>
            <w:vAlign w:val="bottom"/>
            <w:vMerge w:val="restart"/>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w w:val="98"/>
              </w:rPr>
              <w:t>Variable to Fixed</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69"/>
        </w:trPr>
        <w:tc>
          <w:tcPr>
            <w:tcW w:w="1380" w:type="dxa"/>
            <w:vAlign w:val="bottom"/>
            <w:vMerge w:val="continue"/>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580" w:type="dxa"/>
            <w:vAlign w:val="bottom"/>
            <w:gridSpan w:val="2"/>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380" w:type="dxa"/>
            <w:vAlign w:val="bottom"/>
            <w:vMerge w:val="restart"/>
          </w:tcPr>
          <w:p>
            <w:pPr>
              <w:jc w:val="center"/>
              <w:ind w:left="40"/>
              <w:spacing w:after="0"/>
              <w:rPr>
                <w:sz w:val="20"/>
                <w:szCs w:val="20"/>
                <w:color w:val="auto"/>
              </w:rPr>
            </w:pPr>
            <w:r>
              <w:rPr>
                <w:rFonts w:ascii="Times New Roman" w:cs="Times New Roman" w:eastAsia="Times New Roman" w:hAnsi="Times New Roman"/>
                <w:sz w:val="16"/>
                <w:szCs w:val="16"/>
                <w:color w:val="auto"/>
              </w:rPr>
              <w:t>April 28, 2023</w:t>
            </w:r>
          </w:p>
        </w:tc>
        <w:tc>
          <w:tcPr>
            <w:tcW w:w="780" w:type="dxa"/>
            <w:vAlign w:val="bottom"/>
          </w:tcPr>
          <w:p>
            <w:pPr>
              <w:jc w:val="right"/>
              <w:ind w:right="468"/>
              <w:spacing w:after="0"/>
              <w:rPr>
                <w:sz w:val="20"/>
                <w:szCs w:val="20"/>
                <w:color w:val="auto"/>
              </w:rPr>
            </w:pPr>
            <w:r>
              <w:rPr>
                <w:rFonts w:ascii="Times New Roman" w:cs="Times New Roman" w:eastAsia="Times New Roman" w:hAnsi="Times New Roman"/>
                <w:sz w:val="10"/>
                <w:szCs w:val="10"/>
                <w:color w:val="auto"/>
              </w:rPr>
              <w:t>(1)</w:t>
            </w:r>
          </w:p>
        </w:tc>
        <w:tc>
          <w:tcPr>
            <w:tcW w:w="1880" w:type="dxa"/>
            <w:vAlign w:val="bottom"/>
            <w:vMerge w:val="restart"/>
          </w:tcPr>
          <w:p>
            <w:pPr>
              <w:jc w:val="center"/>
              <w:ind w:left="60"/>
              <w:spacing w:after="0"/>
              <w:rPr>
                <w:sz w:val="20"/>
                <w:szCs w:val="20"/>
                <w:color w:val="auto"/>
              </w:rPr>
            </w:pPr>
            <w:r>
              <w:rPr>
                <w:rFonts w:ascii="Times New Roman" w:cs="Times New Roman" w:eastAsia="Times New Roman" w:hAnsi="Times New Roman"/>
                <w:sz w:val="16"/>
                <w:szCs w:val="16"/>
                <w:color w:val="auto"/>
              </w:rPr>
              <w:t>June 30, 2025</w:t>
            </w:r>
          </w:p>
        </w:tc>
        <w:tc>
          <w:tcPr>
            <w:tcW w:w="1560" w:type="dxa"/>
            <w:vAlign w:val="bottom"/>
            <w:vMerge w:val="restart"/>
          </w:tcPr>
          <w:p>
            <w:pPr>
              <w:jc w:val="center"/>
              <w:ind w:left="260"/>
              <w:spacing w:after="0"/>
              <w:rPr>
                <w:sz w:val="20"/>
                <w:szCs w:val="20"/>
                <w:color w:val="auto"/>
              </w:rPr>
            </w:pPr>
            <w:r>
              <w:rPr>
                <w:rFonts w:ascii="Times New Roman" w:cs="Times New Roman" w:eastAsia="Times New Roman" w:hAnsi="Times New Roman"/>
                <w:sz w:val="16"/>
                <w:szCs w:val="16"/>
                <w:color w:val="auto"/>
                <w:w w:val="98"/>
              </w:rPr>
              <w:t>Variable to Fixed</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rPr>
              <w:t>June 30, 2023</w:t>
            </w:r>
          </w:p>
        </w:tc>
        <w:tc>
          <w:tcPr>
            <w:tcW w:w="780" w:type="dxa"/>
            <w:vAlign w:val="bottom"/>
            <w:shd w:val="clear" w:color="auto" w:fill="CCEEFF"/>
          </w:tcPr>
          <w:p>
            <w:pPr>
              <w:spacing w:after="0"/>
              <w:rPr>
                <w:sz w:val="17"/>
                <w:szCs w:val="17"/>
                <w:color w:val="auto"/>
              </w:rPr>
            </w:pPr>
          </w:p>
        </w:tc>
        <w:tc>
          <w:tcPr>
            <w:tcW w:w="18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rPr>
              <w:t>June 30, 2026</w:t>
            </w:r>
          </w:p>
        </w:tc>
        <w:tc>
          <w:tcPr>
            <w:tcW w:w="156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6"/>
                <w:szCs w:val="16"/>
                <w:color w:val="auto"/>
                <w:w w:val="98"/>
              </w:rPr>
              <w:t>Variable to Fixed</w:t>
            </w:r>
          </w:p>
        </w:tc>
        <w:tc>
          <w:tcPr>
            <w:tcW w:w="4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4"/>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144" w:right="140" w:hanging="141"/>
        <w:spacing w:after="0" w:line="280" w:lineRule="auto"/>
        <w:tabs>
          <w:tab w:leader="none" w:pos="1147"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Swap agreements were originally effective on April 30, 2019 and were amended during the first quarter of fiscal 2024 to transition from LIBOR-indexed to term SOFR-indexed periodic swap payments to align with interest payments in connection with its term SOFR-indexed debt. See Note 2, “Basis of Presentation,” to the condensed consolidated financial statements for further information on the transition.</w:t>
      </w:r>
    </w:p>
    <w:p>
      <w:pPr>
        <w:spacing w:after="0" w:line="52" w:lineRule="exact"/>
        <w:rPr>
          <w:sz w:val="20"/>
          <w:szCs w:val="20"/>
          <w:color w:val="auto"/>
        </w:rPr>
      </w:pPr>
    </w:p>
    <w:p>
      <w:pPr>
        <w:ind w:left="4" w:firstLine="358"/>
        <w:spacing w:after="0" w:line="280" w:lineRule="auto"/>
        <w:rPr>
          <w:sz w:val="20"/>
          <w:szCs w:val="20"/>
          <w:color w:val="auto"/>
        </w:rPr>
      </w:pPr>
      <w:r>
        <w:rPr>
          <w:rFonts w:ascii="Times New Roman" w:cs="Times New Roman" w:eastAsia="Times New Roman" w:hAnsi="Times New Roman"/>
          <w:sz w:val="16"/>
          <w:szCs w:val="16"/>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49" w:lineRule="exact"/>
        <w:rPr>
          <w:sz w:val="20"/>
          <w:szCs w:val="20"/>
          <w:color w:val="auto"/>
        </w:rPr>
      </w:pPr>
    </w:p>
    <w:p>
      <w:pPr>
        <w:ind w:left="4" w:firstLine="358"/>
        <w:spacing w:after="0" w:line="265" w:lineRule="auto"/>
        <w:rPr>
          <w:sz w:val="20"/>
          <w:szCs w:val="20"/>
          <w:color w:val="auto"/>
        </w:rPr>
      </w:pPr>
      <w:r>
        <w:rPr>
          <w:rFonts w:ascii="Times New Roman" w:cs="Times New Roman" w:eastAsia="Times New Roman" w:hAnsi="Times New Roman"/>
          <w:sz w:val="16"/>
          <w:szCs w:val="16"/>
          <w:color w:val="auto"/>
        </w:rPr>
        <w:t>Derivative instruments are recorded in the condensed consolidated balance sheet on a gross basis at estimated fair value. As of December 31, 2023, $9.2 million, $1.3 million and $0.6 million were classified as other current assets, other long-term assets and other long-term liabilities, respectively, on the condensed consolidated balance sheet. As of March 31, 2023, $11.2</w:t>
      </w:r>
    </w:p>
    <w:p>
      <w:pPr>
        <w:spacing w:after="0" w:line="200" w:lineRule="exact"/>
        <w:rPr>
          <w:sz w:val="20"/>
          <w:szCs w:val="20"/>
          <w:color w:val="auto"/>
        </w:rPr>
      </w:pPr>
    </w:p>
    <w:p>
      <w:pPr>
        <w:spacing w:after="0" w:line="25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04"/>
          </w:cols>
          <w:pgMar w:left="316" w:top="123"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2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81" w:lineRule="exact"/>
        <w:rPr>
          <w:sz w:val="20"/>
          <w:szCs w:val="20"/>
          <w:color w:val="auto"/>
        </w:rPr>
      </w:pPr>
    </w:p>
    <w:p>
      <w:pPr>
        <w:jc w:val="both"/>
        <w:ind w:right="120"/>
        <w:spacing w:after="0" w:line="280" w:lineRule="auto"/>
        <w:rPr>
          <w:sz w:val="20"/>
          <w:szCs w:val="20"/>
          <w:color w:val="auto"/>
        </w:rPr>
      </w:pPr>
      <w:r>
        <w:rPr>
          <w:rFonts w:ascii="Times New Roman" w:cs="Times New Roman" w:eastAsia="Times New Roman" w:hAnsi="Times New Roman"/>
          <w:sz w:val="16"/>
          <w:szCs w:val="16"/>
          <w:color w:val="auto"/>
        </w:rPr>
        <w:t>million, $3.5 million and $1.4 million were classified as other current assets, other long-term assets and other long-term liabilities, respectively, on the condensed consolidated balance sheet.</w:t>
      </w:r>
    </w:p>
    <w:p>
      <w:pPr>
        <w:spacing w:after="0" w:line="49" w:lineRule="exact"/>
        <w:rPr>
          <w:sz w:val="20"/>
          <w:szCs w:val="20"/>
          <w:color w:val="auto"/>
        </w:rPr>
      </w:pPr>
    </w:p>
    <w:p>
      <w:pPr>
        <w:jc w:val="both"/>
        <w:ind w:right="100" w:firstLine="358"/>
        <w:spacing w:after="0" w:line="259" w:lineRule="auto"/>
        <w:rPr>
          <w:sz w:val="20"/>
          <w:szCs w:val="20"/>
          <w:color w:val="auto"/>
        </w:rPr>
      </w:pPr>
      <w:r>
        <w:rPr>
          <w:rFonts w:ascii="Times New Roman" w:cs="Times New Roman" w:eastAsia="Times New Roman" w:hAnsi="Times New Roman"/>
          <w:sz w:val="16"/>
          <w:szCs w:val="16"/>
          <w:color w:val="auto"/>
        </w:rPr>
        <w:t>For interest rate swaps designated as cash flow hedges, the changes in the fair value of derivatives are recorded in Accumulated Other Comprehensive Income, or AOCI, net of taxes, and is subsequently reclassified into interest expense, net in the period that the hedged forecasted interest payments are made on the Company's variable-rate debt. The effect of derivative instruments on the accompanying condensed consolidated financial statements for the three and nine months ended December 31, 2023 and 2022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52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Amount of Pre-Tax Gain or (Loss) Recognized in</w:t>
            </w:r>
          </w:p>
        </w:tc>
        <w:tc>
          <w:tcPr>
            <w:tcW w:w="100" w:type="dxa"/>
            <w:vAlign w:val="bottom"/>
          </w:tcPr>
          <w:p>
            <w:pPr>
              <w:spacing w:after="0"/>
              <w:rPr>
                <w:sz w:val="16"/>
                <w:szCs w:val="16"/>
                <w:color w:val="auto"/>
              </w:rPr>
            </w:pPr>
          </w:p>
        </w:tc>
        <w:tc>
          <w:tcPr>
            <w:tcW w:w="334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Amount of Pre-Tax Gain or (Loss) Reclassified</w:t>
            </w:r>
          </w:p>
        </w:tc>
      </w:tr>
      <w:tr>
        <w:trPr>
          <w:trHeight w:val="215"/>
        </w:trPr>
        <w:tc>
          <w:tcPr>
            <w:tcW w:w="1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80" w:type="dxa"/>
            <w:vAlign w:val="bottom"/>
            <w:tcBorders>
              <w:bottom w:val="single" w:sz="8" w:color="auto"/>
            </w:tcBorders>
            <w:gridSpan w:val="4"/>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w w:val="99"/>
              </w:rPr>
              <w:t>AOCI/(AOCL) on Derivatives</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5"/>
          </w:tcPr>
          <w:p>
            <w:pPr>
              <w:jc w:val="center"/>
              <w:ind w:right="40"/>
              <w:spacing w:after="0" w:line="215" w:lineRule="exact"/>
              <w:rPr>
                <w:sz w:val="20"/>
                <w:szCs w:val="20"/>
                <w:color w:val="auto"/>
              </w:rPr>
            </w:pPr>
            <w:r>
              <w:rPr>
                <w:rFonts w:ascii="Times New Roman" w:cs="Times New Roman" w:eastAsia="Times New Roman" w:hAnsi="Times New Roman"/>
                <w:sz w:val="16"/>
                <w:szCs w:val="16"/>
                <w:b w:val="1"/>
                <w:bCs w:val="1"/>
                <w:color w:val="auto"/>
                <w:w w:val="96"/>
              </w:rPr>
              <w:t xml:space="preserve">from AOCI/(AOCL) into Income </w:t>
            </w:r>
            <w:r>
              <w:rPr>
                <w:rFonts w:ascii="Times New Roman" w:cs="Times New Roman" w:eastAsia="Times New Roman" w:hAnsi="Times New Roman"/>
                <w:sz w:val="20"/>
                <w:szCs w:val="20"/>
                <w:b w:val="1"/>
                <w:bCs w:val="1"/>
                <w:color w:val="auto"/>
                <w:w w:val="96"/>
                <w:vertAlign w:val="superscript"/>
              </w:rPr>
              <w:t>(1)</w:t>
            </w:r>
          </w:p>
        </w:tc>
      </w:tr>
      <w:tr>
        <w:trPr>
          <w:trHeight w:val="291"/>
        </w:trPr>
        <w:tc>
          <w:tcPr>
            <w:tcW w:w="1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10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15"/>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Derivatives in Cash Flow</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 of Gain or (Loss)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7"/>
        </w:trPr>
        <w:tc>
          <w:tcPr>
            <w:tcW w:w="1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Recognized in Income on Derivatives</w:t>
            </w:r>
          </w:p>
        </w:tc>
        <w:tc>
          <w:tcPr>
            <w:tcW w:w="102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Interest income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(4,283)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7,489 $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3,846 $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11,117 $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r>
    </w:tbl>
    <w:p>
      <w:pPr>
        <w:spacing w:after="0" w:line="163" w:lineRule="exact"/>
        <w:rPr>
          <w:sz w:val="20"/>
          <w:szCs w:val="20"/>
          <w:color w:val="auto"/>
        </w:rPr>
      </w:pPr>
    </w:p>
    <w:p>
      <w:pPr>
        <w:ind w:left="560" w:right="40" w:hanging="134"/>
        <w:spacing w:after="0" w:line="465" w:lineRule="auto"/>
        <w:tabs>
          <w:tab w:leader="none" w:pos="563"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reclassifications from accumulated other comprehensive income (loss) to net income were reduced by tax (expense) benefit of $1.0 million and ($0.4 million), respectively, for the three months ended December 31, 2023 and 2022, and $2.9 million and $(0.4) million, respectively, for the nine months ended December 31, 2023 and 2022.</w:t>
      </w:r>
    </w:p>
    <w:p>
      <w:pPr>
        <w:spacing w:after="0" w:line="1" w:lineRule="exact"/>
        <w:rPr>
          <w:sz w:val="20"/>
          <w:szCs w:val="20"/>
          <w:color w:val="auto"/>
        </w:rPr>
      </w:pPr>
    </w:p>
    <w:p>
      <w:pPr>
        <w:ind w:right="20" w:firstLine="358"/>
        <w:spacing w:after="0" w:line="280" w:lineRule="auto"/>
        <w:rPr>
          <w:sz w:val="20"/>
          <w:szCs w:val="20"/>
          <w:color w:val="auto"/>
        </w:rPr>
      </w:pPr>
      <w:r>
        <w:rPr>
          <w:rFonts w:ascii="Times New Roman" w:cs="Times New Roman" w:eastAsia="Times New Roman" w:hAnsi="Times New Roman"/>
          <w:sz w:val="16"/>
          <w:szCs w:val="16"/>
          <w:color w:val="auto"/>
        </w:rPr>
        <w:t>Over the next 12 months, the Company estimates that $9.1 million will be reclassified as a decrease to interest expense. Cash flows associated with periodic settlements of interest rate swaps will be classified as operating activities in the condensed consolidated statement of cash flows.</w:t>
      </w:r>
    </w:p>
    <w:p>
      <w:pPr>
        <w:spacing w:after="0" w:line="49" w:lineRule="exact"/>
        <w:rPr>
          <w:sz w:val="20"/>
          <w:szCs w:val="20"/>
          <w:color w:val="auto"/>
        </w:rPr>
      </w:pPr>
    </w:p>
    <w:p>
      <w:pPr>
        <w:ind w:right="40" w:firstLine="358"/>
        <w:spacing w:after="0" w:line="265" w:lineRule="auto"/>
        <w:rPr>
          <w:sz w:val="20"/>
          <w:szCs w:val="20"/>
          <w:color w:val="auto"/>
        </w:rPr>
      </w:pPr>
      <w:r>
        <w:rPr>
          <w:rFonts w:ascii="Times New Roman" w:cs="Times New Roman" w:eastAsia="Times New Roman" w:hAnsi="Times New Roman"/>
          <w:sz w:val="16"/>
          <w:szCs w:val="16"/>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Income Taxes</w:t>
      </w:r>
    </w:p>
    <w:p>
      <w:pPr>
        <w:spacing w:after="0" w:line="105" w:lineRule="exact"/>
        <w:rPr>
          <w:sz w:val="20"/>
          <w:szCs w:val="20"/>
          <w:color w:val="auto"/>
        </w:rPr>
      </w:pPr>
    </w:p>
    <w:p>
      <w:pPr>
        <w:ind w:right="80" w:firstLine="358"/>
        <w:spacing w:after="0" w:line="257" w:lineRule="auto"/>
        <w:rPr>
          <w:sz w:val="20"/>
          <w:szCs w:val="20"/>
          <w:color w:val="auto"/>
        </w:rPr>
      </w:pPr>
      <w:r>
        <w:rPr>
          <w:rFonts w:ascii="Times New Roman" w:cs="Times New Roman" w:eastAsia="Times New Roman" w:hAnsi="Times New Roman"/>
          <w:sz w:val="16"/>
          <w:szCs w:val="16"/>
          <w:color w:val="auto"/>
        </w:rPr>
        <w:t>The Company’s effective income tax rates were 29.8% and 25.6% for the three months ended December 31, 2023 and 2022, respectively, and 24.7% and 23.3% for the nine months ended December 31, 2023 and 2022, respectively. Our effective tax rates for these periods differ from the federal statutory rate of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67" w:lineRule="exact"/>
        <w:rPr>
          <w:sz w:val="20"/>
          <w:szCs w:val="20"/>
          <w:color w:val="auto"/>
        </w:rPr>
      </w:pPr>
    </w:p>
    <w:p>
      <w:pPr>
        <w:ind w:right="360" w:firstLine="358"/>
        <w:spacing w:after="0" w:line="280" w:lineRule="auto"/>
        <w:rPr>
          <w:sz w:val="20"/>
          <w:szCs w:val="20"/>
          <w:color w:val="auto"/>
        </w:rPr>
      </w:pPr>
      <w:r>
        <w:rPr>
          <w:rFonts w:ascii="Times New Roman" w:cs="Times New Roman" w:eastAsia="Times New Roman" w:hAnsi="Times New Roman"/>
          <w:sz w:val="16"/>
          <w:szCs w:val="16"/>
          <w:color w:val="auto"/>
        </w:rPr>
        <w:t>The Company is currently contesting tax assessments from the District of Columbia Office of Tax and Revenue (“DC OTR”) for fiscal years 2013 through 2015. The assessment relates to $11.8 million of taxes, net of federal tax benefits, as of December 31, 2023.</w:t>
      </w:r>
    </w:p>
    <w:p>
      <w:pPr>
        <w:spacing w:after="0" w:line="49" w:lineRule="exact"/>
        <w:rPr>
          <w:sz w:val="20"/>
          <w:szCs w:val="20"/>
          <w:color w:val="auto"/>
        </w:rPr>
      </w:pPr>
    </w:p>
    <w:p>
      <w:pPr>
        <w:ind w:right="20" w:firstLine="358"/>
        <w:spacing w:after="0" w:line="265" w:lineRule="auto"/>
        <w:rPr>
          <w:sz w:val="20"/>
          <w:szCs w:val="20"/>
          <w:color w:val="auto"/>
        </w:rPr>
      </w:pPr>
      <w:r>
        <w:rPr>
          <w:rFonts w:ascii="Times New Roman" w:cs="Times New Roman" w:eastAsia="Times New Roman" w:hAnsi="Times New Roman"/>
          <w:sz w:val="16"/>
          <w:szCs w:val="16"/>
          <w:color w:val="auto"/>
        </w:rPr>
        <w:t>During fiscal 2022, the Company received notification that the District of Columbia Office of Administrative Hearings ruled in favor of the DC OTR. The Company is currently appealing the decision with the District of Columbia Court of Appeals. The Company intends to continue to vigorously defend this matter. Oral arguments occurred on September 26, 2023 and the Company continues to wait on further developments from the court.</w:t>
      </w:r>
    </w:p>
    <w:p>
      <w:pPr>
        <w:spacing w:after="0" w:line="60" w:lineRule="exact"/>
        <w:rPr>
          <w:sz w:val="20"/>
          <w:szCs w:val="20"/>
          <w:color w:val="auto"/>
        </w:rPr>
      </w:pPr>
    </w:p>
    <w:p>
      <w:pPr>
        <w:ind w:right="20" w:firstLine="358"/>
        <w:spacing w:after="0" w:line="257" w:lineRule="auto"/>
        <w:rPr>
          <w:sz w:val="20"/>
          <w:szCs w:val="20"/>
          <w:color w:val="auto"/>
        </w:rPr>
      </w:pPr>
      <w:r>
        <w:rPr>
          <w:rFonts w:ascii="Times New Roman" w:cs="Times New Roman" w:eastAsia="Times New Roman" w:hAnsi="Times New Roman"/>
          <w:sz w:val="16"/>
          <w:szCs w:val="16"/>
          <w:color w:val="auto"/>
        </w:rPr>
        <w:t>The Company has taken similar tax positions with respect to subsequent fiscal years. As of December 31, 2023, the Company does not maintain reserves for any uncertain tax positions related to the contested tax benefits related to 2013 through 2015, nor does it maintain reserves for the similar tax positions taken in the subsequent fiscal years. Management continues to evaluate this position quarterly to determine if a change in estimate is needed. If an adverse final resolution were to occur with respect to the contested tax benefits or the similar tax positions taken for fiscal years 2013 through 2020, the total potential future tax expense that would arise would be approximately $40.4 million to $64.9 million, net of federal benefit.</w:t>
      </w:r>
    </w:p>
    <w:p>
      <w:pPr>
        <w:spacing w:after="0" w:line="67" w:lineRule="exact"/>
        <w:rPr>
          <w:sz w:val="20"/>
          <w:szCs w:val="20"/>
          <w:color w:val="auto"/>
        </w:rPr>
      </w:pPr>
    </w:p>
    <w:p>
      <w:pPr>
        <w:ind w:right="120" w:firstLine="358"/>
        <w:spacing w:after="0" w:line="282" w:lineRule="auto"/>
        <w:rPr>
          <w:sz w:val="20"/>
          <w:szCs w:val="20"/>
          <w:color w:val="auto"/>
        </w:rPr>
      </w:pPr>
      <w:r>
        <w:rPr>
          <w:rFonts w:ascii="Times New Roman" w:cs="Times New Roman" w:eastAsia="Times New Roman" w:hAnsi="Times New Roman"/>
          <w:sz w:val="15"/>
          <w:szCs w:val="15"/>
          <w:color w:val="auto"/>
        </w:rPr>
        <w:t>During fiscal 2023 and through the first and second quarters of fiscal 2024, the Company recognized an increase in reserves for uncertain tax positions related to an increase in research and development tax credits available, as in prior years, and the required capitalization of research and development expenditures, which became effective in fiscal 2023. The uncertain tax positions related to the capitalization of research and development expenditures were offset by a deferred tax asset. As of December 31, 2023, September 30, 2023, and March 31, 2023 the Company recorded $106.8 million, $769.8 million and $552.6 million, respectively, of reserves for uncertain tax positions.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2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81" w:lineRule="exact"/>
        <w:rPr>
          <w:sz w:val="20"/>
          <w:szCs w:val="20"/>
          <w:color w:val="auto"/>
        </w:rPr>
      </w:pPr>
    </w:p>
    <w:p>
      <w:pPr>
        <w:ind w:right="100" w:firstLine="358"/>
        <w:spacing w:after="0" w:line="255" w:lineRule="auto"/>
        <w:rPr>
          <w:sz w:val="20"/>
          <w:szCs w:val="20"/>
          <w:color w:val="auto"/>
        </w:rPr>
      </w:pPr>
      <w:r>
        <w:rPr>
          <w:rFonts w:ascii="Times New Roman" w:cs="Times New Roman" w:eastAsia="Times New Roman" w:hAnsi="Times New Roman"/>
          <w:sz w:val="16"/>
          <w:szCs w:val="16"/>
          <w:color w:val="auto"/>
        </w:rPr>
        <w:t>During the third quarter of fiscal 2024, the Company completed a detailed study of its research and development expenditures and confirmed management's position that only certain contracts and activities are required to be capitalized and amortized under the rules enacted as part of the Tax Cuts and Jobs Act of 2017, specifically Section 174. This was further supported by guidance issued by the Internal Revenue Service in September and December 2023. As a result, during the third quarter of fiscal 2024, the Company reversed (i) its uncertain tax position reserve related to Section 174 of $656.2 million, with a corresponding decrease to deferred tax assets, and (ii) the accrued interest on the uncertain tax position related to Section 174 of $5.3 million, which resulted in a decrease in both income tax expense and the uncertain tax position reserve. The Company also adjusted its uncertain tax position reserve related to fiscal 2024 and prior research and development tax credits.</w:t>
      </w:r>
    </w:p>
    <w:p>
      <w:pPr>
        <w:spacing w:after="0" w:line="70" w:lineRule="exact"/>
        <w:rPr>
          <w:sz w:val="20"/>
          <w:szCs w:val="20"/>
          <w:color w:val="auto"/>
        </w:rPr>
      </w:pPr>
    </w:p>
    <w:p>
      <w:pPr>
        <w:ind w:right="140" w:firstLine="358"/>
        <w:spacing w:after="0" w:line="265" w:lineRule="auto"/>
        <w:rPr>
          <w:sz w:val="20"/>
          <w:szCs w:val="20"/>
          <w:color w:val="auto"/>
        </w:rPr>
      </w:pPr>
      <w:r>
        <w:rPr>
          <w:rFonts w:ascii="Times New Roman" w:cs="Times New Roman" w:eastAsia="Times New Roman" w:hAnsi="Times New Roman"/>
          <w:sz w:val="16"/>
          <w:szCs w:val="16"/>
          <w:color w:val="auto"/>
        </w:rPr>
        <w:t>In addition, during the three months ended December 31, 2023, the Company reversed a deferred tax asset of approximately $31.7 million related to the indirect tax benefits of the prior uncertainty around the application of Section 174 of the Tax Cuts and Jobs Act of 2017 (of which approximately $22.0 million was previously recorded in fiscal 2023 and $9.7 million was previously recorded during the six months ended September 30, 2023), which resulted in an increase to income tax expense.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Receivables and Payables</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Company has both income tax receivables and income tax payable on its condensed consolidated balance sheets as follows:</w:t>
      </w:r>
    </w:p>
    <w:p>
      <w:pPr>
        <w:spacing w:after="0" w:line="115" w:lineRule="exact"/>
        <w:rPr>
          <w:sz w:val="20"/>
          <w:szCs w:val="20"/>
          <w:color w:val="auto"/>
        </w:rPr>
      </w:pPr>
    </w:p>
    <w:tbl>
      <w:tblPr>
        <w:tblLayout w:type="fixed"/>
        <w:tblInd w:w="236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3"/>
        </w:trPr>
        <w:tc>
          <w:tcPr>
            <w:tcW w:w="38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receivable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23,633</w:t>
            </w: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income tax receivable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167,821</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167,821</w:t>
            </w:r>
          </w:p>
        </w:tc>
      </w:tr>
      <w:tr>
        <w:trPr>
          <w:trHeight w:val="20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payable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14,523</w:t>
            </w:r>
          </w:p>
        </w:tc>
      </w:tr>
    </w:tbl>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Current income tax payable represents current liabilities associated with the Company’s current tax returns that the Company intends to file in fiscal 2024 and fiscal 2025.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amount is classified as other current liabilities on the condensed consolidated balance sheets.</w:t>
      </w:r>
    </w:p>
    <w:p>
      <w:pPr>
        <w:spacing w:after="0" w:line="86" w:lineRule="exact"/>
        <w:rPr>
          <w:sz w:val="20"/>
          <w:szCs w:val="20"/>
          <w:color w:val="auto"/>
        </w:rPr>
      </w:pPr>
    </w:p>
    <w:p>
      <w:pPr>
        <w:jc w:val="both"/>
        <w:ind w:right="40" w:firstLine="358"/>
        <w:spacing w:after="0" w:line="290" w:lineRule="auto"/>
        <w:rPr>
          <w:sz w:val="20"/>
          <w:szCs w:val="20"/>
          <w:color w:val="auto"/>
        </w:rPr>
      </w:pPr>
      <w:r>
        <w:rPr>
          <w:rFonts w:ascii="Times New Roman" w:cs="Times New Roman" w:eastAsia="Times New Roman" w:hAnsi="Times New Roman"/>
          <w:sz w:val="15"/>
          <w:szCs w:val="15"/>
          <w:color w:val="auto"/>
        </w:rPr>
        <w:t>The long-term income tax receivable primarily represents the amended U.S. federal return refund claims for research and development tax credits and the carryback claim for the fiscal 2021 net operating loss which is classified as other long-term assets on the condensed consolidated balance sheet. The Company is currently under federal audit by the IRS for fiscal years 2016, 2017 and 2019-2021 and the receipt of our U.S federal return refund claims is contingent upon the completion of the ongoing IRS audits.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Employee Benefit Plans</w:t>
      </w:r>
    </w:p>
    <w:p>
      <w:pPr>
        <w:spacing w:after="0" w:line="105" w:lineRule="exact"/>
        <w:rPr>
          <w:sz w:val="20"/>
          <w:szCs w:val="20"/>
          <w:color w:val="auto"/>
        </w:rPr>
      </w:pPr>
    </w:p>
    <w:p>
      <w:pPr>
        <w:ind w:right="200" w:firstLine="358"/>
        <w:spacing w:after="0" w:line="271" w:lineRule="auto"/>
        <w:rPr>
          <w:sz w:val="20"/>
          <w:szCs w:val="20"/>
          <w:color w:val="auto"/>
        </w:rPr>
      </w:pPr>
      <w:r>
        <w:rPr>
          <w:rFonts w:ascii="Times New Roman" w:cs="Times New Roman" w:eastAsia="Times New Roman" w:hAnsi="Times New Roman"/>
          <w:sz w:val="15"/>
          <w:szCs w:val="15"/>
          <w:color w:val="auto"/>
        </w:rPr>
        <w:t>The Company sponsors the Employees’ Capital Accumulation Plan (the “ECAP”) which is a qualified defined contribution plan that covers eligible U.S. and certain international employees. The ECAP provides for distributions to participants by reason of retirement, death, disability, or termination of employment. The Company provides an annual matching contribution of up to 6% of eligible annual compensation. Total expenses recognized for matching contributions under the ECAP were $55.5 million and $47.0 million for the three months ended December 31, 2023 and 2022, respectively, and $163.7 million and $139.1 million for the nine months ended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and 2022, respectively.</w:t>
      </w:r>
    </w:p>
    <w:p>
      <w:pPr>
        <w:spacing w:after="0" w:line="74" w:lineRule="exact"/>
        <w:rPr>
          <w:sz w:val="20"/>
          <w:szCs w:val="20"/>
          <w:color w:val="auto"/>
        </w:rPr>
      </w:pPr>
    </w:p>
    <w:p>
      <w:pPr>
        <w:ind w:firstLine="358"/>
        <w:spacing w:after="0" w:line="239" w:lineRule="auto"/>
        <w:rPr>
          <w:sz w:val="20"/>
          <w:szCs w:val="20"/>
          <w:color w:val="auto"/>
        </w:rPr>
      </w:pPr>
      <w:r>
        <w:rPr>
          <w:rFonts w:ascii="Times New Roman" w:cs="Times New Roman" w:eastAsia="Times New Roman" w:hAnsi="Times New Roman"/>
          <w:sz w:val="16"/>
          <w:szCs w:val="16"/>
          <w:color w:val="auto"/>
        </w:rPr>
        <w:t>The Company also provides post-retirement healthcare benefits to former officers under a medical indemnity insurance plan, with premiums paid by the Company. As of December 31, 2023 and March 31, 2023, the unfunded status of the post-retirement medical plan was $108.4 million and $105.6 million, respectively, which is included in other long-term liabilities in the accompanying condensed consolidated balance sheets. Balance sheet and income statement impacts of any remaining benefit plans are immaterial for all periods presented in these condensed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81851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4" w:right="252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12. Accumulated Other Comprehensive Income</w:t>
      </w:r>
    </w:p>
    <w:p>
      <w:pPr>
        <w:spacing w:after="0" w:line="105" w:lineRule="exact"/>
        <w:rPr>
          <w:sz w:val="20"/>
          <w:szCs w:val="20"/>
          <w:color w:val="auto"/>
        </w:rPr>
      </w:pPr>
    </w:p>
    <w:p>
      <w:pPr>
        <w:ind w:left="4" w:right="100"/>
        <w:spacing w:after="0" w:line="280" w:lineRule="auto"/>
        <w:rPr>
          <w:sz w:val="20"/>
          <w:szCs w:val="20"/>
          <w:color w:val="auto"/>
        </w:rPr>
      </w:pPr>
      <w:r>
        <w:rPr>
          <w:rFonts w:ascii="Times New Roman" w:cs="Times New Roman" w:eastAsia="Times New Roman" w:hAnsi="Times New Roman"/>
          <w:sz w:val="16"/>
          <w:szCs w:val="16"/>
          <w:color w:val="auto"/>
        </w:rPr>
        <w:t>All amounts recorded in other comprehensive income are related to the Company's post-retirement plans and interest rate swaps designated as cash flow hedges. The following table shows the changes in accumulated other comprehensive loss, net of tax:</w:t>
      </w:r>
    </w:p>
    <w:p>
      <w:pPr>
        <w:spacing w:after="0" w:line="1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jc w:val="center"/>
              <w:ind w:left="56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800" w:type="dxa"/>
            <w:vAlign w:val="bottom"/>
          </w:tcPr>
          <w:p>
            <w:pPr>
              <w:spacing w:after="0"/>
              <w:rPr>
                <w:sz w:val="13"/>
                <w:szCs w:val="13"/>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Post-retirement</w:t>
            </w:r>
          </w:p>
        </w:tc>
        <w:tc>
          <w:tcPr>
            <w:tcW w:w="180" w:type="dxa"/>
            <w:vAlign w:val="bottom"/>
          </w:tcPr>
          <w:p>
            <w:pPr>
              <w:spacing w:after="0"/>
              <w:rPr>
                <w:sz w:val="13"/>
                <w:szCs w:val="13"/>
                <w:color w:val="auto"/>
              </w:rPr>
            </w:pPr>
          </w:p>
        </w:tc>
        <w:tc>
          <w:tcPr>
            <w:tcW w:w="1120" w:type="dxa"/>
            <w:vAlign w:val="bottom"/>
          </w:tcPr>
          <w:p>
            <w:pPr>
              <w:jc w:val="right"/>
              <w:ind w:right="180"/>
              <w:spacing w:after="0" w:line="150"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Post-retirement</w:t>
            </w:r>
          </w:p>
        </w:tc>
        <w:tc>
          <w:tcPr>
            <w:tcW w:w="140" w:type="dxa"/>
            <w:vAlign w:val="bottom"/>
          </w:tcPr>
          <w:p>
            <w:pPr>
              <w:spacing w:after="0"/>
              <w:rPr>
                <w:sz w:val="13"/>
                <w:szCs w:val="13"/>
                <w:color w:val="auto"/>
              </w:rPr>
            </w:pPr>
          </w:p>
        </w:tc>
        <w:tc>
          <w:tcPr>
            <w:tcW w:w="1100" w:type="dxa"/>
            <w:vAlign w:val="bottom"/>
          </w:tcPr>
          <w:p>
            <w:pPr>
              <w:jc w:val="center"/>
              <w:ind w:right="40"/>
              <w:spacing w:after="0" w:line="150"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designated as cash</w:t>
            </w:r>
          </w:p>
        </w:tc>
        <w:tc>
          <w:tcPr>
            <w:tcW w:w="300" w:type="dxa"/>
            <w:vAlign w:val="bottom"/>
          </w:tcPr>
          <w:p>
            <w:pPr>
              <w:spacing w:after="0"/>
              <w:rPr>
                <w:sz w:val="13"/>
                <w:szCs w:val="13"/>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designated as</w:t>
            </w:r>
          </w:p>
        </w:tc>
        <w:tc>
          <w:tcPr>
            <w:tcW w:w="240" w:type="dxa"/>
            <w:vAlign w:val="bottom"/>
          </w:tcPr>
          <w:p>
            <w:pPr>
              <w:spacing w:after="0"/>
              <w:rPr>
                <w:sz w:val="13"/>
                <w:szCs w:val="13"/>
                <w:color w:val="auto"/>
              </w:rPr>
            </w:pPr>
          </w:p>
        </w:tc>
        <w:tc>
          <w:tcPr>
            <w:tcW w:w="940" w:type="dxa"/>
            <w:vAlign w:val="bottom"/>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5"/>
        </w:trPr>
        <w:tc>
          <w:tcPr>
            <w:tcW w:w="3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13,208</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31,892</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w w:val="99"/>
              </w:rPr>
              <w:t>9,883</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29,333</w:t>
            </w:r>
          </w:p>
        </w:tc>
        <w:tc>
          <w:tcPr>
            <w:tcW w:w="0" w:type="dxa"/>
            <w:vAlign w:val="bottom"/>
          </w:tcPr>
          <w:p>
            <w:pPr>
              <w:spacing w:after="0"/>
              <w:rPr>
                <w:sz w:val="1"/>
                <w:szCs w:val="1"/>
                <w:color w:val="auto"/>
              </w:rPr>
            </w:pPr>
          </w:p>
        </w:tc>
      </w:tr>
      <w:tr>
        <w:trPr>
          <w:trHeight w:val="155"/>
        </w:trPr>
        <w:tc>
          <w:tcPr>
            <w:tcW w:w="3800" w:type="dxa"/>
            <w:vAlign w:val="bottom"/>
          </w:tcPr>
          <w:p>
            <w:pPr>
              <w:ind w:left="120"/>
              <w:spacing w:after="0" w:line="155" w:lineRule="exact"/>
              <w:rPr>
                <w:sz w:val="20"/>
                <w:szCs w:val="20"/>
                <w:color w:val="auto"/>
              </w:rPr>
            </w:pPr>
            <w:r>
              <w:rPr>
                <w:rFonts w:ascii="Times New Roman" w:cs="Times New Roman" w:eastAsia="Times New Roman" w:hAnsi="Times New Roman"/>
                <w:sz w:val="16"/>
                <w:szCs w:val="16"/>
                <w:color w:val="auto"/>
              </w:rPr>
              <w:t>Other comprehensive income (loss) before</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20"/>
              <w:spacing w:after="0" w:line="215" w:lineRule="exact"/>
              <w:rPr>
                <w:sz w:val="20"/>
                <w:szCs w:val="20"/>
                <w:color w:val="auto"/>
              </w:rPr>
            </w:pPr>
            <w:r>
              <w:rPr>
                <w:rFonts w:ascii="Times New Roman" w:cs="Times New Roman" w:eastAsia="Times New Roman" w:hAnsi="Times New Roman"/>
                <w:sz w:val="16"/>
                <w:szCs w:val="16"/>
                <w:color w:val="auto"/>
              </w:rPr>
              <w:t>reclassifications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3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8"/>
              </w:rPr>
              <w:t>(3,165)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auto"/>
                <w:w w:val="99"/>
              </w:rPr>
              <w:t>5,535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0" w:type="dxa"/>
            <w:vAlign w:val="bottom"/>
          </w:tcPr>
          <w:p>
            <w:pPr>
              <w:spacing w:after="0"/>
              <w:rPr>
                <w:sz w:val="1"/>
                <w:szCs w:val="1"/>
                <w:color w:val="auto"/>
              </w:rPr>
            </w:pPr>
          </w:p>
        </w:tc>
      </w:tr>
      <w:tr>
        <w:trPr>
          <w:trHeight w:val="155"/>
        </w:trPr>
        <w:tc>
          <w:tcPr>
            <w:tcW w:w="380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w w:val="98"/>
              </w:rPr>
              <w:t>(3,224)</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20"/>
              <w:spacing w:after="0"/>
              <w:rPr>
                <w:sz w:val="20"/>
                <w:szCs w:val="20"/>
                <w:color w:val="auto"/>
              </w:rPr>
            </w:pPr>
            <w:r>
              <w:rPr>
                <w:rFonts w:ascii="Times New Roman" w:cs="Times New Roman" w:eastAsia="Times New Roman" w:hAnsi="Times New Roman"/>
                <w:sz w:val="16"/>
                <w:szCs w:val="16"/>
                <w:color w:val="auto"/>
                <w:w w:val="98"/>
              </w:rPr>
              <w:t>(8,216)</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(9,365)</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Net current-period other comprehensive loss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w w:val="98"/>
              </w:rPr>
              <w:t>(6,389)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6"/>
                <w:szCs w:val="16"/>
                <w:color w:val="auto"/>
                <w:w w:val="98"/>
              </w:rPr>
              <w:t>(2,681)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25,503</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w w:val="99"/>
              </w:rPr>
              <w:t>7,202</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564" w:right="40" w:hanging="134"/>
        <w:spacing w:after="0" w:line="271" w:lineRule="auto"/>
        <w:tabs>
          <w:tab w:leader="none" w:pos="581"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Changes in other comprehensive income before reclassification for derivatives designated as cash flow hedges are recorded net of tax benefit (expense) of $1.1 million and $(2.0) million for the three and nine months ended December 31, 2023, respectively. The tax impact of other comprehensive income before reclassification for post-retirement plans for the three and nine months ended December 31, 2023 was immaterial.</w:t>
      </w:r>
    </w:p>
    <w:p>
      <w:pPr>
        <w:spacing w:after="0" w:line="2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Post-retirement</w:t>
            </w:r>
          </w:p>
        </w:tc>
        <w:tc>
          <w:tcPr>
            <w:tcW w:w="120" w:type="dxa"/>
            <w:vAlign w:val="bottom"/>
          </w:tcPr>
          <w:p>
            <w:pPr>
              <w:spacing w:after="0"/>
              <w:rPr>
                <w:sz w:val="13"/>
                <w:szCs w:val="13"/>
                <w:color w:val="auto"/>
              </w:rPr>
            </w:pPr>
          </w:p>
        </w:tc>
        <w:tc>
          <w:tcPr>
            <w:tcW w:w="1100" w:type="dxa"/>
            <w:vAlign w:val="bottom"/>
          </w:tcPr>
          <w:p>
            <w:pPr>
              <w:jc w:val="center"/>
              <w:ind w:right="40"/>
              <w:spacing w:after="0" w:line="150"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Post-retirement</w:t>
            </w:r>
          </w:p>
        </w:tc>
        <w:tc>
          <w:tcPr>
            <w:tcW w:w="160" w:type="dxa"/>
            <w:vAlign w:val="bottom"/>
          </w:tcPr>
          <w:p>
            <w:pPr>
              <w:spacing w:after="0"/>
              <w:rPr>
                <w:sz w:val="13"/>
                <w:szCs w:val="13"/>
                <w:color w:val="auto"/>
              </w:rPr>
            </w:pPr>
          </w:p>
        </w:tc>
        <w:tc>
          <w:tcPr>
            <w:tcW w:w="1100" w:type="dxa"/>
            <w:vAlign w:val="bottom"/>
          </w:tcPr>
          <w:p>
            <w:pPr>
              <w:jc w:val="center"/>
              <w:ind w:right="60"/>
              <w:spacing w:after="0" w:line="150" w:lineRule="exact"/>
              <w:rPr>
                <w:sz w:val="20"/>
                <w:szCs w:val="20"/>
                <w:color w:val="auto"/>
              </w:rPr>
            </w:pPr>
            <w:r>
              <w:rPr>
                <w:rFonts w:ascii="Times New Roman" w:cs="Times New Roman" w:eastAsia="Times New Roman" w:hAnsi="Times New Roman"/>
                <w:sz w:val="16"/>
                <w:szCs w:val="16"/>
                <w:b w:val="1"/>
                <w:bCs w:val="1"/>
                <w:color w:val="auto"/>
                <w:w w:val="98"/>
              </w:rPr>
              <w:t>Derivatives</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designated as</w:t>
            </w:r>
          </w:p>
        </w:tc>
        <w:tc>
          <w:tcPr>
            <w:tcW w:w="260" w:type="dxa"/>
            <w:vAlign w:val="bottom"/>
          </w:tcPr>
          <w:p>
            <w:pPr>
              <w:spacing w:after="0"/>
              <w:rPr>
                <w:sz w:val="13"/>
                <w:szCs w:val="13"/>
                <w:color w:val="auto"/>
              </w:rPr>
            </w:pPr>
          </w:p>
        </w:tc>
        <w:tc>
          <w:tcPr>
            <w:tcW w:w="98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auto"/>
              </w:rPr>
              <w:t>designated as</w:t>
            </w:r>
          </w:p>
        </w:tc>
        <w:tc>
          <w:tcPr>
            <w:tcW w:w="260" w:type="dxa"/>
            <w:vAlign w:val="bottom"/>
          </w:tcPr>
          <w:p>
            <w:pPr>
              <w:spacing w:after="0"/>
              <w:rPr>
                <w:sz w:val="13"/>
                <w:szCs w:val="13"/>
                <w:color w:val="auto"/>
              </w:rPr>
            </w:pPr>
          </w:p>
        </w:tc>
        <w:tc>
          <w:tcPr>
            <w:tcW w:w="10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5"/>
        </w:trPr>
        <w:tc>
          <w:tcPr>
            <w:tcW w:w="3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cash flow hedges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22,141</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w:t>
            </w:r>
          </w:p>
        </w:tc>
        <w:tc>
          <w:tcPr>
            <w:tcW w:w="0" w:type="dxa"/>
            <w:vAlign w:val="bottom"/>
          </w:tcPr>
          <w:p>
            <w:pPr>
              <w:spacing w:after="0"/>
              <w:rPr>
                <w:sz w:val="1"/>
                <w:szCs w:val="1"/>
                <w:color w:val="auto"/>
              </w:rPr>
            </w:pPr>
          </w:p>
        </w:tc>
      </w:tr>
      <w:tr>
        <w:trPr>
          <w:trHeight w:val="203"/>
        </w:trPr>
        <w:tc>
          <w:tcPr>
            <w:tcW w:w="3840" w:type="dxa"/>
            <w:vAlign w:val="bottom"/>
          </w:tcPr>
          <w:p>
            <w:pPr>
              <w:ind w:left="120"/>
              <w:spacing w:after="0" w:line="204" w:lineRule="exact"/>
              <w:rPr>
                <w:sz w:val="20"/>
                <w:szCs w:val="20"/>
                <w:color w:val="auto"/>
              </w:rPr>
            </w:pPr>
            <w:r>
              <w:rPr>
                <w:rFonts w:ascii="Times New Roman" w:cs="Times New Roman" w:eastAsia="Times New Roman" w:hAnsi="Times New Roman"/>
                <w:sz w:val="16"/>
                <w:szCs w:val="16"/>
                <w:color w:val="auto"/>
              </w:rPr>
              <w:t>Other comprehensive income before reclassifications</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0" w:type="dxa"/>
            <w:vAlign w:val="bottom"/>
          </w:tcPr>
          <w:p>
            <w:pPr>
              <w:spacing w:after="0"/>
              <w:rPr>
                <w:sz w:val="1"/>
                <w:szCs w:val="1"/>
                <w:color w:val="auto"/>
              </w:rPr>
            </w:pPr>
          </w:p>
        </w:tc>
      </w:tr>
      <w:tr>
        <w:trPr>
          <w:trHeight w:val="155"/>
        </w:trPr>
        <w:tc>
          <w:tcPr>
            <w:tcW w:w="384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Net current-period other comprehensive (loss) income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13,272</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22,079</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13,272</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4" w:right="40" w:hanging="134"/>
        <w:spacing w:after="0" w:line="317" w:lineRule="auto"/>
        <w:tabs>
          <w:tab w:leader="none" w:pos="567" w:val="left"/>
        </w:tabs>
        <w:numPr>
          <w:ilvl w:val="1"/>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Changes in other comprehensive income before reclassification for derivatives designated as cash flow hedges are recorded net of tax expense of $0.4 million and $4.4 million for the three and nine months ended December 31, 2022. The tax impact of other comprehensive income before reclassification for post-retirement plans for the three and nine months ended December 31, 2022 was immaterial.</w:t>
      </w:r>
    </w:p>
    <w:p>
      <w:pPr>
        <w:spacing w:after="0" w:line="211" w:lineRule="exact"/>
        <w:rPr>
          <w:rFonts w:ascii="Times New Roman" w:cs="Times New Roman" w:eastAsia="Times New Roman" w:hAnsi="Times New Roman"/>
          <w:sz w:val="17"/>
          <w:szCs w:val="17"/>
          <w:color w:val="auto"/>
          <w:vertAlign w:val="superscript"/>
        </w:rPr>
      </w:pPr>
    </w:p>
    <w:p>
      <w:pPr>
        <w:ind w:left="244" w:hanging="244"/>
        <w:spacing w:after="0"/>
        <w:tabs>
          <w:tab w:leader="none" w:pos="244"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w:t>
      </w:r>
    </w:p>
    <w:p>
      <w:pPr>
        <w:spacing w:after="0" w:line="105"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6"/>
          <w:szCs w:val="16"/>
          <w:color w:val="auto"/>
        </w:rPr>
        <w:t>The following table summarizes stock-based compensation expense recognized in the condensed consolidated statements of operations:</w:t>
      </w:r>
    </w:p>
    <w:p>
      <w:pPr>
        <w:spacing w:after="0" w:line="24"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42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0"/>
        </w:trPr>
        <w:tc>
          <w:tcPr>
            <w:tcW w:w="7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195"/>
        </w:trPr>
        <w:tc>
          <w:tcPr>
            <w:tcW w:w="70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Pr>
          <w:p>
            <w:pPr>
              <w:spacing w:after="0"/>
              <w:rPr>
                <w:sz w:val="16"/>
                <w:szCs w:val="16"/>
                <w:color w:val="auto"/>
              </w:rPr>
            </w:pPr>
          </w:p>
        </w:tc>
      </w:tr>
      <w:tr>
        <w:trPr>
          <w:trHeight w:val="195"/>
        </w:trPr>
        <w:tc>
          <w:tcPr>
            <w:tcW w:w="700" w:type="dxa"/>
            <w:vAlign w:val="bottom"/>
          </w:tcPr>
          <w:p>
            <w:pPr>
              <w:spacing w:after="0"/>
              <w:rPr>
                <w:sz w:val="16"/>
                <w:szCs w:val="16"/>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9,348</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26,227</w:t>
            </w:r>
          </w:p>
        </w:tc>
        <w:tc>
          <w:tcPr>
            <w:tcW w:w="720" w:type="dxa"/>
            <w:vAlign w:val="bottom"/>
          </w:tcPr>
          <w:p>
            <w:pPr>
              <w:spacing w:after="0"/>
              <w:rPr>
                <w:sz w:val="16"/>
                <w:szCs w:val="16"/>
                <w:color w:val="auto"/>
              </w:rPr>
            </w:pPr>
          </w:p>
        </w:tc>
      </w:tr>
      <w:tr>
        <w:trPr>
          <w:trHeight w:val="203"/>
        </w:trPr>
        <w:tc>
          <w:tcPr>
            <w:tcW w:w="700" w:type="dxa"/>
            <w:vAlign w:val="bottom"/>
          </w:tcPr>
          <w:p>
            <w:pPr>
              <w:spacing w:after="0"/>
              <w:rPr>
                <w:sz w:val="17"/>
                <w:szCs w:val="17"/>
                <w:color w:val="auto"/>
              </w:rPr>
            </w:pPr>
          </w:p>
        </w:tc>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14,419</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34,977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24,765</w:t>
            </w:r>
          </w:p>
        </w:tc>
        <w:tc>
          <w:tcPr>
            <w:tcW w:w="720" w:type="dxa"/>
            <w:vAlign w:val="bottom"/>
          </w:tcPr>
          <w:p>
            <w:pPr>
              <w:spacing w:after="0"/>
              <w:rPr>
                <w:sz w:val="17"/>
                <w:szCs w:val="17"/>
                <w:color w:val="auto"/>
              </w:rPr>
            </w:pPr>
          </w:p>
        </w:tc>
      </w:tr>
      <w:tr>
        <w:trPr>
          <w:trHeight w:val="220"/>
        </w:trPr>
        <w:tc>
          <w:tcPr>
            <w:tcW w:w="70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23,767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18,770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50,992</w:t>
            </w:r>
          </w:p>
        </w:tc>
        <w:tc>
          <w:tcPr>
            <w:tcW w:w="72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33"/>
        </w:trPr>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99"/>
        </w:trPr>
        <w:tc>
          <w:tcPr>
            <w:tcW w:w="700" w:type="dxa"/>
            <w:vAlign w:val="bottom"/>
            <w:tcBorders>
              <w:bottom w:val="single" w:sz="8" w:color="9A9A9A"/>
            </w:tcBorders>
          </w:tcPr>
          <w:p>
            <w:pPr>
              <w:spacing w:after="0"/>
              <w:rPr>
                <w:sz w:val="8"/>
                <w:szCs w:val="8"/>
                <w:color w:val="auto"/>
              </w:rPr>
            </w:pPr>
          </w:p>
        </w:tc>
        <w:tc>
          <w:tcPr>
            <w:tcW w:w="38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-27305</wp:posOffset>
            </wp:positionV>
            <wp:extent cx="3302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0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69" w:lineRule="exact"/>
        <w:rPr>
          <w:sz w:val="20"/>
          <w:szCs w:val="20"/>
          <w:color w:val="auto"/>
        </w:rPr>
      </w:pPr>
    </w:p>
    <w:p>
      <w:pPr>
        <w:ind w:right="80" w:firstLine="358"/>
        <w:spacing w:after="0" w:line="274" w:lineRule="auto"/>
        <w:rPr>
          <w:sz w:val="20"/>
          <w:szCs w:val="20"/>
          <w:color w:val="auto"/>
        </w:rPr>
      </w:pPr>
      <w:r>
        <w:rPr>
          <w:rFonts w:ascii="Times New Roman" w:cs="Times New Roman" w:eastAsia="Times New Roman" w:hAnsi="Times New Roman"/>
          <w:sz w:val="15"/>
          <w:szCs w:val="15"/>
          <w:color w:val="auto"/>
        </w:rPr>
        <w:t>The following table summarizes the total stock-based compensation expense recognized in the condensed consolidated statements of operations by the following types of equity awards, including stock options, time-based and performance-based restricted stock awards. Compensation expense for performance-based awards is estimated at each reporting date using management's expectation of the probable achievement of the specified performance criteria of each tranche during the respective performance periods:</w:t>
      </w:r>
    </w:p>
    <w:p>
      <w:pPr>
        <w:spacing w:after="0" w:line="19"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42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40" w:type="dxa"/>
            <w:vAlign w:val="bottom"/>
          </w:tcPr>
          <w:p>
            <w:pPr>
              <w:spacing w:after="0"/>
              <w:rPr>
                <w:sz w:val="16"/>
                <w:szCs w:val="16"/>
                <w:color w:val="auto"/>
              </w:rPr>
            </w:pPr>
          </w:p>
        </w:tc>
      </w:tr>
      <w:tr>
        <w:trPr>
          <w:trHeight w:val="213"/>
        </w:trPr>
        <w:tc>
          <w:tcPr>
            <w:tcW w:w="4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40" w:type="dxa"/>
            <w:vAlign w:val="bottom"/>
            <w:tcBorders>
              <w:bottom w:val="single" w:sz="8" w:color="auto"/>
            </w:tcBorders>
          </w:tcPr>
          <w:p>
            <w:pPr>
              <w:spacing w:after="0"/>
              <w:rPr>
                <w:sz w:val="18"/>
                <w:szCs w:val="18"/>
                <w:color w:val="auto"/>
              </w:rPr>
            </w:pPr>
          </w:p>
        </w:tc>
      </w:tr>
      <w:tr>
        <w:trPr>
          <w:trHeight w:val="198"/>
        </w:trPr>
        <w:tc>
          <w:tcPr>
            <w:tcW w:w="40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r>
      <w:tr>
        <w:trPr>
          <w:trHeight w:val="195"/>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Equity Incentive Plan Options</w:t>
            </w:r>
          </w:p>
        </w:tc>
        <w:tc>
          <w:tcPr>
            <w:tcW w:w="88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03"/>
        </w:trPr>
        <w:tc>
          <w:tcPr>
            <w:tcW w:w="40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Restricted Stock and other awards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17,998</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60,286</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48,987</w:t>
            </w:r>
          </w:p>
        </w:tc>
      </w:tr>
      <w:tr>
        <w:trPr>
          <w:trHeight w:val="220"/>
        </w:trPr>
        <w:tc>
          <w:tcPr>
            <w:tcW w:w="4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18,770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50,992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firstLine="358"/>
        <w:spacing w:after="0" w:line="281" w:lineRule="auto"/>
        <w:rPr>
          <w:sz w:val="20"/>
          <w:szCs w:val="20"/>
          <w:color w:val="auto"/>
        </w:rPr>
      </w:pPr>
      <w:r>
        <w:rPr>
          <w:rFonts w:ascii="Times New Roman" w:cs="Times New Roman" w:eastAsia="Times New Roman" w:hAnsi="Times New Roman"/>
          <w:sz w:val="15"/>
          <w:szCs w:val="15"/>
          <w:color w:val="auto"/>
        </w:rPr>
        <w:t>As of December 31, 2023, there was $79.2 million of total unrecognized compensation cost related to unvested stock-based compensation agreements. The unrecognized compensation cost as of December 31, 2023 is expected to be fully amortized over the next 3.75 years. Absent the effect of forfeiture or acceleration of stock compensation cost for any departures of employees, the following table summarizes the unrecognized compensation cost and the weighted-average period the cost is expected to be amortized: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35"/>
        </w:trPr>
        <w:tc>
          <w:tcPr>
            <w:tcW w:w="7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ind w:right="343"/>
              <w:spacing w:after="0" w:line="135"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 Remaining</w:t>
            </w:r>
          </w:p>
        </w:tc>
      </w:tr>
      <w:tr>
        <w:trPr>
          <w:trHeight w:val="189"/>
        </w:trPr>
        <w:tc>
          <w:tcPr>
            <w:tcW w:w="7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to be Recognized (in years)</w:t>
            </w:r>
          </w:p>
        </w:tc>
      </w:tr>
      <w:tr>
        <w:trPr>
          <w:trHeight w:val="19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Incentive Plan Options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2.95</w:t>
            </w: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77,267</w:t>
            </w:r>
          </w:p>
        </w:tc>
        <w:tc>
          <w:tcPr>
            <w:tcW w:w="2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1.77</w:t>
            </w:r>
          </w:p>
        </w:tc>
      </w:tr>
      <w:tr>
        <w:trPr>
          <w:trHeight w:val="220"/>
        </w:trPr>
        <w:tc>
          <w:tcPr>
            <w:tcW w:w="72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of December 31, 2023, there were 0.8 million EIP options outstanding, of which 0.3 million were unvested.</w:t>
      </w:r>
    </w:p>
    <w:p>
      <w:pPr>
        <w:spacing w:after="0" w:line="103" w:lineRule="exact"/>
        <w:rPr>
          <w:sz w:val="20"/>
          <w:szCs w:val="20"/>
          <w:color w:val="auto"/>
        </w:rPr>
      </w:pPr>
    </w:p>
    <w:p>
      <w:pPr>
        <w:ind w:right="100" w:firstLine="358"/>
        <w:spacing w:after="0" w:line="257" w:lineRule="auto"/>
        <w:rPr>
          <w:sz w:val="20"/>
          <w:szCs w:val="20"/>
          <w:color w:val="auto"/>
        </w:rPr>
      </w:pPr>
      <w:r>
        <w:rPr>
          <w:rFonts w:ascii="Times New Roman" w:cs="Times New Roman" w:eastAsia="Times New Roman" w:hAnsi="Times New Roman"/>
          <w:sz w:val="16"/>
          <w:szCs w:val="16"/>
          <w:color w:val="auto"/>
        </w:rPr>
        <w:t>During the nine months ended December 31, 2023, the Board of Directors granted 0.9 million time-based and performance-based restricted stock units to certain employees of the Company. The aggregate value of these awards was $82.0 million based on the grant date fair value. The performance-based awards granted during the nine months ended December 31, 2023 included additional market conditions related to the Company’s total shareholder return relative to its peer group over the three-year performance period. The Company recognizes compensation expense for these performance-based awards with market conditions based on the grant-date fair value calculated using a Monte Carlo model.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Fair Value Measurements</w:t>
      </w:r>
    </w:p>
    <w:p>
      <w:pPr>
        <w:spacing w:after="0" w:line="105" w:lineRule="exact"/>
        <w:rPr>
          <w:sz w:val="20"/>
          <w:szCs w:val="20"/>
          <w:color w:val="auto"/>
        </w:rPr>
      </w:pPr>
    </w:p>
    <w:p>
      <w:pPr>
        <w:ind w:right="140" w:firstLine="358"/>
        <w:spacing w:after="0" w:line="265" w:lineRule="auto"/>
        <w:rPr>
          <w:sz w:val="20"/>
          <w:szCs w:val="20"/>
          <w:color w:val="auto"/>
        </w:rPr>
      </w:pPr>
      <w:r>
        <w:rPr>
          <w:rFonts w:ascii="Times New Roman" w:cs="Times New Roman" w:eastAsia="Times New Roman" w:hAnsi="Times New Roman"/>
          <w:sz w:val="16"/>
          <w:szCs w:val="16"/>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60" w:lineRule="exact"/>
        <w:rPr>
          <w:sz w:val="20"/>
          <w:szCs w:val="20"/>
          <w:color w:val="auto"/>
        </w:rPr>
      </w:pPr>
    </w:p>
    <w:p>
      <w:pPr>
        <w:ind w:right="720" w:firstLine="358"/>
        <w:spacing w:after="0" w:line="280"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0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6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Recurring Fair Value Measurements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3"/>
        </w:trPr>
        <w:tc>
          <w:tcPr>
            <w:tcW w:w="6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as of December 31, 2023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8"/>
        </w:trPr>
        <w:tc>
          <w:tcPr>
            <w:tcW w:w="6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03"/>
        </w:trPr>
        <w:tc>
          <w:tcPr>
            <w:tcW w:w="624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Current derivative instruments </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9,154</w:t>
            </w:r>
          </w:p>
        </w:tc>
      </w:tr>
      <w:tr>
        <w:trPr>
          <w:trHeight w:val="203"/>
        </w:trPr>
        <w:tc>
          <w:tcPr>
            <w:tcW w:w="6240" w:type="dxa"/>
            <w:vAlign w:val="bottom"/>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Long-term derivative instruments </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r>
      <w:tr>
        <w:trPr>
          <w:trHeight w:val="203"/>
        </w:trPr>
        <w:tc>
          <w:tcPr>
            <w:tcW w:w="624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Long-term deferred compensation plan asset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27,749</w:t>
            </w:r>
          </w:p>
        </w:tc>
      </w:tr>
      <w:tr>
        <w:trPr>
          <w:trHeight w:val="195"/>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38,155</w:t>
            </w:r>
          </w:p>
        </w:tc>
      </w:tr>
      <w:tr>
        <w:trPr>
          <w:trHeight w:val="18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6240" w:type="dxa"/>
            <w:vAlign w:val="bottom"/>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Long-term derivative instruments </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03"/>
        </w:trPr>
        <w:tc>
          <w:tcPr>
            <w:tcW w:w="624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Long-term deferred compensation plan liability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27,749</w:t>
            </w:r>
          </w:p>
        </w:tc>
      </w:tr>
      <w:tr>
        <w:trPr>
          <w:trHeight w:val="195"/>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28,375</w:t>
            </w: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6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Recurring Fair Value Measurements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3"/>
        </w:trPr>
        <w:tc>
          <w:tcPr>
            <w:tcW w:w="6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as of March 31, 2023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98"/>
        </w:trPr>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92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203"/>
        </w:trPr>
        <w:tc>
          <w:tcPr>
            <w:tcW w:w="6240" w:type="dxa"/>
            <w:vAlign w:val="bottom"/>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Current derivative instruments </w:t>
            </w:r>
            <w:r>
              <w:rPr>
                <w:rFonts w:ascii="Times New Roman" w:cs="Times New Roman" w:eastAsia="Times New Roman" w:hAnsi="Times New Roman"/>
                <w:sz w:val="20"/>
                <w:szCs w:val="20"/>
                <w:color w:val="auto"/>
                <w:vertAlign w:val="superscript"/>
              </w:rPr>
              <w:t>(2)</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12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11,245</w:t>
            </w:r>
          </w:p>
        </w:tc>
      </w:tr>
      <w:tr>
        <w:trPr>
          <w:trHeight w:val="203"/>
        </w:trPr>
        <w:tc>
          <w:tcPr>
            <w:tcW w:w="624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Long-term derivative instruments </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r>
      <w:tr>
        <w:trPr>
          <w:trHeight w:val="203"/>
        </w:trPr>
        <w:tc>
          <w:tcPr>
            <w:tcW w:w="6240" w:type="dxa"/>
            <w:vAlign w:val="bottom"/>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Long-term deferred compensation plan asset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20,090</w:t>
            </w:r>
          </w:p>
        </w:tc>
      </w:tr>
      <w:tr>
        <w:trPr>
          <w:trHeight w:val="19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20,090</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34,865</w:t>
            </w:r>
          </w:p>
        </w:tc>
      </w:tr>
      <w:tr>
        <w:trPr>
          <w:trHeight w:val="18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624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Long-term derivative instruments </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03"/>
        </w:trPr>
        <w:tc>
          <w:tcPr>
            <w:tcW w:w="6240" w:type="dxa"/>
            <w:vAlign w:val="bottom"/>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Long-term deferred compensation plan liability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20,090</w:t>
            </w:r>
          </w:p>
        </w:tc>
      </w:tr>
      <w:tr>
        <w:trPr>
          <w:trHeight w:val="19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20,090</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21,459</w:t>
            </w:r>
          </w:p>
        </w:tc>
      </w:tr>
    </w:tbl>
    <w:p>
      <w:pPr>
        <w:spacing w:after="0" w:line="103" w:lineRule="exact"/>
        <w:rPr>
          <w:sz w:val="20"/>
          <w:szCs w:val="20"/>
          <w:color w:val="auto"/>
        </w:rPr>
      </w:pPr>
    </w:p>
    <w:p>
      <w:pPr>
        <w:ind w:left="560" w:right="80" w:hanging="206"/>
        <w:spacing w:after="0" w:line="394" w:lineRule="auto"/>
        <w:tabs>
          <w:tab w:leader="none" w:pos="491"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and liabilities represent investments held in a consolidated trust to fund the Company's non-qualified deferred compensation plan and are recorded in other long-term assets and other long-term liabilities on our condensed consolidated balance sheets.</w:t>
      </w:r>
    </w:p>
    <w:p>
      <w:pPr>
        <w:jc w:val="both"/>
        <w:ind w:left="560" w:right="400" w:hanging="206"/>
        <w:spacing w:after="0" w:line="271" w:lineRule="auto"/>
        <w:tabs>
          <w:tab w:leader="none" w:pos="505"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“Derivatives,” to the condensed consolidated financial statements for further discussion on the Company’s derivative instruments designated as cash flow hedges.</w:t>
      </w:r>
    </w:p>
    <w:p>
      <w:pPr>
        <w:spacing w:after="0" w:line="59" w:lineRule="exact"/>
        <w:rPr>
          <w:sz w:val="20"/>
          <w:szCs w:val="20"/>
          <w:color w:val="auto"/>
        </w:rPr>
      </w:pPr>
    </w:p>
    <w:p>
      <w:pPr>
        <w:ind w:right="360" w:firstLine="358"/>
        <w:spacing w:after="0" w:line="280" w:lineRule="auto"/>
        <w:rPr>
          <w:sz w:val="20"/>
          <w:szCs w:val="20"/>
          <w:color w:val="auto"/>
        </w:rPr>
      </w:pPr>
      <w:r>
        <w:rPr>
          <w:rFonts w:ascii="Times New Roman" w:cs="Times New Roman" w:eastAsia="Times New Roman" w:hAnsi="Times New Roman"/>
          <w:sz w:val="16"/>
          <w:szCs w:val="16"/>
          <w:color w:val="auto"/>
        </w:rPr>
        <w:t>We did not have any material items that were measured at fair value on a non-recurring basis as of December 31, 2023, with the exception of the assets and liabilities acquired through our acquisitions (see Note 5, “Acquisition, Goodwill and Intangible Assets,” to the condensed consolidated financial statements).</w:t>
      </w:r>
    </w:p>
    <w:p>
      <w:pPr>
        <w:spacing w:after="0" w:line="49" w:lineRule="exact"/>
        <w:rPr>
          <w:sz w:val="20"/>
          <w:szCs w:val="20"/>
          <w:color w:val="auto"/>
        </w:rPr>
      </w:pPr>
    </w:p>
    <w:p>
      <w:pPr>
        <w:ind w:right="100" w:firstLine="358"/>
        <w:spacing w:after="0" w:line="265" w:lineRule="auto"/>
        <w:rPr>
          <w:sz w:val="20"/>
          <w:szCs w:val="20"/>
          <w:color w:val="auto"/>
        </w:rPr>
      </w:pPr>
      <w:r>
        <w:rPr>
          <w:rFonts w:ascii="Times New Roman" w:cs="Times New Roman" w:eastAsia="Times New Roman" w:hAnsi="Times New Roman"/>
          <w:sz w:val="16"/>
          <w:szCs w:val="16"/>
          <w:color w:val="auto"/>
        </w:rPr>
        <w:t>The fair value of the Company's cash and cash equivalents, which are Level 1 inputs, approximated its carrying value at December 31, 2023 and March 31, 2023. The Company’s cash and cash equivalent balances presented on the accompanying condensed consolidated balance sheets include $296.6 million and $237.8 million of marketable securities in money market funds as of December 31, 2023 and March 31, 2023, respectively.</w:t>
      </w:r>
    </w:p>
    <w:p>
      <w:pPr>
        <w:spacing w:after="0" w:line="60" w:lineRule="exact"/>
        <w:rPr>
          <w:sz w:val="20"/>
          <w:szCs w:val="20"/>
          <w:color w:val="auto"/>
        </w:rPr>
      </w:pPr>
    </w:p>
    <w:p>
      <w:pPr>
        <w:ind w:right="100" w:firstLine="358"/>
        <w:spacing w:after="0" w:line="257" w:lineRule="auto"/>
        <w:rPr>
          <w:sz w:val="20"/>
          <w:szCs w:val="20"/>
          <w:color w:val="auto"/>
        </w:rPr>
      </w:pPr>
      <w:r>
        <w:rPr>
          <w:rFonts w:ascii="Times New Roman" w:cs="Times New Roman" w:eastAsia="Times New Roman" w:hAnsi="Times New Roman"/>
          <w:sz w:val="16"/>
          <w:szCs w:val="16"/>
          <w:color w:val="auto"/>
        </w:rPr>
        <w:t>The Company's long-term debt is carried at amortized cost and is measured at fair value quarterly for disclosure purposes. The estimated fair values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carrying amount and estimated fair value of long-term debt consists of the following:</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0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6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Pr>
          <w:p>
            <w:pPr>
              <w:spacing w:after="0"/>
              <w:rPr>
                <w:sz w:val="18"/>
                <w:szCs w:val="18"/>
                <w:color w:val="auto"/>
              </w:rPr>
            </w:pPr>
          </w:p>
        </w:tc>
        <w:tc>
          <w:tcPr>
            <w:tcW w:w="2380" w:type="dxa"/>
            <w:vAlign w:val="bottom"/>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0" w:type="dxa"/>
            <w:vAlign w:val="bottom"/>
          </w:tcPr>
          <w:p>
            <w:pPr>
              <w:spacing w:after="0"/>
              <w:rPr>
                <w:sz w:val="1"/>
                <w:szCs w:val="1"/>
                <w:color w:val="auto"/>
              </w:rPr>
            </w:pPr>
          </w:p>
        </w:tc>
      </w:tr>
      <w:tr>
        <w:trPr>
          <w:trHeight w:val="147"/>
        </w:trPr>
        <w:tc>
          <w:tcPr>
            <w:tcW w:w="4720" w:type="dxa"/>
            <w:vAlign w:val="bottom"/>
          </w:tcPr>
          <w:p>
            <w:pPr>
              <w:spacing w:after="0"/>
              <w:rPr>
                <w:sz w:val="12"/>
                <w:szCs w:val="12"/>
                <w:color w:val="auto"/>
              </w:rPr>
            </w:pPr>
          </w:p>
        </w:tc>
        <w:tc>
          <w:tcPr>
            <w:tcW w:w="142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20"/>
              <w:spacing w:after="0" w:line="148" w:lineRule="exact"/>
              <w:rPr>
                <w:sz w:val="20"/>
                <w:szCs w:val="20"/>
                <w:color w:val="auto"/>
              </w:rPr>
            </w:pPr>
            <w:r>
              <w:rPr>
                <w:rFonts w:ascii="Times New Roman" w:cs="Times New Roman" w:eastAsia="Times New Roman" w:hAnsi="Times New Roman"/>
                <w:sz w:val="16"/>
                <w:szCs w:val="16"/>
                <w:b w:val="1"/>
                <w:bCs w:val="1"/>
                <w:color w:val="auto"/>
                <w:w w:val="99"/>
              </w:rPr>
              <w:t>Estimated Fair</w:t>
            </w:r>
          </w:p>
        </w:tc>
        <w:tc>
          <w:tcPr>
            <w:tcW w:w="120" w:type="dxa"/>
            <w:vAlign w:val="bottom"/>
          </w:tcPr>
          <w:p>
            <w:pPr>
              <w:spacing w:after="0"/>
              <w:rPr>
                <w:sz w:val="12"/>
                <w:szCs w:val="12"/>
                <w:color w:val="auto"/>
              </w:rPr>
            </w:pPr>
          </w:p>
        </w:tc>
        <w:tc>
          <w:tcPr>
            <w:tcW w:w="14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0"/>
              <w:spacing w:after="0" w:line="148" w:lineRule="exact"/>
              <w:rPr>
                <w:sz w:val="20"/>
                <w:szCs w:val="20"/>
                <w:color w:val="auto"/>
              </w:rPr>
            </w:pPr>
            <w:r>
              <w:rPr>
                <w:rFonts w:ascii="Times New Roman" w:cs="Times New Roman" w:eastAsia="Times New Roman" w:hAnsi="Times New Roman"/>
                <w:sz w:val="16"/>
                <w:szCs w:val="16"/>
                <w:b w:val="1"/>
                <w:bCs w:val="1"/>
                <w:color w:val="auto"/>
                <w:w w:val="99"/>
              </w:rPr>
              <w:t>Estimated Fair</w:t>
            </w: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A</w:t>
            </w: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1,598,438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1,594,442</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1,629,375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1,600,861</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3.88% Senior Notes due 2028</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638,540</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 Senior Notes due 2029</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468,680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451,930</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5.95% Senior Notes due 2033</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686,576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Commitments and Contingencies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Letters of Credit and Third-Party Guarantees</w:t>
      </w:r>
    </w:p>
    <w:p>
      <w:pPr>
        <w:spacing w:after="0" w:line="107" w:lineRule="exact"/>
        <w:rPr>
          <w:sz w:val="20"/>
          <w:szCs w:val="20"/>
          <w:color w:val="auto"/>
        </w:rPr>
      </w:pPr>
    </w:p>
    <w:p>
      <w:pPr>
        <w:ind w:firstLine="358"/>
        <w:spacing w:after="0" w:line="257" w:lineRule="auto"/>
        <w:rPr>
          <w:sz w:val="20"/>
          <w:szCs w:val="20"/>
          <w:color w:val="auto"/>
        </w:rPr>
      </w:pPr>
      <w:r>
        <w:rPr>
          <w:rFonts w:ascii="Times New Roman" w:cs="Times New Roman" w:eastAsia="Times New Roman" w:hAnsi="Times New Roman"/>
          <w:sz w:val="16"/>
          <w:szCs w:val="16"/>
          <w:color w:val="auto"/>
        </w:rPr>
        <w:t>As of December 31, 2023 and March 31, 2023, the Company was contingently liable under open standby letters of credit and bank guarantees issued by our banks in favor of third parties that totaled $4.5 million and $6.1 million, respectively. These letters of credit and bank guarantees primarily support insurance and bid and performance obligations. At December 31, 2023 and March 31, 2023, approximately $1.4 million and $1.3 million of these instruments reduced the available borrowings under the Revolving Credit Facility. The remainder is guaranteed under a separate $7.5 million facility of which $4.4 million and $2.7 million were available to the Company at December 31, 2023 and March 31, 2023,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 Contracting Matters - Provision for Claimed Indirect Costs</w:t>
      </w:r>
    </w:p>
    <w:p>
      <w:pPr>
        <w:spacing w:after="0" w:line="17" w:lineRule="exact"/>
        <w:rPr>
          <w:sz w:val="20"/>
          <w:szCs w:val="20"/>
          <w:color w:val="auto"/>
        </w:rPr>
      </w:pPr>
    </w:p>
    <w:p>
      <w:pPr>
        <w:ind w:right="20" w:firstLine="358"/>
        <w:spacing w:after="0" w:line="232" w:lineRule="auto"/>
        <w:rPr>
          <w:sz w:val="20"/>
          <w:szCs w:val="20"/>
          <w:color w:val="auto"/>
        </w:rPr>
      </w:pPr>
      <w:r>
        <w:rPr>
          <w:rFonts w:ascii="Times New Roman" w:cs="Times New Roman" w:eastAsia="Times New Roman" w:hAnsi="Times New Roman"/>
          <w:sz w:val="16"/>
          <w:szCs w:val="16"/>
          <w:color w:val="auto"/>
        </w:rPr>
        <w:t>For the three months ended December 31, 2023 and 2022, approximately 98% and 97%,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For the nine months ended December 31, 2023 and 2022, approximately 98% and 97%, respectively, of the Company's revenue was generated from such contracts. As noted in the Company's Annual Report on Form 10-K for the fiscal year ended March 31, 2023,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During the second quarter of fiscal 2024, DCAA issued their findings related to the audit of the Company’s claimed indirect costs for fiscal 2022. Based upon DCAA’s audit findings, the Company reduced a portion of its provision for claimed indirect costs related to fiscal 2022 by approximately $18.3 million during the second quarter of fiscal 2024, which resulted in a corresponding increase to revenue, to reflect our best estimate of the final indirect cost rates for fiscal 2022. Operating income for the nine months ended December 31, 2023 was accordingly increased by $18.3 million and net income was increased by</w:t>
      </w:r>
    </w:p>
    <w:p>
      <w:pPr>
        <w:spacing w:after="0" w:line="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6"/>
          <w:szCs w:val="16"/>
          <w:color w:val="auto"/>
        </w:rPr>
        <w:t>$13.5 million (or $0.10 of basic and diluted earnings per common share for the nine months ended December 31, 2023.). Our final indirect cost rates for fiscal 2022 remain subject to negotiation with the Defense Contract Management Agency (“DCMA”) Administrative Contracting Officer. Management believes it has recorded the appropriate provision for claimed indirect costs for any audit, inquiry, or investigation of which it is aware that may be subject to any reductions and/or penalties. As of December 31, 2023 and March 31, 2023, the Company had recorded liabilities of approximately $339.9 million and $326.7 million, respectively, for estimated adjustments to claimed indirect costs based on its historical DCAA audit results, including the final resolution of such audits with DCMA, for claimed indirect costs incurred subsequent to fiscal 2011, and for contracts not yet closed that are subject to audit and final resolution.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7" w:lineRule="exact"/>
        <w:rPr>
          <w:sz w:val="20"/>
          <w:szCs w:val="20"/>
          <w:color w:val="auto"/>
        </w:rPr>
      </w:pPr>
    </w:p>
    <w:p>
      <w:pPr>
        <w:jc w:val="both"/>
        <w:ind w:left="2500" w:right="2500" w:firstLine="9"/>
        <w:spacing w:after="0" w:line="292" w:lineRule="auto"/>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 (Amounts in tables in thousands, except share and per share data or unless otherwise noted)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07" w:lineRule="exact"/>
        <w:rPr>
          <w:sz w:val="20"/>
          <w:szCs w:val="20"/>
          <w:color w:val="auto"/>
        </w:rPr>
      </w:pPr>
    </w:p>
    <w:p>
      <w:pPr>
        <w:ind w:right="40" w:firstLine="358"/>
        <w:spacing w:after="0" w:line="252" w:lineRule="auto"/>
        <w:rPr>
          <w:sz w:val="20"/>
          <w:szCs w:val="20"/>
          <w:color w:val="auto"/>
        </w:rPr>
      </w:pPr>
      <w:r>
        <w:rPr>
          <w:rFonts w:ascii="Times New Roman" w:cs="Times New Roman" w:eastAsia="Times New Roman" w:hAnsi="Times New Roman"/>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2023 and March 31, 2023, there were no material amounts accrued in the condensed consolidated financial statements related to these proceedings. As previously disclosed in Note 20, “Commitments and Contingencies,” to the consolidated financial statements of the Company's Annual Report on Form 10-K for the fiscal year ended March 31, 2023, the Company is not able to reasonably estimate the expected amount or range of cost or any loss associated with these matters.</w:t>
      </w:r>
    </w:p>
    <w:p>
      <w:pPr>
        <w:spacing w:after="0" w:line="58" w:lineRule="exact"/>
        <w:rPr>
          <w:sz w:val="20"/>
          <w:szCs w:val="20"/>
          <w:color w:val="auto"/>
        </w:rPr>
      </w:pPr>
    </w:p>
    <w:p>
      <w:pPr>
        <w:ind w:firstLine="358"/>
        <w:spacing w:after="0" w:line="239" w:lineRule="auto"/>
        <w:rPr>
          <w:sz w:val="20"/>
          <w:szCs w:val="20"/>
          <w:color w:val="auto"/>
        </w:rPr>
      </w:pPr>
      <w:r>
        <w:rPr>
          <w:rFonts w:ascii="Times New Roman" w:cs="Times New Roman" w:eastAsia="Times New Roman" w:hAnsi="Times New Roman"/>
          <w:sz w:val="16"/>
          <w:szCs w:val="16"/>
          <w:color w:val="auto"/>
        </w:rPr>
        <w:t xml:space="preserve">On June 7, 2017, Booz Allen Hamilton was informed that the U.S. Department of Justice (“DOJ”) was conducting a civil and criminal investigation of the Company. In connection with the investigation, the DOJ requested information from the Company relating to certain elements of the Company’s cost accounting and indirect cost charging practices with the U.S. government. The investigation resulted from a </w:t>
      </w:r>
      <w:r>
        <w:rPr>
          <w:rFonts w:ascii="Times New Roman" w:cs="Times New Roman" w:eastAsia="Times New Roman" w:hAnsi="Times New Roman"/>
          <w:sz w:val="16"/>
          <w:szCs w:val="16"/>
          <w:i w:val="1"/>
          <w:iCs w:val="1"/>
          <w:color w:val="auto"/>
        </w:rPr>
        <w:t>qui tam</w:t>
      </w:r>
      <w:r>
        <w:rPr>
          <w:rFonts w:ascii="Times New Roman" w:cs="Times New Roman" w:eastAsia="Times New Roman" w:hAnsi="Times New Roman"/>
          <w:sz w:val="16"/>
          <w:szCs w:val="16"/>
          <w:color w:val="auto"/>
        </w:rPr>
        <w:t xml:space="preserve"> lawsuit filed on or about September 26, 2016 in the United States District Court for the District of Columbia pursuant to the </w:t>
      </w:r>
      <w:r>
        <w:rPr>
          <w:rFonts w:ascii="Times New Roman" w:cs="Times New Roman" w:eastAsia="Times New Roman" w:hAnsi="Times New Roman"/>
          <w:sz w:val="16"/>
          <w:szCs w:val="16"/>
          <w:i w:val="1"/>
          <w:iCs w:val="1"/>
          <w:color w:val="auto"/>
        </w:rPr>
        <w:t>qui tam</w:t>
      </w:r>
      <w:r>
        <w:rPr>
          <w:rFonts w:ascii="Times New Roman" w:cs="Times New Roman" w:eastAsia="Times New Roman" w:hAnsi="Times New Roman"/>
          <w:sz w:val="16"/>
          <w:szCs w:val="16"/>
          <w:color w:val="auto"/>
        </w:rPr>
        <w:t xml:space="preserve"> provisions of the civil False Claims Act (the “Civil Action”), which lawsuit was under judicial seal until July 21, 2023. After learning of the investigation, the Company engaged a law firm experienced in these matters to represent the Company in connection with this matter and respond to the government's requests. As is commonly the case with this type of matter, the Company was also contacted by other regulatory agencies and bodies, including the SEC, which notified the Company that it was conducting an investigation that the Company believes related to the matters that were also the subject of the DOJ's investigation.</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 May 12, 2021, the Company was informed that the DOJ closed its criminal investigation.</w:t>
      </w:r>
    </w:p>
    <w:p>
      <w:pPr>
        <w:spacing w:after="0" w:line="91" w:lineRule="exact"/>
        <w:rPr>
          <w:sz w:val="20"/>
          <w:szCs w:val="20"/>
          <w:color w:val="auto"/>
        </w:rPr>
      </w:pPr>
    </w:p>
    <w:p>
      <w:pPr>
        <w:jc w:val="both"/>
        <w:ind w:right="220" w:firstLine="358"/>
        <w:spacing w:after="0" w:line="244" w:lineRule="auto"/>
        <w:rPr>
          <w:sz w:val="20"/>
          <w:szCs w:val="20"/>
          <w:color w:val="auto"/>
        </w:rPr>
      </w:pPr>
      <w:r>
        <w:rPr>
          <w:rFonts w:ascii="Times New Roman" w:cs="Times New Roman" w:eastAsia="Times New Roman" w:hAnsi="Times New Roman"/>
          <w:sz w:val="16"/>
          <w:szCs w:val="16"/>
          <w:color w:val="auto"/>
        </w:rPr>
        <w:t>On July 21, 2023, the Company entered into a Settlement Agreement (the “Settlement Agreement”) with the United States of America, acting through the DOJ and on behalf of the Department of Defense and Defense Contract Management Agency (collectively the “United States”), and Relator Sarah A. Feinberg, to resolve the DOJ’s civil investigation and the Civil Action. The Company entered into the Settlement Agreement to avoid the delay, uncertainty and expense of protracted litigation. The Settlement Agreement contains no admission of liability by the Company.</w:t>
      </w:r>
    </w:p>
    <w:p>
      <w:pPr>
        <w:spacing w:after="0" w:line="64" w:lineRule="exact"/>
        <w:rPr>
          <w:sz w:val="20"/>
          <w:szCs w:val="20"/>
          <w:color w:val="auto"/>
        </w:rPr>
      </w:pPr>
    </w:p>
    <w:p>
      <w:pPr>
        <w:ind w:right="140" w:firstLine="358"/>
        <w:spacing w:after="0" w:line="241" w:lineRule="auto"/>
        <w:rPr>
          <w:sz w:val="20"/>
          <w:szCs w:val="20"/>
          <w:color w:val="auto"/>
        </w:rPr>
      </w:pPr>
      <w:r>
        <w:rPr>
          <w:rFonts w:ascii="Times New Roman" w:cs="Times New Roman" w:eastAsia="Times New Roman" w:hAnsi="Times New Roman"/>
          <w:sz w:val="16"/>
          <w:szCs w:val="16"/>
          <w:color w:val="auto"/>
        </w:rPr>
        <w:t>Under the terms of the Settlement Agreement, the Company agreed to pay to the United States $377.5 million (the “Settlement Amount”). The Company paid the Settlement Amount with cash on hand and by drawing on its revolving credit facility. As of June 30, 2023, the Company had recorded a $377.5 million reserve relating to this investigation and had previously disclosed that it believed the range of reasonably possible loss in connection with the investigation to be between $350 million and</w:t>
      </w:r>
    </w:p>
    <w:p>
      <w:pPr>
        <w:spacing w:after="0" w:line="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$378 million. Following the United States’ receipt of the Settlement Amount, the Company was released from any civil or administrative monetary claims under the civil False Claims Act and other specified civil statutes and common law theories of liability for certain elements of the Company’s cost accounting and indirect cost charging practices from April 1, 2011 through March 31, 2021, and the claim brought in the Civil Action was dismissed with prejudice.</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 July 27, 2023, the Company was informed that the SEC concluded its investigation without recommending an enforcement action.</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1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5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2023 filed with the Securities and Exchange Commission on May 26, 2023,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67" w:lineRule="exact"/>
        <w:rPr>
          <w:sz w:val="20"/>
          <w:szCs w:val="20"/>
          <w:color w:val="auto"/>
        </w:rPr>
      </w:pPr>
    </w:p>
    <w:p>
      <w:pPr>
        <w:ind w:right="1260"/>
        <w:spacing w:after="0" w:line="375" w:lineRule="auto"/>
        <w:rPr>
          <w:sz w:val="20"/>
          <w:szCs w:val="20"/>
          <w:color w:val="auto"/>
        </w:rPr>
      </w:pPr>
      <w:r>
        <w:rPr>
          <w:rFonts w:ascii="Times New Roman" w:cs="Times New Roman" w:eastAsia="Times New Roman" w:hAnsi="Times New Roman"/>
          <w:sz w:val="16"/>
          <w:szCs w:val="16"/>
          <w:i w:val="1"/>
          <w:iCs w:val="1"/>
          <w:color w:val="auto"/>
        </w:rPr>
        <w:t xml:space="preserve">Our fiscal year ends March 31 and, unless otherwise noted, references to years or fiscal are for fiscal years ended March 31. See “—Results of Operations.” </w:t>
      </w:r>
      <w:r>
        <w:rPr>
          <w:rFonts w:ascii="Times New Roman" w:cs="Times New Roman" w:eastAsia="Times New Roman" w:hAnsi="Times New Roman"/>
          <w:sz w:val="16"/>
          <w:szCs w:val="16"/>
          <w:b w:val="1"/>
          <w:bCs w:val="1"/>
          <w:color w:val="auto"/>
        </w:rPr>
        <w:t>Overview</w:t>
      </w:r>
    </w:p>
    <w:p>
      <w:pPr>
        <w:spacing w:after="0" w:line="1" w:lineRule="exact"/>
        <w:rPr>
          <w:sz w:val="20"/>
          <w:szCs w:val="20"/>
          <w:color w:val="auto"/>
        </w:rPr>
      </w:pPr>
    </w:p>
    <w:p>
      <w:pPr>
        <w:ind w:right="180" w:firstLine="394"/>
        <w:spacing w:after="0" w:line="259" w:lineRule="auto"/>
        <w:rPr>
          <w:sz w:val="20"/>
          <w:szCs w:val="20"/>
          <w:color w:val="auto"/>
        </w:rPr>
      </w:pPr>
      <w:r>
        <w:rPr>
          <w:rFonts w:ascii="Times New Roman" w:cs="Times New Roman" w:eastAsia="Times New Roman" w:hAnsi="Times New Roman"/>
          <w:sz w:val="16"/>
          <w:szCs w:val="16"/>
          <w:color w:val="auto"/>
        </w:rPr>
        <w:t>Trusted to transform missions with the power of tomorrow’s technologies, Booz Allen advances the nation’s most critical civil, defense, and national security priorities. Our ability to deliver value to our clients has always been, and continues to be, a product of the strong character, expertise and tremendous passion of our people. Our approximately 33,800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66" w:lineRule="exact"/>
        <w:rPr>
          <w:sz w:val="20"/>
          <w:szCs w:val="20"/>
          <w:color w:val="auto"/>
        </w:rPr>
      </w:pPr>
    </w:p>
    <w:p>
      <w:pPr>
        <w:ind w:right="120" w:firstLine="394"/>
        <w:spacing w:after="0" w:line="255" w:lineRule="auto"/>
        <w:rPr>
          <w:sz w:val="20"/>
          <w:szCs w:val="20"/>
          <w:color w:val="auto"/>
        </w:rPr>
      </w:pPr>
      <w:r>
        <w:rPr>
          <w:rFonts w:ascii="Times New Roman" w:cs="Times New Roman" w:eastAsia="Times New Roman" w:hAnsi="Times New Roman"/>
          <w:sz w:val="16"/>
          <w:szCs w:val="16"/>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and Other Highlights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During the third quarter of fiscal 2024, the Company generated year over year revenue growth and increased client staff headcount.</w:t>
      </w:r>
    </w:p>
    <w:p>
      <w:pPr>
        <w:spacing w:after="0" w:line="103" w:lineRule="exact"/>
        <w:rPr>
          <w:sz w:val="20"/>
          <w:szCs w:val="20"/>
          <w:color w:val="auto"/>
        </w:rPr>
      </w:pPr>
    </w:p>
    <w:p>
      <w:pPr>
        <w:ind w:right="40" w:firstLine="358"/>
        <w:spacing w:after="0" w:line="257" w:lineRule="auto"/>
        <w:rPr>
          <w:sz w:val="20"/>
          <w:szCs w:val="20"/>
          <w:color w:val="auto"/>
        </w:rPr>
      </w:pPr>
      <w:r>
        <w:rPr>
          <w:rFonts w:ascii="Times New Roman" w:cs="Times New Roman" w:eastAsia="Times New Roman" w:hAnsi="Times New Roman"/>
          <w:sz w:val="16"/>
          <w:szCs w:val="16"/>
          <w:color w:val="auto"/>
        </w:rPr>
        <w:t>Revenue increased 12.9% in the three months ended December 31, 2023 from the three months ended December 31, 2022 and increased 15.6% in the nine months ended December 31, 2023 from the nine months ended December 31, 2022. The increase was primarily driven by strong demand for our services and solutions as well as continued headcount growth. The increase in revenue over the year-to-date period also includes an increase of $18.3 million representing the reduction to our provision for claimed indirect costs recorded during the second quarter of fiscal 2024. See Note 15, “Commitments and Contingencies,” to the condensed consolidated financial statements for further information.</w:t>
      </w:r>
    </w:p>
    <w:p>
      <w:pPr>
        <w:spacing w:after="0" w:line="67" w:lineRule="exact"/>
        <w:rPr>
          <w:sz w:val="20"/>
          <w:szCs w:val="20"/>
          <w:color w:val="auto"/>
        </w:rPr>
      </w:pPr>
    </w:p>
    <w:p>
      <w:pPr>
        <w:ind w:firstLine="358"/>
        <w:spacing w:after="0" w:line="255" w:lineRule="auto"/>
        <w:rPr>
          <w:sz w:val="20"/>
          <w:szCs w:val="20"/>
          <w:color w:val="auto"/>
        </w:rPr>
      </w:pPr>
      <w:r>
        <w:rPr>
          <w:rFonts w:ascii="Times New Roman" w:cs="Times New Roman" w:eastAsia="Times New Roman" w:hAnsi="Times New Roman"/>
          <w:sz w:val="16"/>
          <w:szCs w:val="16"/>
          <w:color w:val="auto"/>
        </w:rPr>
        <w:t>Operating income increased 322.2% to $247.6 million in the three months ended December 31, 2023 from $58.6 million in the three months ended December 31, 2022 and operating margin increased from 2.6% in the prior year period to 9.6%. Operating income increased 52.9% to $749.0 million in the nine months ended December 31, 2023 from $489.8 million in the nine months ended December 31, 2022, and operating margin increased from 7.2% to 9.5%. Operating income was primarily driven by the same drivers benefiting revenue growth, coupled with ongoing cost management efforts. Margins were impacted by a $124.0 million reserve booked in the third quarter of fiscal 2023 and a $27.5 million reserve booked in the first quarter of fiscal 2024, associated with the U.S. Department of Justice's investigation of the company (see Note 15, “Commitments and Contingencies,” to the condensed consolidated financial statements for further information).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Measures</w:t>
      </w:r>
    </w:p>
    <w:p>
      <w:pPr>
        <w:spacing w:after="0" w:line="105" w:lineRule="exact"/>
        <w:rPr>
          <w:sz w:val="20"/>
          <w:szCs w:val="20"/>
          <w:color w:val="auto"/>
        </w:rPr>
      </w:pPr>
    </w:p>
    <w:p>
      <w:pPr>
        <w:ind w:firstLine="358"/>
        <w:spacing w:after="0" w:line="268" w:lineRule="auto"/>
        <w:rPr>
          <w:sz w:val="20"/>
          <w:szCs w:val="20"/>
          <w:color w:val="auto"/>
        </w:rPr>
      </w:pPr>
      <w:r>
        <w:rPr>
          <w:rFonts w:ascii="Times New Roman" w:cs="Times New Roman" w:eastAsia="Times New Roman" w:hAnsi="Times New Roman"/>
          <w:sz w:val="15"/>
          <w:szCs w:val="15"/>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09" w:lineRule="exact"/>
        <w:rPr>
          <w:sz w:val="20"/>
          <w:szCs w:val="20"/>
          <w:color w:val="auto"/>
        </w:rPr>
      </w:pPr>
    </w:p>
    <w:p>
      <w:pPr>
        <w:jc w:val="both"/>
        <w:ind w:left="560" w:right="220" w:hanging="278"/>
        <w:spacing w:after="0" w:line="264" w:lineRule="auto"/>
        <w:tabs>
          <w:tab w:leader="none" w:pos="556" w:val="left"/>
        </w:tabs>
        <w:numPr>
          <w:ilvl w:val="0"/>
          <w:numId w:val="18"/>
        </w:numPr>
        <w:rPr>
          <w:rFonts w:ascii="Arial" w:cs="Arial" w:eastAsia="Arial" w:hAnsi="Arial"/>
          <w:sz w:val="16"/>
          <w:szCs w:val="16"/>
          <w:color w:val="auto"/>
        </w:rPr>
      </w:pPr>
      <w:r>
        <w:rPr>
          <w:rFonts w:ascii="Times New Roman" w:cs="Times New Roman" w:eastAsia="Times New Roman" w:hAnsi="Times New Roman"/>
          <w:sz w:val="16"/>
          <w:szCs w:val="16"/>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13" w:lineRule="exact"/>
        <w:rPr>
          <w:rFonts w:ascii="Arial" w:cs="Arial" w:eastAsia="Arial" w:hAnsi="Arial"/>
          <w:sz w:val="16"/>
          <w:szCs w:val="16"/>
          <w:color w:val="auto"/>
        </w:rPr>
      </w:pPr>
    </w:p>
    <w:p>
      <w:pPr>
        <w:ind w:left="560" w:hanging="278"/>
        <w:spacing w:after="0" w:line="256" w:lineRule="auto"/>
        <w:tabs>
          <w:tab w:leader="none" w:pos="556" w:val="left"/>
        </w:tabs>
        <w:numPr>
          <w:ilvl w:val="0"/>
          <w:numId w:val="1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“Adjusted Operating Income” represents operating income before the change in provision for claimed indirect costs, acquisition and divestiture costs, financing transaction costs, significant acquisition amortization, and the reserve associated with the U.S. Department of Justice investigation disclosed in Note 15, “Commitments and Contingencies,” to the condensed consolidated financial statements.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1" w:lineRule="exact"/>
        <w:rPr>
          <w:rFonts w:ascii="Arial" w:cs="Arial" w:eastAsia="Arial" w:hAnsi="Arial"/>
          <w:sz w:val="16"/>
          <w:szCs w:val="16"/>
          <w:b w:val="1"/>
          <w:bCs w:val="1"/>
          <w:color w:val="auto"/>
        </w:rPr>
      </w:pPr>
    </w:p>
    <w:p>
      <w:pPr>
        <w:ind w:left="560" w:hanging="278"/>
        <w:spacing w:after="0" w:line="274" w:lineRule="auto"/>
        <w:tabs>
          <w:tab w:leader="none" w:pos="556" w:val="left"/>
        </w:tabs>
        <w:numPr>
          <w:ilvl w:val="0"/>
          <w:numId w:val="18"/>
        </w:numPr>
        <w:rPr>
          <w:rFonts w:ascii="Arial" w:cs="Arial" w:eastAsia="Arial" w:hAnsi="Arial"/>
          <w:sz w:val="15"/>
          <w:szCs w:val="15"/>
          <w:b w:val="1"/>
          <w:bCs w:val="1"/>
          <w:color w:val="auto"/>
        </w:rPr>
      </w:pPr>
      <w:r>
        <w:rPr>
          <w:rFonts w:ascii="Times New Roman" w:cs="Times New Roman" w:eastAsia="Times New Roman" w:hAnsi="Times New Roman"/>
          <w:sz w:val="15"/>
          <w:szCs w:val="15"/>
          <w:color w:val="auto"/>
        </w:rPr>
        <w:t>“Adjusted EBITDA” represents net income attributable to common stockholders before income taxes, net interest and other expense and depreciation and amortization and before certain other items, including the change in provision for claimed indirect costs, acquisition and divestiture costs, financing transaction costs, and the reserve associated with the U.S. Department of Justice investigation disclosed in Note 15, “Commitments and Contingencies,” to the condensed consolidated financial statements.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60" w:right="40" w:hanging="278"/>
        <w:spacing w:after="0" w:line="253" w:lineRule="auto"/>
        <w:tabs>
          <w:tab w:leader="none" w:pos="556" w:val="left"/>
        </w:tabs>
        <w:numPr>
          <w:ilvl w:val="0"/>
          <w:numId w:val="1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“Adjusted Net Income” represents net income attributable to common stockholders before: (i) the change in provision for claimed indirect costs (ii) acquisition and divestiture costs, (iii) financing transaction costs, (iv) significant acquisition amortization, (v) the reserve associated with the U.S. Department of Justice investigation disclosed in Note 15, “Commitments and Contingencies,” to the condensed consolidated financial statements, (vi) gains associated with divestitures or deconsolidation, and (vii) amortization and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25" w:lineRule="exact"/>
        <w:rPr>
          <w:rFonts w:ascii="Arial" w:cs="Arial" w:eastAsia="Arial" w:hAnsi="Arial"/>
          <w:sz w:val="16"/>
          <w:szCs w:val="16"/>
          <w:b w:val="1"/>
          <w:bCs w:val="1"/>
          <w:color w:val="auto"/>
        </w:rPr>
      </w:pPr>
    </w:p>
    <w:p>
      <w:pPr>
        <w:ind w:left="560" w:right="240" w:hanging="278"/>
        <w:spacing w:after="0" w:line="298" w:lineRule="auto"/>
        <w:tabs>
          <w:tab w:leader="none" w:pos="556" w:val="left"/>
        </w:tabs>
        <w:numPr>
          <w:ilvl w:val="0"/>
          <w:numId w:val="19"/>
        </w:numPr>
        <w:rPr>
          <w:rFonts w:ascii="Arial" w:cs="Arial" w:eastAsia="Arial" w:hAnsi="Arial"/>
          <w:sz w:val="15"/>
          <w:szCs w:val="15"/>
          <w:color w:val="auto"/>
        </w:rPr>
      </w:pPr>
      <w:r>
        <w:rPr>
          <w:rFonts w:ascii="Times New Roman" w:cs="Times New Roman" w:eastAsia="Times New Roman" w:hAnsi="Times New Roman"/>
          <w:sz w:val="15"/>
          <w:szCs w:val="15"/>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1" w:lineRule="exact"/>
        <w:rPr>
          <w:rFonts w:ascii="Arial" w:cs="Arial" w:eastAsia="Arial" w:hAnsi="Arial"/>
          <w:sz w:val="15"/>
          <w:szCs w:val="15"/>
          <w:color w:val="auto"/>
        </w:rPr>
      </w:pPr>
    </w:p>
    <w:p>
      <w:pPr>
        <w:ind w:left="560" w:hanging="278"/>
        <w:spacing w:after="0"/>
        <w:tabs>
          <w:tab w:leader="none" w:pos="560" w:val="left"/>
        </w:tabs>
        <w:numPr>
          <w:ilvl w:val="0"/>
          <w:numId w:val="19"/>
        </w:numPr>
        <w:rPr>
          <w:rFonts w:ascii="Arial" w:cs="Arial" w:eastAsia="Arial" w:hAnsi="Arial"/>
          <w:sz w:val="16"/>
          <w:szCs w:val="16"/>
          <w:color w:val="auto"/>
        </w:rPr>
      </w:pPr>
      <w:r>
        <w:rPr>
          <w:rFonts w:ascii="Times New Roman" w:cs="Times New Roman" w:eastAsia="Times New Roman" w:hAnsi="Times New Roman"/>
          <w:sz w:val="16"/>
          <w:szCs w:val="16"/>
          <w:color w:val="auto"/>
        </w:rPr>
        <w:t>“Free Cash Flow” represents the net cash generated from operating activities less the impact of purchases of property, equipment, and software.</w:t>
      </w:r>
    </w:p>
    <w:p>
      <w:pPr>
        <w:spacing w:after="0" w:line="102" w:lineRule="exact"/>
        <w:rPr>
          <w:sz w:val="20"/>
          <w:szCs w:val="20"/>
          <w:color w:val="auto"/>
        </w:rPr>
      </w:pPr>
    </w:p>
    <w:p>
      <w:pPr>
        <w:ind w:right="40" w:firstLine="574"/>
        <w:spacing w:after="0" w:line="265" w:lineRule="auto"/>
        <w:rPr>
          <w:sz w:val="20"/>
          <w:szCs w:val="20"/>
          <w:color w:val="auto"/>
        </w:rPr>
      </w:pPr>
      <w:r>
        <w:rPr>
          <w:rFonts w:ascii="Times New Roman" w:cs="Times New Roman" w:eastAsia="Times New Roman" w:hAnsi="Times New Roman"/>
          <w:sz w:val="16"/>
          <w:szCs w:val="16"/>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300" w:type="dxa"/>
            <w:vAlign w:val="bottom"/>
          </w:tcPr>
          <w:p>
            <w:pPr>
              <w:spacing w:after="0"/>
              <w:rPr>
                <w:sz w:val="16"/>
                <w:szCs w:val="16"/>
                <w:color w:val="auto"/>
              </w:rPr>
            </w:pPr>
          </w:p>
        </w:tc>
        <w:tc>
          <w:tcPr>
            <w:tcW w:w="24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10"/>
        </w:trPr>
        <w:tc>
          <w:tcPr>
            <w:tcW w:w="5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880" w:type="dxa"/>
            <w:vAlign w:val="bottom"/>
          </w:tcPr>
          <w:p>
            <w:pPr>
              <w:spacing w:after="0"/>
              <w:rPr>
                <w:sz w:val="16"/>
                <w:szCs w:val="16"/>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Revenue, Excluding Billable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5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2,569,801</w:t>
            </w:r>
          </w:p>
        </w:tc>
        <w:tc>
          <w:tcPr>
            <w:tcW w:w="80" w:type="dxa"/>
            <w:vAlign w:val="bottom"/>
          </w:tcPr>
          <w:p>
            <w:pPr>
              <w:spacing w:after="0"/>
              <w:rPr>
                <w:sz w:val="17"/>
                <w:szCs w:val="17"/>
                <w:color w:val="auto"/>
              </w:rPr>
            </w:pP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2,277,074</w:t>
            </w:r>
          </w:p>
        </w:tc>
        <w:tc>
          <w:tcPr>
            <w:tcW w:w="8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7,890,569</w:t>
            </w:r>
          </w:p>
        </w:tc>
        <w:tc>
          <w:tcPr>
            <w:tcW w:w="80" w:type="dxa"/>
            <w:vAlign w:val="bottom"/>
          </w:tcPr>
          <w:p>
            <w:pPr>
              <w:spacing w:after="0"/>
              <w:rPr>
                <w:sz w:val="17"/>
                <w:szCs w:val="17"/>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6,825,650</w:t>
            </w:r>
          </w:p>
        </w:tc>
      </w:tr>
      <w:tr>
        <w:trPr>
          <w:trHeight w:val="203"/>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Billable expenses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799,896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710,526</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2,436,988</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2,069,733</w:t>
            </w:r>
          </w:p>
        </w:tc>
      </w:tr>
      <w:tr>
        <w:trPr>
          <w:trHeight w:val="195"/>
        </w:trPr>
        <w:tc>
          <w:tcPr>
            <w:tcW w:w="5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Revenue, Excluding Billable Expenses*</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1,769,905</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1,566,548</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5,453,581</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4,755,917</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7"/>
        </w:trPr>
        <w:tc>
          <w:tcPr>
            <w:tcW w:w="56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b w:val="1"/>
                <w:bCs w:val="1"/>
                <w:i w:val="1"/>
                <w:iCs w:val="1"/>
                <w:color w:val="auto"/>
              </w:rPr>
              <w:t>Adjusted Operating Income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03"/>
        </w:trPr>
        <w:tc>
          <w:tcPr>
            <w:tcW w:w="5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247,558</w:t>
            </w:r>
          </w:p>
        </w:tc>
        <w:tc>
          <w:tcPr>
            <w:tcW w:w="80" w:type="dxa"/>
            <w:vAlign w:val="bottom"/>
          </w:tcPr>
          <w:p>
            <w:pPr>
              <w:spacing w:after="0"/>
              <w:rPr>
                <w:sz w:val="17"/>
                <w:szCs w:val="17"/>
                <w:color w:val="auto"/>
              </w:rPr>
            </w:pP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58,640</w:t>
            </w:r>
          </w:p>
        </w:tc>
        <w:tc>
          <w:tcPr>
            <w:tcW w:w="8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748,965</w:t>
            </w:r>
          </w:p>
        </w:tc>
        <w:tc>
          <w:tcPr>
            <w:tcW w:w="80" w:type="dxa"/>
            <w:vAlign w:val="bottom"/>
          </w:tcPr>
          <w:p>
            <w:pPr>
              <w:spacing w:after="0"/>
              <w:rPr>
                <w:sz w:val="17"/>
                <w:szCs w:val="17"/>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489,756</w:t>
            </w:r>
          </w:p>
        </w:tc>
      </w:tr>
      <w:tr>
        <w:trPr>
          <w:trHeight w:val="203"/>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provision for claimed indirect costs (a)</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(18,345)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and divestiture costs (b)</w:t>
            </w:r>
          </w:p>
        </w:tc>
        <w:tc>
          <w:tcPr>
            <w:tcW w:w="30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1,952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19,096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5,480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40,121</w:t>
            </w: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 transaction costs (c)</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6,888</w:t>
            </w:r>
          </w:p>
        </w:tc>
      </w:tr>
      <w:tr>
        <w:trPr>
          <w:trHeight w:val="203"/>
        </w:trPr>
        <w:tc>
          <w:tcPr>
            <w:tcW w:w="5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Significant acquisition amortization (d)</w:t>
            </w:r>
          </w:p>
        </w:tc>
        <w:tc>
          <w:tcPr>
            <w:tcW w:w="30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13,597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14,101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40,301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36,275</w:t>
            </w: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Legal matter reserve (e)</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124,000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27,453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124,000</w:t>
            </w:r>
          </w:p>
        </w:tc>
      </w:tr>
      <w:tr>
        <w:trPr>
          <w:trHeight w:val="195"/>
        </w:trPr>
        <w:tc>
          <w:tcPr>
            <w:tcW w:w="5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263,107</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215,837</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804,674</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697,040</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7"/>
        </w:trPr>
        <w:tc>
          <w:tcPr>
            <w:tcW w:w="9800" w:type="dxa"/>
            <w:vAlign w:val="bottom"/>
            <w:gridSpan w:val="9"/>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b w:val="1"/>
                <w:bCs w:val="1"/>
                <w:i w:val="1"/>
                <w:iCs w:val="1"/>
                <w:color w:val="auto"/>
              </w:rPr>
              <w:t>EBITDA, Adjusted EBITDA, Adjusted EBITDA Margin on Revenue &amp; Adjusted EBITDA Margin on Revenue, Excluding Billable Expenses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03"/>
        </w:trPr>
        <w:tc>
          <w:tcPr>
            <w:tcW w:w="5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145,644</w:t>
            </w:r>
          </w:p>
        </w:tc>
        <w:tc>
          <w:tcPr>
            <w:tcW w:w="80" w:type="dxa"/>
            <w:vAlign w:val="bottom"/>
          </w:tcPr>
          <w:p>
            <w:pPr>
              <w:spacing w:after="0"/>
              <w:rPr>
                <w:sz w:val="17"/>
                <w:szCs w:val="17"/>
                <w:color w:val="auto"/>
              </w:rPr>
            </w:pP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30,997</w:t>
            </w:r>
          </w:p>
        </w:tc>
        <w:tc>
          <w:tcPr>
            <w:tcW w:w="8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477,750</w:t>
            </w:r>
          </w:p>
        </w:tc>
        <w:tc>
          <w:tcPr>
            <w:tcW w:w="80" w:type="dxa"/>
            <w:vAlign w:val="bottom"/>
          </w:tcPr>
          <w:p>
            <w:pPr>
              <w:spacing w:after="0"/>
              <w:rPr>
                <w:sz w:val="17"/>
                <w:szCs w:val="17"/>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340,213</w:t>
            </w:r>
          </w:p>
        </w:tc>
      </w:tr>
      <w:tr>
        <w:trPr>
          <w:trHeight w:val="203"/>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61,740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10,539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156,291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103,286</w:t>
            </w:r>
          </w:p>
        </w:tc>
      </w:tr>
      <w:tr>
        <w:trPr>
          <w:trHeight w:val="203"/>
        </w:trPr>
        <w:tc>
          <w:tcPr>
            <w:tcW w:w="5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and other, net (f)</w:t>
            </w:r>
          </w:p>
        </w:tc>
        <w:tc>
          <w:tcPr>
            <w:tcW w:w="30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40,174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17,412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114,924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46,907</w:t>
            </w:r>
          </w:p>
        </w:tc>
      </w:tr>
      <w:tr>
        <w:trPr>
          <w:trHeight w:val="203"/>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41,113</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42,046</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123,867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121,200</w:t>
            </w:r>
          </w:p>
        </w:tc>
      </w:tr>
      <w:tr>
        <w:trPr>
          <w:trHeight w:val="195"/>
        </w:trPr>
        <w:tc>
          <w:tcPr>
            <w:tcW w:w="5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EBITDA</w:t>
            </w:r>
          </w:p>
        </w:tc>
        <w:tc>
          <w:tcPr>
            <w:tcW w:w="300" w:type="dxa"/>
            <w:vAlign w:val="bottom"/>
          </w:tcPr>
          <w:p>
            <w:pPr>
              <w:spacing w:after="0"/>
              <w:rPr>
                <w:sz w:val="16"/>
                <w:szCs w:val="16"/>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288,671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100,994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872,832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611,606</w:t>
            </w:r>
          </w:p>
        </w:tc>
      </w:tr>
      <w:tr>
        <w:trPr>
          <w:trHeight w:val="203"/>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provision for claimed indirect costs (a)</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(18,345)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and divestiture costs (b)</w:t>
            </w:r>
          </w:p>
        </w:tc>
        <w:tc>
          <w:tcPr>
            <w:tcW w:w="30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1,952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19,096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5,480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40,121</w:t>
            </w: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 transaction costs (c)</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6,888</w:t>
            </w:r>
          </w:p>
        </w:tc>
      </w:tr>
      <w:tr>
        <w:trPr>
          <w:trHeight w:val="203"/>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Legal matter reserve (e)</w:t>
            </w:r>
          </w:p>
        </w:tc>
        <w:tc>
          <w:tcPr>
            <w:tcW w:w="3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124,000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27,453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124,000</w:t>
            </w:r>
          </w:p>
        </w:tc>
      </w:tr>
      <w:tr>
        <w:trPr>
          <w:trHeight w:val="199"/>
        </w:trPr>
        <w:tc>
          <w:tcPr>
            <w:tcW w:w="56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290,623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244,090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888,240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782,615</w:t>
            </w:r>
          </w:p>
        </w:tc>
      </w:tr>
    </w:tbl>
    <w:p>
      <w:pPr>
        <w:spacing w:after="0" w:line="1" w:lineRule="exact"/>
        <w:rPr>
          <w:sz w:val="20"/>
          <w:szCs w:val="20"/>
          <w:color w:val="auto"/>
        </w:rPr>
      </w:pPr>
    </w:p>
    <w:p>
      <w:pPr>
        <w:sectPr>
          <w:pgSz w:w="11900" w:h="16838" w:orient="portrait"/>
          <w:cols w:equalWidth="0" w:num="1">
            <w:col w:w="11240"/>
          </w:cols>
          <w:pgMar w:left="320" w:top="123" w:right="339" w:bottom="1440" w:gutter="0" w:footer="0" w:header="0"/>
        </w:sectPr>
      </w:pPr>
    </w:p>
    <w:p>
      <w:pPr>
        <w:ind w:left="420" w:right="920"/>
        <w:spacing w:after="0" w:line="280" w:lineRule="auto"/>
        <w:rPr>
          <w:sz w:val="20"/>
          <w:szCs w:val="20"/>
          <w:color w:val="auto"/>
        </w:rPr>
      </w:pPr>
      <w:r>
        <w:rPr>
          <w:rFonts w:ascii="Times New Roman" w:cs="Times New Roman" w:eastAsia="Times New Roman" w:hAnsi="Times New Roman"/>
          <w:sz w:val="16"/>
          <w:szCs w:val="16"/>
          <w:color w:val="auto"/>
        </w:rPr>
        <w:t>Net income margin attributable to common stockholders Adjusted EBITDA Margin on Revenue</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Adjusted EBITDA Margin on Revenue, Excluding Billable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7"/>
                <w:szCs w:val="17"/>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7"/>
                <w:szCs w:val="17"/>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7"/>
                <w:szCs w:val="17"/>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r>
      <w:tr>
        <w:trPr>
          <w:trHeight w:val="208"/>
        </w:trPr>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-257175</wp:posOffset>
            </wp:positionV>
            <wp:extent cx="713295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580"/>
          </w:cols>
          <w:pgMar w:left="320" w:top="123" w:right="339" w:bottom="1440" w:gutter="0" w:footer="0" w:header="0"/>
          <w:type w:val="continuous"/>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5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5"/>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Net Income</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145,644</w:t>
            </w:r>
          </w:p>
        </w:tc>
        <w:tc>
          <w:tcPr>
            <w:tcW w:w="80" w:type="dxa"/>
            <w:vAlign w:val="bottom"/>
          </w:tcPr>
          <w:p>
            <w:pPr>
              <w:spacing w:after="0"/>
              <w:rPr>
                <w:sz w:val="17"/>
                <w:szCs w:val="17"/>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30,997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477,750</w:t>
            </w:r>
          </w:p>
        </w:tc>
        <w:tc>
          <w:tcPr>
            <w:tcW w:w="80" w:type="dxa"/>
            <w:vAlign w:val="bottom"/>
          </w:tcPr>
          <w:p>
            <w:pPr>
              <w:spacing w:after="0"/>
              <w:rPr>
                <w:sz w:val="17"/>
                <w:szCs w:val="17"/>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340,213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provision for claimed indirect costs (a)</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(18,345)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Acquisition and divestiture costs (b)</w:t>
            </w:r>
          </w:p>
        </w:tc>
        <w:tc>
          <w:tcPr>
            <w:tcW w:w="24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19,096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5,480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transaction costs (c)</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Significant acquisition amortization (d)</w:t>
            </w:r>
          </w:p>
        </w:tc>
        <w:tc>
          <w:tcPr>
            <w:tcW w:w="24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13,597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40,301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Legal matter reserve (e)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124,000</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27,453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Gains associated with divestitures or deconsolidation (g)</w:t>
            </w: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(13,472)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and write-off of debt issuance costs and debt discount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Adjustments for tax effect (h)</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22,048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10,094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(37,518)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8"/>
                <w:szCs w:val="18"/>
                <w:color w:val="auto"/>
              </w:rPr>
            </w:pPr>
          </w:p>
        </w:tc>
        <w:tc>
          <w:tcPr>
            <w:tcW w:w="57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Adjusted Net Income</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184,303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142,482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546,503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471,127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Diluted 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number of diluted shares outstanding</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130,489,050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132,759,877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131,058,754</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7"/>
              </w:rPr>
              <w:t>132,831,569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6"/>
                <w:szCs w:val="16"/>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6"/>
                <w:szCs w:val="16"/>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Pr>
          <w:p>
            <w:pPr>
              <w:spacing w:after="0"/>
              <w:rPr>
                <w:sz w:val="16"/>
                <w:szCs w:val="16"/>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Net Income Per Diluted Share (i)</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Free Cash Flow</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233,985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138,582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115,068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365,674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Less: Purchases of property, equipment and software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(23,096)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(21,664)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(50,532)</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(51,398)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8"/>
                <w:szCs w:val="18"/>
                <w:color w:val="auto"/>
              </w:rPr>
            </w:pPr>
          </w:p>
        </w:tc>
        <w:tc>
          <w:tcPr>
            <w:tcW w:w="57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Free cash flow</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210,889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116,918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64,536</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Operating cash flow conversion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0"/>
              <w:spacing w:after="0" w:line="171" w:lineRule="exact"/>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0"/>
              <w:spacing w:after="0" w:line="171" w:lineRule="exact"/>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40"/>
              <w:spacing w:after="0" w:line="171" w:lineRule="exact"/>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Free cash flow conversion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Revenue, Excluding Billable Expenses includes $18.3 million of revenue resulting from the reduction to our provision for claimed indirect costs as noted below.</w:t>
      </w:r>
    </w:p>
    <w:p>
      <w:pPr>
        <w:spacing w:after="0" w:line="31" w:lineRule="exact"/>
        <w:rPr>
          <w:sz w:val="20"/>
          <w:szCs w:val="20"/>
          <w:color w:val="auto"/>
        </w:rPr>
      </w:pPr>
    </w:p>
    <w:p>
      <w:pPr>
        <w:ind w:left="360" w:right="280" w:hanging="293"/>
        <w:spacing w:after="0" w:line="264" w:lineRule="auto"/>
        <w:tabs>
          <w:tab w:leader="none" w:pos="35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reduction to our provision for claimed indirect costs recorded during the second quarter of fiscal 2024, which resulted in a corresponding increase to revenue, as a result of the Defense Contract Audit Agency’s findings related to its audit of our claimed indirect costs for fiscal 2022. See Note 15, “ Commitments and Contingencies,” to the condensed consolidated financial statements for further information.</w:t>
      </w:r>
    </w:p>
    <w:p>
      <w:pPr>
        <w:spacing w:after="0" w:line="2" w:lineRule="exact"/>
        <w:rPr>
          <w:rFonts w:ascii="Times New Roman" w:cs="Times New Roman" w:eastAsia="Times New Roman" w:hAnsi="Times New Roman"/>
          <w:sz w:val="16"/>
          <w:szCs w:val="16"/>
          <w:color w:val="auto"/>
        </w:rPr>
      </w:pPr>
    </w:p>
    <w:p>
      <w:pPr>
        <w:ind w:left="360" w:hanging="293"/>
        <w:spacing w:after="0" w:line="254" w:lineRule="auto"/>
        <w:tabs>
          <w:tab w:leader="none" w:pos="35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associated with the acquisition efforts of the Company related to transactions for which the Company has entered into a letter of intent to acquire a controlling financial interest in the target entity, as well as the divestiture costs incurred in divesting a portion of our business. Acquisition and divestiture costs primarily include costs associated with (i) buy-side and sell-side due diligence activities, (ii) compensation expenses associated with employee retention, and (iii) legal and advisory fees, primarily associated with the acquisitions of Liberty IT Solutions, LLC (“Liberty”) and Tracepoint Holdings, LLC (“Tracepoint”) in fiscal 2022, and the acquisition of EverWatch Corp. (“EverWatch”) and the divestitures of our management consulting business serving the Middle East and North Africa (“MENA”) and our Managed Threat Services business (“MTS”) in fiscal 2023.See Note 5, “Acquisition, Goodwill and Intangible Assets,” to the condensed consolidated financial statements for further information.</w:t>
      </w:r>
    </w:p>
    <w:p>
      <w:pPr>
        <w:spacing w:after="0" w:line="11" w:lineRule="exact"/>
        <w:rPr>
          <w:rFonts w:ascii="Times New Roman" w:cs="Times New Roman" w:eastAsia="Times New Roman" w:hAnsi="Times New Roman"/>
          <w:sz w:val="16"/>
          <w:szCs w:val="16"/>
          <w:color w:val="auto"/>
        </w:rPr>
      </w:pPr>
    </w:p>
    <w:p>
      <w:pPr>
        <w:ind w:left="360" w:hanging="293"/>
        <w:spacing w:after="0"/>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expenses associated with debt financing activities incurred during the second quarters of fiscal 2024 and 2023.</w:t>
      </w:r>
    </w:p>
    <w:p>
      <w:pPr>
        <w:spacing w:after="0" w:line="31" w:lineRule="exact"/>
        <w:rPr>
          <w:rFonts w:ascii="Times New Roman" w:cs="Times New Roman" w:eastAsia="Times New Roman" w:hAnsi="Times New Roman"/>
          <w:sz w:val="16"/>
          <w:szCs w:val="16"/>
          <w:color w:val="auto"/>
        </w:rPr>
      </w:pPr>
    </w:p>
    <w:p>
      <w:pPr>
        <w:ind w:left="360" w:right="80" w:hanging="293"/>
        <w:spacing w:after="0" w:line="264" w:lineRule="auto"/>
        <w:tabs>
          <w:tab w:leader="none" w:pos="35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in the second quarter of fiscal 2022 and EverWatch in the third quarter of fiscal 2023.</w:t>
      </w:r>
    </w:p>
    <w:p>
      <w:pPr>
        <w:spacing w:after="0" w:line="2" w:lineRule="exact"/>
        <w:rPr>
          <w:rFonts w:ascii="Times New Roman" w:cs="Times New Roman" w:eastAsia="Times New Roman" w:hAnsi="Times New Roman"/>
          <w:sz w:val="16"/>
          <w:szCs w:val="16"/>
          <w:color w:val="auto"/>
        </w:rPr>
      </w:pPr>
    </w:p>
    <w:p>
      <w:pPr>
        <w:ind w:left="360" w:right="160" w:hanging="293"/>
        <w:spacing w:after="0" w:line="272" w:lineRule="auto"/>
        <w:tabs>
          <w:tab w:leader="none" w:pos="35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 associated with the U.S. Department of Justice's investigation of the Company. See Note 15, “Commitments and Contingencies,” to the condensed consolidated financial statements for further information.</w:t>
      </w:r>
    </w:p>
    <w:p>
      <w:pPr>
        <w:spacing w:after="0" w:line="1" w:lineRule="exact"/>
        <w:rPr>
          <w:rFonts w:ascii="Times New Roman" w:cs="Times New Roman" w:eastAsia="Times New Roman" w:hAnsi="Times New Roman"/>
          <w:sz w:val="16"/>
          <w:szCs w:val="16"/>
          <w:color w:val="auto"/>
        </w:rPr>
      </w:pPr>
    </w:p>
    <w:p>
      <w:pPr>
        <w:ind w:left="340" w:hanging="273"/>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combination of Interest expense and Other income, net from the condensed consolidated statement of operations.</w:t>
      </w:r>
    </w:p>
    <w:p>
      <w:pPr>
        <w:spacing w:after="0" w:line="55" w:lineRule="exact"/>
        <w:rPr>
          <w:rFonts w:ascii="Times New Roman" w:cs="Times New Roman" w:eastAsia="Times New Roman" w:hAnsi="Times New Roman"/>
          <w:sz w:val="16"/>
          <w:szCs w:val="16"/>
          <w:color w:val="auto"/>
        </w:rPr>
      </w:pPr>
    </w:p>
    <w:p>
      <w:pPr>
        <w:ind w:left="360" w:right="360" w:hanging="293"/>
        <w:spacing w:after="0" w:line="280" w:lineRule="auto"/>
        <w:tabs>
          <w:tab w:leader="none" w:pos="35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gain recognized on the MENA divestiture in the second quarter of fiscal 2023, its MTS business in the third quarter of fiscal 2023, and the gain on the deconsolidation of an artificial intelligence software platform business in the third quarter of fiscal 2023.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360" w:right="80" w:hanging="293"/>
        <w:spacing w:after="0" w:line="257" w:lineRule="auto"/>
        <w:tabs>
          <w:tab w:leader="none" w:pos="35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 The tax effect also includes the indirect effects of uncertainty around the application of Section 174 of the Tax Cuts and Jobs Act of 2017 ($26.0 million and $22.0 million for the three and nine months ended December 31, 2023, respectively). See Note 10, “Income Taxes,” to the condensed consolidated financial statements for further information.</w:t>
      </w:r>
    </w:p>
    <w:p>
      <w:pPr>
        <w:spacing w:after="0" w:line="18" w:lineRule="exact"/>
        <w:rPr>
          <w:rFonts w:ascii="Times New Roman" w:cs="Times New Roman" w:eastAsia="Times New Roman" w:hAnsi="Times New Roman"/>
          <w:sz w:val="16"/>
          <w:szCs w:val="16"/>
          <w:color w:val="auto"/>
        </w:rPr>
      </w:pPr>
    </w:p>
    <w:p>
      <w:pPr>
        <w:ind w:left="360" w:right="160" w:hanging="293"/>
        <w:spacing w:after="0" w:line="265" w:lineRule="auto"/>
        <w:tabs>
          <w:tab w:leader="none" w:pos="35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adjustments of approximately $1.2 million and $3.9 million of net earnings for the three and nine months ended December 31, 2023, respectively, and approximately $0.5 million and $2.6 million of net earnings for the three and nine months ended December 31, 2022, respectively, associated with the application of the two-class method for computing diluted earnings per share.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and Trends Affecting Our Results of Operations</w:t>
      </w:r>
    </w:p>
    <w:p>
      <w:pPr>
        <w:spacing w:after="0" w:line="105" w:lineRule="exact"/>
        <w:rPr>
          <w:sz w:val="20"/>
          <w:szCs w:val="20"/>
          <w:color w:val="auto"/>
        </w:rPr>
      </w:pPr>
    </w:p>
    <w:p>
      <w:pPr>
        <w:ind w:right="280" w:firstLine="358"/>
        <w:spacing w:after="0" w:line="280" w:lineRule="auto"/>
        <w:rPr>
          <w:sz w:val="20"/>
          <w:szCs w:val="20"/>
          <w:color w:val="auto"/>
        </w:rPr>
      </w:pPr>
      <w:r>
        <w:rPr>
          <w:rFonts w:ascii="Times New Roman" w:cs="Times New Roman" w:eastAsia="Times New Roman" w:hAnsi="Times New Roman"/>
          <w:sz w:val="16"/>
          <w:szCs w:val="16"/>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Environment and Key Trends in Our Markets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believe that the following trends and developments in the U.S. government services industry and our markets may influence our future results of operations:</w:t>
      </w:r>
    </w:p>
    <w:p>
      <w:pPr>
        <w:spacing w:after="0" w:line="103" w:lineRule="exact"/>
        <w:rPr>
          <w:sz w:val="20"/>
          <w:szCs w:val="20"/>
          <w:color w:val="auto"/>
        </w:rPr>
      </w:pPr>
    </w:p>
    <w:p>
      <w:pPr>
        <w:ind w:left="560" w:right="80" w:hanging="134"/>
        <w:spacing w:after="0" w:line="255" w:lineRule="auto"/>
        <w:tabs>
          <w:tab w:leader="none" w:pos="55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69" w:lineRule="exact"/>
        <w:rPr>
          <w:rFonts w:ascii="Times New Roman" w:cs="Times New Roman" w:eastAsia="Times New Roman" w:hAnsi="Times New Roman"/>
          <w:sz w:val="16"/>
          <w:szCs w:val="16"/>
          <w:color w:val="auto"/>
        </w:rPr>
      </w:pPr>
    </w:p>
    <w:p>
      <w:pPr>
        <w:ind w:left="560" w:right="320" w:hanging="134"/>
        <w:spacing w:after="0" w:line="280" w:lineRule="auto"/>
        <w:tabs>
          <w:tab w:leader="none" w:pos="55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48" w:lineRule="exact"/>
        <w:rPr>
          <w:rFonts w:ascii="Times New Roman" w:cs="Times New Roman" w:eastAsia="Times New Roman" w:hAnsi="Times New Roman"/>
          <w:sz w:val="16"/>
          <w:szCs w:val="16"/>
          <w:color w:val="auto"/>
        </w:rPr>
      </w:pPr>
    </w:p>
    <w:p>
      <w:pPr>
        <w:ind w:left="560" w:right="20" w:hanging="134"/>
        <w:spacing w:after="0" w:line="274" w:lineRule="auto"/>
        <w:tabs>
          <w:tab w:leader="none" w:pos="556"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5" w:lineRule="exact"/>
        <w:rPr>
          <w:rFonts w:ascii="Times New Roman" w:cs="Times New Roman" w:eastAsia="Times New Roman" w:hAnsi="Times New Roman"/>
          <w:sz w:val="15"/>
          <w:szCs w:val="15"/>
          <w:color w:val="auto"/>
        </w:rPr>
      </w:pPr>
    </w:p>
    <w:p>
      <w:pPr>
        <w:ind w:left="560" w:right="60" w:hanging="134"/>
        <w:spacing w:after="0" w:line="280" w:lineRule="auto"/>
        <w:tabs>
          <w:tab w:leader="none" w:pos="55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the completion of future U.S. government’s budget processes, which have in the past and could in the future delay procurement of the products, services, and solutions we provide;</w:t>
      </w:r>
    </w:p>
    <w:p>
      <w:pPr>
        <w:spacing w:after="0" w:line="48" w:lineRule="exact"/>
        <w:rPr>
          <w:rFonts w:ascii="Times New Roman" w:cs="Times New Roman" w:eastAsia="Times New Roman" w:hAnsi="Times New Roman"/>
          <w:sz w:val="16"/>
          <w:szCs w:val="16"/>
          <w:color w:val="auto"/>
        </w:rPr>
      </w:pPr>
    </w:p>
    <w:p>
      <w:pPr>
        <w:ind w:left="560" w:hanging="134"/>
        <w:spacing w:after="0" w:line="259" w:lineRule="auto"/>
        <w:tabs>
          <w:tab w:leader="none" w:pos="55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66" w:lineRule="exact"/>
        <w:rPr>
          <w:rFonts w:ascii="Times New Roman" w:cs="Times New Roman" w:eastAsia="Times New Roman" w:hAnsi="Times New Roman"/>
          <w:sz w:val="16"/>
          <w:szCs w:val="16"/>
          <w:color w:val="auto"/>
        </w:rPr>
      </w:pPr>
    </w:p>
    <w:p>
      <w:pPr>
        <w:jc w:val="both"/>
        <w:ind w:left="560" w:right="180" w:hanging="134"/>
        <w:spacing w:after="0" w:line="265" w:lineRule="auto"/>
        <w:tabs>
          <w:tab w:leader="none" w:pos="55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nature and effect of disease outbreaks, pandemics and widespread health epidemics, such as COVID-19,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59" w:lineRule="exact"/>
        <w:rPr>
          <w:rFonts w:ascii="Times New Roman" w:cs="Times New Roman" w:eastAsia="Times New Roman" w:hAnsi="Times New Roman"/>
          <w:sz w:val="16"/>
          <w:szCs w:val="16"/>
          <w:color w:val="auto"/>
        </w:rPr>
      </w:pPr>
    </w:p>
    <w:p>
      <w:pPr>
        <w:ind w:left="560" w:hanging="134"/>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inflationary pressure that could impact the cost of doing business and/or reduce customer buying power;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560" w:right="240" w:hanging="134"/>
        <w:spacing w:after="0" w:line="280"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 possible recession and volatility or instability of the global financial system, including bank failures and the resulting impact on counterparties and business conditions generally;</w:t>
      </w:r>
    </w:p>
    <w:p>
      <w:pPr>
        <w:spacing w:after="0" w:line="48" w:lineRule="exact"/>
        <w:rPr>
          <w:rFonts w:ascii="Times New Roman" w:cs="Times New Roman" w:eastAsia="Times New Roman" w:hAnsi="Times New Roman"/>
          <w:sz w:val="16"/>
          <w:szCs w:val="16"/>
          <w:color w:val="auto"/>
        </w:rPr>
      </w:pPr>
    </w:p>
    <w:p>
      <w:pPr>
        <w:ind w:left="560" w:right="20" w:hanging="134"/>
        <w:spacing w:after="0" w:line="265"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59" w:lineRule="exact"/>
        <w:rPr>
          <w:rFonts w:ascii="Times New Roman" w:cs="Times New Roman" w:eastAsia="Times New Roman" w:hAnsi="Times New Roman"/>
          <w:sz w:val="16"/>
          <w:szCs w:val="16"/>
          <w:color w:val="auto"/>
        </w:rPr>
      </w:pPr>
    </w:p>
    <w:p>
      <w:pPr>
        <w:ind w:left="560" w:hanging="134"/>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efforts by the U.S. government to address organizational conflicts of interest and related issues and the impact of those efforts on us and our competitors;</w:t>
      </w:r>
    </w:p>
    <w:p>
      <w:pPr>
        <w:spacing w:after="0" w:line="102" w:lineRule="exact"/>
        <w:rPr>
          <w:rFonts w:ascii="Times New Roman" w:cs="Times New Roman" w:eastAsia="Times New Roman" w:hAnsi="Times New Roman"/>
          <w:sz w:val="16"/>
          <w:szCs w:val="16"/>
          <w:color w:val="auto"/>
        </w:rPr>
      </w:pPr>
    </w:p>
    <w:p>
      <w:pPr>
        <w:ind w:left="560" w:right="20" w:hanging="134"/>
        <w:spacing w:after="0" w:line="280"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48" w:lineRule="exact"/>
        <w:rPr>
          <w:rFonts w:ascii="Times New Roman" w:cs="Times New Roman" w:eastAsia="Times New Roman" w:hAnsi="Times New Roman"/>
          <w:sz w:val="16"/>
          <w:szCs w:val="16"/>
          <w:color w:val="auto"/>
        </w:rPr>
      </w:pPr>
    </w:p>
    <w:p>
      <w:pPr>
        <w:ind w:left="560" w:right="100" w:hanging="134"/>
        <w:spacing w:after="0" w:line="280"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48" w:lineRule="exact"/>
        <w:rPr>
          <w:rFonts w:ascii="Times New Roman" w:cs="Times New Roman" w:eastAsia="Times New Roman" w:hAnsi="Times New Roman"/>
          <w:sz w:val="16"/>
          <w:szCs w:val="16"/>
          <w:color w:val="auto"/>
        </w:rPr>
      </w:pPr>
    </w:p>
    <w:p>
      <w:pPr>
        <w:ind w:left="560" w:right="360" w:hanging="134"/>
        <w:spacing w:after="0" w:line="280"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48" w:lineRule="exact"/>
        <w:rPr>
          <w:rFonts w:ascii="Times New Roman" w:cs="Times New Roman" w:eastAsia="Times New Roman" w:hAnsi="Times New Roman"/>
          <w:sz w:val="16"/>
          <w:szCs w:val="16"/>
          <w:color w:val="auto"/>
        </w:rPr>
      </w:pPr>
    </w:p>
    <w:p>
      <w:pPr>
        <w:ind w:left="560" w:hanging="134"/>
        <w:spacing w:after="0"/>
        <w:tabs>
          <w:tab w:leader="none" w:pos="5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government agencies awarding contracts on a technically acceptable/lowest cost basis, which could have a negative impact on our ability to win certain contracts;</w:t>
      </w:r>
    </w:p>
    <w:p>
      <w:pPr>
        <w:spacing w:after="0" w:line="114" w:lineRule="exact"/>
        <w:rPr>
          <w:rFonts w:ascii="Times New Roman" w:cs="Times New Roman" w:eastAsia="Times New Roman" w:hAnsi="Times New Roman"/>
          <w:sz w:val="15"/>
          <w:szCs w:val="15"/>
          <w:color w:val="auto"/>
        </w:rPr>
      </w:pPr>
    </w:p>
    <w:p>
      <w:pPr>
        <w:ind w:left="560" w:right="60" w:hanging="134"/>
        <w:spacing w:after="0" w:line="280"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48" w:lineRule="exact"/>
        <w:rPr>
          <w:rFonts w:ascii="Times New Roman" w:cs="Times New Roman" w:eastAsia="Times New Roman" w:hAnsi="Times New Roman"/>
          <w:sz w:val="16"/>
          <w:szCs w:val="16"/>
          <w:color w:val="auto"/>
        </w:rPr>
      </w:pPr>
    </w:p>
    <w:p>
      <w:pPr>
        <w:ind w:left="560" w:hanging="134"/>
        <w:spacing w:after="0" w:line="265"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9" w:lineRule="exact"/>
        <w:rPr>
          <w:rFonts w:ascii="Times New Roman" w:cs="Times New Roman" w:eastAsia="Times New Roman" w:hAnsi="Times New Roman"/>
          <w:sz w:val="16"/>
          <w:szCs w:val="16"/>
          <w:color w:val="auto"/>
        </w:rPr>
      </w:pPr>
    </w:p>
    <w:p>
      <w:pPr>
        <w:ind w:left="560" w:hanging="134"/>
        <w:spacing w:after="0" w:line="280"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48" w:lineRule="exact"/>
        <w:rPr>
          <w:rFonts w:ascii="Times New Roman" w:cs="Times New Roman" w:eastAsia="Times New Roman" w:hAnsi="Times New Roman"/>
          <w:sz w:val="16"/>
          <w:szCs w:val="16"/>
          <w:color w:val="auto"/>
        </w:rPr>
      </w:pPr>
    </w:p>
    <w:p>
      <w:pPr>
        <w:ind w:left="560" w:right="120" w:hanging="134"/>
        <w:spacing w:after="0" w:line="265"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59" w:lineRule="exact"/>
        <w:rPr>
          <w:rFonts w:ascii="Times New Roman" w:cs="Times New Roman" w:eastAsia="Times New Roman" w:hAnsi="Times New Roman"/>
          <w:sz w:val="16"/>
          <w:szCs w:val="16"/>
          <w:color w:val="auto"/>
        </w:rPr>
      </w:pPr>
    </w:p>
    <w:p>
      <w:pPr>
        <w:ind w:left="560" w:hanging="134"/>
        <w:spacing w:after="0" w:line="265"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Revenue</w:t>
      </w:r>
    </w:p>
    <w:p>
      <w:pPr>
        <w:spacing w:after="0" w:line="107" w:lineRule="exact"/>
        <w:rPr>
          <w:sz w:val="20"/>
          <w:szCs w:val="20"/>
          <w:color w:val="auto"/>
        </w:rPr>
      </w:pPr>
    </w:p>
    <w:p>
      <w:pPr>
        <w:ind w:right="20" w:firstLine="394"/>
        <w:spacing w:after="0" w:line="252" w:lineRule="auto"/>
        <w:rPr>
          <w:sz w:val="20"/>
          <w:szCs w:val="20"/>
          <w:color w:val="auto"/>
        </w:rPr>
      </w:pPr>
      <w:r>
        <w:rPr>
          <w:rFonts w:ascii="Times New Roman" w:cs="Times New Roman" w:eastAsia="Times New Roman" w:hAnsi="Times New Roman"/>
          <w:sz w:val="16"/>
          <w:szCs w:val="16"/>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Acts of 2013, 2015, 2018 and 2019, the Military Retired Pay Restoration Act, the CARES Act and the Infrastructure Investment and Jobs Act. The extension of the mandatory sequestration applies an 8.3% reduction in defense spending in each year from 2021 to 2031.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Types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generate revenue under the following three basic types of contracts:</w:t>
      </w:r>
    </w:p>
    <w:p>
      <w:pPr>
        <w:spacing w:after="0" w:line="101" w:lineRule="exact"/>
        <w:rPr>
          <w:sz w:val="20"/>
          <w:szCs w:val="20"/>
          <w:color w:val="auto"/>
        </w:rPr>
      </w:pPr>
    </w:p>
    <w:p>
      <w:pPr>
        <w:ind w:left="560" w:right="20" w:hanging="134"/>
        <w:spacing w:after="0" w:line="255" w:lineRule="auto"/>
        <w:tabs>
          <w:tab w:leader="none" w:pos="55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Cost-Reimbursable Contracts. </w:t>
      </w:r>
      <w:r>
        <w:rPr>
          <w:rFonts w:ascii="Times New Roman" w:cs="Times New Roman" w:eastAsia="Times New Roman" w:hAnsi="Times New Roman"/>
          <w:sz w:val="16"/>
          <w:szCs w:val="16"/>
          <w:color w:val="auto"/>
        </w:rPr>
        <w:t>Cost-reimbursable contracts provide for the payment of allowable costs incurred during performance of the contract, up to a ceiling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65" w:lineRule="exact"/>
        <w:rPr>
          <w:rFonts w:ascii="Times New Roman" w:cs="Times New Roman" w:eastAsia="Times New Roman" w:hAnsi="Times New Roman"/>
          <w:sz w:val="16"/>
          <w:szCs w:val="16"/>
          <w:color w:val="auto"/>
        </w:rPr>
      </w:pPr>
    </w:p>
    <w:p>
      <w:pPr>
        <w:ind w:left="560" w:hanging="134"/>
        <w:spacing w:after="0" w:line="260" w:lineRule="auto"/>
        <w:tabs>
          <w:tab w:leader="none" w:pos="556" w:val="left"/>
        </w:tabs>
        <w:numPr>
          <w:ilvl w:val="0"/>
          <w:numId w:val="2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Time-and-Materials Contracts. </w:t>
      </w:r>
      <w:r>
        <w:rPr>
          <w:rFonts w:ascii="Times New Roman" w:cs="Times New Roman" w:eastAsia="Times New Roman" w:hAnsi="Times New Roman"/>
          <w:sz w:val="16"/>
          <w:szCs w:val="16"/>
          <w:color w:val="auto"/>
        </w:rPr>
        <w:t>Under contracts in this category, we are paid a fixed hourly rate for each direct labor hour expended, and we are reimbursed for billable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63" w:lineRule="exact"/>
        <w:rPr>
          <w:rFonts w:ascii="Times New Roman" w:cs="Times New Roman" w:eastAsia="Times New Roman" w:hAnsi="Times New Roman"/>
          <w:sz w:val="16"/>
          <w:szCs w:val="16"/>
          <w:i w:val="1"/>
          <w:iCs w:val="1"/>
          <w:color w:val="auto"/>
        </w:rPr>
      </w:pPr>
    </w:p>
    <w:p>
      <w:pPr>
        <w:ind w:left="560" w:right="240" w:hanging="134"/>
        <w:spacing w:after="0" w:line="283" w:lineRule="auto"/>
        <w:tabs>
          <w:tab w:leader="none" w:pos="556" w:val="left"/>
        </w:tabs>
        <w:numPr>
          <w:ilvl w:val="0"/>
          <w:numId w:val="2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Fixed-Price Contracts. </w:t>
      </w:r>
      <w:r>
        <w:rPr>
          <w:rFonts w:ascii="Times New Roman" w:cs="Times New Roman" w:eastAsia="Times New Roman" w:hAnsi="Times New Roman"/>
          <w:sz w:val="15"/>
          <w:szCs w:val="15"/>
          <w:color w:val="auto"/>
        </w:rPr>
        <w:t>Under a fixed-price contract, we agree to perform the specified work for a predetermined price. To the extent our actual direct and allocated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49" w:lineRule="exact"/>
        <w:rPr>
          <w:sz w:val="20"/>
          <w:szCs w:val="20"/>
          <w:color w:val="auto"/>
        </w:rPr>
      </w:pPr>
    </w:p>
    <w:p>
      <w:pPr>
        <w:ind w:right="60" w:firstLine="394"/>
        <w:spacing w:after="0" w:line="272" w:lineRule="auto"/>
        <w:rPr>
          <w:sz w:val="20"/>
          <w:szCs w:val="20"/>
          <w:color w:val="auto"/>
        </w:rPr>
      </w:pPr>
      <w:r>
        <w:rPr>
          <w:rFonts w:ascii="Times New Roman" w:cs="Times New Roman" w:eastAsia="Times New Roman" w:hAnsi="Times New Roman"/>
          <w:sz w:val="15"/>
          <w:szCs w:val="15"/>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table below presents the percentage of total revenue for each type of contract: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30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r>
      <w:tr>
        <w:trPr>
          <w:trHeight w:val="213"/>
        </w:trPr>
        <w:tc>
          <w:tcPr>
            <w:tcW w:w="4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gridSpan w:val="4"/>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940" w:type="dxa"/>
            <w:vAlign w:val="bottom"/>
          </w:tcPr>
          <w:p>
            <w:pPr>
              <w:spacing w:after="0"/>
              <w:rPr>
                <w:sz w:val="18"/>
                <w:szCs w:val="18"/>
                <w:color w:val="auto"/>
              </w:rPr>
            </w:pPr>
          </w:p>
        </w:tc>
        <w:tc>
          <w:tcPr>
            <w:tcW w:w="202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8"/>
        </w:trPr>
        <w:tc>
          <w:tcPr>
            <w:tcW w:w="4760" w:type="dxa"/>
            <w:vAlign w:val="bottom"/>
          </w:tcPr>
          <w:p>
            <w:pPr>
              <w:spacing w:after="0"/>
              <w:rPr>
                <w:sz w:val="17"/>
                <w:szCs w:val="17"/>
                <w:color w:val="auto"/>
              </w:rPr>
            </w:pPr>
          </w:p>
        </w:tc>
        <w:tc>
          <w:tcPr>
            <w:tcW w:w="940" w:type="dxa"/>
            <w:vAlign w:val="bottom"/>
            <w:tcBorders>
              <w:top w:val="single" w:sz="8" w:color="auto"/>
            </w:tcBorders>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20" w:type="dxa"/>
            <w:vAlign w:val="bottom"/>
            <w:tcBorders>
              <w:top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20" w:type="dxa"/>
            <w:vAlign w:val="bottom"/>
            <w:tcBorders>
              <w:top w:val="single" w:sz="8" w:color="auto"/>
            </w:tcBorders>
            <w:gridSpan w:val="3"/>
          </w:tcPr>
          <w:p>
            <w:pPr>
              <w:jc w:val="center"/>
              <w:ind w:left="520"/>
              <w:spacing w:after="0"/>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195"/>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Cost-reimbursable</w:t>
            </w:r>
          </w:p>
        </w:tc>
        <w:tc>
          <w:tcPr>
            <w:tcW w:w="940" w:type="dxa"/>
            <w:vAlign w:val="bottom"/>
            <w:tcBorders>
              <w:top w:val="single" w:sz="8" w:color="auto"/>
            </w:tcBorders>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rPr>
              <w:t>55%</w:t>
            </w: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rPr>
              <w:t>55%</w:t>
            </w: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w:t>
            </w:r>
          </w:p>
        </w:tc>
      </w:tr>
      <w:tr>
        <w:trPr>
          <w:trHeight w:val="20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94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rPr>
              <w:t>24%</w:t>
            </w:r>
          </w:p>
        </w:tc>
        <w:tc>
          <w:tcPr>
            <w:tcW w:w="2020" w:type="dxa"/>
            <w:vAlign w:val="bottom"/>
            <w:gridSpan w:val="3"/>
          </w:tcPr>
          <w:p>
            <w:pPr>
              <w:jc w:val="center"/>
              <w:ind w:left="5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940" w:type="dxa"/>
            <w:vAlign w:val="bottom"/>
          </w:tcPr>
          <w:p>
            <w:pPr>
              <w:jc w:val="center"/>
              <w:ind w:left="400"/>
              <w:spacing w:after="0"/>
              <w:rPr>
                <w:sz w:val="20"/>
                <w:szCs w:val="20"/>
                <w:color w:val="auto"/>
              </w:rPr>
            </w:pPr>
            <w:r>
              <w:rPr>
                <w:rFonts w:ascii="Times New Roman" w:cs="Times New Roman" w:eastAsia="Times New Roman" w:hAnsi="Times New Roman"/>
                <w:sz w:val="16"/>
                <w:szCs w:val="16"/>
                <w:color w:val="auto"/>
              </w:rPr>
              <w:t>24%</w:t>
            </w:r>
          </w:p>
        </w:tc>
        <w:tc>
          <w:tcPr>
            <w:tcW w:w="2020" w:type="dxa"/>
            <w:vAlign w:val="bottom"/>
            <w:gridSpan w:val="3"/>
          </w:tcPr>
          <w:p>
            <w:pPr>
              <w:jc w:val="center"/>
              <w:ind w:left="520"/>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94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rPr>
              <w:t>21%</w:t>
            </w:r>
          </w:p>
        </w:tc>
        <w:tc>
          <w:tcPr>
            <w:tcW w:w="2020" w:type="dxa"/>
            <w:vAlign w:val="bottom"/>
            <w:gridSpan w:val="3"/>
            <w:shd w:val="clear" w:color="auto" w:fill="CCEEFF"/>
          </w:tcPr>
          <w:p>
            <w:pPr>
              <w:jc w:val="center"/>
              <w:ind w:left="5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rPr>
              <w:t>21%</w:t>
            </w:r>
          </w:p>
        </w:tc>
        <w:tc>
          <w:tcPr>
            <w:tcW w:w="2020" w:type="dxa"/>
            <w:vAlign w:val="bottom"/>
            <w:gridSpan w:val="3"/>
            <w:shd w:val="clear" w:color="auto" w:fill="CCEEFF"/>
          </w:tcPr>
          <w:p>
            <w:pPr>
              <w:jc w:val="center"/>
              <w:ind w:left="520"/>
              <w:spacing w:after="0"/>
              <w:rPr>
                <w:sz w:val="20"/>
                <w:szCs w:val="20"/>
                <w:color w:val="auto"/>
              </w:rPr>
            </w:pPr>
            <w:r>
              <w:rPr>
                <w:rFonts w:ascii="Times New Roman" w:cs="Times New Roman" w:eastAsia="Times New Roman" w:hAnsi="Times New Roman"/>
                <w:sz w:val="16"/>
                <w:szCs w:val="16"/>
                <w:color w:val="auto"/>
              </w:rPr>
              <w:t>22%</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Diversity and Revenue Mix</w:t>
      </w:r>
    </w:p>
    <w:p>
      <w:pPr>
        <w:spacing w:after="0" w:line="105" w:lineRule="exact"/>
        <w:rPr>
          <w:sz w:val="20"/>
          <w:szCs w:val="20"/>
          <w:color w:val="auto"/>
        </w:rPr>
      </w:pPr>
    </w:p>
    <w:p>
      <w:pPr>
        <w:ind w:firstLine="358"/>
        <w:spacing w:after="0" w:line="257" w:lineRule="auto"/>
        <w:rPr>
          <w:sz w:val="20"/>
          <w:szCs w:val="20"/>
          <w:color w:val="auto"/>
        </w:rPr>
      </w:pPr>
      <w:r>
        <w:rPr>
          <w:rFonts w:ascii="Times New Roman" w:cs="Times New Roman" w:eastAsia="Times New Roman" w:hAnsi="Times New Roman"/>
          <w:sz w:val="16"/>
          <w:szCs w:val="16"/>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67" w:lineRule="exact"/>
        <w:rPr>
          <w:sz w:val="20"/>
          <w:szCs w:val="20"/>
          <w:color w:val="auto"/>
        </w:rPr>
      </w:pPr>
    </w:p>
    <w:p>
      <w:pPr>
        <w:ind w:right="180" w:firstLine="358"/>
        <w:spacing w:after="0" w:line="257" w:lineRule="auto"/>
        <w:rPr>
          <w:sz w:val="20"/>
          <w:szCs w:val="20"/>
          <w:color w:val="auto"/>
        </w:rPr>
      </w:pPr>
      <w:r>
        <w:rPr>
          <w:rFonts w:ascii="Times New Roman" w:cs="Times New Roman" w:eastAsia="Times New Roman" w:hAnsi="Times New Roman"/>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 labor as the primary driver of earnings growth. Direct client staff labor growth is driven by client staff headcount growth, after attrition, and total backlog growth.</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People</w:t>
      </w:r>
    </w:p>
    <w:p>
      <w:pPr>
        <w:spacing w:after="0" w:line="105" w:lineRule="exact"/>
        <w:rPr>
          <w:sz w:val="20"/>
          <w:szCs w:val="20"/>
          <w:color w:val="auto"/>
        </w:rPr>
      </w:pPr>
    </w:p>
    <w:p>
      <w:pPr>
        <w:ind w:right="120" w:firstLine="358"/>
        <w:spacing w:after="0" w:line="257" w:lineRule="auto"/>
        <w:rPr>
          <w:sz w:val="20"/>
          <w:szCs w:val="20"/>
          <w:color w:val="auto"/>
        </w:rPr>
      </w:pPr>
      <w:r>
        <w:rPr>
          <w:rFonts w:ascii="Times New Roman" w:cs="Times New Roman" w:eastAsia="Times New Roman" w:hAnsi="Times New Roman"/>
          <w:sz w:val="16"/>
          <w:szCs w:val="16"/>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December 31, 2023 and 2022, we employed approximately 33,800 and 31,100 people, respectively, of which approximately 30,900 and 28,300, respectively, were client staff.</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Backlog</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define backlog to include the following three components:</w:t>
      </w:r>
    </w:p>
    <w:p>
      <w:pPr>
        <w:spacing w:after="0" w:line="101" w:lineRule="exact"/>
        <w:rPr>
          <w:sz w:val="20"/>
          <w:szCs w:val="20"/>
          <w:color w:val="auto"/>
        </w:rPr>
      </w:pPr>
    </w:p>
    <w:p>
      <w:pPr>
        <w:ind w:left="560" w:right="20" w:hanging="278"/>
        <w:spacing w:after="0" w:line="283" w:lineRule="auto"/>
        <w:tabs>
          <w:tab w:leader="none" w:pos="556"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Funded Backlog. </w:t>
      </w:r>
      <w:r>
        <w:rPr>
          <w:rFonts w:ascii="Times New Roman" w:cs="Times New Roman" w:eastAsia="Times New Roman" w:hAnsi="Times New Roman"/>
          <w:sz w:val="16"/>
          <w:szCs w:val="16"/>
          <w:color w:val="auto"/>
        </w:rPr>
        <w:t>Funded backlog represents the revenue value of orders for services under existing contracts for which funding is appropriated or otherwise authorized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less revenue previously recognized on these contracts.</w:t>
      </w:r>
    </w:p>
    <w:p>
      <w:pPr>
        <w:spacing w:after="0" w:line="44" w:lineRule="exact"/>
        <w:rPr>
          <w:rFonts w:ascii="Times New Roman" w:cs="Times New Roman" w:eastAsia="Times New Roman" w:hAnsi="Times New Roman"/>
          <w:sz w:val="16"/>
          <w:szCs w:val="16"/>
          <w:i w:val="1"/>
          <w:iCs w:val="1"/>
          <w:color w:val="auto"/>
        </w:rPr>
      </w:pPr>
    </w:p>
    <w:p>
      <w:pPr>
        <w:ind w:left="560" w:right="20" w:hanging="278"/>
        <w:spacing w:after="0" w:line="283" w:lineRule="auto"/>
        <w:tabs>
          <w:tab w:leader="none" w:pos="55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Unfunded Backlog. </w:t>
      </w:r>
      <w:r>
        <w:rPr>
          <w:rFonts w:ascii="Times New Roman" w:cs="Times New Roman" w:eastAsia="Times New Roman" w:hAnsi="Times New Roman"/>
          <w:sz w:val="16"/>
          <w:szCs w:val="16"/>
          <w:color w:val="auto"/>
        </w:rPr>
        <w:t>Unfunded backlog represents the revenue value of orders (including optional orders) for services under existing contracts for which funding has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been appropriated or otherwise authorized.</w:t>
      </w:r>
    </w:p>
    <w:p>
      <w:pPr>
        <w:spacing w:after="0" w:line="44" w:lineRule="exact"/>
        <w:rPr>
          <w:rFonts w:ascii="Times New Roman" w:cs="Times New Roman" w:eastAsia="Times New Roman" w:hAnsi="Times New Roman"/>
          <w:sz w:val="16"/>
          <w:szCs w:val="16"/>
          <w:color w:val="auto"/>
        </w:rPr>
      </w:pPr>
    </w:p>
    <w:p>
      <w:pPr>
        <w:ind w:left="560" w:right="120" w:hanging="278"/>
        <w:spacing w:after="0" w:line="283" w:lineRule="auto"/>
        <w:tabs>
          <w:tab w:leader="none" w:pos="55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Priced Options. </w:t>
      </w:r>
      <w:r>
        <w:rPr>
          <w:rFonts w:ascii="Times New Roman" w:cs="Times New Roman" w:eastAsia="Times New Roman" w:hAnsi="Times New Roman"/>
          <w:sz w:val="16"/>
          <w:szCs w:val="16"/>
          <w:color w:val="auto"/>
        </w:rPr>
        <w:t>Priced contract options represent 100% of the revenue value of all future contract option periods under existing contracts that may be exercised at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clients’ option and for which funding has not been appropriated or otherwise authorized.</w:t>
      </w:r>
    </w:p>
    <w:p>
      <w:pPr>
        <w:spacing w:after="0" w:line="46" w:lineRule="exact"/>
        <w:rPr>
          <w:sz w:val="20"/>
          <w:szCs w:val="20"/>
          <w:color w:val="auto"/>
        </w:rPr>
      </w:pPr>
    </w:p>
    <w:p>
      <w:pPr>
        <w:ind w:right="200" w:firstLine="358"/>
        <w:spacing w:after="0" w:line="280" w:lineRule="auto"/>
        <w:rPr>
          <w:sz w:val="20"/>
          <w:szCs w:val="20"/>
          <w:color w:val="auto"/>
        </w:rPr>
      </w:pPr>
      <w:r>
        <w:rPr>
          <w:rFonts w:ascii="Times New Roman" w:cs="Times New Roman" w:eastAsia="Times New Roman" w:hAnsi="Times New Roman"/>
          <w:sz w:val="16"/>
          <w:szCs w:val="16"/>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793"/>
        </w:trPr>
        <w:tc>
          <w:tcPr>
            <w:tcW w:w="160" w:type="dxa"/>
            <w:vAlign w:val="bottom"/>
          </w:tcPr>
          <w:p>
            <w:pPr>
              <w:spacing w:after="0"/>
              <w:rPr>
                <w:sz w:val="24"/>
                <w:szCs w:val="24"/>
                <w:color w:val="auto"/>
              </w:rPr>
            </w:pPr>
          </w:p>
        </w:tc>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The following table summarizes the value of our contract backlog at the respective dates presented: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7"/>
        </w:trPr>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9"/>
                <w:szCs w:val="19"/>
                <w:color w:val="auto"/>
              </w:rPr>
            </w:pPr>
          </w:p>
        </w:tc>
        <w:tc>
          <w:tcPr>
            <w:tcW w:w="13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3"/>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4"/>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03"/>
        </w:trPr>
        <w:tc>
          <w:tcPr>
            <w:tcW w:w="160" w:type="dxa"/>
            <w:vAlign w:val="bottom"/>
          </w:tcPr>
          <w:p>
            <w:pPr>
              <w:spacing w:after="0"/>
              <w:rPr>
                <w:sz w:val="17"/>
                <w:szCs w:val="17"/>
                <w:color w:val="auto"/>
              </w:rPr>
            </w:pPr>
          </w:p>
        </w:tc>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Backlog:</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76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Funded</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w:t>
            </w:r>
          </w:p>
        </w:tc>
      </w:tr>
      <w:tr>
        <w:trPr>
          <w:trHeight w:val="203"/>
        </w:trPr>
        <w:tc>
          <w:tcPr>
            <w:tcW w:w="160" w:type="dxa"/>
            <w:vAlign w:val="bottom"/>
          </w:tcPr>
          <w:p>
            <w:pPr>
              <w:spacing w:after="0"/>
              <w:rPr>
                <w:sz w:val="17"/>
                <w:szCs w:val="17"/>
                <w:color w:val="auto"/>
              </w:rPr>
            </w:pPr>
          </w:p>
        </w:tc>
        <w:tc>
          <w:tcPr>
            <w:tcW w:w="7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Unfunded</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10,131</w:t>
            </w:r>
          </w:p>
        </w:tc>
      </w:tr>
      <w:tr>
        <w:trPr>
          <w:trHeight w:val="203"/>
        </w:trPr>
        <w:tc>
          <w:tcPr>
            <w:tcW w:w="160" w:type="dxa"/>
            <w:vAlign w:val="bottom"/>
          </w:tcPr>
          <w:p>
            <w:pPr>
              <w:spacing w:after="0"/>
              <w:rPr>
                <w:sz w:val="17"/>
                <w:szCs w:val="17"/>
                <w:color w:val="auto"/>
              </w:rPr>
            </w:pPr>
          </w:p>
        </w:tc>
        <w:tc>
          <w:tcPr>
            <w:tcW w:w="76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Priced options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15,373</w:t>
            </w:r>
          </w:p>
        </w:tc>
      </w:tr>
      <w:tr>
        <w:trPr>
          <w:trHeight w:val="220"/>
        </w:trPr>
        <w:tc>
          <w:tcPr>
            <w:tcW w:w="160" w:type="dxa"/>
            <w:vAlign w:val="bottom"/>
          </w:tcPr>
          <w:p>
            <w:pPr>
              <w:spacing w:after="0"/>
              <w:rPr>
                <w:sz w:val="18"/>
                <w:szCs w:val="18"/>
                <w:color w:val="auto"/>
              </w:rPr>
            </w:pPr>
          </w:p>
        </w:tc>
        <w:tc>
          <w:tcPr>
            <w:tcW w:w="76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backlog</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30,048</w:t>
            </w:r>
          </w:p>
        </w:tc>
      </w:tr>
      <w:tr>
        <w:trPr>
          <w:trHeight w:val="20"/>
        </w:trPr>
        <w:tc>
          <w:tcPr>
            <w:tcW w:w="16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40" w:firstLine="358"/>
        <w:spacing w:after="0" w:line="253" w:lineRule="auto"/>
        <w:rPr>
          <w:sz w:val="20"/>
          <w:szCs w:val="20"/>
          <w:color w:val="auto"/>
        </w:rPr>
      </w:pPr>
      <w:r>
        <w:rPr>
          <w:rFonts w:ascii="Times New Roman" w:cs="Times New Roman" w:eastAsia="Times New Roman" w:hAnsi="Times New Roman"/>
          <w:sz w:val="16"/>
          <w:szCs w:val="16"/>
          <w:color w:val="auto"/>
        </w:rPr>
        <w:t>Our total backlog consists of remaining performance obligations, certain orders under contracts for which the period of performance has expired, and unexercised option period and other unexercised optional orders. As of December 31, 2023 and March 31, 2023, the Company had $8.8 billion and $7.9 billion of remaining performance obligations, respectively. We expect to recognize approximately 75% of the remaining performance obligations at December 31, 2023 as revenue over the next 12 months, and approximately 85% over the next 24 months. The remainder is expected to be recognized thereafter. However, given the uncertainties discussed below, as well as the risks described in “Item 1A. Risk Factors” of our Annual Report on Form 10-K for the fiscal year ended March 31, 2023,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71" w:lineRule="exact"/>
        <w:rPr>
          <w:sz w:val="20"/>
          <w:szCs w:val="20"/>
          <w:color w:val="auto"/>
        </w:rPr>
      </w:pPr>
    </w:p>
    <w:p>
      <w:pPr>
        <w:ind w:right="40" w:firstLine="358"/>
        <w:spacing w:after="0" w:line="255" w:lineRule="auto"/>
        <w:rPr>
          <w:sz w:val="20"/>
          <w:szCs w:val="20"/>
          <w:color w:val="auto"/>
        </w:rPr>
      </w:pPr>
      <w:r>
        <w:rPr>
          <w:rFonts w:ascii="Times New Roman" w:cs="Times New Roman" w:eastAsia="Times New Roman" w:hAnsi="Times New Roman"/>
          <w:sz w:val="16"/>
          <w:szCs w:val="16"/>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14.2% from December 31, 2022 to December 31, 2023. Additions to funded backlog during the twelve months ended December 31, 2023 totaled $11.0 billion in comparison to $9.6 billion for the comparable period in fiscal 2023,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0" w:lineRule="exact"/>
        <w:rPr>
          <w:sz w:val="20"/>
          <w:szCs w:val="20"/>
          <w:color w:val="auto"/>
        </w:rPr>
      </w:pPr>
    </w:p>
    <w:p>
      <w:pPr>
        <w:ind w:right="20" w:firstLine="358"/>
        <w:spacing w:after="0" w:line="252" w:lineRule="auto"/>
        <w:rPr>
          <w:sz w:val="20"/>
          <w:szCs w:val="20"/>
          <w:color w:val="auto"/>
        </w:rPr>
      </w:pPr>
      <w:r>
        <w:rPr>
          <w:rFonts w:ascii="Times New Roman" w:cs="Times New Roman" w:eastAsia="Times New Roman" w:hAnsi="Times New Roman"/>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4" w:lineRule="exact"/>
        <w:rPr>
          <w:sz w:val="20"/>
          <w:szCs w:val="20"/>
          <w:color w:val="auto"/>
        </w:rPr>
      </w:pPr>
    </w:p>
    <w:p>
      <w:pPr>
        <w:ind w:firstLine="358"/>
        <w:spacing w:after="0" w:line="257" w:lineRule="auto"/>
        <w:rPr>
          <w:sz w:val="20"/>
          <w:szCs w:val="20"/>
          <w:color w:val="auto"/>
        </w:rPr>
      </w:pPr>
      <w:r>
        <w:rPr>
          <w:rFonts w:ascii="Times New Roman" w:cs="Times New Roman" w:eastAsia="Times New Roman" w:hAnsi="Times New Roman"/>
          <w:sz w:val="16"/>
          <w:szCs w:val="16"/>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4.8% of total backlog as of December 31, 2023 and during any of the three preceding fiscal quarters.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200" w:firstLine="358"/>
        <w:spacing w:after="0" w:line="265" w:lineRule="auto"/>
        <w:rPr>
          <w:sz w:val="20"/>
          <w:szCs w:val="20"/>
          <w:color w:val="auto"/>
        </w:rPr>
      </w:pPr>
      <w:r>
        <w:rPr>
          <w:rFonts w:ascii="Times New Roman" w:cs="Times New Roman" w:eastAsia="Times New Roman" w:hAnsi="Times New Roman"/>
          <w:sz w:val="16"/>
          <w:szCs w:val="16"/>
          <w:color w:val="auto"/>
        </w:rPr>
        <w:t>We expect to recognize revenue from a substantial portion of funded backlog as of December 31, 2023 within the next twelve months. However, given the uncertainties discussed above, as well as the risks described in “Part I, Item 1A. Risk Factors,” of our fiscal 2023 Annual Report on Form 10-K, we can give no assurance that we will be able to convert our backlog into revenue in any particular period, if at all.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Government Audit Impact on Operating Income</w:t>
      </w:r>
    </w:p>
    <w:p>
      <w:pPr>
        <w:spacing w:after="0" w:line="105" w:lineRule="exact"/>
        <w:rPr>
          <w:sz w:val="20"/>
          <w:szCs w:val="20"/>
          <w:color w:val="auto"/>
        </w:rPr>
      </w:pPr>
    </w:p>
    <w:p>
      <w:pPr>
        <w:ind w:right="100" w:firstLine="394"/>
        <w:spacing w:after="0" w:line="282" w:lineRule="auto"/>
        <w:rPr>
          <w:sz w:val="20"/>
          <w:szCs w:val="20"/>
          <w:color w:val="auto"/>
        </w:rPr>
      </w:pPr>
      <w:r>
        <w:rPr>
          <w:rFonts w:ascii="Times New Roman" w:cs="Times New Roman" w:eastAsia="Times New Roman" w:hAnsi="Times New Roman"/>
          <w:sz w:val="15"/>
          <w:szCs w:val="15"/>
          <w:color w:val="auto"/>
        </w:rPr>
        <w:t>As noted in the Company's Annual Report on Form 10-K for the fiscal year ended March 31, 2023, in the ordinary course of business, agencies of the U.S. government for which the Company is engaged as a prime contractor or a subcontractor, including the Defense Contract Audit Agency, audit the Company’s claimed indirect costs and conduct inquiries and investigations of our business practices with respect to government contracts. Such audits may result in, and have historically resulted in, the Company’s inability to retain certain claimed indirect costs, including executive and employee compensation, due to differing views of the allowability and reasonableness of such costs.</w:t>
      </w:r>
    </w:p>
    <w:p>
      <w:pPr>
        <w:spacing w:after="0" w:line="50" w:lineRule="exact"/>
        <w:rPr>
          <w:sz w:val="20"/>
          <w:szCs w:val="20"/>
          <w:color w:val="auto"/>
        </w:rPr>
      </w:pPr>
    </w:p>
    <w:p>
      <w:pPr>
        <w:ind w:right="20" w:firstLine="394"/>
        <w:spacing w:after="0" w:line="254" w:lineRule="auto"/>
        <w:rPr>
          <w:sz w:val="20"/>
          <w:szCs w:val="20"/>
          <w:color w:val="auto"/>
        </w:rPr>
      </w:pPr>
      <w:r>
        <w:rPr>
          <w:rFonts w:ascii="Times New Roman" w:cs="Times New Roman" w:eastAsia="Times New Roman" w:hAnsi="Times New Roman"/>
          <w:sz w:val="16"/>
          <w:szCs w:val="16"/>
          <w:color w:val="auto"/>
        </w:rPr>
        <w:t>Due to the previously disclosed civil and criminal investigation of the Company by the U.S. Department of Justice (“DOJ”), years subsequent to the Company’s fiscal year 2011 remain subject to audit and final resolution. As discussed in Note 15, “Commitments and Contingencies,” to the condensed consolidated financial statements, the Company recognized a reserve for estimated adjustments to historical claimed indirect costs in respect of the years subsequent to fiscal 2011, based primarily on historical audit results for periods prior to 2011. Following the settlement of the civil and criminal investigation of the Company by the DOJ, as reported in the Company’s Quarterly Report on Form 10-Q for the fiscal quarter ended June 30, 2023, audits for years subsequent to fiscal 2011 have resumed. As audits of the periods subsequent to 2011 are completed, our estimates of adjustment to claimed indirect costs for these periods could change. Any such change could materially impact our reported revenue, operating income, net income and basic and diluted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Costs and Expenses</w:t>
      </w:r>
    </w:p>
    <w:p>
      <w:pPr>
        <w:spacing w:after="0" w:line="107" w:lineRule="exact"/>
        <w:rPr>
          <w:sz w:val="20"/>
          <w:szCs w:val="20"/>
          <w:color w:val="auto"/>
        </w:rPr>
      </w:pPr>
    </w:p>
    <w:p>
      <w:pPr>
        <w:ind w:right="20" w:firstLine="358"/>
        <w:spacing w:after="0" w:line="265" w:lineRule="auto"/>
        <w:rPr>
          <w:sz w:val="20"/>
          <w:szCs w:val="20"/>
          <w:color w:val="auto"/>
        </w:rPr>
      </w:pPr>
      <w:r>
        <w:rPr>
          <w:rFonts w:ascii="Times New Roman" w:cs="Times New Roman" w:eastAsia="Times New Roman" w:hAnsi="Times New Roman"/>
          <w:sz w:val="16"/>
          <w:szCs w:val="16"/>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most significant operating costs and expenses are described below.</w:t>
      </w:r>
    </w:p>
    <w:p>
      <w:pPr>
        <w:spacing w:after="0" w:line="101" w:lineRule="exact"/>
        <w:rPr>
          <w:sz w:val="20"/>
          <w:szCs w:val="20"/>
          <w:color w:val="auto"/>
        </w:rPr>
      </w:pPr>
    </w:p>
    <w:p>
      <w:pPr>
        <w:ind w:left="560" w:hanging="278"/>
        <w:spacing w:after="0" w:line="283" w:lineRule="auto"/>
        <w:tabs>
          <w:tab w:leader="none" w:pos="55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Cost of revenue includes direct labor, related employee benefits, and overhead. Overhead consists of indirect costs, including indirect labor relating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infrastructure, management and administration, and other expenses.</w:t>
      </w:r>
    </w:p>
    <w:p>
      <w:pPr>
        <w:spacing w:after="0" w:line="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Billable Expenses. </w:t>
      </w:r>
      <w:r>
        <w:rPr>
          <w:rFonts w:ascii="Times New Roman" w:cs="Times New Roman" w:eastAsia="Times New Roman" w:hAnsi="Times New Roman"/>
          <w:sz w:val="16"/>
          <w:szCs w:val="16"/>
          <w:color w:val="auto"/>
        </w:rPr>
        <w:t>Billable expenses include direct subcontractor expenses, travel expenses, and other expenses incurred to perform on contracts.</w:t>
      </w:r>
    </w:p>
    <w:p>
      <w:pPr>
        <w:spacing w:after="0" w:line="102" w:lineRule="exact"/>
        <w:rPr>
          <w:rFonts w:ascii="Times New Roman" w:cs="Times New Roman" w:eastAsia="Times New Roman" w:hAnsi="Times New Roman"/>
          <w:sz w:val="16"/>
          <w:szCs w:val="16"/>
          <w:color w:val="auto"/>
        </w:rPr>
      </w:pPr>
    </w:p>
    <w:p>
      <w:pPr>
        <w:ind w:left="560" w:right="240" w:hanging="278"/>
        <w:spacing w:after="0" w:line="280" w:lineRule="auto"/>
        <w:tabs>
          <w:tab w:leader="none" w:pos="55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include indirect labor of executive management and corporate administrative functions,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marketing and bid and proposal costs, legal costs and other discretionary spending.</w:t>
      </w:r>
    </w:p>
    <w:p>
      <w:pPr>
        <w:jc w:val="both"/>
        <w:ind w:left="560" w:hanging="278"/>
        <w:spacing w:after="0" w:line="266" w:lineRule="auto"/>
        <w:tabs>
          <w:tab w:leader="none" w:pos="55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Depreciation and amortization includes the depreciation of computers, leasehold improvements, furniture and other equipment,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amortization of internally developed software, as well as third-party software that we use internally, and of identifiable long-lived intangible assets over their estimated useful lives.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07" w:lineRule="exact"/>
        <w:rPr>
          <w:sz w:val="20"/>
          <w:szCs w:val="20"/>
          <w:color w:val="auto"/>
        </w:rPr>
      </w:pPr>
    </w:p>
    <w:p>
      <w:pPr>
        <w:ind w:right="140" w:firstLine="358"/>
        <w:spacing w:after="0" w:line="255" w:lineRule="auto"/>
        <w:rPr>
          <w:sz w:val="20"/>
          <w:szCs w:val="20"/>
          <w:color w:val="auto"/>
        </w:rPr>
      </w:pPr>
      <w:r>
        <w:rPr>
          <w:rFonts w:ascii="Times New Roman" w:cs="Times New Roman" w:eastAsia="Times New Roman" w:hAnsi="Times New Roman"/>
          <w:sz w:val="16"/>
          <w:szCs w:val="16"/>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70" w:lineRule="exact"/>
        <w:rPr>
          <w:sz w:val="20"/>
          <w:szCs w:val="20"/>
          <w:color w:val="auto"/>
        </w:rPr>
      </w:pPr>
    </w:p>
    <w:p>
      <w:pPr>
        <w:ind w:right="20" w:firstLine="358"/>
        <w:spacing w:after="0" w:line="280" w:lineRule="auto"/>
        <w:rPr>
          <w:sz w:val="20"/>
          <w:szCs w:val="20"/>
          <w:color w:val="auto"/>
        </w:rPr>
      </w:pPr>
      <w:r>
        <w:rPr>
          <w:rFonts w:ascii="Times New Roman" w:cs="Times New Roman" w:eastAsia="Times New Roman" w:hAnsi="Times New Roman"/>
          <w:sz w:val="16"/>
          <w:szCs w:val="16"/>
          <w:color w:val="auto"/>
        </w:rPr>
        <w:t>Seasonality is just one of a number of factors, many of which are outside of our control, which may affect our results in any period. See “Part I, Item 1A. Risk Factors,” of our fiscal 2023 Annual Report on Form 10-K.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 and Policies</w:t>
      </w:r>
    </w:p>
    <w:p>
      <w:pPr>
        <w:spacing w:after="0" w:line="105" w:lineRule="exact"/>
        <w:rPr>
          <w:sz w:val="20"/>
          <w:szCs w:val="20"/>
          <w:color w:val="auto"/>
        </w:rPr>
      </w:pPr>
    </w:p>
    <w:p>
      <w:pPr>
        <w:ind w:right="40" w:firstLine="358"/>
        <w:spacing w:after="0" w:line="257" w:lineRule="auto"/>
        <w:rPr>
          <w:sz w:val="20"/>
          <w:szCs w:val="20"/>
          <w:color w:val="auto"/>
        </w:rPr>
      </w:pPr>
      <w:r>
        <w:rPr>
          <w:rFonts w:ascii="Times New Roman" w:cs="Times New Roman" w:eastAsia="Times New Roman" w:hAnsi="Times New Roman"/>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2023. Other than the change in estimate resulting in a reduction to our provision for claimed indirect costs, there were no other material changes to our critical accounting policies, estimates or judgments that occurred during the periods covered by this report. See Note 15, “Commitments and Contingencies,” to our condensed consolidated financial statements for additional information related to the aforementioned change in estimate.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sets forth items from our condensed consolidated statements of operations for the nine months ended December 31, 2023 and December 31,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3"/>
        </w:trPr>
        <w:tc>
          <w:tcPr>
            <w:tcW w:w="3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8"/>
        </w:trPr>
        <w:tc>
          <w:tcPr>
            <w:tcW w:w="3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80" w:type="dxa"/>
            <w:vAlign w:val="bottom"/>
          </w:tcPr>
          <w:p>
            <w:pPr>
              <w:spacing w:after="0"/>
              <w:rPr>
                <w:sz w:val="16"/>
                <w:szCs w:val="16"/>
                <w:color w:val="auto"/>
              </w:rPr>
            </w:pPr>
          </w:p>
        </w:tc>
        <w:tc>
          <w:tcPr>
            <w:tcW w:w="11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6"/>
                <w:szCs w:val="16"/>
                <w:color w:val="auto"/>
              </w:rPr>
            </w:pPr>
          </w:p>
        </w:tc>
        <w:tc>
          <w:tcPr>
            <w:tcW w:w="104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0"/>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8"/>
                <w:szCs w:val="18"/>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0" w:type="dxa"/>
            <w:vAlign w:val="bottom"/>
          </w:tcPr>
          <w:p>
            <w:pPr>
              <w:spacing w:after="0"/>
              <w:rPr>
                <w:sz w:val="18"/>
                <w:szCs w:val="18"/>
                <w:color w:val="auto"/>
              </w:rPr>
            </w:pPr>
          </w:p>
        </w:tc>
        <w:tc>
          <w:tcPr>
            <w:tcW w:w="104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5"/>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2,569,801</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2,277,074</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7,890,569</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6,825,650</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1,180,961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1,043,474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3,665,589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3,175,897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r>
      <w:tr>
        <w:trPr>
          <w:trHeight w:val="203"/>
        </w:trPr>
        <w:tc>
          <w:tcPr>
            <w:tcW w:w="3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Billable expenses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799,896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710,526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2,436,988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2,069,733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17.7 %</w:t>
            </w:r>
          </w:p>
        </w:tc>
      </w:tr>
      <w:tr>
        <w:trPr>
          <w:trHeight w:val="203"/>
        </w:trPr>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422,388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915,160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969,064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3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195"/>
        </w:trPr>
        <w:tc>
          <w:tcPr>
            <w:tcW w:w="338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2,322,243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2,218,434</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7,141,604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6,335,894</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748,965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489,756</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52.9 %</w:t>
            </w: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49.1 %</w:t>
            </w: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195"/>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207,384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41,228</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634,041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442,849</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43.2 %</w:t>
            </w:r>
          </w:p>
        </w:tc>
      </w:tr>
      <w:tr>
        <w:trPr>
          <w:trHeight w:val="20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51.3 %</w:t>
            </w:r>
          </w:p>
        </w:tc>
      </w:tr>
      <w:tr>
        <w:trPr>
          <w:trHeight w:val="195"/>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30,689</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374.6 %</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477,750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339,563</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r>
      <w:tr>
        <w:trPr>
          <w:trHeight w:val="20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2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40.4 %</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NM - Not meaningful</w:t>
      </w:r>
      <w:r>
        <w:rPr>
          <w:rFonts w:ascii="Times New Roman" w:cs="Times New Roman" w:eastAsia="Times New Roman" w:hAnsi="Times New Roman"/>
          <w:sz w:val="16"/>
          <w:szCs w:val="16"/>
          <w:i w:val="1"/>
          <w:iCs w:val="1"/>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5" w:lineRule="exact"/>
        <w:rPr>
          <w:sz w:val="20"/>
          <w:szCs w:val="20"/>
          <w:color w:val="auto"/>
        </w:rPr>
      </w:pPr>
    </w:p>
    <w:p>
      <w:pPr>
        <w:ind w:right="200" w:firstLine="358"/>
        <w:spacing w:after="0" w:line="233" w:lineRule="auto"/>
        <w:rPr>
          <w:sz w:val="20"/>
          <w:szCs w:val="20"/>
          <w:color w:val="auto"/>
        </w:rPr>
      </w:pPr>
      <w:r>
        <w:rPr>
          <w:rFonts w:ascii="Times New Roman" w:cs="Times New Roman" w:eastAsia="Times New Roman" w:hAnsi="Times New Roman"/>
          <w:sz w:val="16"/>
          <w:szCs w:val="16"/>
          <w:color w:val="auto"/>
        </w:rPr>
        <w:t>Revenue increased 12.9% and 15.6%, respectively, for the three and nine months ended December 31, 2023 as compared to the three and nine months ended December 31, 2022. The increase was primarily driven by strong demand for our services and solutions as well as continued headcount growth. The increase in revenue over the year-to-date period includes an increase of $18.3 million representing the reduction to our provision for claimed indirect costs recorded during the second quarter of fiscal 2024. See Note 15, “Commitments and Contingencies,” to the condensed consolidated financial statements for further information. Total headcount as of December 31, 2023 increased by approximately 2,700 as compared to December 31,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w:t>
      </w:r>
    </w:p>
    <w:p>
      <w:pPr>
        <w:spacing w:after="0" w:line="105" w:lineRule="exact"/>
        <w:rPr>
          <w:sz w:val="20"/>
          <w:szCs w:val="20"/>
          <w:color w:val="auto"/>
        </w:rPr>
      </w:pPr>
    </w:p>
    <w:p>
      <w:pPr>
        <w:ind w:right="40" w:firstLine="358"/>
        <w:spacing w:after="0" w:line="257" w:lineRule="auto"/>
        <w:rPr>
          <w:sz w:val="20"/>
          <w:szCs w:val="20"/>
          <w:color w:val="auto"/>
        </w:rPr>
      </w:pPr>
      <w:r>
        <w:rPr>
          <w:rFonts w:ascii="Times New Roman" w:cs="Times New Roman" w:eastAsia="Times New Roman" w:hAnsi="Times New Roman"/>
          <w:sz w:val="16"/>
          <w:szCs w:val="16"/>
          <w:color w:val="auto"/>
        </w:rPr>
        <w:t>Cost of revenue as a percentage of revenue was 46.0% and 45.8% for the three months ended December 31, 2023 and 2022, respectively, and 46.5% for both the nine months ended December 31, 2023 and 2022. Cost of revenue increased 13.2% and 15.4% for the three and nine months ended December 31, 2023, respectively, as compared to the three and nine months ended December 31, 2022. The increases were primarily due to increases in salaries and salary-related benefits in the three and nine months ended December 31, 2023 of $144.6 million and $469.6 million, respectively, driven by increased headcount and salary increases. Other business expenses and professional fees decreased $15.2 million for the quarter and increased $13.7 million for the year-to-date period.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Billable Expenses</w:t>
      </w:r>
    </w:p>
    <w:p>
      <w:pPr>
        <w:spacing w:after="0" w:line="105" w:lineRule="exact"/>
        <w:rPr>
          <w:sz w:val="20"/>
          <w:szCs w:val="20"/>
          <w:color w:val="auto"/>
        </w:rPr>
      </w:pPr>
    </w:p>
    <w:p>
      <w:pPr>
        <w:ind w:right="20" w:firstLine="358"/>
        <w:spacing w:after="0" w:line="257" w:lineRule="auto"/>
        <w:rPr>
          <w:sz w:val="20"/>
          <w:szCs w:val="20"/>
          <w:color w:val="auto"/>
        </w:rPr>
      </w:pPr>
      <w:r>
        <w:rPr>
          <w:rFonts w:ascii="Times New Roman" w:cs="Times New Roman" w:eastAsia="Times New Roman" w:hAnsi="Times New Roman"/>
          <w:sz w:val="16"/>
          <w:szCs w:val="16"/>
          <w:color w:val="auto"/>
        </w:rPr>
        <w:t>Billable expenses as a percentage of revenue were 31.1% and 31.2% for the three months ended December 31, 2023 and 2022, respectively, and 30.9% and 30.3% for the nine months ended December 31, 2023 and 2022, respectively. Billable expenses increased 12.6% and 17.7% for the three and nine months ended December 31, 2023, respectively, as compared to the three and nine months ended December 31, 2022. The increases were primarily attributable to increases in the use of subcontractors driven by client demand and timing of client needs, as well as increases in expenses from contracts requiring the Company to incur other direct expenses and travel on behalf of clients as compared to the prior year period.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05" w:lineRule="exact"/>
        <w:rPr>
          <w:sz w:val="20"/>
          <w:szCs w:val="20"/>
          <w:color w:val="auto"/>
        </w:rPr>
      </w:pPr>
    </w:p>
    <w:p>
      <w:pPr>
        <w:jc w:val="both"/>
        <w:ind w:firstLine="358"/>
        <w:spacing w:after="0" w:line="265" w:lineRule="auto"/>
        <w:rPr>
          <w:sz w:val="20"/>
          <w:szCs w:val="20"/>
          <w:color w:val="auto"/>
        </w:rPr>
      </w:pPr>
      <w:r>
        <w:rPr>
          <w:rFonts w:ascii="Times New Roman" w:cs="Times New Roman" w:eastAsia="Times New Roman" w:hAnsi="Times New Roman"/>
          <w:sz w:val="16"/>
          <w:szCs w:val="16"/>
          <w:color w:val="auto"/>
        </w:rPr>
        <w:t>General and administrative expenses as a percentage of revenue were 11.7% and 18.5% for the three months ended December 31, 2023 and 2022, respectively, and 11.6% and 14.2% for the nine months ended December 31, 2023 and 2022, respectively. General and administrative expenses decreased 28.9% and 5.6% for the three and nine months ended December 31, 2023, respectively, as compared to the three and nine months ended December 31, 2022.</w:t>
      </w:r>
    </w:p>
    <w:p>
      <w:pPr>
        <w:spacing w:after="0" w:line="60" w:lineRule="exact"/>
        <w:rPr>
          <w:sz w:val="20"/>
          <w:szCs w:val="20"/>
          <w:color w:val="auto"/>
        </w:rPr>
      </w:pPr>
    </w:p>
    <w:p>
      <w:pPr>
        <w:ind w:firstLine="358"/>
        <w:spacing w:after="0" w:line="255" w:lineRule="auto"/>
        <w:rPr>
          <w:sz w:val="20"/>
          <w:szCs w:val="20"/>
          <w:color w:val="auto"/>
        </w:rPr>
      </w:pPr>
      <w:r>
        <w:rPr>
          <w:rFonts w:ascii="Times New Roman" w:cs="Times New Roman" w:eastAsia="Times New Roman" w:hAnsi="Times New Roman"/>
          <w:sz w:val="16"/>
          <w:szCs w:val="16"/>
          <w:color w:val="auto"/>
        </w:rPr>
        <w:t>For the three and nine months ended December 31, 2023, the decrease over the prior year period was primarily driven by a $124.0 million reserve recorded in the third quarter of fiscal 2023 as compared to a $27.5 million reserve recorded in the first quarter of fiscal 2024, associated with the U.S. Department of Justice's investigation of the Company (see Note 15, “Commitments and Contingencies,” to the condensed consolidated financial statements for further information). In the quarter-to-date period the decrease was also driven by decreases in professional fees and other business expenses of $13.3 million, partially offset by increases in salary and salary related benefits of $8.2 million. In the year-to-date period the decrease was also driven by decreases in professional service fees and other business expenses of $10.5 million, partially offset by increases in salary and salary related benefits of $33.4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Depreciation and Amortization</w:t>
      </w:r>
    </w:p>
    <w:p>
      <w:pPr>
        <w:spacing w:after="0" w:line="105" w:lineRule="exact"/>
        <w:rPr>
          <w:sz w:val="20"/>
          <w:szCs w:val="20"/>
          <w:color w:val="auto"/>
        </w:rPr>
      </w:pPr>
    </w:p>
    <w:p>
      <w:pPr>
        <w:ind w:right="320" w:firstLine="358"/>
        <w:spacing w:after="0" w:line="280" w:lineRule="auto"/>
        <w:rPr>
          <w:sz w:val="20"/>
          <w:szCs w:val="20"/>
          <w:color w:val="auto"/>
        </w:rPr>
      </w:pPr>
      <w:r>
        <w:rPr>
          <w:rFonts w:ascii="Times New Roman" w:cs="Times New Roman" w:eastAsia="Times New Roman" w:hAnsi="Times New Roman"/>
          <w:sz w:val="16"/>
          <w:szCs w:val="16"/>
          <w:color w:val="auto"/>
        </w:rPr>
        <w:t>Depreciation and amortization expense decreased 2.2% and increased 2.2% for the three and nine months ended December 31, 2023, respectively, as compared to the three and nine months ended December 31, 2022, primarily driven by intangible amortization related to acquisitions.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05" w:lineRule="exact"/>
        <w:rPr>
          <w:sz w:val="20"/>
          <w:szCs w:val="20"/>
          <w:color w:val="auto"/>
        </w:rPr>
      </w:pPr>
    </w:p>
    <w:p>
      <w:pPr>
        <w:ind w:right="320" w:firstLine="358"/>
        <w:spacing w:after="0" w:line="265" w:lineRule="auto"/>
        <w:rPr>
          <w:sz w:val="20"/>
          <w:szCs w:val="20"/>
          <w:color w:val="auto"/>
        </w:rPr>
      </w:pPr>
      <w:r>
        <w:rPr>
          <w:rFonts w:ascii="Times New Roman" w:cs="Times New Roman" w:eastAsia="Times New Roman" w:hAnsi="Times New Roman"/>
          <w:sz w:val="16"/>
          <w:szCs w:val="16"/>
          <w:color w:val="auto"/>
        </w:rPr>
        <w:t>Interest expense increased 45.4% and 49.1% for the three and nine months ended December 31, 2023, respectively, as compared to the three and nine months ended December 31, 2022, primarily due to an overall increase in interest rates, as well as an increase of approximately $15.9 million ($9.8 million for the quarter-to-date period) related to the $650.0 million senior notes the Company issued in August of fiscal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net</w:t>
      </w:r>
    </w:p>
    <w:p>
      <w:pPr>
        <w:spacing w:after="0" w:line="105" w:lineRule="exact"/>
        <w:rPr>
          <w:sz w:val="20"/>
          <w:szCs w:val="20"/>
          <w:color w:val="auto"/>
        </w:rPr>
      </w:pPr>
    </w:p>
    <w:p>
      <w:pPr>
        <w:ind w:right="440" w:firstLine="358"/>
        <w:spacing w:after="0" w:line="280" w:lineRule="auto"/>
        <w:rPr>
          <w:sz w:val="20"/>
          <w:szCs w:val="20"/>
          <w:color w:val="auto"/>
        </w:rPr>
      </w:pPr>
      <w:r>
        <w:rPr>
          <w:rFonts w:ascii="Times New Roman" w:cs="Times New Roman" w:eastAsia="Times New Roman" w:hAnsi="Times New Roman"/>
          <w:sz w:val="16"/>
          <w:szCs w:val="16"/>
          <w:color w:val="auto"/>
        </w:rPr>
        <w:t>Other income, net decreased to $6.4 million for the three months ended December 31, 2023 from $14.6 million for the three months ended December 31, 2022, and decreased to $11.9 million for the nine months ended December 31, 2023 from $38.1 million for the nine months ended December 31, 2022, due to the following:</w:t>
      </w:r>
    </w:p>
    <w:p>
      <w:pPr>
        <w:spacing w:after="0" w:line="49" w:lineRule="exact"/>
        <w:rPr>
          <w:sz w:val="20"/>
          <w:szCs w:val="20"/>
          <w:color w:val="auto"/>
        </w:rPr>
      </w:pPr>
    </w:p>
    <w:p>
      <w:pPr>
        <w:ind w:left="560" w:right="420" w:hanging="278"/>
        <w:spacing w:after="0" w:line="280" w:lineRule="auto"/>
        <w:tabs>
          <w:tab w:leader="none" w:pos="55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$31.2 million pre-tax gain recognized in the second quarter of fiscal 2023 associated with the divestiture of the Company's MENA business, not present in the current year;</w:t>
      </w:r>
    </w:p>
    <w:p>
      <w:pPr>
        <w:spacing w:after="0" w:line="4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7"/>
        </w:numPr>
        <w:rPr>
          <w:rFonts w:ascii="Calibri" w:cs="Calibri" w:eastAsia="Calibri" w:hAnsi="Calibri"/>
          <w:sz w:val="16"/>
          <w:szCs w:val="16"/>
          <w:color w:val="auto"/>
        </w:rPr>
      </w:pPr>
      <w:r>
        <w:rPr>
          <w:rFonts w:ascii="Times New Roman" w:cs="Times New Roman" w:eastAsia="Times New Roman" w:hAnsi="Times New Roman"/>
          <w:sz w:val="16"/>
          <w:szCs w:val="16"/>
          <w:color w:val="auto"/>
        </w:rPr>
        <w:t>A pre-tax gain of $8.9 million recognized in the third quarter of fiscal 2023 from the de-consolidation of a business, not present in the current year; and</w:t>
      </w:r>
    </w:p>
    <w:p>
      <w:pPr>
        <w:spacing w:after="0" w:line="103" w:lineRule="exact"/>
        <w:rPr>
          <w:rFonts w:ascii="Calibri" w:cs="Calibri" w:eastAsia="Calibri" w:hAnsi="Calibri"/>
          <w:sz w:val="16"/>
          <w:szCs w:val="16"/>
          <w:color w:val="auto"/>
        </w:rPr>
      </w:pPr>
    </w:p>
    <w:p>
      <w:pPr>
        <w:ind w:left="560" w:right="300" w:hanging="278"/>
        <w:spacing w:after="0" w:line="281" w:lineRule="auto"/>
        <w:tabs>
          <w:tab w:leader="none" w:pos="554" w:val="left"/>
        </w:tabs>
        <w:numPr>
          <w:ilvl w:val="0"/>
          <w:numId w:val="27"/>
        </w:numPr>
        <w:rPr>
          <w:rFonts w:ascii="Calibri" w:cs="Calibri" w:eastAsia="Calibri" w:hAnsi="Calibri"/>
          <w:sz w:val="16"/>
          <w:szCs w:val="16"/>
          <w:color w:val="auto"/>
        </w:rPr>
      </w:pPr>
      <w:r>
        <w:rPr>
          <w:rFonts w:ascii="Times New Roman" w:cs="Times New Roman" w:eastAsia="Times New Roman" w:hAnsi="Times New Roman"/>
          <w:sz w:val="16"/>
          <w:szCs w:val="16"/>
          <w:color w:val="auto"/>
        </w:rPr>
        <w:t>A $4.6 million pre-tax gain recognized in the third quarter of fiscal 2023 associated with the divestiture of the Company's MTS business, not present in the current year.</w:t>
      </w:r>
    </w:p>
    <w:p>
      <w:pPr>
        <w:spacing w:after="0" w:line="46" w:lineRule="exact"/>
        <w:rPr>
          <w:sz w:val="20"/>
          <w:szCs w:val="20"/>
          <w:color w:val="auto"/>
        </w:rPr>
      </w:pPr>
    </w:p>
    <w:p>
      <w:pPr>
        <w:ind w:right="40" w:firstLine="358"/>
        <w:spacing w:after="0" w:line="280" w:lineRule="auto"/>
        <w:rPr>
          <w:sz w:val="20"/>
          <w:szCs w:val="20"/>
          <w:color w:val="auto"/>
        </w:rPr>
      </w:pPr>
      <w:r>
        <w:rPr>
          <w:rFonts w:ascii="Times New Roman" w:cs="Times New Roman" w:eastAsia="Times New Roman" w:hAnsi="Times New Roman"/>
          <w:sz w:val="16"/>
          <w:szCs w:val="16"/>
          <w:color w:val="auto"/>
        </w:rPr>
        <w:t>The above decreases were partially offset by increases in interest income of $4.0 million and $11.1 million for the quarter and year-to date periods, respectively, primarily due to overall increase in interest rates as well as higher average cash balances.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 Expense</w:t>
      </w:r>
    </w:p>
    <w:p>
      <w:pPr>
        <w:spacing w:after="0" w:line="105" w:lineRule="exact"/>
        <w:rPr>
          <w:sz w:val="20"/>
          <w:szCs w:val="20"/>
          <w:color w:val="auto"/>
        </w:rPr>
      </w:pPr>
    </w:p>
    <w:p>
      <w:pPr>
        <w:jc w:val="both"/>
        <w:ind w:right="340" w:firstLine="358"/>
        <w:spacing w:after="0" w:line="265" w:lineRule="auto"/>
        <w:rPr>
          <w:sz w:val="20"/>
          <w:szCs w:val="20"/>
          <w:color w:val="auto"/>
        </w:rPr>
      </w:pPr>
      <w:r>
        <w:rPr>
          <w:rFonts w:ascii="Times New Roman" w:cs="Times New Roman" w:eastAsia="Times New Roman" w:hAnsi="Times New Roman"/>
          <w:sz w:val="16"/>
          <w:szCs w:val="16"/>
          <w:color w:val="auto"/>
        </w:rPr>
        <w:t>Income tax expense increased to $61.7 million for the three months ended December 31, 2023 from $10.5 million for the three months ended December 31, 2022, an increase of 485.8%, and increased to $156.3 million for the nine months ended December 31, 2023 from $103.3 million for the nine months ended December 31, 2022, an increase of 51.3%.</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40" w:firstLine="358"/>
        <w:spacing w:after="0" w:line="257" w:lineRule="auto"/>
        <w:rPr>
          <w:sz w:val="20"/>
          <w:szCs w:val="20"/>
          <w:color w:val="auto"/>
        </w:rPr>
      </w:pPr>
      <w:r>
        <w:rPr>
          <w:rFonts w:ascii="Times New Roman" w:cs="Times New Roman" w:eastAsia="Times New Roman" w:hAnsi="Times New Roman"/>
          <w:sz w:val="16"/>
          <w:szCs w:val="16"/>
          <w:color w:val="auto"/>
        </w:rPr>
        <w:t>The effective tax rate for the three months ended December 31, 2023 increased to 29.8% from 25.6% for the three months ended December 31, 2022. The effective tax rate for the nine months ended December 31, 2023 increased to 24.7% from 23.3% for the nine months ended December 31, 2022. Increases were primarily due to an increase in items recognized discretely in the current period relating to the reversal of prior period indirect effects of underlying prior period uncertain tax positions that were reversed in the current period. The reversal of the associated uncertain tax positions did not directly impact the effective tax rate, given that the uncertain tax position reversal was offset by a decrease in the deferred tax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5" w:lineRule="exact"/>
        <w:rPr>
          <w:sz w:val="20"/>
          <w:szCs w:val="20"/>
          <w:color w:val="auto"/>
        </w:rPr>
      </w:pPr>
    </w:p>
    <w:p>
      <w:pPr>
        <w:ind w:firstLine="358"/>
        <w:spacing w:after="0" w:line="259" w:lineRule="auto"/>
        <w:rPr>
          <w:sz w:val="20"/>
          <w:szCs w:val="20"/>
          <w:color w:val="auto"/>
        </w:rPr>
      </w:pPr>
      <w:r>
        <w:rPr>
          <w:rFonts w:ascii="Times New Roman" w:cs="Times New Roman" w:eastAsia="Times New Roman" w:hAnsi="Times New Roman"/>
          <w:sz w:val="16"/>
          <w:szCs w:val="16"/>
          <w:color w:val="auto"/>
        </w:rPr>
        <w:t>As of December 31, 2023, our total liquidity was $1.6 billion, consisting of $601.8 million of cash and cash equivalents and $998.6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presents selected financial information as of December 31, 2023 and March 31, 2023 and for the first nine months of fiscal 2024 and 2023:</w:t>
      </w:r>
    </w:p>
    <w:p>
      <w:pPr>
        <w:spacing w:after="0" w:line="67"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60" w:type="dxa"/>
            <w:vAlign w:val="bottom"/>
          </w:tcPr>
          <w:p>
            <w:pPr>
              <w:spacing w:after="0"/>
              <w:rPr>
                <w:sz w:val="16"/>
                <w:szCs w:val="16"/>
                <w:color w:val="auto"/>
              </w:rPr>
            </w:pPr>
          </w:p>
        </w:tc>
        <w:tc>
          <w:tcPr>
            <w:tcW w:w="140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3"/>
        </w:trPr>
        <w:tc>
          <w:tcPr>
            <w:tcW w:w="6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22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62"/>
        </w:trPr>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0" w:type="dxa"/>
            <w:vAlign w:val="bottom"/>
          </w:tcPr>
          <w:p>
            <w:pPr>
              <w:spacing w:after="0"/>
              <w:rPr>
                <w:sz w:val="14"/>
                <w:szCs w:val="14"/>
                <w:color w:val="auto"/>
              </w:rPr>
            </w:pPr>
          </w:p>
        </w:tc>
      </w:tr>
      <w:tr>
        <w:trPr>
          <w:trHeight w:val="22"/>
        </w:trPr>
        <w:tc>
          <w:tcPr>
            <w:tcW w:w="6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601,813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404,862</w:t>
            </w:r>
          </w:p>
        </w:tc>
      </w:tr>
      <w:tr>
        <w:trPr>
          <w:trHeight w:val="208"/>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3,421,106</w:t>
            </w:r>
          </w:p>
        </w:tc>
        <w:tc>
          <w:tcPr>
            <w:tcW w:w="100" w:type="dxa"/>
            <w:vAlign w:val="bottom"/>
          </w:tcPr>
          <w:p>
            <w:pPr>
              <w:spacing w:after="0"/>
              <w:rPr>
                <w:sz w:val="18"/>
                <w:szCs w:val="18"/>
                <w:color w:val="auto"/>
              </w:rPr>
            </w:pPr>
          </w:p>
        </w:tc>
        <w:tc>
          <w:tcPr>
            <w:tcW w:w="4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2,812,145</w:t>
            </w:r>
          </w:p>
        </w:tc>
      </w:tr>
    </w:tbl>
    <w:p>
      <w:pPr>
        <w:spacing w:after="0" w:line="123"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66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59"/>
        </w:trPr>
        <w:tc>
          <w:tcPr>
            <w:tcW w:w="6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jc w:val="center"/>
              <w:ind w:right="423"/>
              <w:spacing w:after="0"/>
              <w:rPr>
                <w:sz w:val="20"/>
                <w:szCs w:val="20"/>
                <w:color w:val="auto"/>
              </w:rPr>
            </w:pPr>
            <w:r>
              <w:rPr>
                <w:rFonts w:ascii="Times New Roman" w:cs="Times New Roman" w:eastAsia="Times New Roman" w:hAnsi="Times New Roman"/>
                <w:sz w:val="13"/>
                <w:szCs w:val="13"/>
                <w:b w:val="1"/>
                <w:bCs w:val="1"/>
                <w:color w:val="auto"/>
                <w:w w:val="98"/>
              </w:rPr>
              <w:t>(Unaudited)</w:t>
            </w:r>
          </w:p>
        </w:tc>
      </w:tr>
      <w:tr>
        <w:trPr>
          <w:trHeight w:val="169"/>
        </w:trPr>
        <w:tc>
          <w:tcPr>
            <w:tcW w:w="6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0" w:type="dxa"/>
            <w:vAlign w:val="bottom"/>
          </w:tcPr>
          <w:p>
            <w:pPr>
              <w:spacing w:after="0"/>
              <w:rPr>
                <w:sz w:val="14"/>
                <w:szCs w:val="14"/>
                <w:color w:val="auto"/>
              </w:rPr>
            </w:pPr>
          </w:p>
        </w:tc>
      </w:tr>
      <w:tr>
        <w:trPr>
          <w:trHeight w:val="22"/>
        </w:trPr>
        <w:tc>
          <w:tcPr>
            <w:tcW w:w="6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60" w:type="dxa"/>
            <w:vAlign w:val="bottom"/>
            <w:shd w:val="clear" w:color="auto" w:fill="CCEEFF"/>
          </w:tcPr>
          <w:p>
            <w:pPr>
              <w:jc w:val="right"/>
              <w:ind w:right="108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115,068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w w:val="99"/>
              </w:rPr>
              <w:t>365,674</w:t>
            </w:r>
          </w:p>
        </w:tc>
      </w:tr>
      <w:tr>
        <w:trPr>
          <w:trHeight w:val="20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6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(68,254)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jc w:val="center"/>
              <w:ind w:left="623"/>
              <w:spacing w:after="0"/>
              <w:rPr>
                <w:sz w:val="20"/>
                <w:szCs w:val="20"/>
                <w:color w:val="auto"/>
              </w:rPr>
            </w:pPr>
            <w:r>
              <w:rPr>
                <w:rFonts w:ascii="Times New Roman" w:cs="Times New Roman" w:eastAsia="Times New Roman" w:hAnsi="Times New Roman"/>
                <w:sz w:val="16"/>
                <w:szCs w:val="16"/>
                <w:color w:val="auto"/>
                <w:w w:val="98"/>
              </w:rPr>
              <w:t>(440,058)</w:t>
            </w:r>
          </w:p>
        </w:tc>
      </w:tr>
      <w:tr>
        <w:trPr>
          <w:trHeight w:val="20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150,137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center"/>
              <w:ind w:left="623"/>
              <w:spacing w:after="0"/>
              <w:rPr>
                <w:sz w:val="20"/>
                <w:szCs w:val="20"/>
                <w:color w:val="auto"/>
              </w:rPr>
            </w:pPr>
            <w:r>
              <w:rPr>
                <w:rFonts w:ascii="Times New Roman" w:cs="Times New Roman" w:eastAsia="Times New Roman" w:hAnsi="Times New Roman"/>
                <w:sz w:val="16"/>
                <w:szCs w:val="16"/>
                <w:color w:val="auto"/>
                <w:w w:val="98"/>
              </w:rPr>
              <w:t>(250,587)</w:t>
            </w:r>
          </w:p>
        </w:tc>
      </w:tr>
      <w:tr>
        <w:trPr>
          <w:trHeight w:val="195"/>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increase (decrease) in cash and cash equivalents</w:t>
            </w:r>
          </w:p>
        </w:tc>
        <w:tc>
          <w:tcPr>
            <w:tcW w:w="1260" w:type="dxa"/>
            <w:vAlign w:val="bottom"/>
            <w:tcBorders>
              <w:bottom w:val="single" w:sz="8" w:color="auto"/>
            </w:tcBorders>
          </w:tcPr>
          <w:p>
            <w:pPr>
              <w:jc w:val="right"/>
              <w:ind w:right="108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196,951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center"/>
              <w:ind w:left="623"/>
              <w:spacing w:after="0"/>
              <w:rPr>
                <w:sz w:val="20"/>
                <w:szCs w:val="20"/>
                <w:color w:val="auto"/>
              </w:rPr>
            </w:pPr>
            <w:r>
              <w:rPr>
                <w:rFonts w:ascii="Times New Roman" w:cs="Times New Roman" w:eastAsia="Times New Roman" w:hAnsi="Times New Roman"/>
                <w:sz w:val="16"/>
                <w:szCs w:val="16"/>
                <w:color w:val="auto"/>
                <w:w w:val="98"/>
              </w:rPr>
              <w:t>(324,971)</w:t>
            </w:r>
          </w:p>
        </w:tc>
      </w:tr>
      <w:tr>
        <w:trPr>
          <w:trHeight w:val="20"/>
        </w:trPr>
        <w:tc>
          <w:tcPr>
            <w:tcW w:w="6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360" w:firstLine="358"/>
        <w:spacing w:after="0" w:line="259" w:lineRule="auto"/>
        <w:rPr>
          <w:sz w:val="20"/>
          <w:szCs w:val="20"/>
          <w:color w:val="auto"/>
        </w:rPr>
      </w:pPr>
      <w:r>
        <w:rPr>
          <w:rFonts w:ascii="Times New Roman" w:cs="Times New Roman" w:eastAsia="Times New Roman" w:hAnsi="Times New Roman"/>
          <w:sz w:val="16"/>
          <w:szCs w:val="16"/>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66" w:lineRule="exact"/>
        <w:rPr>
          <w:sz w:val="20"/>
          <w:szCs w:val="20"/>
          <w:color w:val="auto"/>
        </w:rPr>
      </w:pPr>
    </w:p>
    <w:p>
      <w:pPr>
        <w:ind w:right="20" w:firstLine="358"/>
        <w:spacing w:after="0" w:line="253" w:lineRule="auto"/>
        <w:rPr>
          <w:sz w:val="20"/>
          <w:szCs w:val="20"/>
          <w:color w:val="auto"/>
        </w:rPr>
      </w:pPr>
      <w:r>
        <w:rPr>
          <w:rFonts w:ascii="Times New Roman" w:cs="Times New Roman" w:eastAsia="Times New Roman" w:hAnsi="Times New Roman"/>
          <w:sz w:val="16"/>
          <w:szCs w:val="16"/>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Senior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6" w:lineRule="exact"/>
        <w:rPr>
          <w:sz w:val="20"/>
          <w:szCs w:val="20"/>
          <w:color w:val="auto"/>
        </w:rPr>
      </w:pPr>
    </w:p>
    <w:p>
      <w:pPr>
        <w:ind w:left="560" w:hanging="278"/>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including salaries;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working capital requirements to fund both organic and inorganic growth of our business;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which primarily relate to the purchase of computers, business systems, furniture and leasehold improvements to support our operations;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maintenance around all financial management systems;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commitments and other discretionary investments;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60" w:right="320" w:hanging="278"/>
        <w:spacing w:after="0" w:line="280" w:lineRule="auto"/>
        <w:tabs>
          <w:tab w:leader="none" w:pos="55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service requirements for borrowings under our Senior Credit Facility and interest payments for the Senior Notes due 2028, Senior Notes due 2029 and Senior Notes due 2033; and</w:t>
      </w:r>
    </w:p>
    <w:p>
      <w:pPr>
        <w:ind w:left="560" w:hanging="278"/>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taxes to be paid.</w:t>
      </w:r>
    </w:p>
    <w:p>
      <w:pPr>
        <w:spacing w:after="0" w:line="103" w:lineRule="exact"/>
        <w:rPr>
          <w:sz w:val="20"/>
          <w:szCs w:val="20"/>
          <w:color w:val="auto"/>
        </w:rPr>
      </w:pPr>
    </w:p>
    <w:p>
      <w:pPr>
        <w:ind w:right="40" w:firstLine="358"/>
        <w:spacing w:after="0" w:line="265" w:lineRule="auto"/>
        <w:rPr>
          <w:sz w:val="20"/>
          <w:szCs w:val="20"/>
          <w:color w:val="auto"/>
        </w:rPr>
      </w:pPr>
      <w:r>
        <w:rPr>
          <w:rFonts w:ascii="Times New Roman" w:cs="Times New Roman" w:eastAsia="Times New Roman" w:hAnsi="Times New Roman"/>
          <w:sz w:val="16"/>
          <w:szCs w:val="16"/>
          <w:color w:val="auto"/>
        </w:rPr>
        <w:t>Our ability to fund our operating needs depends, in part, on our ability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48" w:lineRule="exact"/>
        <w:rPr>
          <w:sz w:val="20"/>
          <w:szCs w:val="20"/>
          <w:color w:val="auto"/>
        </w:rPr>
      </w:pPr>
    </w:p>
    <w:p>
      <w:pPr>
        <w:ind w:firstLine="358"/>
        <w:spacing w:after="0" w:line="244" w:lineRule="auto"/>
        <w:rPr>
          <w:sz w:val="20"/>
          <w:szCs w:val="20"/>
          <w:color w:val="auto"/>
        </w:rPr>
      </w:pPr>
      <w:r>
        <w:rPr>
          <w:rFonts w:ascii="Times New Roman" w:cs="Times New Roman" w:eastAsia="Times New Roman" w:hAnsi="Times New Roman"/>
          <w:sz w:val="16"/>
          <w:szCs w:val="16"/>
          <w:color w:val="auto"/>
        </w:rPr>
        <w:t>On October 14, 2022, the Company acquired EverWatch Corp. (“EverWatch”) for approximately $445.1 million, net of post-closing adjustments, and also incurred transaction costs as part of the acquisition. As a result of the transaction, EverWatch became a wholly owned subsidiary of Booz Allen Hamilton Inc. EverWatch is a leading provider of advanced solutions to the defense and intelligence communities. See Note 5, “Acquisition, Goodwill and Intangible Assets,” to our condensed consolidated financial statements for additional information related to the acquisition of EverWatch.</w:t>
      </w:r>
    </w:p>
    <w:p>
      <w:pPr>
        <w:spacing w:after="0" w:line="64" w:lineRule="exact"/>
        <w:rPr>
          <w:sz w:val="20"/>
          <w:szCs w:val="20"/>
          <w:color w:val="auto"/>
        </w:rPr>
      </w:pPr>
    </w:p>
    <w:p>
      <w:pPr>
        <w:ind w:right="120" w:firstLine="358"/>
        <w:spacing w:after="0" w:line="265" w:lineRule="auto"/>
        <w:rPr>
          <w:sz w:val="20"/>
          <w:szCs w:val="20"/>
          <w:color w:val="auto"/>
        </w:rPr>
      </w:pPr>
      <w:r>
        <w:rPr>
          <w:rFonts w:ascii="Times New Roman" w:cs="Times New Roman" w:eastAsia="Times New Roman" w:hAnsi="Times New Roman"/>
          <w:sz w:val="16"/>
          <w:szCs w:val="16"/>
          <w:color w:val="auto"/>
        </w:rPr>
        <w:t>During the first and second quarters of fiscal 2024, we borrowed $500.0 million on our Revolving Credit Facility for our working capital needs, which was subsequently repaid in the second quarter of fiscal 2024.</w:t>
      </w:r>
    </w:p>
    <w:p>
      <w:pPr>
        <w:spacing w:after="0" w:line="48" w:lineRule="exact"/>
        <w:rPr>
          <w:sz w:val="20"/>
          <w:szCs w:val="20"/>
          <w:color w:val="auto"/>
        </w:rPr>
      </w:pPr>
    </w:p>
    <w:p>
      <w:pPr>
        <w:ind w:firstLine="358"/>
        <w:spacing w:after="0" w:line="237" w:lineRule="auto"/>
        <w:rPr>
          <w:sz w:val="20"/>
          <w:szCs w:val="20"/>
          <w:color w:val="auto"/>
        </w:rPr>
      </w:pPr>
      <w:r>
        <w:rPr>
          <w:rFonts w:ascii="Times New Roman" w:cs="Times New Roman" w:eastAsia="Times New Roman" w:hAnsi="Times New Roman"/>
          <w:sz w:val="16"/>
          <w:szCs w:val="16"/>
          <w:color w:val="auto"/>
        </w:rPr>
        <w:t>On July 21, 2023, the Company entered into a Settlement Agreement (the “Settlement Agreement”) with the United States of America, acting through the U.S. Department of Justice and on behalf of the Department of Defense and Defense Contract Management Agency (collectively the “United States”), and Relator Sarah A. Feinberg, to resolve the civil investigation related to certain elements of the Company’s cost accounting and indirect cost charging practices from April 1, 2011 through March 31, 2021. Under the terms of the Settlement Agreement, the Company agreed to pay to the United States $377.5 million, which the Company paid in the second quarter of fiscal 2024 with cash on hand and by drawing on its revolving credit facility. See Note 15, “Commitments and Contingencies,” to our condensed consolidated financial statements for additional information related to the Settlement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07" w:lineRule="exact"/>
        <w:rPr>
          <w:sz w:val="20"/>
          <w:szCs w:val="20"/>
          <w:color w:val="auto"/>
        </w:rPr>
      </w:pPr>
    </w:p>
    <w:p>
      <w:pPr>
        <w:ind w:right="80" w:firstLine="358"/>
        <w:spacing w:after="0" w:line="255" w:lineRule="auto"/>
        <w:rPr>
          <w:sz w:val="20"/>
          <w:szCs w:val="20"/>
          <w:color w:val="auto"/>
        </w:rPr>
      </w:pPr>
      <w:r>
        <w:rPr>
          <w:rFonts w:ascii="Times New Roman" w:cs="Times New Roman" w:eastAsia="Times New Roman" w:hAnsi="Times New Roman"/>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70" w:lineRule="exact"/>
        <w:rPr>
          <w:sz w:val="20"/>
          <w:szCs w:val="20"/>
          <w:color w:val="auto"/>
        </w:rPr>
      </w:pPr>
    </w:p>
    <w:p>
      <w:pPr>
        <w:ind w:right="20" w:firstLine="358"/>
        <w:spacing w:after="0" w:line="255" w:lineRule="auto"/>
        <w:rPr>
          <w:sz w:val="20"/>
          <w:szCs w:val="20"/>
          <w:color w:val="auto"/>
        </w:rPr>
      </w:pPr>
      <w:r>
        <w:rPr>
          <w:rFonts w:ascii="Times New Roman" w:cs="Times New Roman" w:eastAsia="Times New Roman" w:hAnsi="Times New Roman"/>
          <w:sz w:val="16"/>
          <w:szCs w:val="16"/>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Cash Flow</w:t>
      </w:r>
    </w:p>
    <w:p>
      <w:pPr>
        <w:spacing w:after="0" w:line="105" w:lineRule="exact"/>
        <w:rPr>
          <w:sz w:val="20"/>
          <w:szCs w:val="20"/>
          <w:color w:val="auto"/>
        </w:rPr>
      </w:pPr>
    </w:p>
    <w:p>
      <w:pPr>
        <w:ind w:right="20" w:firstLine="358"/>
        <w:spacing w:after="0" w:line="257" w:lineRule="auto"/>
        <w:rPr>
          <w:sz w:val="20"/>
          <w:szCs w:val="20"/>
          <w:color w:val="auto"/>
        </w:rPr>
      </w:pPr>
      <w:r>
        <w:rPr>
          <w:rFonts w:ascii="Times New Roman" w:cs="Times New Roman" w:eastAsia="Times New Roman" w:hAnsi="Times New Roman"/>
          <w:sz w:val="16"/>
          <w:szCs w:val="16"/>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$115.1 million for the nine months ended December 31, 2023 compared to $365.7 million in the prior year period. Operating cash was aided by strong collection performance and overall revenue growth but was impacted by a $377.5 million outflow related to the U.S. Department of Justice matter noted above.</w:t>
      </w:r>
    </w:p>
    <w:p>
      <w:pPr>
        <w:spacing w:after="0" w:line="67" w:lineRule="exact"/>
        <w:rPr>
          <w:sz w:val="20"/>
          <w:szCs w:val="20"/>
          <w:color w:val="auto"/>
        </w:rPr>
      </w:pPr>
    </w:p>
    <w:p>
      <w:pPr>
        <w:ind w:right="80" w:firstLine="394"/>
        <w:spacing w:after="0" w:line="254" w:lineRule="auto"/>
        <w:rPr>
          <w:sz w:val="20"/>
          <w:szCs w:val="20"/>
          <w:color w:val="auto"/>
        </w:rPr>
      </w:pPr>
      <w:r>
        <w:rPr>
          <w:rFonts w:ascii="Times New Roman" w:cs="Times New Roman" w:eastAsia="Times New Roman" w:hAnsi="Times New Roman"/>
          <w:sz w:val="16"/>
          <w:szCs w:val="16"/>
          <w:color w:val="auto"/>
        </w:rPr>
        <w:t>Beginning in fiscal 2023, the Tax Cuts and Jobs Act of 2017 eliminates the option to deduct research and development expenditures immediately in the year incurred and requires taxpayers to amortize such expenditures over five years for U.S. based research and development. This provision negatively impacted our fiscal 2023 cash from operations, but had an offsetting impact on the deferred tax asset. The Company expects a similar impact in fiscal 2024, although the impact to cash and deferred taxes is expected to be smaller than in fiscal 2023. Prospectively, the future impact of this provision will depend on if and when this provision is deferred, modified, or repealed by Congress, including if retroactively, any guidance issued by the Treasury Department regarding the identification of appropriate costs for capitalization, and the amount of future research and development expenses paid or incurred (among other factors). While the largest impact was to fiscal 2023 cash from operations, the impact will continue over the five year amortization period, but will decrease over the period and is expected to be immaterial in year six.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Cash Flow</w:t>
      </w:r>
    </w:p>
    <w:p>
      <w:pPr>
        <w:spacing w:after="0" w:line="105" w:lineRule="exact"/>
        <w:rPr>
          <w:sz w:val="20"/>
          <w:szCs w:val="20"/>
          <w:color w:val="auto"/>
        </w:rPr>
      </w:pPr>
    </w:p>
    <w:p>
      <w:pPr>
        <w:ind w:right="100" w:firstLine="358"/>
        <w:spacing w:after="0" w:line="265" w:lineRule="auto"/>
        <w:rPr>
          <w:sz w:val="20"/>
          <w:szCs w:val="20"/>
          <w:color w:val="auto"/>
        </w:rPr>
      </w:pPr>
      <w:r>
        <w:rPr>
          <w:rFonts w:ascii="Times New Roman" w:cs="Times New Roman" w:eastAsia="Times New Roman" w:hAnsi="Times New Roman"/>
          <w:sz w:val="16"/>
          <w:szCs w:val="16"/>
          <w:color w:val="auto"/>
        </w:rPr>
        <w:t>Net cash used in investing activities was $68.3 million in the nine months ended December 31, 2023 compared to $440.1 million in the prior year period. The decrease to investing cash used over the prior year was primarily due to the Company's acquisition of EverWatch in fiscal 2023, partially offset by the divestitures of its MENA strategy consulting and MTS businesses in fiscal 2023 as well as increases in cost method investments made by the Company in the current year.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Cash Flow</w:t>
      </w:r>
    </w:p>
    <w:p>
      <w:pPr>
        <w:spacing w:after="0" w:line="105" w:lineRule="exact"/>
        <w:rPr>
          <w:sz w:val="20"/>
          <w:szCs w:val="20"/>
          <w:color w:val="auto"/>
        </w:rPr>
      </w:pPr>
    </w:p>
    <w:p>
      <w:pPr>
        <w:ind w:right="120" w:firstLine="358"/>
        <w:spacing w:after="0" w:line="290" w:lineRule="auto"/>
        <w:rPr>
          <w:sz w:val="20"/>
          <w:szCs w:val="20"/>
          <w:color w:val="auto"/>
        </w:rPr>
      </w:pPr>
      <w:r>
        <w:rPr>
          <w:rFonts w:ascii="Times New Roman" w:cs="Times New Roman" w:eastAsia="Times New Roman" w:hAnsi="Times New Roman"/>
          <w:sz w:val="15"/>
          <w:szCs w:val="15"/>
          <w:color w:val="auto"/>
        </w:rPr>
        <w:t>Net cash provided by financing activities was $150.1 million in the nine months ended December 31, 2023 compared to net cash used in financing activities of $250.6 million in the prior year period. The increase in net cash provided by financing activities was primarily due to an increase in net proceeds of $600.8 million associated with the Company’s debt transactions year over year, partially offset by an increase of $189.6 million in share repurchases and $13.6 million in cash paid for dividends year over year.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 and Share Repurchases</w:t>
      </w:r>
    </w:p>
    <w:p>
      <w:pPr>
        <w:spacing w:after="0" w:line="107" w:lineRule="exact"/>
        <w:rPr>
          <w:sz w:val="20"/>
          <w:szCs w:val="20"/>
          <w:color w:val="auto"/>
        </w:rPr>
      </w:pPr>
    </w:p>
    <w:p>
      <w:pPr>
        <w:ind w:right="120" w:firstLine="358"/>
        <w:spacing w:after="0" w:line="280" w:lineRule="auto"/>
        <w:rPr>
          <w:sz w:val="20"/>
          <w:szCs w:val="20"/>
          <w:color w:val="auto"/>
        </w:rPr>
      </w:pPr>
      <w:r>
        <w:rPr>
          <w:rFonts w:ascii="Times New Roman" w:cs="Times New Roman" w:eastAsia="Times New Roman" w:hAnsi="Times New Roman"/>
          <w:sz w:val="16"/>
          <w:szCs w:val="16"/>
          <w:color w:val="auto"/>
        </w:rPr>
        <w:t>On January 26, 2024, the Company announced a regular quarterly cash dividend in the amount of $0.51 per share. The quarterly dividend is payable on March 1, 2024 to stockholders of record on February 12, 2024.</w:t>
      </w:r>
    </w:p>
    <w:p>
      <w:pPr>
        <w:spacing w:after="0" w:line="49" w:lineRule="exact"/>
        <w:rPr>
          <w:sz w:val="20"/>
          <w:szCs w:val="20"/>
          <w:color w:val="auto"/>
        </w:rPr>
      </w:pPr>
    </w:p>
    <w:p>
      <w:pPr>
        <w:ind w:right="60" w:firstLine="358"/>
        <w:spacing w:after="0" w:line="265" w:lineRule="auto"/>
        <w:rPr>
          <w:sz w:val="20"/>
          <w:szCs w:val="20"/>
          <w:color w:val="auto"/>
        </w:rPr>
      </w:pPr>
      <w:r>
        <w:rPr>
          <w:rFonts w:ascii="Times New Roman" w:cs="Times New Roman" w:eastAsia="Times New Roman" w:hAnsi="Times New Roman"/>
          <w:sz w:val="16"/>
          <w:szCs w:val="16"/>
          <w:color w:val="auto"/>
        </w:rPr>
        <w:t>During the three and nine months ended December 31, 2023, quarterly cash dividends of $0.47 and $1.41 per share, respectively, were declared and paid totaling $61.7 million and $186.8 million, respectively. During the three and nine months ended December 31, 2022, quarterly cash dividends of $0.43 and $1.29 per share, respectively, were declared and paid totaling $57.3 million and $173.2 million, respectively.</w:t>
      </w:r>
    </w:p>
    <w:p>
      <w:pPr>
        <w:spacing w:after="0" w:line="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On December 12, 2011, the Board of Directors approved a share repurchase program, which was most recently increased by $400.0 million to $2,560.0 million on July 27,</w:t>
      </w:r>
    </w:p>
    <w:p>
      <w:pPr>
        <w:spacing w:after="0" w:line="2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2022. The Company may repurchase shares pursuant to the program by means of open market repurchases, directly negotiated repurchases or through agents acting pursuant to negotiated repurchase agreements. During the first nine months of fiscal 2024, the Company purchased 2.5 million shares of the Company's Class A Common Stock for an aggregate of $272.8 million. As of December 31, 2023, the Company had approximately $583.2 million remaining under the repurchase program.</w:t>
      </w:r>
    </w:p>
    <w:p>
      <w:pPr>
        <w:spacing w:after="0" w:line="64" w:lineRule="exact"/>
        <w:rPr>
          <w:sz w:val="20"/>
          <w:szCs w:val="20"/>
          <w:color w:val="auto"/>
        </w:rPr>
      </w:pPr>
    </w:p>
    <w:p>
      <w:pPr>
        <w:ind w:right="80" w:firstLine="358"/>
        <w:spacing w:after="0" w:line="265" w:lineRule="auto"/>
        <w:rPr>
          <w:sz w:val="20"/>
          <w:szCs w:val="20"/>
          <w:color w:val="auto"/>
        </w:rPr>
      </w:pPr>
      <w:r>
        <w:rPr>
          <w:rFonts w:ascii="Times New Roman" w:cs="Times New Roman" w:eastAsia="Times New Roman" w:hAnsi="Times New Roman"/>
          <w:sz w:val="16"/>
          <w:szCs w:val="16"/>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0" w:name="page41"/>
    <w:bookmarkEnd w:id="40"/>
    <w:p>
      <w:pPr>
        <w:ind w:left="4"/>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81851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Indebtedness</w:t>
      </w:r>
    </w:p>
    <w:p>
      <w:pPr>
        <w:spacing w:after="0" w:line="107" w:lineRule="exact"/>
        <w:rPr>
          <w:sz w:val="20"/>
          <w:szCs w:val="20"/>
          <w:color w:val="auto"/>
        </w:rPr>
      </w:pPr>
    </w:p>
    <w:p>
      <w:pPr>
        <w:ind w:left="4" w:firstLine="358"/>
        <w:spacing w:after="0" w:line="242" w:lineRule="auto"/>
        <w:rPr>
          <w:sz w:val="20"/>
          <w:szCs w:val="20"/>
          <w:color w:val="auto"/>
        </w:rPr>
      </w:pPr>
      <w:r>
        <w:rPr>
          <w:rFonts w:ascii="Times New Roman" w:cs="Times New Roman" w:eastAsia="Times New Roman" w:hAnsi="Times New Roman"/>
          <w:sz w:val="16"/>
          <w:szCs w:val="16"/>
          <w:color w:val="auto"/>
        </w:rPr>
        <w:t>Booz Allen Hamilton Inc. (“Booz Allen Hamilton”), Booz Allen Hamilton Investor Corporation (“Investor”), and certain wholly owned subsidiaries of Booz Allen Hamilton are parties to a Credit Agreement dated as of July 31, 2012, as amended (the “Credit Agreement”), with certain institutional lenders and Bank of America, N.A., as Administrative Agent, Collateral Agent and Issuing Lender. As of December 31, 2023, the Credit Agreement provided Booz Allen Hamilton with a $1,598.4 million Term Loan A (“Term Loan A”) and a $1.0 billion revolving credit facility (the “Revolving Credit Facility”), with a sub-limit for letters of credit of $200.0 million. As of December 31, 2023, the maturity date of the Term Loan A and the Revolving Commitments is September 7, 2027. Voluntary prepayments of the Term Loan A and the Revolving Loans are permitted at any time, in minimum principal amounts, without premium or penalty. Booz Allen Hamilton’s obligations and the guarantors’ guarantees under the Credit Agreement were secured by a first priority lien on substantially all of the assets (including capital stock of subsidiaries) of Booz Allen Hamilton, Investor and the subsidiary guarantors, subject to certain exceptions set forth in the Credit Agreement and related documentation; such security was released in connection with Booz Allen Hamilton obtaining investment grade ratings from both Moody's and S&amp;P. On September 7, 2022 (the “Ninth Amendment Effective Date”), the previously outstanding Term Loan B loans under the Credit Agreement were prepaid in full.</w:t>
      </w:r>
    </w:p>
    <w:p>
      <w:pPr>
        <w:spacing w:after="0" w:line="69" w:lineRule="exact"/>
        <w:rPr>
          <w:sz w:val="20"/>
          <w:szCs w:val="20"/>
          <w:color w:val="auto"/>
        </w:rPr>
      </w:pPr>
    </w:p>
    <w:p>
      <w:pPr>
        <w:ind w:left="4" w:right="20" w:firstLine="358"/>
        <w:spacing w:after="0" w:line="243" w:lineRule="auto"/>
        <w:rPr>
          <w:sz w:val="20"/>
          <w:szCs w:val="20"/>
          <w:color w:val="auto"/>
        </w:rPr>
      </w:pPr>
      <w:r>
        <w:rPr>
          <w:rFonts w:ascii="Times New Roman" w:cs="Times New Roman" w:eastAsia="Times New Roman" w:hAnsi="Times New Roman"/>
          <w:sz w:val="16"/>
          <w:szCs w:val="16"/>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prepaying the Term Loan B loans in full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w:t>
      </w:r>
    </w:p>
    <w:p>
      <w:pPr>
        <w:spacing w:after="0" w:line="68" w:lineRule="exact"/>
        <w:rPr>
          <w:sz w:val="20"/>
          <w:szCs w:val="20"/>
          <w:color w:val="auto"/>
        </w:rPr>
      </w:pPr>
    </w:p>
    <w:p>
      <w:pPr>
        <w:ind w:left="4" w:right="60" w:firstLine="358"/>
        <w:spacing w:after="0" w:line="249" w:lineRule="auto"/>
        <w:rPr>
          <w:sz w:val="20"/>
          <w:szCs w:val="20"/>
          <w:color w:val="auto"/>
        </w:rPr>
      </w:pPr>
      <w:r>
        <w:rPr>
          <w:rFonts w:ascii="Times New Roman" w:cs="Times New Roman" w:eastAsia="Times New Roman" w:hAnsi="Times New Roman"/>
          <w:sz w:val="16"/>
          <w:szCs w:val="16"/>
          <w:color w:val="auto"/>
        </w:rPr>
        <w:t>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 Pursuant to the Amended Credit Agreement Booz Allen Hamilton has the option, though not any obligation, to join one or more of its domestic subsidiaries as a guarantor under the Guarantee Agreement.</w:t>
      </w:r>
    </w:p>
    <w:p>
      <w:pPr>
        <w:spacing w:after="0" w:line="73" w:lineRule="exact"/>
        <w:rPr>
          <w:sz w:val="20"/>
          <w:szCs w:val="20"/>
          <w:color w:val="auto"/>
        </w:rPr>
      </w:pPr>
    </w:p>
    <w:p>
      <w:pPr>
        <w:ind w:left="4" w:right="140" w:firstLine="358"/>
        <w:spacing w:after="0" w:line="261" w:lineRule="auto"/>
        <w:rPr>
          <w:sz w:val="20"/>
          <w:szCs w:val="20"/>
          <w:color w:val="auto"/>
        </w:rPr>
      </w:pPr>
      <w:r>
        <w:rPr>
          <w:rFonts w:ascii="Times New Roman" w:cs="Times New Roman" w:eastAsia="Times New Roman" w:hAnsi="Times New Roman"/>
          <w:sz w:val="15"/>
          <w:szCs w:val="15"/>
          <w:color w:val="auto"/>
        </w:rPr>
        <w:t>The Term Loan A amortizes in consecutive quarterly installments in an amount equal to (i) on the last business day of each full fiscal quarter that begins after the Ninth Amendment Effective Date but on or before the two year anniversary of the Ninth Amendment Effective Date, 0.625% of the stated principal amount of the Term Loan A and</w:t>
      </w:r>
    </w:p>
    <w:p>
      <w:pPr>
        <w:spacing w:after="0" w:line="1" w:lineRule="exact"/>
        <w:rPr>
          <w:sz w:val="20"/>
          <w:szCs w:val="20"/>
          <w:color w:val="auto"/>
        </w:rPr>
      </w:pPr>
    </w:p>
    <w:p>
      <w:pPr>
        <w:ind w:left="4" w:right="120" w:hanging="4"/>
        <w:spacing w:after="0" w:line="290" w:lineRule="auto"/>
        <w:tabs>
          <w:tab w:leader="none" w:pos="239"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the last business day of each full fiscal quarter that begins after the two year anniversary of the Ninth Amendment Effective Date but before the five year anniversary of the Ninth Amendment Effective Date, 1.25% of the stated principal amount of the Term Loan A. The remaining balance of the Term Loan A will be payable upon maturity.</w:t>
      </w:r>
    </w:p>
    <w:p>
      <w:pPr>
        <w:spacing w:after="0" w:line="31" w:lineRule="exact"/>
        <w:rPr>
          <w:sz w:val="20"/>
          <w:szCs w:val="20"/>
          <w:color w:val="auto"/>
        </w:rPr>
      </w:pPr>
    </w:p>
    <w:p>
      <w:pPr>
        <w:ind w:left="4" w:firstLine="358"/>
        <w:spacing w:after="0" w:line="253" w:lineRule="auto"/>
        <w:rPr>
          <w:sz w:val="20"/>
          <w:szCs w:val="20"/>
          <w:color w:val="auto"/>
        </w:rPr>
      </w:pPr>
      <w:r>
        <w:rPr>
          <w:rFonts w:ascii="Times New Roman" w:cs="Times New Roman" w:eastAsia="Times New Roman" w:hAnsi="Times New Roman"/>
          <w:sz w:val="16"/>
          <w:szCs w:val="16"/>
          <w:color w:val="auto"/>
        </w:rPr>
        <w:t>The rate at which the Term Loan A and the Revolving Loans bear interest is based, at Booz Allen Hamilton’s option,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the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74" w:lineRule="exact"/>
        <w:rPr>
          <w:sz w:val="20"/>
          <w:szCs w:val="20"/>
          <w:color w:val="auto"/>
        </w:rPr>
      </w:pPr>
    </w:p>
    <w:p>
      <w:pPr>
        <w:ind w:left="4" w:firstLine="358"/>
        <w:spacing w:after="0" w:line="257" w:lineRule="auto"/>
        <w:rPr>
          <w:sz w:val="20"/>
          <w:szCs w:val="20"/>
          <w:color w:val="auto"/>
        </w:rPr>
      </w:pPr>
      <w:r>
        <w:rPr>
          <w:rFonts w:ascii="Times New Roman" w:cs="Times New Roman" w:eastAsia="Times New Roman" w:hAnsi="Times New Roman"/>
          <w:sz w:val="16"/>
          <w:szCs w:val="16"/>
          <w:color w:val="auto"/>
        </w:rPr>
        <w:t>As of December 31, 2023 and March 31, 2023, the Company was contingently liable under open standby letters of credit and bank guarantees issued by our banks in favor of third parties that totaled $4.5 million and $6.1 million, respectively. These letters of credit and bank guarantees primarily support insurance and bid and performance obligations. At December 31, 2023 and March 31, 2023, respectively, approximately $1.4 million and $1.3 million of these instruments reduced the available borrowings under the Revolving Credit Facility. The remainder is guaranteed under a separate $7.5 million facility of which $4.4 million and $2.7 million were available to the Company at December 31, 2023 and March 31, 2023, respectively.</w:t>
      </w:r>
    </w:p>
    <w:p>
      <w:pPr>
        <w:spacing w:after="0" w:line="67" w:lineRule="exact"/>
        <w:rPr>
          <w:sz w:val="20"/>
          <w:szCs w:val="20"/>
          <w:color w:val="auto"/>
        </w:rPr>
      </w:pPr>
    </w:p>
    <w:p>
      <w:pPr>
        <w:ind w:left="4" w:right="80" w:firstLine="358"/>
        <w:spacing w:after="0" w:line="280" w:lineRule="auto"/>
        <w:rPr>
          <w:sz w:val="20"/>
          <w:szCs w:val="20"/>
          <w:color w:val="auto"/>
        </w:rPr>
      </w:pPr>
      <w:r>
        <w:rPr>
          <w:rFonts w:ascii="Times New Roman" w:cs="Times New Roman" w:eastAsia="Times New Roman" w:hAnsi="Times New Roman"/>
          <w:sz w:val="16"/>
          <w:szCs w:val="16"/>
          <w:color w:val="auto"/>
        </w:rPr>
        <w:t>The Company occasionally borrows under the Revolving Credit Facility for our working capital needs. As of March 31, 2023 and December 31, 2023, respectively, there was no outstanding balance on the Revolving Credit Facility.</w:t>
      </w:r>
    </w:p>
    <w:p>
      <w:pPr>
        <w:spacing w:after="0" w:line="200" w:lineRule="exact"/>
        <w:rPr>
          <w:sz w:val="20"/>
          <w:szCs w:val="20"/>
          <w:color w:val="auto"/>
        </w:rPr>
      </w:pPr>
    </w:p>
    <w:p>
      <w:pPr>
        <w:spacing w:after="0" w:line="2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4"/>
          </w:cols>
          <w:pgMar w:left="316"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20" w:firstLine="358"/>
        <w:spacing w:after="0" w:line="257" w:lineRule="auto"/>
        <w:rPr>
          <w:sz w:val="20"/>
          <w:szCs w:val="20"/>
          <w:color w:val="auto"/>
        </w:rPr>
      </w:pPr>
      <w:r>
        <w:rPr>
          <w:rFonts w:ascii="Times New Roman" w:cs="Times New Roman" w:eastAsia="Times New Roman" w:hAnsi="Times New Roman"/>
          <w:sz w:val="16"/>
          <w:szCs w:val="16"/>
          <w:color w:val="auto"/>
        </w:rPr>
        <w:t>The Credit Agreement contains customary representations and warranties and customary affirmative and negative covenants. In addition, Booz Allen Hamilton is required to meet a financial covenant at each quarter end based on a consolidated net total leverage ratio. As of December 31, 2023 and March 31, 2023, Booz Allen Hamilton was in compliance with all financial covenants associated with its debt and debt-like instruments. In connection with Booz Allen Hamilton obtaining investment grade ratings from both Moody's and S&amp;P, activities restricted by certain negative covenants are permitted subject to pro forma compliance with the financial covenants and no events of default having occurred and continuing.</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summarizes interest payments made on the Company’s term loans:</w:t>
      </w:r>
    </w:p>
    <w:p>
      <w:pPr>
        <w:spacing w:after="0" w:line="67"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242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3"/>
        </w:trPr>
        <w:tc>
          <w:tcPr>
            <w:tcW w:w="27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198"/>
        </w:trPr>
        <w:tc>
          <w:tcPr>
            <w:tcW w:w="2720" w:type="dxa"/>
            <w:vAlign w:val="bottom"/>
            <w:tcBorders>
              <w:bottom w:val="single" w:sz="8" w:color="BFE4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BFE4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BFE4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BFE4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5"/>
        </w:trPr>
        <w:tc>
          <w:tcPr>
            <w:tcW w:w="2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Term Loan A</w:t>
            </w:r>
          </w:p>
        </w:tc>
        <w:tc>
          <w:tcPr>
            <w:tcW w:w="900" w:type="dxa"/>
            <w:vAlign w:val="bottom"/>
            <w:shd w:val="clear" w:color="auto" w:fill="BFE4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w w:val="99"/>
              </w:rPr>
              <w:t>27,161</w:t>
            </w:r>
          </w:p>
        </w:tc>
        <w:tc>
          <w:tcPr>
            <w:tcW w:w="120" w:type="dxa"/>
            <w:vAlign w:val="bottom"/>
            <w:shd w:val="clear" w:color="auto" w:fill="BFE4FF"/>
          </w:tcPr>
          <w:p>
            <w:pPr>
              <w:spacing w:after="0"/>
              <w:rPr>
                <w:sz w:val="16"/>
                <w:szCs w:val="16"/>
                <w:color w:val="auto"/>
              </w:rPr>
            </w:pPr>
          </w:p>
        </w:tc>
        <w:tc>
          <w:tcPr>
            <w:tcW w:w="880" w:type="dxa"/>
            <w:vAlign w:val="bottom"/>
            <w:shd w:val="clear" w:color="auto" w:fill="BFE4FF"/>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24,845</w:t>
            </w:r>
          </w:p>
        </w:tc>
        <w:tc>
          <w:tcPr>
            <w:tcW w:w="100" w:type="dxa"/>
            <w:vAlign w:val="bottom"/>
            <w:shd w:val="clear" w:color="auto" w:fill="BFE4FF"/>
          </w:tcPr>
          <w:p>
            <w:pPr>
              <w:spacing w:after="0"/>
              <w:rPr>
                <w:sz w:val="16"/>
                <w:szCs w:val="16"/>
                <w:color w:val="auto"/>
              </w:rPr>
            </w:pPr>
          </w:p>
        </w:tc>
        <w:tc>
          <w:tcPr>
            <w:tcW w:w="32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80,259</w:t>
            </w:r>
          </w:p>
        </w:tc>
        <w:tc>
          <w:tcPr>
            <w:tcW w:w="100" w:type="dxa"/>
            <w:vAlign w:val="bottom"/>
            <w:shd w:val="clear" w:color="auto" w:fill="BFE4FF"/>
          </w:tcPr>
          <w:p>
            <w:pPr>
              <w:spacing w:after="0"/>
              <w:rPr>
                <w:sz w:val="16"/>
                <w:szCs w:val="16"/>
                <w:color w:val="auto"/>
              </w:rPr>
            </w:pPr>
          </w:p>
        </w:tc>
        <w:tc>
          <w:tcPr>
            <w:tcW w:w="480" w:type="dxa"/>
            <w:vAlign w:val="bottom"/>
            <w:shd w:val="clear" w:color="auto" w:fill="BFE4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39,010</w:t>
            </w:r>
          </w:p>
        </w:tc>
      </w:tr>
      <w:tr>
        <w:trPr>
          <w:trHeight w:val="203"/>
        </w:trPr>
        <w:tc>
          <w:tcPr>
            <w:tcW w:w="27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6"/>
                <w:szCs w:val="16"/>
                <w:color w:val="auto"/>
              </w:rPr>
              <w:t>Term Loan B</w:t>
            </w: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w:t>
            </w:r>
          </w:p>
        </w:tc>
      </w:tr>
      <w:tr>
        <w:trPr>
          <w:trHeight w:val="220"/>
        </w:trPr>
        <w:tc>
          <w:tcPr>
            <w:tcW w:w="27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BFE4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w w:val="99"/>
              </w:rPr>
              <w:t>27,161</w:t>
            </w:r>
          </w:p>
        </w:tc>
        <w:tc>
          <w:tcPr>
            <w:tcW w:w="120" w:type="dxa"/>
            <w:vAlign w:val="bottom"/>
            <w:tcBorders>
              <w:bottom w:val="single" w:sz="8" w:color="BFE4FF"/>
            </w:tcBorders>
            <w:shd w:val="clear" w:color="auto" w:fill="BFE4FF"/>
          </w:tcPr>
          <w:p>
            <w:pPr>
              <w:spacing w:after="0"/>
              <w:rPr>
                <w:sz w:val="18"/>
                <w:szCs w:val="18"/>
                <w:color w:val="auto"/>
              </w:rPr>
            </w:pPr>
          </w:p>
        </w:tc>
        <w:tc>
          <w:tcPr>
            <w:tcW w:w="880" w:type="dxa"/>
            <w:vAlign w:val="bottom"/>
            <w:tcBorders>
              <w:bottom w:val="single" w:sz="8" w:color="auto"/>
            </w:tcBorders>
            <w:shd w:val="clear" w:color="auto" w:fill="BFE4FF"/>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24,845</w:t>
            </w:r>
          </w:p>
        </w:tc>
        <w:tc>
          <w:tcPr>
            <w:tcW w:w="100" w:type="dxa"/>
            <w:vAlign w:val="bottom"/>
            <w:tcBorders>
              <w:bottom w:val="single" w:sz="8" w:color="BFE4FF"/>
            </w:tcBorders>
            <w:shd w:val="clear" w:color="auto" w:fill="BFE4FF"/>
          </w:tcPr>
          <w:p>
            <w:pPr>
              <w:spacing w:after="0"/>
              <w:rPr>
                <w:sz w:val="18"/>
                <w:szCs w:val="18"/>
                <w:color w:val="auto"/>
              </w:rPr>
            </w:pPr>
          </w:p>
        </w:tc>
        <w:tc>
          <w:tcPr>
            <w:tcW w:w="320" w:type="dxa"/>
            <w:vAlign w:val="bottom"/>
            <w:tcBorders>
              <w:bottom w:val="single" w:sz="8" w:color="auto"/>
            </w:tcBorders>
            <w:shd w:val="clear" w:color="auto" w:fill="BFE4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80,259</w:t>
            </w:r>
          </w:p>
        </w:tc>
        <w:tc>
          <w:tcPr>
            <w:tcW w:w="100" w:type="dxa"/>
            <w:vAlign w:val="bottom"/>
            <w:tcBorders>
              <w:bottom w:val="single" w:sz="8" w:color="BFE4FF"/>
            </w:tcBorders>
            <w:shd w:val="clear" w:color="auto" w:fill="BFE4FF"/>
          </w:tcPr>
          <w:p>
            <w:pPr>
              <w:spacing w:after="0"/>
              <w:rPr>
                <w:sz w:val="18"/>
                <w:szCs w:val="18"/>
                <w:color w:val="auto"/>
              </w:rPr>
            </w:pPr>
          </w:p>
        </w:tc>
        <w:tc>
          <w:tcPr>
            <w:tcW w:w="480" w:type="dxa"/>
            <w:vAlign w:val="bottom"/>
            <w:tcBorders>
              <w:bottom w:val="single" w:sz="8" w:color="auto"/>
            </w:tcBorders>
            <w:shd w:val="clear" w:color="auto" w:fill="BFE4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44,219</w:t>
            </w:r>
          </w:p>
        </w:tc>
      </w:tr>
      <w:tr>
        <w:trPr>
          <w:trHeight w:val="20"/>
        </w:trPr>
        <w:tc>
          <w:tcPr>
            <w:tcW w:w="2720" w:type="dxa"/>
            <w:vAlign w:val="bottom"/>
            <w:tcBorders>
              <w:top w:val="single" w:sz="8" w:color="BFE4FF"/>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c>
          <w:tcPr>
            <w:tcW w:w="5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1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100" w:firstLine="358"/>
        <w:spacing w:after="0" w:line="259" w:lineRule="auto"/>
        <w:rPr>
          <w:sz w:val="20"/>
          <w:szCs w:val="20"/>
          <w:color w:val="auto"/>
        </w:rPr>
      </w:pPr>
      <w:r>
        <w:rPr>
          <w:rFonts w:ascii="Times New Roman" w:cs="Times New Roman" w:eastAsia="Times New Roman" w:hAnsi="Times New Roman"/>
          <w:sz w:val="16"/>
          <w:szCs w:val="16"/>
          <w:color w:val="auto"/>
        </w:rPr>
        <w:t>Borrowings under the Term Loan A, and if used, the Revolving Credit Facility, incur interest at a variable rate. As of December 31, 2023, Booz Allen Hamilton had interest rate swaps with an aggregate notional amount of $550.0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“Derivatives,” to our condensed 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07" w:lineRule="exact"/>
        <w:rPr>
          <w:sz w:val="20"/>
          <w:szCs w:val="20"/>
          <w:color w:val="auto"/>
        </w:rPr>
      </w:pPr>
    </w:p>
    <w:p>
      <w:pPr>
        <w:ind w:firstLine="358"/>
        <w:spacing w:after="0" w:line="265" w:lineRule="auto"/>
        <w:rPr>
          <w:sz w:val="20"/>
          <w:szCs w:val="20"/>
          <w:color w:val="auto"/>
        </w:rPr>
      </w:pPr>
      <w:r>
        <w:rPr>
          <w:rFonts w:ascii="Times New Roman" w:cs="Times New Roman" w:eastAsia="Times New Roman" w:hAnsi="Times New Roman"/>
          <w:sz w:val="16"/>
          <w:szCs w:val="16"/>
          <w:color w:val="auto"/>
        </w:rPr>
        <w:t>For information on the terms, conditions, and restrictions of the Company's 4.000% Senior Notes due July 1, 2029 (the “Senior Notes due 2029”) and 3.875% Senior Notes due 2028 (the “Senior Notes due 2028”), see Note 10, “Debt,” of the Company’s consolidated financial statements included in the fiscal 2023 Annual Report on Form 10-K.</w:t>
      </w:r>
    </w:p>
    <w:p>
      <w:pPr>
        <w:spacing w:after="0" w:line="60" w:lineRule="exact"/>
        <w:rPr>
          <w:sz w:val="20"/>
          <w:szCs w:val="20"/>
          <w:color w:val="auto"/>
        </w:rPr>
      </w:pPr>
    </w:p>
    <w:p>
      <w:pPr>
        <w:ind w:right="380" w:firstLine="358"/>
        <w:spacing w:after="0" w:line="280" w:lineRule="auto"/>
        <w:rPr>
          <w:sz w:val="20"/>
          <w:szCs w:val="20"/>
          <w:color w:val="auto"/>
        </w:rPr>
      </w:pPr>
      <w:r>
        <w:rPr>
          <w:rFonts w:ascii="Times New Roman" w:cs="Times New Roman" w:eastAsia="Times New Roman" w:hAnsi="Times New Roman"/>
          <w:sz w:val="16"/>
          <w:szCs w:val="16"/>
          <w:color w:val="auto"/>
        </w:rPr>
        <w:t>In connection with Booz Allen Hamilton obtaining investment grade ratings from both Moody's and S&amp;P, certain negative covenants in the indentures governing the Senior Notes were suspended, and guarantees of the Senior Notes were released.</w:t>
      </w:r>
    </w:p>
    <w:p>
      <w:pPr>
        <w:spacing w:after="0" w:line="49" w:lineRule="exact"/>
        <w:rPr>
          <w:sz w:val="20"/>
          <w:szCs w:val="20"/>
          <w:color w:val="auto"/>
        </w:rPr>
      </w:pPr>
    </w:p>
    <w:p>
      <w:pPr>
        <w:ind w:right="40" w:firstLine="358"/>
        <w:spacing w:after="0" w:line="255" w:lineRule="auto"/>
        <w:rPr>
          <w:sz w:val="20"/>
          <w:szCs w:val="20"/>
          <w:color w:val="auto"/>
        </w:rPr>
      </w:pPr>
      <w:r>
        <w:rPr>
          <w:rFonts w:ascii="Times New Roman" w:cs="Times New Roman" w:eastAsia="Times New Roman" w:hAnsi="Times New Roman"/>
          <w:sz w:val="16"/>
          <w:szCs w:val="16"/>
          <w:color w:val="auto"/>
        </w:rPr>
        <w:t>On August 4, 2023, the Company completed an offering of $650.0 million aggregate principal amount of its 5.950% senior unsecured notes due August 4, 2033 (the “Senior Notes due 2033”, and, together with the Senior Notes due 2028 and Senior Notes due 2029, the “Senior Notes”). The Senior Notes due 2033 were issued pursuant to an Indenture, dated as of August 4, 2023 (the “Base Indenture”), among Booz Allen Hamilton, the Company, and U.S. Bank Trust Company, National Association, as trustee, as supplemented by the First Supplemental Indenture, dated as of August 4, 2023 (the “Supplemental Indenture” and, together with the Base Indenture, the “Indenture”). The Indenture contains certain covenants, events of default, and other customary provisions. The Senior Notes due 2033 are fully and unconditionally guaranteed on an unsecured and unsubordinated basis by the Company, pursuant to the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Summarized Financial Information</w:t>
      </w:r>
    </w:p>
    <w:p>
      <w:pPr>
        <w:spacing w:after="0" w:line="105" w:lineRule="exact"/>
        <w:rPr>
          <w:sz w:val="20"/>
          <w:szCs w:val="20"/>
          <w:color w:val="auto"/>
        </w:rPr>
      </w:pPr>
    </w:p>
    <w:p>
      <w:pPr>
        <w:jc w:val="both"/>
        <w:ind w:right="560" w:firstLine="358"/>
        <w:spacing w:after="0" w:line="265" w:lineRule="auto"/>
        <w:rPr>
          <w:sz w:val="20"/>
          <w:szCs w:val="20"/>
          <w:color w:val="auto"/>
        </w:rPr>
      </w:pPr>
      <w:r>
        <w:rPr>
          <w:rFonts w:ascii="Times New Roman" w:cs="Times New Roman" w:eastAsia="Times New Roman" w:hAnsi="Times New Roman"/>
          <w:sz w:val="16"/>
          <w:szCs w:val="16"/>
          <w:color w:val="auto"/>
        </w:rPr>
        <w:t>The Senior Notes due 2033 were issued by Booz Allen Hamilton pursuant to the Base Indenture, among Booz Allen Hamilton, the Company and U.S. Bank Trust Company, National Association, as trustee, as supplemented by the Supplemental Indenture. The Senior Notes due 2033 are fully and unconditionally guaranteed on an unsecured and unsubordinated basis by the Company pursuant to the Indenture.</w:t>
      </w:r>
    </w:p>
    <w:p>
      <w:pPr>
        <w:spacing w:after="0" w:line="60" w:lineRule="exact"/>
        <w:rPr>
          <w:sz w:val="20"/>
          <w:szCs w:val="20"/>
          <w:color w:val="auto"/>
        </w:rPr>
      </w:pPr>
    </w:p>
    <w:p>
      <w:pPr>
        <w:ind w:right="160" w:firstLine="358"/>
        <w:spacing w:after="0" w:line="257" w:lineRule="auto"/>
        <w:rPr>
          <w:sz w:val="20"/>
          <w:szCs w:val="20"/>
          <w:color w:val="auto"/>
        </w:rPr>
      </w:pPr>
      <w:r>
        <w:rPr>
          <w:rFonts w:ascii="Times New Roman" w:cs="Times New Roman" w:eastAsia="Times New Roman" w:hAnsi="Times New Roman"/>
          <w:sz w:val="16"/>
          <w:szCs w:val="16"/>
          <w:color w:val="auto"/>
        </w:rPr>
        <w:t>The tables below present the summarized financial information as combined for the Company and Booz Allen Hamilton as of March 31, 2023 and as of and for the nine months ended December 31, 2023, after the elimination of intercompany transactions and balances between the Company and Booz Allen Hamilton and excluding the subsidiaries of the Company that are not issuers or guarantors of the Senior Notes due 2033,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tbl>
      <w:tblPr>
        <w:tblLayout w:type="fixed"/>
        <w:tblInd w:w="4" w:type="dxa"/>
        <w:tblCellMar>
          <w:top w:w="0" w:type="dxa"/>
          <w:left w:w="0" w:type="dxa"/>
          <w:bottom w:w="0" w:type="dxa"/>
          <w:right w:w="0" w:type="dxa"/>
        </w:tblCellMar>
      </w:tblPr>
      <w:tr>
        <w:trPr>
          <w:trHeight w:val="184"/>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841"/>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Summarized Statements of Financial Condition</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9"/>
                <w:szCs w:val="19"/>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Pr>
          <w:p>
            <w:pPr>
              <w:spacing w:after="0"/>
              <w:rPr>
                <w:sz w:val="19"/>
                <w:szCs w:val="19"/>
                <w:color w:val="auto"/>
              </w:rPr>
            </w:pPr>
          </w:p>
        </w:tc>
        <w:tc>
          <w:tcPr>
            <w:tcW w:w="178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340" w:type="dxa"/>
            <w:vAlign w:val="bottom"/>
          </w:tcPr>
          <w:p>
            <w:pPr>
              <w:spacing w:after="0"/>
              <w:rPr>
                <w:sz w:val="19"/>
                <w:szCs w:val="19"/>
                <w:color w:val="auto"/>
              </w:rPr>
            </w:pPr>
          </w:p>
        </w:tc>
      </w:tr>
      <w:tr>
        <w:trPr>
          <w:trHeight w:val="195"/>
        </w:trPr>
        <w:tc>
          <w:tcPr>
            <w:tcW w:w="6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receivables from non-guarantor subsidiaries</w:t>
            </w: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162,431</w:t>
            </w:r>
          </w:p>
        </w:tc>
        <w:tc>
          <w:tcPr>
            <w:tcW w:w="340" w:type="dxa"/>
            <w:vAlign w:val="bottom"/>
            <w:tcBorders>
              <w:top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(1)</w:t>
            </w:r>
          </w:p>
        </w:tc>
      </w:tr>
      <w:tr>
        <w:trPr>
          <w:trHeight w:val="20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2,540,144</w:t>
            </w:r>
          </w:p>
        </w:tc>
        <w:tc>
          <w:tcPr>
            <w:tcW w:w="8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2,160,182</w:t>
            </w:r>
          </w:p>
        </w:tc>
        <w:tc>
          <w:tcPr>
            <w:tcW w:w="340" w:type="dxa"/>
            <w:vAlign w:val="bottom"/>
          </w:tcPr>
          <w:p>
            <w:pPr>
              <w:spacing w:after="0"/>
              <w:rPr>
                <w:sz w:val="17"/>
                <w:szCs w:val="17"/>
                <w:color w:val="auto"/>
              </w:rPr>
            </w:pPr>
          </w:p>
        </w:tc>
      </w:tr>
      <w:tr>
        <w:trPr>
          <w:trHeight w:val="20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 of accumulated amortization</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1,500,648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1,508,147</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(2)</w:t>
            </w:r>
          </w:p>
        </w:tc>
      </w:tr>
      <w:tr>
        <w:trPr>
          <w:trHeight w:val="20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815,957</w:t>
            </w:r>
          </w:p>
        </w:tc>
        <w:tc>
          <w:tcPr>
            <w:tcW w:w="8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1,239,763</w:t>
            </w:r>
          </w:p>
        </w:tc>
        <w:tc>
          <w:tcPr>
            <w:tcW w:w="340" w:type="dxa"/>
            <w:vAlign w:val="bottom"/>
          </w:tcPr>
          <w:p>
            <w:pPr>
              <w:spacing w:after="0"/>
              <w:rPr>
                <w:sz w:val="17"/>
                <w:szCs w:val="17"/>
                <w:color w:val="auto"/>
              </w:rPr>
            </w:pPr>
          </w:p>
        </w:tc>
      </w:tr>
      <w:tr>
        <w:trPr>
          <w:trHeight w:val="20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payables to non-guarantor subsidiaries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204,126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249,999</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(1)</w:t>
            </w:r>
          </w:p>
        </w:tc>
      </w:tr>
      <w:tr>
        <w:trPr>
          <w:trHeight w:val="20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1,543,392</w:t>
            </w:r>
          </w:p>
        </w:tc>
        <w:tc>
          <w:tcPr>
            <w:tcW w:w="8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1,845,691</w:t>
            </w:r>
          </w:p>
        </w:tc>
        <w:tc>
          <w:tcPr>
            <w:tcW w:w="340" w:type="dxa"/>
            <w:vAlign w:val="bottom"/>
          </w:tcPr>
          <w:p>
            <w:pPr>
              <w:spacing w:after="0"/>
              <w:rPr>
                <w:sz w:val="17"/>
                <w:szCs w:val="17"/>
                <w:color w:val="auto"/>
              </w:rPr>
            </w:pPr>
          </w:p>
        </w:tc>
      </w:tr>
      <w:tr>
        <w:trPr>
          <w:trHeight w:val="20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3,369,543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2,770,895</w:t>
            </w:r>
          </w:p>
        </w:tc>
        <w:tc>
          <w:tcPr>
            <w:tcW w:w="340" w:type="dxa"/>
            <w:vAlign w:val="bottom"/>
            <w:shd w:val="clear" w:color="auto" w:fill="CCEEFF"/>
          </w:tcPr>
          <w:p>
            <w:pPr>
              <w:spacing w:after="0"/>
              <w:rPr>
                <w:sz w:val="17"/>
                <w:szCs w:val="17"/>
                <w:color w:val="auto"/>
              </w:rPr>
            </w:pPr>
          </w:p>
        </w:tc>
      </w:tr>
      <w:tr>
        <w:trPr>
          <w:trHeight w:val="208"/>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403,159</w:t>
            </w:r>
          </w:p>
        </w:tc>
        <w:tc>
          <w:tcPr>
            <w:tcW w:w="8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870,176</w:t>
            </w:r>
          </w:p>
        </w:tc>
        <w:tc>
          <w:tcPr>
            <w:tcW w:w="340" w:type="dxa"/>
            <w:vAlign w:val="bottom"/>
          </w:tcPr>
          <w:p>
            <w:pPr>
              <w:spacing w:after="0"/>
              <w:rPr>
                <w:sz w:val="18"/>
                <w:szCs w:val="18"/>
                <w:color w:val="auto"/>
              </w:rPr>
            </w:pPr>
          </w:p>
        </w:tc>
      </w:tr>
    </w:tbl>
    <w:p>
      <w:pPr>
        <w:spacing w:after="0" w:line="110" w:lineRule="exact"/>
        <w:rPr>
          <w:sz w:val="20"/>
          <w:szCs w:val="20"/>
          <w:color w:val="auto"/>
        </w:rPr>
      </w:pPr>
    </w:p>
    <w:p>
      <w:pPr>
        <w:ind w:left="4" w:right="320" w:hanging="4"/>
        <w:spacing w:after="0" w:line="269" w:lineRule="auto"/>
        <w:tabs>
          <w:tab w:leader="none" w:pos="151"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relating to the intercompany balances at March 31, 2023 were presented gross, while during fiscal 2024, intercompany balances were presented on a net basis (offsetting intercompany payables with corresponding intercompany receivables to arrive at a net position on an entity-level).</w:t>
      </w:r>
    </w:p>
    <w:p>
      <w:pPr>
        <w:spacing w:after="0" w:line="4" w:lineRule="exact"/>
        <w:rPr>
          <w:rFonts w:ascii="Times New Roman" w:cs="Times New Roman" w:eastAsia="Times New Roman" w:hAnsi="Times New Roman"/>
          <w:sz w:val="19"/>
          <w:szCs w:val="19"/>
          <w:color w:val="auto"/>
          <w:vertAlign w:val="superscript"/>
        </w:rPr>
      </w:pPr>
    </w:p>
    <w:p>
      <w:pPr>
        <w:ind w:left="4" w:right="280" w:hanging="4"/>
        <w:spacing w:after="0" w:line="269" w:lineRule="auto"/>
        <w:tabs>
          <w:tab w:leader="none" w:pos="151"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amounts relating to the intangible assets of acquired entities have been reclassified to entities that are not the issuer or guarantor of the Senior Notes due 2033 to conform with the current fiscal period presentation.</w:t>
      </w:r>
    </w:p>
    <w:p>
      <w:pPr>
        <w:spacing w:after="0" w:line="26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Summarized Statement of Operations</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5"/>
                <w:szCs w:val="15"/>
                <w:color w:val="auto"/>
              </w:rPr>
            </w:pPr>
          </w:p>
        </w:tc>
        <w:tc>
          <w:tcPr>
            <w:tcW w:w="2040" w:type="dxa"/>
            <w:vAlign w:val="bottom"/>
          </w:tcPr>
          <w:p>
            <w:pPr>
              <w:jc w:val="right"/>
              <w:ind w:right="400"/>
              <w:spacing w:after="0" w:line="179"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7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5"/>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7,313,277</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from non-guarantor subsidiaries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392,896</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344,638</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from non-guarantor subsidiaries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357,486</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423,174</w:t>
            </w:r>
          </w:p>
        </w:tc>
        <w:tc>
          <w:tcPr>
            <w:tcW w:w="0" w:type="dxa"/>
            <w:vAlign w:val="bottom"/>
          </w:tcPr>
          <w:p>
            <w:pPr>
              <w:spacing w:after="0"/>
              <w:rPr>
                <w:sz w:val="1"/>
                <w:szCs w:val="1"/>
                <w:color w:val="auto"/>
              </w:rPr>
            </w:pPr>
          </w:p>
        </w:tc>
      </w:tr>
      <w:tr>
        <w:trPr>
          <w:trHeight w:val="208"/>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Obligor Group</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423,174</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Capital Structure and Resources</w:t>
      </w:r>
    </w:p>
    <w:p>
      <w:pPr>
        <w:spacing w:after="0" w:line="105" w:lineRule="exact"/>
        <w:rPr>
          <w:sz w:val="20"/>
          <w:szCs w:val="20"/>
          <w:color w:val="auto"/>
        </w:rPr>
      </w:pPr>
    </w:p>
    <w:p>
      <w:pPr>
        <w:ind w:left="4" w:right="20" w:firstLine="358"/>
        <w:spacing w:after="0" w:line="259" w:lineRule="auto"/>
        <w:rPr>
          <w:sz w:val="20"/>
          <w:szCs w:val="20"/>
          <w:color w:val="auto"/>
        </w:rPr>
      </w:pPr>
      <w:r>
        <w:rPr>
          <w:rFonts w:ascii="Times New Roman" w:cs="Times New Roman" w:eastAsia="Times New Roman" w:hAnsi="Times New Roman"/>
          <w:sz w:val="16"/>
          <w:szCs w:val="16"/>
          <w:color w:val="auto"/>
        </w:rPr>
        <w:t>Our stockholders’ equity amounted to $1,086.2 million as of December 31, 2023, an increase of $94.2 million, compared to stockholders’ equity of $992.0 million as of March 31, 2023. The increase was primarily due to net income of $477.8 million and stock-based compensation expense of $61.3 million during the nine months ended December 31, 2023, partially offset by $289.8 million in treasury stock resulting from the repurchase of shares of our Class A Common Stock, and $186.4 million in quarterly dividend payments for the nine months ended December 31, 2023.</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105" w:lineRule="exact"/>
        <w:rPr>
          <w:sz w:val="20"/>
          <w:szCs w:val="20"/>
          <w:color w:val="auto"/>
        </w:rPr>
      </w:pPr>
    </w:p>
    <w:p>
      <w:pPr>
        <w:ind w:left="4" w:firstLine="358"/>
        <w:spacing w:after="0" w:line="265" w:lineRule="auto"/>
        <w:rPr>
          <w:sz w:val="20"/>
          <w:szCs w:val="20"/>
          <w:color w:val="auto"/>
        </w:rPr>
      </w:pPr>
      <w:r>
        <w:rPr>
          <w:rFonts w:ascii="Times New Roman" w:cs="Times New Roman" w:eastAsia="Times New Roman" w:hAnsi="Times New Roman"/>
          <w:sz w:val="16"/>
          <w:szCs w:val="16"/>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nine months ended December 31, 2023 and 2022 were $50.5 million and $51.4 million, respectively.</w:t>
      </w:r>
    </w:p>
    <w:p>
      <w:pPr>
        <w:spacing w:after="0" w:line="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p>
      <w:pPr>
        <w:spacing w:after="0" w:line="105" w:lineRule="exact"/>
        <w:rPr>
          <w:sz w:val="20"/>
          <w:szCs w:val="20"/>
          <w:color w:val="auto"/>
        </w:rPr>
      </w:pPr>
    </w:p>
    <w:p>
      <w:pPr>
        <w:ind w:left="4" w:right="120" w:firstLine="358"/>
        <w:spacing w:after="0" w:line="280" w:lineRule="auto"/>
        <w:rPr>
          <w:sz w:val="20"/>
          <w:szCs w:val="20"/>
          <w:color w:val="auto"/>
        </w:rPr>
      </w:pPr>
      <w:r>
        <w:rPr>
          <w:rFonts w:ascii="Times New Roman" w:cs="Times New Roman" w:eastAsia="Times New Roman" w:hAnsi="Times New Roman"/>
          <w:sz w:val="16"/>
          <w:szCs w:val="16"/>
          <w:color w:val="auto"/>
        </w:rPr>
        <w:t>We are subject to a number of reviews, investigations, claims, lawsuits, and other uncertainties related to our business. For a discussion of these items, refer to Note 15, “Commitments and Contingencies,” to our condensed consolidated financial statements.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Special Note Regarding Forward Looking Statements</w:t>
      </w:r>
    </w:p>
    <w:p>
      <w:pPr>
        <w:spacing w:after="0" w:line="105" w:lineRule="exact"/>
        <w:rPr>
          <w:sz w:val="20"/>
          <w:szCs w:val="20"/>
          <w:color w:val="auto"/>
        </w:rPr>
      </w:pPr>
    </w:p>
    <w:p>
      <w:pPr>
        <w:ind w:left="4" w:right="60" w:firstLine="358"/>
        <w:spacing w:after="0" w:line="254" w:lineRule="auto"/>
        <w:rPr>
          <w:sz w:val="20"/>
          <w:szCs w:val="20"/>
          <w:color w:val="auto"/>
        </w:rPr>
      </w:pPr>
      <w:r>
        <w:rPr>
          <w:rFonts w:ascii="Times New Roman" w:cs="Times New Roman" w:eastAsia="Times New Roman" w:hAnsi="Times New Roman"/>
          <w:sz w:val="16"/>
          <w:szCs w:val="16"/>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00" w:lineRule="exact"/>
        <w:rPr>
          <w:sz w:val="20"/>
          <w:szCs w:val="20"/>
          <w:color w:val="auto"/>
        </w:rPr>
      </w:pPr>
    </w:p>
    <w:p>
      <w:pPr>
        <w:spacing w:after="0" w:line="26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144"/>
          </w:cols>
          <w:pgMar w:left="316" w:top="111"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60" w:right="18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issue that compromises our relationships with the U.S. government or damages our professional reputation, including negative publicity concerning government contractors in general or us in particular;</w:t>
      </w:r>
    </w:p>
    <w:p>
      <w:pPr>
        <w:ind w:left="560" w:right="6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ind w:left="560" w:right="66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efforts by Congress and other U.S. government bodies to reduce U.S. government spending and address budgetary constraints and the U.S. deficit, as well as associated uncertainty around the timing, extent, nature and effect of such efforts;</w:t>
      </w: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delayed long-term funding of our contracts, including uncertainty relating to funding the U.S. government and increasing the debt ceiling;</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government shutdowns as a result of the failure by elected officials to fund the government;</w:t>
      </w:r>
    </w:p>
    <w:p>
      <w:pPr>
        <w:spacing w:after="0" w:line="55" w:lineRule="exact"/>
        <w:rPr>
          <w:rFonts w:ascii="Times New Roman" w:cs="Times New Roman" w:eastAsia="Times New Roman" w:hAnsi="Times New Roman"/>
          <w:sz w:val="16"/>
          <w:szCs w:val="16"/>
          <w:color w:val="auto"/>
        </w:rPr>
      </w:pPr>
    </w:p>
    <w:p>
      <w:pPr>
        <w:ind w:left="560" w:right="240" w:hanging="278"/>
        <w:spacing w:after="0" w:line="279" w:lineRule="auto"/>
        <w:tabs>
          <w:tab w:leader="none" w:pos="556" w:val="left"/>
        </w:tabs>
        <w:numPr>
          <w:ilvl w:val="0"/>
          <w:numId w:val="32"/>
        </w:numPr>
        <w:rPr>
          <w:rFonts w:ascii="Arial" w:cs="Arial" w:eastAsia="Arial" w:hAnsi="Arial"/>
          <w:sz w:val="16"/>
          <w:szCs w:val="16"/>
          <w:color w:val="auto"/>
        </w:rPr>
      </w:pPr>
      <w:r>
        <w:rPr>
          <w:rFonts w:ascii="Times New Roman" w:cs="Times New Roman" w:eastAsia="Times New Roman" w:hAnsi="Times New Roman"/>
          <w:sz w:val="16"/>
          <w:szCs w:val="16"/>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1" w:lineRule="exact"/>
        <w:rPr>
          <w:rFonts w:ascii="Arial" w:cs="Arial" w:eastAsia="Arial" w:hAnsi="Arial"/>
          <w:sz w:val="16"/>
          <w:szCs w:val="16"/>
          <w:color w:val="auto"/>
        </w:rPr>
      </w:pPr>
    </w:p>
    <w:p>
      <w:pPr>
        <w:ind w:left="56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disease outbreaks, pandemics, or widespread health epidemics, such as COVID-19, including disruptions to our workforce and the impact on government spending and demand for our solutions;</w:t>
      </w:r>
    </w:p>
    <w:p>
      <w:pPr>
        <w:ind w:left="560" w:right="12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effectively in the competitive bidding process and delays or losses of contract awards caused by competitors' protests of major contract awards received by us;</w:t>
      </w:r>
    </w:p>
    <w:p>
      <w:pPr>
        <w:ind w:left="560" w:right="56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purchasing patterns under U.S. government General Services Administration Multiple Award schedule contracts, or GSA schedules, blanket purchase agreements and indefinite delivery/indefinite quantity, or IDIQ, contracts;</w:t>
      </w: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GSA schedules or our position as prime contractor on government-wide acquisition contract vehicles, or GWACs;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mix of our contracts and our ability to accurately estimate or otherwise recover expenses, time, and resources for our contracts;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used in recognizing revenue;</w:t>
      </w:r>
    </w:p>
    <w:p>
      <w:pPr>
        <w:spacing w:after="0" w:line="55" w:lineRule="exact"/>
        <w:rPr>
          <w:rFonts w:ascii="Times New Roman" w:cs="Times New Roman" w:eastAsia="Times New Roman" w:hAnsi="Times New Roman"/>
          <w:sz w:val="16"/>
          <w:szCs w:val="16"/>
          <w:color w:val="auto"/>
        </w:rPr>
      </w:pPr>
    </w:p>
    <w:p>
      <w:pPr>
        <w:ind w:left="560" w:right="54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the full value of and replenish our backlog, generate revenue under certain of our contracts, and the timing of our receipt of revenue under contracts included in backlog;</w:t>
      </w:r>
    </w:p>
    <w:p>
      <w:pPr>
        <w:ind w:left="560" w:right="14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system or service failures and security breaches, including, but not limited to, those resulting from external or internal threats, including cyber attacks on our network and internal systems;</w:t>
      </w: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operation of financial management systems;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inability to attract, train, or retain employees with the requisite skills and experience;</w:t>
      </w:r>
    </w:p>
    <w:p>
      <w:pPr>
        <w:spacing w:after="0" w:line="55" w:lineRule="exact"/>
        <w:rPr>
          <w:rFonts w:ascii="Times New Roman" w:cs="Times New Roman" w:eastAsia="Times New Roman" w:hAnsi="Times New Roman"/>
          <w:sz w:val="16"/>
          <w:szCs w:val="16"/>
          <w:color w:val="auto"/>
        </w:rPr>
      </w:pPr>
    </w:p>
    <w:p>
      <w:pPr>
        <w:ind w:left="560" w:right="6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inability to timely hire, assimilate and effectively utilize our employees, ensure that employees obtain and maintain necessary security clearances and/or effectively manage our cost structure;</w:t>
      </w: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inflation that could impact the cost of doing business and/or reduce customer buying power;</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members of senior management or failure to develop new leaders;</w:t>
      </w:r>
    </w:p>
    <w:p>
      <w:pPr>
        <w:spacing w:after="0" w:line="55" w:lineRule="exact"/>
        <w:rPr>
          <w:rFonts w:ascii="Times New Roman" w:cs="Times New Roman" w:eastAsia="Times New Roman" w:hAnsi="Times New Roman"/>
          <w:sz w:val="16"/>
          <w:szCs w:val="16"/>
          <w:color w:val="auto"/>
        </w:rPr>
      </w:pPr>
    </w:p>
    <w:p>
      <w:pPr>
        <w:ind w:left="56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misconduct or other improper activities from our employees or subcontractors, including the improper access, use or release of our or our clients' sensitive or classified information;</w:t>
      </w: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from other companies in our industry;</w:t>
      </w:r>
    </w:p>
    <w:p>
      <w:pPr>
        <w:spacing w:after="0" w:line="55" w:lineRule="exact"/>
        <w:rPr>
          <w:rFonts w:ascii="Times New Roman" w:cs="Times New Roman" w:eastAsia="Times New Roman" w:hAnsi="Times New Roman"/>
          <w:sz w:val="16"/>
          <w:szCs w:val="16"/>
          <w:color w:val="auto"/>
        </w:rPr>
      </w:pPr>
    </w:p>
    <w:p>
      <w:pPr>
        <w:ind w:left="560" w:right="120" w:hanging="278"/>
        <w:spacing w:after="0" w:line="280"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maintain strong relationships with other contractors, or the failure of contractors with which we have entered into a sub- or prime- contractor relationship to meet their obligations to us or our clients;</w:t>
      </w:r>
    </w:p>
    <w:p>
      <w:pPr>
        <w:ind w:left="560" w:right="40" w:hanging="278"/>
        <w:spacing w:after="0" w:line="265" w:lineRule="auto"/>
        <w:tabs>
          <w:tab w:leader="none" w:pos="5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1"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special U.S. government laws and regulations relating to our international operations;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increased competition, new relationships, clients, capabilities, and service offerings in our U.S. and international businesses;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changes to our operating structure, capabilities, or strategy intended to address client needs, grow our business or respond to market developments;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by the U.S. government of new laws, rules, and regulations, such as those relating to organizational conflicts of interest issues or limits;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60" w:right="60" w:hanging="278"/>
        <w:spacing w:after="0" w:line="280" w:lineRule="auto"/>
        <w:tabs>
          <w:tab w:leader="none" w:pos="55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 possible recession and volatility or instability of the global financial system, including the failures of financial institutions and the resulting impact on counterparties and business conditions generally;</w:t>
      </w: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 deterioration of economic conditions or weakening in credit or capital markets;</w:t>
      </w:r>
    </w:p>
    <w:p>
      <w:pPr>
        <w:spacing w:after="0" w:line="55" w:lineRule="exact"/>
        <w:rPr>
          <w:rFonts w:ascii="Times New Roman" w:cs="Times New Roman" w:eastAsia="Times New Roman" w:hAnsi="Times New Roman"/>
          <w:sz w:val="16"/>
          <w:szCs w:val="16"/>
          <w:color w:val="auto"/>
        </w:rPr>
      </w:pPr>
    </w:p>
    <w:p>
      <w:pPr>
        <w:jc w:val="both"/>
        <w:ind w:left="560" w:right="120" w:hanging="278"/>
        <w:spacing w:after="0" w:line="299" w:lineRule="auto"/>
        <w:tabs>
          <w:tab w:leader="none" w:pos="556"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of additional tax liabilities, including as a result of changes in tax laws or management judgments involving complex tax matters;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inherent in the government contracting environment;</w:t>
      </w:r>
    </w:p>
    <w:p>
      <w:pPr>
        <w:spacing w:after="0" w:line="55" w:lineRule="exact"/>
        <w:rPr>
          <w:rFonts w:ascii="Times New Roman" w:cs="Times New Roman" w:eastAsia="Times New Roman" w:hAnsi="Times New Roman"/>
          <w:sz w:val="16"/>
          <w:szCs w:val="16"/>
          <w:color w:val="auto"/>
        </w:rPr>
      </w:pPr>
    </w:p>
    <w:p>
      <w:pPr>
        <w:ind w:left="560" w:right="40" w:hanging="278"/>
        <w:spacing w:after="0" w:line="299" w:lineRule="auto"/>
        <w:tabs>
          <w:tab w:leader="none" w:pos="556"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ind w:left="560" w:right="100" w:hanging="278"/>
        <w:spacing w:after="0" w:line="280" w:lineRule="auto"/>
        <w:tabs>
          <w:tab w:leader="none" w:pos="55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insourcing by various U.S. government agencies due to changes in the definition of “inherently governmental” work, including proposals to limit contractor access to sensitive or classified information and work assignments;</w:t>
      </w: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of our addressable markets and the amount of U.S. government spending on private contractors;</w:t>
      </w:r>
    </w:p>
    <w:p>
      <w:pPr>
        <w:spacing w:after="0" w:line="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indebtedness and credit facilities which contain financial and operating covenants;</w:t>
      </w:r>
    </w:p>
    <w:p>
      <w:pPr>
        <w:spacing w:after="0" w:line="55" w:lineRule="exact"/>
        <w:rPr>
          <w:rFonts w:ascii="Times New Roman" w:cs="Times New Roman" w:eastAsia="Times New Roman" w:hAnsi="Times New Roman"/>
          <w:sz w:val="16"/>
          <w:szCs w:val="16"/>
          <w:color w:val="auto"/>
        </w:rPr>
      </w:pPr>
    </w:p>
    <w:p>
      <w:pPr>
        <w:ind w:left="560" w:right="220" w:hanging="278"/>
        <w:spacing w:after="0" w:line="280" w:lineRule="auto"/>
        <w:tabs>
          <w:tab w:leader="none" w:pos="55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accounting rules and regulations, or interpretations thereof, that may affect the way we recognize and report our financial results, including changes in accounting rules governing recognition of revenue;</w:t>
      </w: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ESG-related risks and climate change generally on our and our clients' businesses and operations; and</w:t>
      </w:r>
    </w:p>
    <w:p>
      <w:pPr>
        <w:spacing w:after="0" w:line="55" w:lineRule="exact"/>
        <w:rPr>
          <w:rFonts w:ascii="Times New Roman" w:cs="Times New Roman" w:eastAsia="Times New Roman" w:hAnsi="Times New Roman"/>
          <w:sz w:val="16"/>
          <w:szCs w:val="16"/>
          <w:color w:val="auto"/>
        </w:rPr>
      </w:pPr>
    </w:p>
    <w:p>
      <w:pPr>
        <w:ind w:left="560" w:right="140" w:hanging="278"/>
        <w:spacing w:after="0" w:line="279" w:lineRule="auto"/>
        <w:tabs>
          <w:tab w:leader="none" w:pos="556" w:val="left"/>
        </w:tabs>
        <w:numPr>
          <w:ilvl w:val="0"/>
          <w:numId w:val="33"/>
        </w:numPr>
        <w:rPr>
          <w:rFonts w:ascii="Arial" w:cs="Arial" w:eastAsia="Arial" w:hAnsi="Arial"/>
          <w:sz w:val="16"/>
          <w:szCs w:val="16"/>
          <w:color w:val="auto"/>
        </w:rPr>
      </w:pPr>
      <w:r>
        <w:rPr>
          <w:rFonts w:ascii="Times New Roman" w:cs="Times New Roman" w:eastAsia="Times New Roman" w:hAnsi="Times New Roman"/>
          <w:sz w:val="16"/>
          <w:szCs w:val="16"/>
          <w:color w:val="auto"/>
        </w:rPr>
        <w:t>other risks and factors listed under “Item 1A. Risk Factors” and elsewhere in this Quarterly Report, as well as those listed under “Risk Factors” in our Annual Report on Form 10-K for the year ended March 31, 2023.</w:t>
      </w:r>
    </w:p>
    <w:p>
      <w:pPr>
        <w:spacing w:after="0" w:line="49" w:lineRule="exact"/>
        <w:rPr>
          <w:sz w:val="20"/>
          <w:szCs w:val="20"/>
          <w:color w:val="auto"/>
        </w:rPr>
      </w:pPr>
    </w:p>
    <w:p>
      <w:pPr>
        <w:jc w:val="both"/>
        <w:ind w:right="80" w:firstLine="358"/>
        <w:spacing w:after="0" w:line="265" w:lineRule="auto"/>
        <w:rPr>
          <w:sz w:val="20"/>
          <w:szCs w:val="20"/>
          <w:color w:val="auto"/>
        </w:rPr>
      </w:pPr>
      <w:r>
        <w:rPr>
          <w:rFonts w:ascii="Times New Roman" w:cs="Times New Roman" w:eastAsia="Times New Roman" w:hAnsi="Times New Roman"/>
          <w:sz w:val="16"/>
          <w:szCs w:val="16"/>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05" w:lineRule="exact"/>
        <w:rPr>
          <w:sz w:val="20"/>
          <w:szCs w:val="20"/>
          <w:color w:val="auto"/>
        </w:rPr>
      </w:pPr>
    </w:p>
    <w:p>
      <w:pPr>
        <w:ind w:right="200" w:firstLine="358"/>
        <w:spacing w:after="0" w:line="265" w:lineRule="auto"/>
        <w:rPr>
          <w:sz w:val="20"/>
          <w:szCs w:val="20"/>
          <w:color w:val="auto"/>
        </w:rPr>
      </w:pPr>
      <w:r>
        <w:rPr>
          <w:rFonts w:ascii="Times New Roman" w:cs="Times New Roman" w:eastAsia="Times New Roman" w:hAnsi="Times New Roman"/>
          <w:sz w:val="16"/>
          <w:szCs w:val="16"/>
          <w:color w:val="auto"/>
        </w:rPr>
        <w:t>During the first quarter of fiscal 2024, the Company modified its interest rate swap agreements to transition from LIBOR-indexed to term SOFR-indexed periodic swap payments to align with interest payments in connection with its term SOFR-indexed debt. See Note 9, “Derivatives,” to the condensed consolidated financial statements for further information on the interest rate swap agreements.</w:t>
      </w:r>
    </w:p>
    <w:p>
      <w:pPr>
        <w:spacing w:after="0" w:line="60" w:lineRule="exact"/>
        <w:rPr>
          <w:sz w:val="20"/>
          <w:szCs w:val="20"/>
          <w:color w:val="auto"/>
        </w:rPr>
      </w:pPr>
    </w:p>
    <w:p>
      <w:pPr>
        <w:ind w:right="100" w:firstLine="358"/>
        <w:spacing w:after="0" w:line="265" w:lineRule="auto"/>
        <w:rPr>
          <w:sz w:val="20"/>
          <w:szCs w:val="20"/>
          <w:color w:val="auto"/>
        </w:rPr>
      </w:pPr>
      <w:r>
        <w:rPr>
          <w:rFonts w:ascii="Times New Roman" w:cs="Times New Roman" w:eastAsia="Times New Roman" w:hAnsi="Times New Roman"/>
          <w:sz w:val="16"/>
          <w:szCs w:val="16"/>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2023 filed with the Securities and Exchange Commission on May 26, 2023.</w:t>
      </w:r>
    </w:p>
    <w:p>
      <w:pPr>
        <w:spacing w:after="0" w:line="15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05" w:lineRule="exact"/>
        <w:rPr>
          <w:sz w:val="20"/>
          <w:szCs w:val="20"/>
          <w:color w:val="auto"/>
        </w:rPr>
      </w:pPr>
    </w:p>
    <w:p>
      <w:pPr>
        <w:ind w:firstLine="358"/>
        <w:spacing w:after="0" w:line="259" w:lineRule="auto"/>
        <w:rPr>
          <w:sz w:val="20"/>
          <w:szCs w:val="20"/>
          <w:color w:val="auto"/>
        </w:rPr>
      </w:pPr>
      <w:r>
        <w:rPr>
          <w:rFonts w:ascii="Times New Roman" w:cs="Times New Roman" w:eastAsia="Times New Roman" w:hAnsi="Times New Roman"/>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05" w:lineRule="exact"/>
        <w:rPr>
          <w:sz w:val="20"/>
          <w:szCs w:val="20"/>
          <w:color w:val="auto"/>
        </w:rPr>
      </w:pPr>
    </w:p>
    <w:p>
      <w:pPr>
        <w:ind w:right="20" w:firstLine="358"/>
        <w:spacing w:after="0" w:line="280" w:lineRule="auto"/>
        <w:rPr>
          <w:sz w:val="20"/>
          <w:szCs w:val="20"/>
          <w:color w:val="auto"/>
        </w:rPr>
      </w:pPr>
      <w:r>
        <w:rPr>
          <w:rFonts w:ascii="Times New Roman" w:cs="Times New Roman" w:eastAsia="Times New Roman" w:hAnsi="Times New Roman"/>
          <w:sz w:val="16"/>
          <w:szCs w:val="16"/>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105" w:lineRule="exact"/>
        <w:rPr>
          <w:sz w:val="20"/>
          <w:szCs w:val="20"/>
          <w:color w:val="auto"/>
        </w:rPr>
      </w:pPr>
    </w:p>
    <w:p>
      <w:pPr>
        <w:ind w:right="40" w:firstLine="358"/>
        <w:spacing w:after="0" w:line="252" w:lineRule="auto"/>
        <w:rPr>
          <w:sz w:val="20"/>
          <w:szCs w:val="20"/>
          <w:color w:val="auto"/>
        </w:rPr>
      </w:pPr>
      <w:r>
        <w:rPr>
          <w:rFonts w:ascii="Times New Roman" w:cs="Times New Roman" w:eastAsia="Times New Roman" w:hAnsi="Times New Roman"/>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2023 and March 31, 2023, there were no material amounts accrued in the condensed consolidated financial statements related to these proceedings.</w:t>
      </w:r>
    </w:p>
    <w:p>
      <w:pPr>
        <w:spacing w:after="0" w:line="62" w:lineRule="exact"/>
        <w:rPr>
          <w:sz w:val="20"/>
          <w:szCs w:val="20"/>
          <w:color w:val="auto"/>
        </w:rPr>
      </w:pPr>
    </w:p>
    <w:p>
      <w:pPr>
        <w:ind w:firstLine="358"/>
        <w:spacing w:after="0" w:line="239" w:lineRule="auto"/>
        <w:rPr>
          <w:sz w:val="20"/>
          <w:szCs w:val="20"/>
          <w:color w:val="auto"/>
        </w:rPr>
      </w:pPr>
      <w:r>
        <w:rPr>
          <w:rFonts w:ascii="Times New Roman" w:cs="Times New Roman" w:eastAsia="Times New Roman" w:hAnsi="Times New Roman"/>
          <w:sz w:val="16"/>
          <w:szCs w:val="16"/>
          <w:color w:val="auto"/>
        </w:rPr>
        <w:t xml:space="preserve">On June 7, 2017, Booz Allen Hamilton was informed that the U.S. Department of Justice (“DOJ”) was conducting a civil and criminal investigation of the Company. In connection with the investigation, the DOJ requested information from the Company relating to certain elements of the Company’s cost accounting and indirect cost charging practices with the U.S. government. The investigation resulted from a </w:t>
      </w:r>
      <w:r>
        <w:rPr>
          <w:rFonts w:ascii="Times New Roman" w:cs="Times New Roman" w:eastAsia="Times New Roman" w:hAnsi="Times New Roman"/>
          <w:sz w:val="16"/>
          <w:szCs w:val="16"/>
          <w:i w:val="1"/>
          <w:iCs w:val="1"/>
          <w:color w:val="auto"/>
        </w:rPr>
        <w:t>qui tam</w:t>
      </w:r>
      <w:r>
        <w:rPr>
          <w:rFonts w:ascii="Times New Roman" w:cs="Times New Roman" w:eastAsia="Times New Roman" w:hAnsi="Times New Roman"/>
          <w:sz w:val="16"/>
          <w:szCs w:val="16"/>
          <w:color w:val="auto"/>
        </w:rPr>
        <w:t xml:space="preserve"> lawsuit filed on or about September 26, 2016 in the United States District Court for the District of Columbia pursuant to the </w:t>
      </w:r>
      <w:r>
        <w:rPr>
          <w:rFonts w:ascii="Times New Roman" w:cs="Times New Roman" w:eastAsia="Times New Roman" w:hAnsi="Times New Roman"/>
          <w:sz w:val="16"/>
          <w:szCs w:val="16"/>
          <w:i w:val="1"/>
          <w:iCs w:val="1"/>
          <w:color w:val="auto"/>
        </w:rPr>
        <w:t>qui tam</w:t>
      </w:r>
      <w:r>
        <w:rPr>
          <w:rFonts w:ascii="Times New Roman" w:cs="Times New Roman" w:eastAsia="Times New Roman" w:hAnsi="Times New Roman"/>
          <w:sz w:val="16"/>
          <w:szCs w:val="16"/>
          <w:color w:val="auto"/>
        </w:rPr>
        <w:t xml:space="preserve"> provisions of the civil False Claims Act (the “Civil Action”), which lawsuit was under judicial seal until July 21, 2023. After learning of the investigation, the Company engaged a law firm experienced in these matters to represent the Company in connection with this matter and respond to the government's requests. As is commonly the case with this type of matter, the Company was also contacted by other regulatory agencies and bodies, including the SEC, which notified the Company that it was conducting an investigation that the Company believes related to the matters that were also the subject of the DOJ's investigation.</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 May 12, 2021, the Company was informed that the DOJ closed its criminal investigation.</w:t>
      </w:r>
    </w:p>
    <w:p>
      <w:pPr>
        <w:spacing w:after="0" w:line="91" w:lineRule="exact"/>
        <w:rPr>
          <w:sz w:val="20"/>
          <w:szCs w:val="20"/>
          <w:color w:val="auto"/>
        </w:rPr>
      </w:pPr>
    </w:p>
    <w:p>
      <w:pPr>
        <w:jc w:val="both"/>
        <w:ind w:right="220" w:firstLine="358"/>
        <w:spacing w:after="0" w:line="244" w:lineRule="auto"/>
        <w:rPr>
          <w:sz w:val="20"/>
          <w:szCs w:val="20"/>
          <w:color w:val="auto"/>
        </w:rPr>
      </w:pPr>
      <w:r>
        <w:rPr>
          <w:rFonts w:ascii="Times New Roman" w:cs="Times New Roman" w:eastAsia="Times New Roman" w:hAnsi="Times New Roman"/>
          <w:sz w:val="16"/>
          <w:szCs w:val="16"/>
          <w:color w:val="auto"/>
        </w:rPr>
        <w:t>On July 21, 2023, the Company entered into a Settlement Agreement (the “Settlement Agreement”) with the United States of America, acting through the DOJ and on behalf of the Department of Defense and Defense Contract Management Agency (collectively the “United States”), and Relator Sarah A. Feinberg, to resolve the DOJ’s civil investigation and the Civil Action. The Company entered into the Settlement Agreement to avoid the delay, uncertainty and expense of protracted litigation. The Settlement Agreement contains no admission of liability by the Company.</w:t>
      </w:r>
    </w:p>
    <w:p>
      <w:pPr>
        <w:spacing w:after="0" w:line="64" w:lineRule="exact"/>
        <w:rPr>
          <w:sz w:val="20"/>
          <w:szCs w:val="20"/>
          <w:color w:val="auto"/>
        </w:rPr>
      </w:pPr>
    </w:p>
    <w:p>
      <w:pPr>
        <w:ind w:right="140" w:firstLine="358"/>
        <w:spacing w:after="0" w:line="241" w:lineRule="auto"/>
        <w:rPr>
          <w:sz w:val="20"/>
          <w:szCs w:val="20"/>
          <w:color w:val="auto"/>
        </w:rPr>
      </w:pPr>
      <w:r>
        <w:rPr>
          <w:rFonts w:ascii="Times New Roman" w:cs="Times New Roman" w:eastAsia="Times New Roman" w:hAnsi="Times New Roman"/>
          <w:sz w:val="16"/>
          <w:szCs w:val="16"/>
          <w:color w:val="auto"/>
        </w:rPr>
        <w:t>Under the terms of the Settlement Agreement, the Company agreed to pay to the United States $377.5 million (the “Settlement Amount”). The Company paid the Settlement Amount with cash on hand and by drawing on its revolving credit facility. As of June 30, 2023, the Company had recorded a $377.5 million reserve relating to this investigation and had previously disclosed that it believed the range of reasonably possible loss in connection with the investigation to be between $350 million and</w:t>
      </w:r>
    </w:p>
    <w:p>
      <w:pPr>
        <w:spacing w:after="0" w:line="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$378 million. Following the United States’ receipt of the Settlement Amount, the Company was released from any civil or administrative monetary claims under the civil False Claims Act and other specified civil statutes and common law theories of liability for certain elements of the Company’s cost accounting and indirect cost charging practices from April 1, 2011 through March 31, 2021, and the claim brought in the Civil Action was dismissed with prejudice.</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On July 27, 2023, the Company was informed that the SEC concluded its investigation without recommending an enforcement action.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100" w:firstLine="358"/>
        <w:spacing w:after="0" w:line="271" w:lineRule="auto"/>
        <w:rPr>
          <w:sz w:val="20"/>
          <w:szCs w:val="20"/>
          <w:color w:val="auto"/>
        </w:rPr>
      </w:pPr>
      <w:r>
        <w:rPr>
          <w:rFonts w:ascii="Times New Roman" w:cs="Times New Roman" w:eastAsia="Times New Roman" w:hAnsi="Times New Roman"/>
          <w:sz w:val="15"/>
          <w:szCs w:val="15"/>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w:t>
      </w:r>
    </w:p>
    <w:p>
      <w:pPr>
        <w:spacing w:after="0" w:line="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6"/>
          <w:szCs w:val="16"/>
          <w:color w:val="auto"/>
        </w:rPr>
        <w:t>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On September 22, 2023, plaintiffs filed a motion for leave to amend the dismissed amended complaint or, in the alternative, for relief from the court’s prior dismissal order, and on October 16, 2023, the court denied plaintiffs’ motion. On November 15, 2023, plaintiffs filed with the United States Court of Appeals for the Fourth Circuit a notice of appeal from the district court’s denial of plaintiffs’ motion, and that appeal remains pending. At this stage of the lawsuit, the Company is not able to reasonably estimate the expected amount or range of cost or any loss associated with the lawsuit.</w:t>
      </w:r>
    </w:p>
    <w:p>
      <w:pPr>
        <w:spacing w:after="0" w:line="64" w:lineRule="exact"/>
        <w:rPr>
          <w:sz w:val="20"/>
          <w:szCs w:val="20"/>
          <w:color w:val="auto"/>
        </w:rPr>
      </w:pPr>
    </w:p>
    <w:p>
      <w:pPr>
        <w:ind w:firstLine="358"/>
        <w:spacing w:after="0" w:line="236" w:lineRule="auto"/>
        <w:rPr>
          <w:sz w:val="20"/>
          <w:szCs w:val="20"/>
          <w:color w:val="auto"/>
        </w:rPr>
      </w:pPr>
      <w:r>
        <w:rPr>
          <w:rFonts w:ascii="Times New Roman" w:cs="Times New Roman" w:eastAsia="Times New Roman" w:hAnsi="Times New Roman"/>
          <w:sz w:val="16"/>
          <w:szCs w:val="16"/>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Starting on May 27, 2020, the parties have submitted periodic status reports as ordered by the court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8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05" w:lineRule="exact"/>
        <w:rPr>
          <w:sz w:val="20"/>
          <w:szCs w:val="20"/>
          <w:color w:val="auto"/>
        </w:rPr>
      </w:pPr>
    </w:p>
    <w:p>
      <w:pPr>
        <w:ind w:right="380" w:firstLine="358"/>
        <w:spacing w:after="0" w:line="280" w:lineRule="auto"/>
        <w:rPr>
          <w:sz w:val="20"/>
          <w:szCs w:val="20"/>
          <w:color w:val="auto"/>
        </w:rPr>
      </w:pPr>
      <w:r>
        <w:rPr>
          <w:rFonts w:ascii="Times New Roman" w:cs="Times New Roman" w:eastAsia="Times New Roman" w:hAnsi="Times New Roman"/>
          <w:sz w:val="16"/>
          <w:szCs w:val="16"/>
          <w:color w:val="auto"/>
        </w:rPr>
        <w:t>There have been no material changes during the period covered by this Quarterly Report on Form 10-Q to the risk factors disclosed in Part I, Item 1A, of our Annual Report on Form 10-K for the fiscal year ended March 31, 2023 filed with the Securities and Exchange Commission on May 26, 2023.</w:t>
      </w:r>
    </w:p>
    <w:p>
      <w:pPr>
        <w:spacing w:after="0" w:line="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Unregistered Sales of Equity Securities and Use of Proceeds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shows the share repurchase activity for each of the three months in the quarter ended December 31,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0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Approximate Dollar Value</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00" w:type="dxa"/>
            <w:vAlign w:val="bottom"/>
          </w:tcPr>
          <w:p>
            <w:pPr>
              <w:spacing w:after="0"/>
              <w:rPr>
                <w:sz w:val="14"/>
                <w:szCs w:val="14"/>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Price Paid per</w:t>
            </w: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84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of Shares that May Yet Be</w:t>
            </w:r>
          </w:p>
        </w:tc>
        <w:tc>
          <w:tcPr>
            <w:tcW w:w="0" w:type="dxa"/>
            <w:vAlign w:val="bottom"/>
          </w:tcPr>
          <w:p>
            <w:pPr>
              <w:spacing w:after="0"/>
              <w:rPr>
                <w:sz w:val="1"/>
                <w:szCs w:val="1"/>
                <w:color w:val="auto"/>
              </w:rPr>
            </w:pPr>
          </w:p>
        </w:tc>
      </w:tr>
      <w:tr>
        <w:trPr>
          <w:trHeight w:val="155"/>
        </w:trPr>
        <w:tc>
          <w:tcPr>
            <w:tcW w:w="374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8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Publicly Announced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right"/>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03"/>
        </w:trPr>
        <w:tc>
          <w:tcPr>
            <w:tcW w:w="3740" w:type="dxa"/>
            <w:vAlign w:val="bottom"/>
            <w:gridSpan w:val="2"/>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10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ind w:right="120"/>
              <w:spacing w:after="0" w:line="204"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0"/>
                <w:szCs w:val="20"/>
                <w:color w:val="auto"/>
                <w:w w:val="98"/>
                <w:vertAlign w:val="superscript"/>
              </w:rPr>
              <w:t>(1)</w:t>
            </w:r>
          </w:p>
        </w:tc>
        <w:tc>
          <w:tcPr>
            <w:tcW w:w="0" w:type="dxa"/>
            <w:vAlign w:val="bottom"/>
          </w:tcPr>
          <w:p>
            <w:pPr>
              <w:spacing w:after="0"/>
              <w:rPr>
                <w:sz w:val="1"/>
                <w:szCs w:val="1"/>
                <w:color w:val="auto"/>
              </w:rPr>
            </w:pPr>
          </w:p>
        </w:tc>
      </w:tr>
      <w:tr>
        <w:trPr>
          <w:trHeight w:val="195"/>
        </w:trPr>
        <w:tc>
          <w:tcPr>
            <w:tcW w:w="362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October 2023</w:t>
            </w:r>
          </w:p>
        </w:tc>
        <w:tc>
          <w:tcPr>
            <w:tcW w:w="120" w:type="dxa"/>
            <w:vAlign w:val="bottom"/>
            <w:tcBorders>
              <w:top w:val="single" w:sz="8" w:color="BFE4FF"/>
            </w:tcBorders>
            <w:shd w:val="clear" w:color="auto" w:fill="BFE4FF"/>
          </w:tcPr>
          <w:p>
            <w:pPr>
              <w:spacing w:after="0"/>
              <w:rPr>
                <w:sz w:val="16"/>
                <w:szCs w:val="16"/>
                <w:color w:val="auto"/>
              </w:rPr>
            </w:pPr>
          </w:p>
        </w:tc>
        <w:tc>
          <w:tcPr>
            <w:tcW w:w="17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6"/>
                <w:szCs w:val="16"/>
                <w:color w:val="auto"/>
                <w:w w:val="99"/>
              </w:rPr>
              <w:t>198,703</w:t>
            </w:r>
          </w:p>
        </w:tc>
        <w:tc>
          <w:tcPr>
            <w:tcW w:w="100" w:type="dxa"/>
            <w:vAlign w:val="bottom"/>
            <w:tcBorders>
              <w:top w:val="single" w:sz="8" w:color="BFE4FF"/>
            </w:tcBorders>
            <w:shd w:val="clear" w:color="auto" w:fill="BFE4FF"/>
          </w:tcPr>
          <w:p>
            <w:pPr>
              <w:spacing w:after="0"/>
              <w:rPr>
                <w:sz w:val="16"/>
                <w:szCs w:val="16"/>
                <w:color w:val="auto"/>
              </w:rPr>
            </w:pPr>
          </w:p>
        </w:tc>
        <w:tc>
          <w:tcPr>
            <w:tcW w:w="178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6"/>
                <w:szCs w:val="16"/>
                <w:color w:val="auto"/>
                <w:w w:val="96"/>
              </w:rPr>
              <w:t>$114.23</w:t>
            </w:r>
          </w:p>
        </w:tc>
        <w:tc>
          <w:tcPr>
            <w:tcW w:w="100" w:type="dxa"/>
            <w:vAlign w:val="bottom"/>
            <w:tcBorders>
              <w:top w:val="single" w:sz="8" w:color="BFE4FF"/>
            </w:tcBorders>
            <w:shd w:val="clear" w:color="auto" w:fill="BFE4FF"/>
          </w:tcPr>
          <w:p>
            <w:pPr>
              <w:spacing w:after="0"/>
              <w:rPr>
                <w:sz w:val="16"/>
                <w:szCs w:val="16"/>
                <w:color w:val="auto"/>
              </w:rPr>
            </w:pPr>
          </w:p>
        </w:tc>
        <w:tc>
          <w:tcPr>
            <w:tcW w:w="182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6"/>
                <w:szCs w:val="16"/>
                <w:color w:val="auto"/>
                <w:w w:val="99"/>
              </w:rPr>
              <w:t>198,703</w:t>
            </w:r>
          </w:p>
        </w:tc>
        <w:tc>
          <w:tcPr>
            <w:tcW w:w="100" w:type="dxa"/>
            <w:vAlign w:val="bottom"/>
            <w:tcBorders>
              <w:top w:val="single" w:sz="8" w:color="BFE4FF"/>
            </w:tcBorders>
            <w:shd w:val="clear" w:color="auto" w:fill="BFE4FF"/>
          </w:tcPr>
          <w:p>
            <w:pPr>
              <w:spacing w:after="0"/>
              <w:rPr>
                <w:sz w:val="16"/>
                <w:szCs w:val="16"/>
                <w:color w:val="auto"/>
              </w:rPr>
            </w:pPr>
          </w:p>
        </w:tc>
        <w:tc>
          <w:tcPr>
            <w:tcW w:w="16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653,160,376</w:t>
            </w: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2023</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357,280</w:t>
            </w:r>
          </w:p>
        </w:tc>
        <w:tc>
          <w:tcPr>
            <w:tcW w:w="18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$125.92</w:t>
            </w: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357,280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608,172,935</w:t>
            </w: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December 2023</w:t>
            </w:r>
          </w:p>
        </w:tc>
        <w:tc>
          <w:tcPr>
            <w:tcW w:w="174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6"/>
                <w:szCs w:val="16"/>
                <w:color w:val="auto"/>
                <w:w w:val="99"/>
              </w:rPr>
              <w:t>194,376</w:t>
            </w:r>
          </w:p>
        </w:tc>
        <w:tc>
          <w:tcPr>
            <w:tcW w:w="1880" w:type="dxa"/>
            <w:vAlign w:val="bottom"/>
            <w:gridSpan w:val="2"/>
            <w:shd w:val="clear" w:color="auto" w:fill="BFE4FF"/>
          </w:tcPr>
          <w:p>
            <w:pPr>
              <w:jc w:val="center"/>
              <w:ind w:left="40"/>
              <w:spacing w:after="0"/>
              <w:rPr>
                <w:sz w:val="20"/>
                <w:szCs w:val="20"/>
                <w:color w:val="auto"/>
              </w:rPr>
            </w:pPr>
            <w:r>
              <w:rPr>
                <w:rFonts w:ascii="Times New Roman" w:cs="Times New Roman" w:eastAsia="Times New Roman" w:hAnsi="Times New Roman"/>
                <w:sz w:val="16"/>
                <w:szCs w:val="16"/>
                <w:color w:val="auto"/>
                <w:w w:val="99"/>
              </w:rPr>
              <w:t>$128.62</w:t>
            </w:r>
          </w:p>
        </w:tc>
        <w:tc>
          <w:tcPr>
            <w:tcW w:w="100" w:type="dxa"/>
            <w:vAlign w:val="bottom"/>
            <w:shd w:val="clear" w:color="auto" w:fill="BFE4FF"/>
          </w:tcPr>
          <w:p>
            <w:pPr>
              <w:spacing w:after="0"/>
              <w:rPr>
                <w:sz w:val="17"/>
                <w:szCs w:val="17"/>
                <w:color w:val="auto"/>
              </w:rPr>
            </w:pPr>
          </w:p>
        </w:tc>
        <w:tc>
          <w:tcPr>
            <w:tcW w:w="182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6"/>
                <w:szCs w:val="16"/>
                <w:color w:val="auto"/>
                <w:w w:val="99"/>
              </w:rPr>
              <w:t>194,376</w:t>
            </w:r>
          </w:p>
        </w:tc>
        <w:tc>
          <w:tcPr>
            <w:tcW w:w="260" w:type="dxa"/>
            <w:vAlign w:val="bottom"/>
            <w:gridSpan w:val="2"/>
            <w:shd w:val="clear" w:color="auto" w:fill="BFE4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583,173,026</w:t>
            </w:r>
          </w:p>
        </w:tc>
        <w:tc>
          <w:tcPr>
            <w:tcW w:w="0" w:type="dxa"/>
            <w:vAlign w:val="bottom"/>
          </w:tcPr>
          <w:p>
            <w:pPr>
              <w:spacing w:after="0"/>
              <w:rPr>
                <w:sz w:val="1"/>
                <w:szCs w:val="1"/>
                <w:color w:val="auto"/>
              </w:rPr>
            </w:pPr>
          </w:p>
        </w:tc>
      </w:tr>
      <w:tr>
        <w:trPr>
          <w:trHeight w:val="195"/>
        </w:trPr>
        <w:tc>
          <w:tcPr>
            <w:tcW w:w="37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750,359</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750,359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560" w:hanging="134"/>
        <w:spacing w:after="0" w:line="303" w:lineRule="auto"/>
        <w:tabs>
          <w:tab w:leader="none" w:pos="563"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December 12, 2011, the Board of Directors approved a share repurchase program, which was most recently increased by $400.0 million to $2,560.0 million on July 27, 2022.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The above table does not factor in any increases to the share repurchase program subsequent to December 31, 2023.</w:t>
      </w:r>
    </w:p>
    <w:p>
      <w:pPr>
        <w:spacing w:after="0" w:line="23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Defaults Upon Senior Securities</w:t>
      </w:r>
    </w:p>
    <w:p>
      <w:pPr>
        <w:spacing w:after="0" w:line="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62865</wp:posOffset>
            </wp:positionV>
            <wp:extent cx="717359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ind w:left="4"/>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81851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Mine Safety Disclosures</w:t>
      </w:r>
    </w:p>
    <w:p>
      <w:pPr>
        <w:spacing w:after="0" w:line="5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6"/>
          <w:szCs w:val="16"/>
          <w:color w:val="auto"/>
        </w:rPr>
        <w:t>Not applicable.</w:t>
      </w:r>
    </w:p>
    <w:p>
      <w:pPr>
        <w:spacing w:after="0" w:line="101"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91"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6"/>
          <w:szCs w:val="16"/>
          <w:b w:val="1"/>
          <w:bCs w:val="1"/>
          <w:color w:val="auto"/>
        </w:rPr>
        <w:t>Disclosure of Trading Arrangements</w:t>
      </w:r>
    </w:p>
    <w:p>
      <w:pPr>
        <w:spacing w:after="0" w:line="93" w:lineRule="exact"/>
        <w:rPr>
          <w:sz w:val="20"/>
          <w:szCs w:val="20"/>
          <w:color w:val="auto"/>
        </w:rPr>
      </w:pPr>
    </w:p>
    <w:p>
      <w:pPr>
        <w:ind w:left="4" w:right="20" w:firstLine="358"/>
        <w:spacing w:after="0" w:line="249" w:lineRule="auto"/>
        <w:rPr>
          <w:sz w:val="20"/>
          <w:szCs w:val="20"/>
          <w:color w:val="auto"/>
        </w:rPr>
      </w:pPr>
      <w:r>
        <w:rPr>
          <w:rFonts w:ascii="Times New Roman" w:cs="Times New Roman" w:eastAsia="Times New Roman" w:hAnsi="Times New Roman"/>
          <w:sz w:val="16"/>
          <w:szCs w:val="16"/>
          <w:color w:val="auto"/>
        </w:rPr>
        <w:t>Item 408(a) of Regulation S-K requires the Company to disclose whether any director or officer of the Company has adopted or terminated (i) any trading arrangement that is intended to satisfy the affirmative defense conditions of Rule 10b5-1(c) (a “Rule 10b5-1 trading arrangement”); and/or (ii) any written trading arrangement that meets the requirements of a “non-Rule 10b5-1 trading arrangement” as defined in Item 408(c) of Regulation S-K.</w:t>
      </w:r>
    </w:p>
    <w:p>
      <w:pPr>
        <w:spacing w:after="0" w:line="61"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6"/>
          <w:szCs w:val="16"/>
          <w:color w:val="auto"/>
        </w:rPr>
        <w:t>During the quarter ended December 31, 2023, the following activity occurred requiring disclosure under Item 408(a) of Regulation S-K:</w:t>
      </w:r>
    </w:p>
    <w:p>
      <w:pPr>
        <w:spacing w:after="0" w:line="91" w:lineRule="exact"/>
        <w:rPr>
          <w:sz w:val="20"/>
          <w:szCs w:val="20"/>
          <w:color w:val="auto"/>
        </w:rPr>
      </w:pPr>
    </w:p>
    <w:p>
      <w:pPr>
        <w:ind w:left="4" w:right="120" w:firstLine="358"/>
        <w:spacing w:after="0" w:line="241" w:lineRule="auto"/>
        <w:rPr>
          <w:sz w:val="20"/>
          <w:szCs w:val="20"/>
          <w:color w:val="auto"/>
        </w:rPr>
      </w:pPr>
      <w:r>
        <w:rPr>
          <w:rFonts w:ascii="Times New Roman" w:cs="Times New Roman" w:eastAsia="Times New Roman" w:hAnsi="Times New Roman"/>
          <w:sz w:val="16"/>
          <w:szCs w:val="16"/>
          <w:color w:val="auto"/>
        </w:rPr>
        <w:t>Horacio D. Rozanski, our Chief Executive Officer, adopted a new Rule 10b5-1 trading arrangement on November 13, 2023 that will terminate on November 11, 2024. Under the trading arrangement, up to an aggregate of 49,000 shares of common stock are available to be sold by the broker upon reaching pricing targets defined in the trading arrangement.</w:t>
      </w:r>
    </w:p>
    <w:p>
      <w:pPr>
        <w:spacing w:after="0" w:line="67" w:lineRule="exact"/>
        <w:rPr>
          <w:sz w:val="20"/>
          <w:szCs w:val="20"/>
          <w:color w:val="auto"/>
        </w:rPr>
      </w:pPr>
    </w:p>
    <w:p>
      <w:pPr>
        <w:ind w:left="4" w:right="60" w:firstLine="358"/>
        <w:spacing w:after="0" w:line="265" w:lineRule="auto"/>
        <w:rPr>
          <w:sz w:val="20"/>
          <w:szCs w:val="20"/>
          <w:color w:val="auto"/>
        </w:rPr>
      </w:pPr>
      <w:r>
        <w:rPr>
          <w:rFonts w:ascii="Times New Roman" w:cs="Times New Roman" w:eastAsia="Times New Roman" w:hAnsi="Times New Roman"/>
          <w:sz w:val="16"/>
          <w:szCs w:val="16"/>
          <w:color w:val="auto"/>
        </w:rPr>
        <w:t>Matthew A. Calderone, our Chief Financial Officer, adopted a new Rule 10b5-1 trading arrangement on December 14, 2023 that will terminate on March 28, 2024. Under the trading arrangement, up to an aggregate of 3,000 shares of common stock are available to be sold by the broker pursuant to the trading arrangement.</w:t>
      </w:r>
    </w:p>
    <w:p>
      <w:pPr>
        <w:spacing w:after="0" w:line="106"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Exhibits</w:t>
      </w:r>
    </w:p>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Exhibit</w:t>
            </w: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Number</w:t>
            </w:r>
          </w:p>
        </w:tc>
        <w:tc>
          <w:tcPr>
            <w:tcW w:w="103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8"/>
        </w:trPr>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33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6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r>
      <w:tr>
        <w:trPr>
          <w:trHeight w:val="183"/>
        </w:trPr>
        <w:tc>
          <w:tcPr>
            <w:tcW w:w="840" w:type="dxa"/>
            <w:vAlign w:val="bottom"/>
            <w:shd w:val="clear" w:color="auto" w:fill="CCEEFF"/>
          </w:tcPr>
          <w:p>
            <w:pPr>
              <w:jc w:val="right"/>
              <w:ind w:right="460"/>
              <w:spacing w:after="0" w:line="168" w:lineRule="exact"/>
              <w:rPr>
                <w:sz w:val="20"/>
                <w:szCs w:val="20"/>
                <w:color w:val="auto"/>
              </w:rPr>
            </w:pPr>
            <w:r>
              <w:rPr>
                <w:rFonts w:ascii="Times New Roman" w:cs="Times New Roman" w:eastAsia="Times New Roman" w:hAnsi="Times New Roman"/>
                <w:sz w:val="16"/>
                <w:szCs w:val="16"/>
                <w:color w:val="auto"/>
                <w:w w:val="99"/>
              </w:rPr>
              <w:t>31.1</w:t>
            </w:r>
          </w:p>
        </w:tc>
        <w:tc>
          <w:tcPr>
            <w:tcW w:w="120" w:type="dxa"/>
            <w:vAlign w:val="bottom"/>
            <w:tcBorders>
              <w:right w:val="single" w:sz="8" w:color="CCEEFF"/>
            </w:tcBorders>
            <w:shd w:val="clear" w:color="auto" w:fill="CCEEFF"/>
          </w:tcPr>
          <w:p>
            <w:pPr>
              <w:spacing w:after="0"/>
              <w:rPr>
                <w:sz w:val="15"/>
                <w:szCs w:val="15"/>
                <w:color w:val="auto"/>
              </w:rPr>
            </w:pPr>
          </w:p>
        </w:tc>
        <w:tc>
          <w:tcPr>
            <w:tcW w:w="1030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FF"/>
              </w:rPr>
              <w:t>Rule 13a-14(a)/15d-14(a) Certification of the Chief Executive Officer*</w:t>
            </w:r>
          </w:p>
        </w:tc>
      </w:tr>
      <w:tr>
        <w:trPr>
          <w:trHeight w:val="167"/>
        </w:trPr>
        <w:tc>
          <w:tcPr>
            <w:tcW w:w="840" w:type="dxa"/>
            <w:vAlign w:val="bottom"/>
            <w:tcBorders>
              <w:top w:val="single" w:sz="8" w:color="CCEEFF"/>
            </w:tcBorders>
          </w:tcPr>
          <w:p>
            <w:pPr>
              <w:jc w:val="right"/>
              <w:ind w:right="460"/>
              <w:spacing w:after="0" w:line="168" w:lineRule="exact"/>
              <w:rPr>
                <w:sz w:val="20"/>
                <w:szCs w:val="20"/>
                <w:color w:val="auto"/>
              </w:rPr>
            </w:pPr>
            <w:r>
              <w:rPr>
                <w:rFonts w:ascii="Times New Roman" w:cs="Times New Roman" w:eastAsia="Times New Roman" w:hAnsi="Times New Roman"/>
                <w:sz w:val="16"/>
                <w:szCs w:val="16"/>
                <w:color w:val="auto"/>
                <w:w w:val="99"/>
              </w:rPr>
              <w:t>31.2</w:t>
            </w:r>
          </w:p>
        </w:tc>
        <w:tc>
          <w:tcPr>
            <w:tcW w:w="120" w:type="dxa"/>
            <w:vAlign w:val="bottom"/>
            <w:tcBorders>
              <w:top w:val="single" w:sz="8" w:color="CCEEFF"/>
            </w:tcBorders>
          </w:tcPr>
          <w:p>
            <w:pPr>
              <w:spacing w:after="0"/>
              <w:rPr>
                <w:sz w:val="14"/>
                <w:szCs w:val="14"/>
                <w:color w:val="auto"/>
              </w:rPr>
            </w:pPr>
          </w:p>
        </w:tc>
        <w:tc>
          <w:tcPr>
            <w:tcW w:w="4520" w:type="dxa"/>
            <w:vAlign w:val="bottom"/>
            <w:tcBorders>
              <w:top w:val="single" w:sz="8" w:color="0000FF"/>
            </w:tcBorders>
            <w:gridSpan w:val="3"/>
          </w:tcPr>
          <w:p>
            <w:pPr>
              <w:spacing w:after="0" w:line="168" w:lineRule="exact"/>
              <w:rPr>
                <w:sz w:val="20"/>
                <w:szCs w:val="20"/>
                <w:color w:val="auto"/>
              </w:rPr>
            </w:pPr>
            <w:r>
              <w:rPr>
                <w:rFonts w:ascii="Times New Roman" w:cs="Times New Roman" w:eastAsia="Times New Roman" w:hAnsi="Times New Roman"/>
                <w:sz w:val="16"/>
                <w:szCs w:val="16"/>
                <w:color w:val="0000FF"/>
                <w:w w:val="99"/>
              </w:rPr>
              <w:t>Rule 13a-14(a)/15d-14(a) Certification of the Chief Financial Officer*</w:t>
            </w:r>
          </w:p>
        </w:tc>
        <w:tc>
          <w:tcPr>
            <w:tcW w:w="5780" w:type="dxa"/>
            <w:vAlign w:val="bottom"/>
            <w:tcBorders>
              <w:top w:val="single" w:sz="8" w:color="CCEEFF"/>
            </w:tcBorders>
            <w:gridSpan w:val="3"/>
          </w:tcPr>
          <w:p>
            <w:pPr>
              <w:spacing w:after="0"/>
              <w:rPr>
                <w:sz w:val="14"/>
                <w:szCs w:val="14"/>
                <w:color w:val="auto"/>
              </w:rPr>
            </w:pPr>
          </w:p>
        </w:tc>
      </w:tr>
      <w:tr>
        <w:trPr>
          <w:trHeight w:val="28"/>
        </w:trPr>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332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5"/>
        </w:trPr>
        <w:tc>
          <w:tcPr>
            <w:tcW w:w="840" w:type="dxa"/>
            <w:vAlign w:val="bottom"/>
            <w:shd w:val="clear" w:color="auto" w:fill="CCEEFF"/>
          </w:tcPr>
          <w:p>
            <w:pPr>
              <w:jc w:val="right"/>
              <w:ind w:right="460"/>
              <w:spacing w:after="0" w:line="175" w:lineRule="exact"/>
              <w:rPr>
                <w:sz w:val="20"/>
                <w:szCs w:val="20"/>
                <w:color w:val="auto"/>
              </w:rPr>
            </w:pPr>
            <w:r>
              <w:rPr>
                <w:rFonts w:ascii="Times New Roman" w:cs="Times New Roman" w:eastAsia="Times New Roman" w:hAnsi="Times New Roman"/>
                <w:sz w:val="16"/>
                <w:szCs w:val="16"/>
                <w:color w:val="auto"/>
                <w:w w:val="99"/>
              </w:rPr>
              <w:t>32.1</w:t>
            </w:r>
          </w:p>
        </w:tc>
        <w:tc>
          <w:tcPr>
            <w:tcW w:w="120" w:type="dxa"/>
            <w:vAlign w:val="bottom"/>
            <w:tcBorders>
              <w:right w:val="single" w:sz="8" w:color="CCEEFF"/>
            </w:tcBorders>
            <w:shd w:val="clear" w:color="auto" w:fill="CCEEFF"/>
          </w:tcPr>
          <w:p>
            <w:pPr>
              <w:spacing w:after="0"/>
              <w:rPr>
                <w:sz w:val="15"/>
                <w:szCs w:val="15"/>
                <w:color w:val="auto"/>
              </w:rPr>
            </w:pPr>
          </w:p>
        </w:tc>
        <w:tc>
          <w:tcPr>
            <w:tcW w:w="1030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the Chief Executive Officer required by Rule 13a-14(b) or Rule 15d-14(b) and Section 1350 of Chapter 63 of Title 18 of the United States Code</w:t>
            </w:r>
          </w:p>
        </w:tc>
      </w:tr>
      <w:tr>
        <w:trPr>
          <w:trHeight w:val="147"/>
        </w:trPr>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0180" w:type="dxa"/>
            <w:vAlign w:val="bottom"/>
            <w:tcBorders>
              <w:top w:val="single" w:sz="8" w:color="0000FF"/>
            </w:tcBorders>
            <w:gridSpan w:val="5"/>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(18 U.S.C. 1350)*</w:t>
            </w:r>
          </w:p>
        </w:tc>
        <w:tc>
          <w:tcPr>
            <w:tcW w:w="120" w:type="dxa"/>
            <w:vAlign w:val="bottom"/>
            <w:tcBorders>
              <w:top w:val="single" w:sz="8" w:color="CCEEFF"/>
            </w:tcBorders>
            <w:shd w:val="clear" w:color="auto" w:fill="CCEEFF"/>
          </w:tcPr>
          <w:p>
            <w:pPr>
              <w:spacing w:after="0"/>
              <w:rPr>
                <w:sz w:val="12"/>
                <w:szCs w:val="12"/>
                <w:color w:val="auto"/>
              </w:rPr>
            </w:pPr>
          </w:p>
        </w:tc>
      </w:tr>
      <w:tr>
        <w:trPr>
          <w:trHeight w:val="36"/>
        </w:trPr>
        <w:tc>
          <w:tcPr>
            <w:tcW w:w="8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3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67"/>
        </w:trPr>
        <w:tc>
          <w:tcPr>
            <w:tcW w:w="840" w:type="dxa"/>
            <w:vAlign w:val="bottom"/>
          </w:tcPr>
          <w:p>
            <w:pPr>
              <w:jc w:val="right"/>
              <w:ind w:right="460"/>
              <w:spacing w:after="0" w:line="168" w:lineRule="exact"/>
              <w:rPr>
                <w:sz w:val="20"/>
                <w:szCs w:val="20"/>
                <w:color w:val="auto"/>
              </w:rPr>
            </w:pPr>
            <w:r>
              <w:rPr>
                <w:rFonts w:ascii="Times New Roman" w:cs="Times New Roman" w:eastAsia="Times New Roman" w:hAnsi="Times New Roman"/>
                <w:sz w:val="16"/>
                <w:szCs w:val="16"/>
                <w:color w:val="auto"/>
                <w:w w:val="99"/>
              </w:rPr>
              <w:t>32.2</w:t>
            </w:r>
          </w:p>
        </w:tc>
        <w:tc>
          <w:tcPr>
            <w:tcW w:w="120" w:type="dxa"/>
            <w:vAlign w:val="bottom"/>
          </w:tcPr>
          <w:p>
            <w:pPr>
              <w:spacing w:after="0"/>
              <w:rPr>
                <w:sz w:val="14"/>
                <w:szCs w:val="14"/>
                <w:color w:val="auto"/>
              </w:rPr>
            </w:pPr>
          </w:p>
        </w:tc>
        <w:tc>
          <w:tcPr>
            <w:tcW w:w="1030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0000FF"/>
              </w:rPr>
              <w:t>Certification of the Chief Financial Officer required by Rule 13a-14(b) or Rule 15d-14(b) and Section 1350 of Chapter 63 of Title 18 of the United States Code</w:t>
            </w:r>
          </w:p>
        </w:tc>
      </w:tr>
      <w:tr>
        <w:trPr>
          <w:trHeight w:val="147"/>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40" w:type="dxa"/>
            <w:vAlign w:val="bottom"/>
            <w:tcBorders>
              <w:top w:val="single" w:sz="8" w:color="0000FF"/>
            </w:tcBorders>
            <w:gridSpan w:val="4"/>
          </w:tcPr>
          <w:p>
            <w:pPr>
              <w:spacing w:after="0" w:line="148" w:lineRule="exact"/>
              <w:rPr>
                <w:sz w:val="20"/>
                <w:szCs w:val="20"/>
                <w:color w:val="auto"/>
              </w:rPr>
            </w:pPr>
            <w:r>
              <w:rPr>
                <w:rFonts w:ascii="Times New Roman" w:cs="Times New Roman" w:eastAsia="Times New Roman" w:hAnsi="Times New Roman"/>
                <w:sz w:val="16"/>
                <w:szCs w:val="16"/>
                <w:color w:val="0000FF"/>
              </w:rPr>
              <w:t>(18 U.S.C. 1350)*</w:t>
            </w:r>
          </w:p>
        </w:tc>
        <w:tc>
          <w:tcPr>
            <w:tcW w:w="160" w:type="dxa"/>
            <w:vAlign w:val="bottom"/>
            <w:gridSpan w:val="2"/>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 w:lineRule="exact"/>
        <w:rPr>
          <w:sz w:val="20"/>
          <w:szCs w:val="20"/>
          <w:color w:val="auto"/>
        </w:rPr>
      </w:pPr>
    </w:p>
    <w:p>
      <w:pPr>
        <w:ind w:left="964" w:right="200" w:hanging="949"/>
        <w:spacing w:after="0" w:line="222" w:lineRule="auto"/>
        <w:tabs>
          <w:tab w:leader="none" w:pos="96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Booz Allen Hamilton Holding Corporation’s Quarterly Report on Form 10-Q for the three and nine months ended December 31, 2023 formatted in Inline XBRL (eXtensible Business Reporting Language): (i) Condensed Consolidated Balance Sheets at December 31, 2023 and March 31, 2023; (ii) Condensed Consolidated Statements of Operations for the three and nine months ended December 31, 2023 and 2022; (iii) Condensed Consolidated Statements of Comprehensive Income for the three and nine months ended December 31, 2023 and 2022; (iv) Condensed Consolidated Statements of Cash Flows for the nine months ended December 31, 2023 and 2022; and (v)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-536575</wp:posOffset>
            </wp:positionV>
            <wp:extent cx="7148195" cy="538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538480"/>
                    </a:xfrm>
                    <a:prstGeom prst="rect">
                      <a:avLst/>
                    </a:prstGeom>
                    <a:noFill/>
                  </pic:spPr>
                </pic:pic>
              </a:graphicData>
            </a:graphic>
          </wp:anchor>
        </w:drawing>
      </w:r>
    </w:p>
    <w:p>
      <w:pPr>
        <w:ind w:left="24"/>
        <w:spacing w:after="0"/>
        <w:tabs>
          <w:tab w:leader="none" w:pos="944"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55" w:lineRule="exact"/>
        <w:rPr>
          <w:sz w:val="20"/>
          <w:szCs w:val="20"/>
          <w:color w:val="auto"/>
        </w:rPr>
      </w:pPr>
    </w:p>
    <w:p>
      <w:pPr>
        <w:ind w:left="244" w:hanging="244"/>
        <w:spacing w:after="0"/>
        <w:tabs>
          <w:tab w:leader="none" w:pos="24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electronically herewith.</w:t>
      </w:r>
    </w:p>
    <w:p>
      <w:pPr>
        <w:spacing w:after="0" w:line="200" w:lineRule="exact"/>
        <w:rPr>
          <w:sz w:val="20"/>
          <w:szCs w:val="20"/>
          <w:color w:val="auto"/>
        </w:rPr>
      </w:pPr>
    </w:p>
    <w:p>
      <w:pPr>
        <w:spacing w:after="0" w:line="2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81851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8515" cy="762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5" w:lineRule="exact"/>
        <w:rPr>
          <w:sz w:val="20"/>
          <w:szCs w:val="20"/>
          <w:color w:val="auto"/>
        </w:rPr>
      </w:pPr>
    </w:p>
    <w:p>
      <w:pPr>
        <w:ind w:firstLine="35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85"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6"/>
          <w:szCs w:val="16"/>
          <w:u w:val="single" w:color="auto"/>
          <w:color w:val="auto"/>
        </w:rPr>
        <w:t>Booz Allen Hamilton Holding Corporation</w:t>
      </w:r>
    </w:p>
    <w:p>
      <w:pPr>
        <w:spacing w:after="0" w:line="24"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6"/>
          <w:szCs w:val="16"/>
          <w:color w:val="auto"/>
        </w:rPr>
        <w:t>Registrant</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4780" w:val="left"/>
          <w:tab w:leader="none" w:pos="5240" w:val="left"/>
        </w:tabs>
        <w:rPr>
          <w:sz w:val="20"/>
          <w:szCs w:val="20"/>
          <w:color w:val="auto"/>
        </w:rPr>
      </w:pPr>
      <w:r>
        <w:rPr>
          <w:rFonts w:ascii="Times New Roman" w:cs="Times New Roman" w:eastAsia="Times New Roman" w:hAnsi="Times New Roman"/>
          <w:sz w:val="16"/>
          <w:szCs w:val="16"/>
          <w:color w:val="auto"/>
        </w:rPr>
        <w:t>Date: January 26, 2024</w:t>
      </w:r>
      <w:r>
        <w:rPr>
          <w:sz w:val="20"/>
          <w:szCs w:val="20"/>
          <w:color w:val="auto"/>
        </w:rPr>
        <w:tab/>
      </w:r>
      <w:r>
        <w:rPr>
          <w:rFonts w:ascii="Times New Roman" w:cs="Times New Roman" w:eastAsia="Times New Roman" w:hAnsi="Times New Roman"/>
          <w:sz w:val="16"/>
          <w:szCs w:val="16"/>
          <w:color w:val="auto"/>
        </w:rPr>
        <w:t>By:</w:t>
        <w:tab/>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15240</wp:posOffset>
            </wp:positionV>
            <wp:extent cx="379412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94125" cy="7620"/>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6"/>
          <w:szCs w:val="16"/>
          <w:color w:val="auto"/>
        </w:rPr>
        <w:t>Matthew A. Calderone</w:t>
      </w:r>
    </w:p>
    <w:p>
      <w:pPr>
        <w:ind w:left="5260"/>
        <w:spacing w:after="0" w:line="218" w:lineRule="auto"/>
        <w:rPr>
          <w:sz w:val="20"/>
          <w:szCs w:val="20"/>
          <w:color w:val="auto"/>
        </w:rPr>
      </w:pPr>
      <w:r>
        <w:rPr>
          <w:rFonts w:ascii="Times New Roman" w:cs="Times New Roman" w:eastAsia="Times New Roman" w:hAnsi="Times New Roman"/>
          <w:sz w:val="16"/>
          <w:szCs w:val="16"/>
          <w:color w:val="auto"/>
        </w:rPr>
        <w:t>Executive Vice President and Chief Financial Officer</w:t>
      </w:r>
    </w:p>
    <w:p>
      <w:pPr>
        <w:ind w:left="52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240"/>
          </w:cols>
          <w:pgMar w:left="320" w:top="12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 PURSUANT TO RULE 13A-14(A) OF THE</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EXCHANGE ACT OF 1934, AS AMENDED</w:t>
      </w:r>
    </w:p>
    <w:p>
      <w:pPr>
        <w:spacing w:after="0" w:line="1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Horacio D. Rozanski, certify that:</w:t>
      </w:r>
    </w:p>
    <w:p>
      <w:pPr>
        <w:spacing w:after="0" w:line="151" w:lineRule="exact"/>
        <w:rPr>
          <w:sz w:val="20"/>
          <w:szCs w:val="20"/>
          <w:color w:val="auto"/>
        </w:rPr>
      </w:pPr>
    </w:p>
    <w:p>
      <w:pPr>
        <w:ind w:left="164" w:hanging="164"/>
        <w:spacing w:after="0"/>
        <w:tabs>
          <w:tab w:leader="none" w:pos="16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Booz Allen Hamilton Holding Corporation.</w:t>
      </w:r>
    </w:p>
    <w:p>
      <w:pPr>
        <w:spacing w:after="0" w:line="150" w:lineRule="exact"/>
        <w:rPr>
          <w:rFonts w:ascii="Times New Roman" w:cs="Times New Roman" w:eastAsia="Times New Roman" w:hAnsi="Times New Roman"/>
          <w:sz w:val="16"/>
          <w:szCs w:val="16"/>
          <w:color w:val="auto"/>
        </w:rPr>
      </w:pPr>
    </w:p>
    <w:p>
      <w:pPr>
        <w:ind w:left="4" w:right="40" w:hanging="4"/>
        <w:spacing w:after="0" w:line="280" w:lineRule="auto"/>
        <w:tabs>
          <w:tab w:leader="none" w:pos="16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6"/>
          <w:szCs w:val="16"/>
          <w:color w:val="auto"/>
        </w:rPr>
      </w:pPr>
    </w:p>
    <w:p>
      <w:pPr>
        <w:ind w:left="4" w:right="80" w:hanging="4"/>
        <w:spacing w:after="0" w:line="280" w:lineRule="auto"/>
        <w:tabs>
          <w:tab w:leader="none" w:pos="16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4" w:right="20" w:hanging="4"/>
        <w:spacing w:after="0" w:line="280" w:lineRule="auto"/>
        <w:tabs>
          <w:tab w:leader="none" w:pos="16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sz w:val="20"/>
          <w:szCs w:val="20"/>
          <w:color w:val="auto"/>
        </w:rPr>
      </w:pPr>
    </w:p>
    <w:p>
      <w:pPr>
        <w:ind w:left="4" w:right="280" w:hanging="4"/>
        <w:spacing w:after="0" w:line="265" w:lineRule="auto"/>
        <w:tabs>
          <w:tab w:leader="none" w:pos="22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16"/>
          <w:szCs w:val="16"/>
          <w:color w:val="auto"/>
        </w:rPr>
      </w:pPr>
    </w:p>
    <w:p>
      <w:pPr>
        <w:ind w:left="4" w:right="120" w:hanging="4"/>
        <w:spacing w:after="0" w:line="265" w:lineRule="auto"/>
        <w:tabs>
          <w:tab w:leader="none" w:pos="23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Times New Roman" w:cs="Times New Roman" w:eastAsia="Times New Roman" w:hAnsi="Times New Roman"/>
          <w:sz w:val="16"/>
          <w:szCs w:val="16"/>
          <w:color w:val="auto"/>
        </w:rPr>
      </w:pPr>
    </w:p>
    <w:p>
      <w:pPr>
        <w:ind w:left="4" w:right="520" w:hanging="4"/>
        <w:spacing w:after="0" w:line="280" w:lineRule="auto"/>
        <w:tabs>
          <w:tab w:leader="none" w:pos="22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Times New Roman" w:cs="Times New Roman" w:eastAsia="Times New Roman" w:hAnsi="Times New Roman"/>
          <w:sz w:val="16"/>
          <w:szCs w:val="16"/>
          <w:color w:val="auto"/>
        </w:rPr>
      </w:pPr>
    </w:p>
    <w:p>
      <w:pPr>
        <w:ind w:left="4" w:right="140" w:hanging="4"/>
        <w:spacing w:after="0" w:line="265" w:lineRule="auto"/>
        <w:tabs>
          <w:tab w:leader="none" w:pos="23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08" w:lineRule="exact"/>
        <w:rPr>
          <w:sz w:val="20"/>
          <w:szCs w:val="20"/>
          <w:color w:val="auto"/>
        </w:rPr>
      </w:pPr>
    </w:p>
    <w:p>
      <w:pPr>
        <w:ind w:left="4" w:right="200" w:hanging="4"/>
        <w:spacing w:after="0" w:line="280" w:lineRule="auto"/>
        <w:tabs>
          <w:tab w:leader="none" w:pos="16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6" w:lineRule="exact"/>
        <w:rPr>
          <w:sz w:val="20"/>
          <w:szCs w:val="20"/>
          <w:color w:val="auto"/>
        </w:rPr>
      </w:pPr>
    </w:p>
    <w:p>
      <w:pPr>
        <w:ind w:left="4" w:right="80" w:hanging="4"/>
        <w:spacing w:after="0" w:line="280" w:lineRule="auto"/>
        <w:tabs>
          <w:tab w:leader="none" w:pos="22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24"/>
        <w:spacing w:after="0"/>
        <w:tabs>
          <w:tab w:leader="none" w:pos="6964" w:val="left"/>
          <w:tab w:leader="none" w:pos="7424" w:val="left"/>
        </w:tabs>
        <w:rPr>
          <w:sz w:val="20"/>
          <w:szCs w:val="20"/>
          <w:color w:val="auto"/>
        </w:rPr>
      </w:pPr>
      <w:r>
        <w:rPr>
          <w:rFonts w:ascii="Times New Roman" w:cs="Times New Roman" w:eastAsia="Times New Roman" w:hAnsi="Times New Roman"/>
          <w:sz w:val="16"/>
          <w:szCs w:val="16"/>
          <w:color w:val="auto"/>
        </w:rPr>
        <w:t>Date: January 26, 2024</w:t>
      </w:r>
      <w:r>
        <w:rPr>
          <w:sz w:val="20"/>
          <w:szCs w:val="20"/>
          <w:color w:val="auto"/>
        </w:rPr>
        <w:tab/>
      </w:r>
      <w:r>
        <w:rPr>
          <w:rFonts w:ascii="Times New Roman" w:cs="Times New Roman" w:eastAsia="Times New Roman" w:hAnsi="Times New Roman"/>
          <w:sz w:val="16"/>
          <w:szCs w:val="16"/>
          <w:color w:val="auto"/>
        </w:rPr>
        <w:t>By:</w:t>
        <w:tab/>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15240</wp:posOffset>
            </wp:positionV>
            <wp:extent cx="24130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13000" cy="7620"/>
                    </a:xfrm>
                    <a:prstGeom prst="rect">
                      <a:avLst/>
                    </a:prstGeom>
                    <a:noFill/>
                  </pic:spPr>
                </pic:pic>
              </a:graphicData>
            </a:graphic>
          </wp:anchor>
        </w:drawing>
      </w:r>
    </w:p>
    <w:p>
      <w:pPr>
        <w:ind w:left="7444"/>
        <w:spacing w:after="0"/>
        <w:rPr>
          <w:sz w:val="20"/>
          <w:szCs w:val="20"/>
          <w:color w:val="auto"/>
        </w:rPr>
      </w:pPr>
      <w:r>
        <w:rPr>
          <w:rFonts w:ascii="Times New Roman" w:cs="Times New Roman" w:eastAsia="Times New Roman" w:hAnsi="Times New Roman"/>
          <w:sz w:val="16"/>
          <w:szCs w:val="16"/>
          <w:color w:val="auto"/>
        </w:rPr>
        <w:t>Horacio D. Rozanski</w:t>
      </w:r>
    </w:p>
    <w:p>
      <w:pPr>
        <w:ind w:left="7444"/>
        <w:spacing w:after="0" w:line="218"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7444"/>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4"/>
          </w:cols>
          <w:pgMar w:left="316" w:top="802"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 PURSUANT TO RULE 13A-14(A) OF THE</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EXCHANGE ACT OF 1934, AS AMENDED</w:t>
      </w:r>
    </w:p>
    <w:p>
      <w:pPr>
        <w:spacing w:after="0" w:line="1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Matthew A. Calderone, certify that:</w:t>
      </w:r>
    </w:p>
    <w:p>
      <w:pPr>
        <w:spacing w:after="0" w:line="151" w:lineRule="exact"/>
        <w:rPr>
          <w:sz w:val="20"/>
          <w:szCs w:val="20"/>
          <w:color w:val="auto"/>
        </w:rPr>
      </w:pPr>
    </w:p>
    <w:p>
      <w:pPr>
        <w:ind w:left="164" w:hanging="164"/>
        <w:spacing w:after="0"/>
        <w:tabs>
          <w:tab w:leader="none" w:pos="16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Booz Allen Hamilton Holding Corporation.</w:t>
      </w:r>
    </w:p>
    <w:p>
      <w:pPr>
        <w:spacing w:after="0" w:line="150" w:lineRule="exact"/>
        <w:rPr>
          <w:rFonts w:ascii="Times New Roman" w:cs="Times New Roman" w:eastAsia="Times New Roman" w:hAnsi="Times New Roman"/>
          <w:sz w:val="16"/>
          <w:szCs w:val="16"/>
          <w:color w:val="auto"/>
        </w:rPr>
      </w:pPr>
    </w:p>
    <w:p>
      <w:pPr>
        <w:ind w:left="4" w:right="40" w:hanging="4"/>
        <w:spacing w:after="0" w:line="280" w:lineRule="auto"/>
        <w:tabs>
          <w:tab w:leader="none" w:pos="16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6"/>
          <w:szCs w:val="16"/>
          <w:color w:val="auto"/>
        </w:rPr>
      </w:pPr>
    </w:p>
    <w:p>
      <w:pPr>
        <w:ind w:left="4" w:right="80" w:hanging="4"/>
        <w:spacing w:after="0" w:line="280" w:lineRule="auto"/>
        <w:tabs>
          <w:tab w:leader="none" w:pos="16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4" w:right="20" w:hanging="4"/>
        <w:spacing w:after="0" w:line="280" w:lineRule="auto"/>
        <w:tabs>
          <w:tab w:leader="none" w:pos="16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sz w:val="20"/>
          <w:szCs w:val="20"/>
          <w:color w:val="auto"/>
        </w:rPr>
      </w:pPr>
    </w:p>
    <w:p>
      <w:pPr>
        <w:ind w:left="4" w:right="280" w:hanging="4"/>
        <w:spacing w:after="0" w:line="265" w:lineRule="auto"/>
        <w:tabs>
          <w:tab w:leader="none" w:pos="22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16"/>
          <w:szCs w:val="16"/>
          <w:color w:val="auto"/>
        </w:rPr>
      </w:pPr>
    </w:p>
    <w:p>
      <w:pPr>
        <w:ind w:left="4" w:right="120" w:hanging="4"/>
        <w:spacing w:after="0" w:line="265" w:lineRule="auto"/>
        <w:tabs>
          <w:tab w:leader="none" w:pos="23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Times New Roman" w:cs="Times New Roman" w:eastAsia="Times New Roman" w:hAnsi="Times New Roman"/>
          <w:sz w:val="16"/>
          <w:szCs w:val="16"/>
          <w:color w:val="auto"/>
        </w:rPr>
      </w:pPr>
    </w:p>
    <w:p>
      <w:pPr>
        <w:ind w:left="4" w:right="520" w:hanging="4"/>
        <w:spacing w:after="0" w:line="280" w:lineRule="auto"/>
        <w:tabs>
          <w:tab w:leader="none" w:pos="22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Times New Roman" w:cs="Times New Roman" w:eastAsia="Times New Roman" w:hAnsi="Times New Roman"/>
          <w:sz w:val="16"/>
          <w:szCs w:val="16"/>
          <w:color w:val="auto"/>
        </w:rPr>
      </w:pPr>
    </w:p>
    <w:p>
      <w:pPr>
        <w:ind w:left="4" w:right="140" w:hanging="4"/>
        <w:spacing w:after="0" w:line="265" w:lineRule="auto"/>
        <w:tabs>
          <w:tab w:leader="none" w:pos="23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08" w:lineRule="exact"/>
        <w:rPr>
          <w:sz w:val="20"/>
          <w:szCs w:val="20"/>
          <w:color w:val="auto"/>
        </w:rPr>
      </w:pPr>
    </w:p>
    <w:p>
      <w:pPr>
        <w:ind w:left="4" w:right="200" w:hanging="4"/>
        <w:spacing w:after="0" w:line="280" w:lineRule="auto"/>
        <w:tabs>
          <w:tab w:leader="none" w:pos="16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6" w:lineRule="exact"/>
        <w:rPr>
          <w:sz w:val="20"/>
          <w:szCs w:val="20"/>
          <w:color w:val="auto"/>
        </w:rPr>
      </w:pPr>
    </w:p>
    <w:p>
      <w:pPr>
        <w:ind w:left="4" w:right="80" w:hanging="4"/>
        <w:spacing w:after="0" w:line="280" w:lineRule="auto"/>
        <w:tabs>
          <w:tab w:leader="none" w:pos="22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24"/>
        <w:spacing w:after="0"/>
        <w:tabs>
          <w:tab w:leader="none" w:pos="5604" w:val="left"/>
          <w:tab w:leader="none" w:pos="6064" w:val="left"/>
        </w:tabs>
        <w:rPr>
          <w:sz w:val="20"/>
          <w:szCs w:val="20"/>
          <w:color w:val="auto"/>
        </w:rPr>
      </w:pPr>
      <w:r>
        <w:rPr>
          <w:rFonts w:ascii="Times New Roman" w:cs="Times New Roman" w:eastAsia="Times New Roman" w:hAnsi="Times New Roman"/>
          <w:sz w:val="16"/>
          <w:szCs w:val="16"/>
          <w:color w:val="auto"/>
        </w:rPr>
        <w:t>Date: January 26,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15240</wp:posOffset>
            </wp:positionV>
            <wp:extent cx="327025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70250" cy="7620"/>
                    </a:xfrm>
                    <a:prstGeom prst="rect">
                      <a:avLst/>
                    </a:prstGeom>
                    <a:noFill/>
                  </pic:spPr>
                </pic:pic>
              </a:graphicData>
            </a:graphic>
          </wp:anchor>
        </w:drawing>
      </w:r>
    </w:p>
    <w:p>
      <w:pPr>
        <w:ind w:left="6084"/>
        <w:spacing w:after="0"/>
        <w:rPr>
          <w:sz w:val="20"/>
          <w:szCs w:val="20"/>
          <w:color w:val="auto"/>
        </w:rPr>
      </w:pPr>
      <w:r>
        <w:rPr>
          <w:rFonts w:ascii="Times New Roman" w:cs="Times New Roman" w:eastAsia="Times New Roman" w:hAnsi="Times New Roman"/>
          <w:sz w:val="16"/>
          <w:szCs w:val="16"/>
          <w:color w:val="auto"/>
        </w:rPr>
        <w:t>Matthew A. Calderone</w:t>
      </w:r>
    </w:p>
    <w:p>
      <w:pPr>
        <w:ind w:left="6084"/>
        <w:spacing w:after="0" w:line="218" w:lineRule="auto"/>
        <w:rPr>
          <w:sz w:val="20"/>
          <w:szCs w:val="20"/>
          <w:color w:val="auto"/>
        </w:rPr>
      </w:pPr>
      <w:r>
        <w:rPr>
          <w:rFonts w:ascii="Times New Roman" w:cs="Times New Roman" w:eastAsia="Times New Roman" w:hAnsi="Times New Roman"/>
          <w:sz w:val="16"/>
          <w:szCs w:val="16"/>
          <w:color w:val="auto"/>
        </w:rPr>
        <w:t>Executive Vice President and Chief Financial Officer (Principal Financial</w:t>
      </w:r>
    </w:p>
    <w:p>
      <w:pPr>
        <w:ind w:left="6084"/>
        <w:spacing w:after="0"/>
        <w:rPr>
          <w:sz w:val="20"/>
          <w:szCs w:val="20"/>
          <w:color w:val="auto"/>
        </w:rPr>
      </w:pPr>
      <w:r>
        <w:rPr>
          <w:rFonts w:ascii="Times New Roman" w:cs="Times New Roman" w:eastAsia="Times New Roman" w:hAnsi="Times New Roman"/>
          <w:sz w:val="16"/>
          <w:szCs w:val="16"/>
          <w:color w:val="auto"/>
        </w:rPr>
        <w:t>Officer)</w:t>
      </w:r>
    </w:p>
    <w:p>
      <w:pPr>
        <w:sectPr>
          <w:pgSz w:w="11900" w:h="16838" w:orient="portrait"/>
          <w:cols w:equalWidth="0" w:num="1">
            <w:col w:w="11264"/>
          </w:cols>
          <w:pgMar w:left="316" w:top="802"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CERTIFICATIONS PURSUANT TO</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34" w:lineRule="exact"/>
        <w:rPr>
          <w:sz w:val="20"/>
          <w:szCs w:val="20"/>
          <w:color w:val="auto"/>
        </w:rPr>
      </w:pPr>
    </w:p>
    <w:p>
      <w:pPr>
        <w:ind w:left="4" w:right="220"/>
        <w:spacing w:after="0" w:line="265" w:lineRule="auto"/>
        <w:rPr>
          <w:sz w:val="20"/>
          <w:szCs w:val="20"/>
          <w:color w:val="auto"/>
        </w:rPr>
      </w:pPr>
      <w:r>
        <w:rPr>
          <w:rFonts w:ascii="Times New Roman" w:cs="Times New Roman" w:eastAsia="Times New Roman" w:hAnsi="Times New Roman"/>
          <w:sz w:val="16"/>
          <w:szCs w:val="16"/>
          <w:color w:val="auto"/>
        </w:rPr>
        <w:t>In connection with the report on Form 10-Q of Booz Allen Hamilton Holding Corporation (the “Company”) for the fiscal quarter ended December 31, 2023,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08" w:lineRule="exact"/>
        <w:rPr>
          <w:sz w:val="20"/>
          <w:szCs w:val="20"/>
          <w:color w:val="auto"/>
        </w:rPr>
      </w:pPr>
    </w:p>
    <w:p>
      <w:pPr>
        <w:ind w:left="224" w:hanging="224"/>
        <w:spacing w:after="0"/>
        <w:tabs>
          <w:tab w:leader="none" w:pos="22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w:t>
      </w:r>
    </w:p>
    <w:p>
      <w:pPr>
        <w:spacing w:after="0" w:line="15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ind w:left="24"/>
        <w:spacing w:after="0"/>
        <w:tabs>
          <w:tab w:leader="none" w:pos="6424" w:val="left"/>
        </w:tabs>
        <w:rPr>
          <w:sz w:val="20"/>
          <w:szCs w:val="20"/>
          <w:color w:val="auto"/>
        </w:rPr>
      </w:pPr>
      <w:r>
        <w:rPr>
          <w:rFonts w:ascii="Times New Roman" w:cs="Times New Roman" w:eastAsia="Times New Roman" w:hAnsi="Times New Roman"/>
          <w:sz w:val="16"/>
          <w:szCs w:val="16"/>
          <w:color w:val="auto"/>
        </w:rPr>
        <w:t>Date: January 26, 2024</w:t>
      </w:r>
      <w:r>
        <w:rPr>
          <w:sz w:val="20"/>
          <w:szCs w:val="20"/>
          <w:color w:val="auto"/>
        </w:rPr>
        <w:tab/>
      </w:r>
      <w:r>
        <w:rPr>
          <w:rFonts w:ascii="Times New Roman" w:cs="Times New Roman" w:eastAsia="Times New Roman" w:hAnsi="Times New Roman"/>
          <w:sz w:val="15"/>
          <w:szCs w:val="15"/>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15240</wp:posOffset>
            </wp:positionV>
            <wp:extent cx="288353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83535" cy="7620"/>
                    </a:xfrm>
                    <a:prstGeom prst="rect">
                      <a:avLst/>
                    </a:prstGeom>
                    <a:noFill/>
                  </pic:spPr>
                </pic:pic>
              </a:graphicData>
            </a:graphic>
          </wp:anchor>
        </w:drawing>
      </w:r>
    </w:p>
    <w:p>
      <w:pPr>
        <w:ind w:left="6704"/>
        <w:spacing w:after="0"/>
        <w:rPr>
          <w:sz w:val="20"/>
          <w:szCs w:val="20"/>
          <w:color w:val="auto"/>
        </w:rPr>
      </w:pPr>
      <w:r>
        <w:rPr>
          <w:rFonts w:ascii="Times New Roman" w:cs="Times New Roman" w:eastAsia="Times New Roman" w:hAnsi="Times New Roman"/>
          <w:sz w:val="16"/>
          <w:szCs w:val="16"/>
          <w:color w:val="auto"/>
        </w:rPr>
        <w:t>Horacio D. Rozanski</w:t>
      </w:r>
    </w:p>
    <w:p>
      <w:pPr>
        <w:ind w:left="6704"/>
        <w:spacing w:after="0" w:line="218"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6704"/>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33"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64"/>
          </w:cols>
          <w:pgMar w:left="316" w:top="802"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CERTIFICATIONS PURSUANT TO</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34" w:lineRule="exact"/>
        <w:rPr>
          <w:sz w:val="20"/>
          <w:szCs w:val="20"/>
          <w:color w:val="auto"/>
        </w:rPr>
      </w:pPr>
    </w:p>
    <w:p>
      <w:pPr>
        <w:ind w:left="4" w:right="220"/>
        <w:spacing w:after="0" w:line="265" w:lineRule="auto"/>
        <w:rPr>
          <w:sz w:val="20"/>
          <w:szCs w:val="20"/>
          <w:color w:val="auto"/>
        </w:rPr>
      </w:pPr>
      <w:r>
        <w:rPr>
          <w:rFonts w:ascii="Times New Roman" w:cs="Times New Roman" w:eastAsia="Times New Roman" w:hAnsi="Times New Roman"/>
          <w:sz w:val="16"/>
          <w:szCs w:val="16"/>
          <w:color w:val="auto"/>
        </w:rPr>
        <w:t>In connection with the report on Form 10-Q of Booz Allen Hamilton Holding Corporation (the “Company”) for the fiscal quarter ended December 31, 2023,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08" w:lineRule="exact"/>
        <w:rPr>
          <w:sz w:val="20"/>
          <w:szCs w:val="20"/>
          <w:color w:val="auto"/>
        </w:rPr>
      </w:pPr>
    </w:p>
    <w:p>
      <w:pPr>
        <w:ind w:left="224" w:hanging="224"/>
        <w:spacing w:after="0"/>
        <w:tabs>
          <w:tab w:leader="none" w:pos="22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w:t>
      </w:r>
    </w:p>
    <w:p>
      <w:pPr>
        <w:spacing w:after="0" w:line="15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ind w:left="24"/>
        <w:spacing w:after="0"/>
        <w:tabs>
          <w:tab w:leader="none" w:pos="5604" w:val="left"/>
        </w:tabs>
        <w:rPr>
          <w:sz w:val="20"/>
          <w:szCs w:val="20"/>
          <w:color w:val="auto"/>
        </w:rPr>
      </w:pPr>
      <w:r>
        <w:rPr>
          <w:rFonts w:ascii="Times New Roman" w:cs="Times New Roman" w:eastAsia="Times New Roman" w:hAnsi="Times New Roman"/>
          <w:sz w:val="16"/>
          <w:szCs w:val="16"/>
          <w:color w:val="auto"/>
        </w:rPr>
        <w:t>Date: January 26, 2024</w:t>
      </w:r>
      <w:r>
        <w:rPr>
          <w:sz w:val="20"/>
          <w:szCs w:val="20"/>
          <w:color w:val="auto"/>
        </w:rPr>
        <w:tab/>
      </w:r>
      <w:r>
        <w:rPr>
          <w:rFonts w:ascii="Times New Roman" w:cs="Times New Roman" w:eastAsia="Times New Roman" w:hAnsi="Times New Roman"/>
          <w:sz w:val="15"/>
          <w:szCs w:val="15"/>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15240</wp:posOffset>
            </wp:positionV>
            <wp:extent cx="339979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99790" cy="7620"/>
                    </a:xfrm>
                    <a:prstGeom prst="rect">
                      <a:avLst/>
                    </a:prstGeom>
                    <a:noFill/>
                  </pic:spPr>
                </pic:pic>
              </a:graphicData>
            </a:graphic>
          </wp:anchor>
        </w:drawing>
      </w:r>
    </w:p>
    <w:p>
      <w:pPr>
        <w:ind w:left="5884"/>
        <w:spacing w:after="0"/>
        <w:rPr>
          <w:sz w:val="20"/>
          <w:szCs w:val="20"/>
          <w:color w:val="auto"/>
        </w:rPr>
      </w:pPr>
      <w:r>
        <w:rPr>
          <w:rFonts w:ascii="Times New Roman" w:cs="Times New Roman" w:eastAsia="Times New Roman" w:hAnsi="Times New Roman"/>
          <w:sz w:val="16"/>
          <w:szCs w:val="16"/>
          <w:color w:val="auto"/>
        </w:rPr>
        <w:t>Matthew A. Calderone</w:t>
      </w:r>
    </w:p>
    <w:p>
      <w:pPr>
        <w:ind w:left="5884"/>
        <w:spacing w:after="0"/>
        <w:rPr>
          <w:sz w:val="20"/>
          <w:szCs w:val="20"/>
          <w:color w:val="auto"/>
        </w:rPr>
      </w:pPr>
      <w:r>
        <w:rPr>
          <w:rFonts w:ascii="Times New Roman" w:cs="Times New Roman" w:eastAsia="Times New Roman" w:hAnsi="Times New Roman"/>
          <w:sz w:val="16"/>
          <w:szCs w:val="16"/>
          <w:color w:val="auto"/>
        </w:rPr>
        <w:t>Executive Vice President and Chief Financial Officer (Principal Financial Officer)</w:t>
      </w:r>
    </w:p>
    <w:p>
      <w:pPr>
        <w:spacing w:after="0" w:line="145"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64"/>
      </w:cols>
      <w:pgMar w:left="316" w:top="80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lvl w:ilvl="1">
      <w:lvlJc w:val="left"/>
      <w:lvlText w:val="(%2)"/>
      <w:numFmt w:val="decimal"/>
      <w:start w:val="1"/>
    </w:lvl>
  </w:abstractNum>
  <w:abstractNum w:abstractNumId="7">
    <w:nsid w:val="54E49EB4"/>
    <w:multiLevelType w:val="hybridMultilevel"/>
    <w:lvl w:ilvl="0">
      <w:lvlJc w:val="left"/>
      <w:lvlText w:val="%1."/>
      <w:numFmt w:val="decimal"/>
      <w:start w:val="5"/>
    </w:lvl>
    <w:lvl w:ilvl="1">
      <w:lvlJc w:val="left"/>
      <w:lvlText w:val="%2"/>
      <w:numFmt w:val="decimal"/>
      <w:start w:val="1"/>
    </w:lvl>
  </w:abstractNum>
  <w:abstractNum w:abstractNumId="8">
    <w:nsid w:val="71F32454"/>
    <w:multiLevelType w:val="hybridMultilevel"/>
    <w:lvl w:ilvl="0">
      <w:lvlJc w:val="left"/>
      <w:lvlText w:val="(%1)"/>
      <w:numFmt w:val="lowerRoman"/>
      <w:start w:val="2"/>
    </w:lvl>
  </w:abstractNum>
  <w:abstractNum w:abstractNumId="9">
    <w:nsid w:val="2CA88611"/>
    <w:multiLevelType w:val="hybridMultilevel"/>
    <w:lvl w:ilvl="0">
      <w:lvlJc w:val="left"/>
      <w:lvlText w:val="%1"/>
      <w:numFmt w:val="decimal"/>
      <w:start w:val="1"/>
    </w:lvl>
    <w:lvl w:ilvl="1">
      <w:lvlJc w:val="left"/>
      <w:lvlText w:val="(%2)"/>
      <w:numFmt w:val="decimal"/>
      <w:start w:val="1"/>
    </w:lvl>
  </w:abstractNum>
  <w:abstractNum w:abstractNumId="10">
    <w:nsid w:val="836C40E"/>
    <w:multiLevelType w:val="hybridMultilevel"/>
    <w:lvl w:ilvl="0">
      <w:lvlJc w:val="left"/>
      <w:lvlText w:val="%1."/>
      <w:numFmt w:val="decimal"/>
      <w:start w:val="9"/>
    </w:lvl>
    <w:lvl w:ilvl="1">
      <w:lvlJc w:val="left"/>
      <w:lvlText w:val="%2"/>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lvl w:ilvl="1">
      <w:lvlJc w:val="left"/>
      <w:lvlText w:val="(%2)"/>
      <w:numFmt w:val="decimal"/>
      <w:start w:val="2"/>
    </w:lvl>
  </w:abstractNum>
  <w:abstractNum w:abstractNumId="15">
    <w:nsid w:val="7C3DBD3D"/>
    <w:multiLevelType w:val="hybridMultilevel"/>
    <w:lvl w:ilvl="0">
      <w:lvlJc w:val="left"/>
      <w:lvlText w:val="%1."/>
      <w:numFmt w:val="decimal"/>
      <w:start w:val="13"/>
    </w:lvl>
    <w:lvl w:ilvl="1">
      <w:lvlJc w:val="left"/>
      <w:lvlText w:val="%2"/>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8"/>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Roman"/>
      <w:start w:val="2"/>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0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2024-01-26T06:04:41Z</dcterms:created>
  <dcterms:modified xsi:type="dcterms:W3CDTF">2024-01-26T06:04:41Z</dcterms:modified>
</cp:coreProperties>
</file>