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312420</wp:posOffset>
            </wp:positionH>
            <wp:positionV relativeFrom="page">
              <wp:posOffset>681355</wp:posOffset>
            </wp:positionV>
            <wp:extent cx="693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page">
              <wp:posOffset>312420</wp:posOffset>
            </wp:positionH>
            <wp:positionV relativeFrom="page">
              <wp:posOffset>706120</wp:posOffset>
            </wp:positionV>
            <wp:extent cx="693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166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5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3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ectPr>
          <w:pgSz w:w="11900" w:h="16838" w:orient="portrait"/>
          <w:cols w:equalWidth="0" w:num="1">
            <w:col w:w="11240"/>
          </w:cols>
          <w:pgMar w:left="320" w:top="1182" w:right="339" w:bottom="1440" w:gutter="0" w:footer="0" w:header="0"/>
        </w:sectPr>
      </w:pPr>
    </w:p>
    <w:p>
      <w:pPr>
        <w:spacing w:after="0" w:line="200" w:lineRule="exact"/>
        <w:rPr>
          <w:sz w:val="24"/>
          <w:szCs w:val="24"/>
          <w:color w:val="auto"/>
        </w:rPr>
      </w:pPr>
    </w:p>
    <w:p>
      <w:pPr>
        <w:spacing w:after="0" w:line="239"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right="260"/>
        <w:spacing w:after="0" w:line="239" w:lineRule="auto"/>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6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For the quarterly period ended December 31, 2024</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w:t>
      </w:r>
    </w:p>
    <w:p>
      <w:pPr>
        <w:spacing w:after="0" w:line="5" w:lineRule="exact"/>
        <w:rPr>
          <w:sz w:val="24"/>
          <w:szCs w:val="24"/>
          <w:color w:val="auto"/>
        </w:rPr>
      </w:pPr>
    </w:p>
    <w:p>
      <w:pPr>
        <w:sectPr>
          <w:pgSz w:w="11900" w:h="16838" w:orient="portrait"/>
          <w:cols w:equalWidth="0" w:num="2">
            <w:col w:w="180" w:space="680"/>
            <w:col w:w="10380"/>
          </w:cols>
          <w:pgMar w:left="320" w:top="1182" w:right="339" w:bottom="1440" w:gutter="0" w:footer="0" w:header="0"/>
          <w:type w:val="continuous"/>
        </w:sectPr>
      </w:pPr>
    </w:p>
    <w:p>
      <w:pPr>
        <w:ind w:left="860" w:hanging="839"/>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1934</w:t>
      </w:r>
    </w:p>
    <w:p>
      <w:pPr>
        <w:spacing w:after="0" w:line="66" w:lineRule="exact"/>
        <w:rPr>
          <w:sz w:val="24"/>
          <w:szCs w:val="24"/>
          <w:color w:val="auto"/>
        </w:rPr>
      </w:pPr>
    </w:p>
    <w:p>
      <w:pPr>
        <w:jc w:val="right"/>
        <w:ind w:right="4420"/>
        <w:spacing w:after="0"/>
        <w:tabs>
          <w:tab w:leader="none" w:pos="4560" w:val="left"/>
        </w:tabs>
        <w:rPr>
          <w:sz w:val="20"/>
          <w:szCs w:val="20"/>
          <w:color w:val="auto"/>
        </w:rPr>
      </w:pPr>
      <w:r>
        <w:rPr>
          <w:rFonts w:ascii="Times New Roman" w:cs="Times New Roman" w:eastAsia="Times New Roman" w:hAnsi="Times New Roman"/>
          <w:sz w:val="17"/>
          <w:szCs w:val="17"/>
          <w:b w:val="1"/>
          <w:bCs w:val="1"/>
          <w:color w:val="auto"/>
        </w:rPr>
        <w:t>For the transition period from</w:t>
        <w:tab/>
        <w:t>to</w:t>
      </w:r>
    </w:p>
    <w:p>
      <w:pPr>
        <w:spacing w:after="0" w:line="33"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b w:val="1"/>
          <w:bCs w:val="1"/>
          <w:color w:val="auto"/>
        </w:rPr>
        <w:t>Commission File No. 001-34972</w:t>
      </w:r>
    </w:p>
    <w:p>
      <w:pPr>
        <w:spacing w:after="0" w:line="1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Booz Allen Hamilton Holding Corporation</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113"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3200" w:type="dxa"/>
            <w:vAlign w:val="bottom"/>
            <w:gridSpan w:val="3"/>
          </w:tcPr>
          <w:p>
            <w:pPr>
              <w:jc w:val="center"/>
              <w:ind w:left="382"/>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26-2634160</w:t>
            </w:r>
          </w:p>
        </w:tc>
        <w:tc>
          <w:tcPr>
            <w:tcW w:w="80" w:type="dxa"/>
            <w:vAlign w:val="bottom"/>
          </w:tcPr>
          <w:p>
            <w:pPr>
              <w:spacing w:after="0"/>
              <w:rPr>
                <w:sz w:val="18"/>
                <w:szCs w:val="18"/>
                <w:color w:val="auto"/>
              </w:rPr>
            </w:pPr>
          </w:p>
        </w:tc>
      </w:tr>
      <w:tr>
        <w:trPr>
          <w:trHeight w:val="143"/>
        </w:trPr>
        <w:tc>
          <w:tcPr>
            <w:tcW w:w="3200" w:type="dxa"/>
            <w:vAlign w:val="bottom"/>
            <w:gridSpan w:val="3"/>
          </w:tcPr>
          <w:p>
            <w:pPr>
              <w:jc w:val="center"/>
              <w:ind w:left="402"/>
              <w:spacing w:after="0" w:line="143" w:lineRule="exact"/>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1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0" w:type="dxa"/>
            <w:vAlign w:val="bottom"/>
            <w:gridSpan w:val="2"/>
          </w:tcPr>
          <w:p>
            <w:pPr>
              <w:jc w:val="center"/>
              <w:ind w:left="1643"/>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3200" w:type="dxa"/>
            <w:vAlign w:val="bottom"/>
            <w:gridSpan w:val="3"/>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0" w:type="dxa"/>
            <w:vAlign w:val="bottom"/>
            <w:gridSpan w:val="2"/>
          </w:tcPr>
          <w:p>
            <w:pPr>
              <w:jc w:val="center"/>
              <w:ind w:left="16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71"/>
        </w:trPr>
        <w:tc>
          <w:tcPr>
            <w:tcW w:w="1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8283 Greensboro Drive,</w:t>
            </w: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McLean,</w:t>
            </w:r>
          </w:p>
        </w:tc>
        <w:tc>
          <w:tcPr>
            <w:tcW w:w="3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Virginia</w:t>
            </w:r>
          </w:p>
        </w:tc>
        <w:tc>
          <w:tcPr>
            <w:tcW w:w="2720" w:type="dxa"/>
            <w:vAlign w:val="bottom"/>
          </w:tcPr>
          <w:p>
            <w:pPr>
              <w:jc w:val="right"/>
              <w:ind w:right="163"/>
              <w:spacing w:after="0"/>
              <w:rPr>
                <w:sz w:val="20"/>
                <w:szCs w:val="20"/>
                <w:color w:val="auto"/>
              </w:rPr>
            </w:pPr>
            <w:r>
              <w:rPr>
                <w:rFonts w:ascii="Times New Roman" w:cs="Times New Roman" w:eastAsia="Times New Roman" w:hAnsi="Times New Roman"/>
                <w:sz w:val="17"/>
                <w:szCs w:val="17"/>
                <w:b w:val="1"/>
                <w:bCs w:val="1"/>
                <w:color w:val="auto"/>
              </w:rPr>
              <w:t>22102</w:t>
            </w:r>
          </w:p>
        </w:tc>
        <w:tc>
          <w:tcPr>
            <w:tcW w:w="80" w:type="dxa"/>
            <w:vAlign w:val="bottom"/>
          </w:tcPr>
          <w:p>
            <w:pPr>
              <w:spacing w:after="0"/>
              <w:rPr>
                <w:sz w:val="23"/>
                <w:szCs w:val="23"/>
                <w:color w:val="auto"/>
              </w:rPr>
            </w:pPr>
          </w:p>
        </w:tc>
      </w:tr>
      <w:tr>
        <w:trPr>
          <w:trHeight w:val="183"/>
        </w:trPr>
        <w:tc>
          <w:tcPr>
            <w:tcW w:w="3200" w:type="dxa"/>
            <w:vAlign w:val="bottom"/>
            <w:gridSpan w:val="3"/>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0" w:type="dxa"/>
            <w:vAlign w:val="bottom"/>
            <w:gridSpan w:val="2"/>
          </w:tcPr>
          <w:p>
            <w:pPr>
              <w:jc w:val="center"/>
              <w:ind w:left="1643"/>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97"/>
        </w:trPr>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gridSpan w:val="3"/>
          </w:tcPr>
          <w:p>
            <w:pPr>
              <w:jc w:val="center"/>
              <w:ind w:left="546"/>
              <w:spacing w:after="0"/>
              <w:rPr>
                <w:sz w:val="20"/>
                <w:szCs w:val="20"/>
                <w:color w:val="auto"/>
              </w:rPr>
            </w:pPr>
            <w:r>
              <w:rPr>
                <w:rFonts w:ascii="Times New Roman" w:cs="Times New Roman" w:eastAsia="Times New Roman" w:hAnsi="Times New Roman"/>
                <w:sz w:val="17"/>
                <w:szCs w:val="17"/>
                <w:b w:val="1"/>
                <w:bCs w:val="1"/>
                <w:color w:val="auto"/>
              </w:rPr>
              <w:t>(703) 902-5000</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20" w:type="dxa"/>
            <w:vAlign w:val="bottom"/>
            <w:gridSpan w:val="5"/>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r>
      <w:tr>
        <w:trPr>
          <w:trHeight w:val="179"/>
        </w:trPr>
        <w:tc>
          <w:tcPr>
            <w:tcW w:w="1800" w:type="dxa"/>
            <w:vAlign w:val="bottom"/>
          </w:tcPr>
          <w:p>
            <w:pPr>
              <w:spacing w:after="0"/>
              <w:rPr>
                <w:sz w:val="15"/>
                <w:szCs w:val="15"/>
                <w:color w:val="auto"/>
              </w:rPr>
            </w:pPr>
          </w:p>
        </w:tc>
        <w:tc>
          <w:tcPr>
            <w:tcW w:w="7820" w:type="dxa"/>
            <w:vAlign w:val="bottom"/>
            <w:gridSpan w:val="7"/>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8"/>
              </w:rPr>
              <w:t>(Former name, former address, and former fiscal year if changed since last report.)</w:t>
            </w:r>
          </w:p>
        </w:tc>
      </w:tr>
      <w:tr>
        <w:trPr>
          <w:trHeight w:val="134"/>
        </w:trPr>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20" w:type="dxa"/>
            <w:vAlign w:val="bottom"/>
            <w:gridSpan w:val="3"/>
          </w:tcPr>
          <w:p>
            <w:pPr>
              <w:jc w:val="center"/>
              <w:ind w:left="546"/>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w:t>
            </w: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36"/>
        </w:trPr>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20" w:type="dxa"/>
            <w:vAlign w:val="bottom"/>
            <w:gridSpan w:val="5"/>
          </w:tcPr>
          <w:p>
            <w:pPr>
              <w:jc w:val="center"/>
              <w:ind w:right="2180"/>
              <w:spacing w:after="0"/>
              <w:rPr>
                <w:sz w:val="20"/>
                <w:szCs w:val="20"/>
                <w:color w:val="auto"/>
              </w:rPr>
            </w:pPr>
            <w:r>
              <w:rPr>
                <w:rFonts w:ascii="Times New Roman" w:cs="Times New Roman" w:eastAsia="Times New Roman" w:hAnsi="Times New Roman"/>
                <w:sz w:val="16"/>
                <w:szCs w:val="16"/>
                <w:b w:val="1"/>
                <w:bCs w:val="1"/>
                <w:color w:val="auto"/>
                <w:w w:val="96"/>
              </w:rPr>
              <w:t>Securities registered pursuant to Section 12(b) of the Act:</w:t>
            </w:r>
          </w:p>
        </w:tc>
      </w:tr>
      <w:tr>
        <w:trPr>
          <w:trHeight w:val="226"/>
        </w:trPr>
        <w:tc>
          <w:tcPr>
            <w:tcW w:w="18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1540" w:type="dxa"/>
            <w:vAlign w:val="bottom"/>
          </w:tcPr>
          <w:p>
            <w:pPr>
              <w:spacing w:after="0"/>
              <w:rPr>
                <w:sz w:val="19"/>
                <w:szCs w:val="19"/>
                <w:color w:val="auto"/>
              </w:rPr>
            </w:pPr>
          </w:p>
        </w:tc>
        <w:tc>
          <w:tcPr>
            <w:tcW w:w="208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2"/>
        </w:trPr>
        <w:tc>
          <w:tcPr>
            <w:tcW w:w="3200" w:type="dxa"/>
            <w:vAlign w:val="bottom"/>
            <w:gridSpan w:val="3"/>
          </w:tcPr>
          <w:p>
            <w:pPr>
              <w:jc w:val="center"/>
              <w:ind w:left="1422"/>
              <w:spacing w:after="0"/>
              <w:rPr>
                <w:sz w:val="20"/>
                <w:szCs w:val="20"/>
                <w:color w:val="auto"/>
              </w:rPr>
            </w:pPr>
            <w:r>
              <w:rPr>
                <w:rFonts w:ascii="Times New Roman" w:cs="Times New Roman" w:eastAsia="Times New Roman" w:hAnsi="Times New Roman"/>
                <w:sz w:val="17"/>
                <w:szCs w:val="17"/>
                <w:color w:val="auto"/>
              </w:rPr>
              <w:t>Class A Common Stock</w:t>
            </w:r>
          </w:p>
        </w:tc>
        <w:tc>
          <w:tcPr>
            <w:tcW w:w="1540" w:type="dxa"/>
            <w:vAlign w:val="bottom"/>
          </w:tcPr>
          <w:p>
            <w:pPr>
              <w:spacing w:after="0"/>
              <w:rPr>
                <w:sz w:val="21"/>
                <w:szCs w:val="21"/>
                <w:color w:val="auto"/>
              </w:rPr>
            </w:pPr>
          </w:p>
        </w:tc>
        <w:tc>
          <w:tcPr>
            <w:tcW w:w="208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BAH</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85" w:lineRule="exact"/>
        <w:rPr>
          <w:sz w:val="24"/>
          <w:szCs w:val="24"/>
          <w:color w:val="auto"/>
        </w:rPr>
      </w:pPr>
    </w:p>
    <w:p>
      <w:pPr>
        <w:jc w:val="both"/>
        <w:ind w:right="2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8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700"/>
        <w:spacing w:after="0" w:line="26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tbl>
      <w:tblPr>
        <w:tblLayout w:type="fixed"/>
        <w:tblInd w:w="20" w:type="dxa"/>
        <w:tblCellMar>
          <w:top w:w="0" w:type="dxa"/>
          <w:left w:w="0" w:type="dxa"/>
          <w:bottom w:w="0" w:type="dxa"/>
          <w:right w:w="0" w:type="dxa"/>
        </w:tblCellMar>
      </w:tblPr>
      <w:tr>
        <w:trPr>
          <w:trHeight w:val="350"/>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4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Accelerated Filer</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8"/>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4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0"/>
        </w:trPr>
        <w:tc>
          <w:tcPr>
            <w:tcW w:w="2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98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6" w:lineRule="exact"/>
        <w:rPr>
          <w:sz w:val="24"/>
          <w:szCs w:val="24"/>
          <w:color w:val="auto"/>
        </w:rPr>
      </w:pPr>
    </w:p>
    <w:p>
      <w:pPr>
        <w:ind w:right="420"/>
        <w:spacing w:after="0" w:line="22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220"/>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the number of shares outstanding of each of the issuer’s classes of common stock, as of the latest practicable date.</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7"/>
                <w:szCs w:val="17"/>
                <w:color w:val="auto"/>
              </w:rPr>
            </w:pPr>
          </w:p>
        </w:tc>
        <w:tc>
          <w:tcPr>
            <w:tcW w:w="25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Shares Outstanding</w:t>
            </w:r>
          </w:p>
        </w:tc>
      </w:tr>
      <w:tr>
        <w:trPr>
          <w:trHeight w:val="228"/>
        </w:trPr>
        <w:tc>
          <w:tcPr>
            <w:tcW w:w="8700" w:type="dxa"/>
            <w:vAlign w:val="bottom"/>
          </w:tcPr>
          <w:p>
            <w:pPr>
              <w:spacing w:after="0"/>
              <w:rPr>
                <w:sz w:val="19"/>
                <w:szCs w:val="19"/>
                <w:color w:val="auto"/>
              </w:rPr>
            </w:pPr>
          </w:p>
        </w:tc>
        <w:tc>
          <w:tcPr>
            <w:tcW w:w="25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as of 1/28/2025</w:t>
            </w:r>
          </w:p>
        </w:tc>
      </w:tr>
      <w:tr>
        <w:trPr>
          <w:trHeight w:val="213"/>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126,645,604</w:t>
            </w:r>
          </w:p>
        </w:tc>
        <w:tc>
          <w:tcPr>
            <w:tcW w:w="360" w:type="dxa"/>
            <w:vAlign w:val="bottom"/>
          </w:tcPr>
          <w:p>
            <w:pPr>
              <w:spacing w:after="0"/>
              <w:rPr>
                <w:sz w:val="18"/>
                <w:szCs w:val="18"/>
                <w:color w:val="auto"/>
              </w:rPr>
            </w:pPr>
          </w:p>
        </w:tc>
      </w:tr>
      <w:tr>
        <w:trPr>
          <w:trHeight w:val="745"/>
        </w:trPr>
        <w:tc>
          <w:tcPr>
            <w:tcW w:w="87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0500" w:type="dxa"/>
            <w:vAlign w:val="bottom"/>
            <w:gridSpan w:val="16"/>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5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7980" w:type="dxa"/>
            <w:vAlign w:val="bottom"/>
            <w:gridSpan w:val="10"/>
            <w:vMerge w:val="restart"/>
          </w:tcPr>
          <w:p>
            <w:pPr>
              <w:spacing w:after="0"/>
              <w:rPr>
                <w:sz w:val="24"/>
                <w:szCs w:val="24"/>
                <w:color w:val="auto"/>
              </w:rPr>
            </w:pPr>
          </w:p>
        </w:tc>
        <w:tc>
          <w:tcPr>
            <w:tcW w:w="74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7980" w:type="dxa"/>
            <w:vAlign w:val="bottom"/>
            <w:gridSpan w:val="10"/>
            <w:vMerge w:val="continue"/>
          </w:tcPr>
          <w:p>
            <w:pPr>
              <w:spacing w:after="0"/>
              <w:rPr>
                <w:sz w:val="14"/>
                <w:szCs w:val="14"/>
                <w:color w:val="auto"/>
              </w:rPr>
            </w:pPr>
          </w:p>
        </w:tc>
        <w:tc>
          <w:tcPr>
            <w:tcW w:w="720" w:type="dxa"/>
            <w:vAlign w:val="bottom"/>
            <w:tcBorders>
              <w:top w:val="single" w:sz="8" w:color="auto"/>
            </w:tcBorders>
            <w:gridSpan w:val="4"/>
          </w:tcPr>
          <w:p>
            <w:pPr>
              <w:jc w:val="right"/>
              <w:ind w:right="20"/>
              <w:spacing w:after="0" w:line="149" w:lineRule="exact"/>
              <w:rPr>
                <w:sz w:val="20"/>
                <w:szCs w:val="20"/>
                <w:color w:val="auto"/>
              </w:rPr>
            </w:pPr>
            <w:r>
              <w:rPr>
                <w:rFonts w:ascii="Times New Roman" w:cs="Times New Roman" w:eastAsia="Times New Roman" w:hAnsi="Times New Roman"/>
                <w:sz w:val="17"/>
                <w:szCs w:val="17"/>
                <w:b w:val="1"/>
                <w:bCs w:val="1"/>
                <w:color w:val="0000FF"/>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Management's Discussion and Analysis of Financial Condition and Results of Operations</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Quantitative and Qualitative Disclosures About Market Risk</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4</w:t>
            </w:r>
          </w:p>
        </w:tc>
        <w:tc>
          <w:tcPr>
            <w:tcW w:w="184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0000FF"/>
              </w:rPr>
              <w:t>Controls and Procedures</w:t>
            </w:r>
          </w:p>
        </w:tc>
        <w:tc>
          <w:tcPr>
            <w:tcW w:w="70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48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Legal Proceedings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1A</w:t>
            </w:r>
          </w:p>
        </w:tc>
        <w:tc>
          <w:tcPr>
            <w:tcW w:w="9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0000FF"/>
                <w:w w:val="99"/>
              </w:rPr>
              <w:t>Risk Factors</w:t>
            </w:r>
          </w:p>
        </w:tc>
        <w:tc>
          <w:tcPr>
            <w:tcW w:w="400" w:type="dxa"/>
            <w:vAlign w:val="bottom"/>
          </w:tcPr>
          <w:p>
            <w:pPr>
              <w:spacing w:after="0"/>
              <w:rPr>
                <w:sz w:val="17"/>
                <w:szCs w:val="17"/>
                <w:color w:val="auto"/>
              </w:rPr>
            </w:pPr>
          </w:p>
        </w:tc>
        <w:tc>
          <w:tcPr>
            <w:tcW w:w="758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Unregistered Sales of Equity Securities and Use of Proceeds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4380" w:type="dxa"/>
            <w:vAlign w:val="bottom"/>
            <w:gridSpan w:val="11"/>
          </w:tcPr>
          <w:p>
            <w:pPr>
              <w:spacing w:after="0"/>
              <w:rPr>
                <w:sz w:val="20"/>
                <w:szCs w:val="20"/>
                <w:color w:val="auto"/>
              </w:rPr>
            </w:pPr>
            <w:r>
              <w:rPr>
                <w:rFonts w:ascii="Times New Roman" w:cs="Times New Roman" w:eastAsia="Times New Roman" w:hAnsi="Times New Roman"/>
                <w:sz w:val="17"/>
                <w:szCs w:val="17"/>
                <w:b w:val="1"/>
                <w:bCs w:val="1"/>
                <w:color w:val="0000FF"/>
              </w:rPr>
              <w:t>Defaults Upon Senior Securities</w:t>
            </w:r>
          </w:p>
        </w:tc>
        <w:tc>
          <w:tcPr>
            <w:tcW w:w="45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60" w:type="dxa"/>
            <w:vAlign w:val="bottom"/>
            <w:gridSpan w:val="6"/>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4</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Mine Safety Disclosures</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540" w:type="dxa"/>
            <w:vAlign w:val="bottom"/>
            <w:gridSpan w:val="8"/>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5</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Other Information</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13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0000FF"/>
              </w:rPr>
              <w:t>Exhibits</w:t>
            </w:r>
          </w:p>
        </w:tc>
        <w:tc>
          <w:tcPr>
            <w:tcW w:w="754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9"/>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910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25"/>
        </w:trPr>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1"/>
        </w:trPr>
        <w:tc>
          <w:tcPr>
            <w:tcW w:w="9100" w:type="dxa"/>
            <w:vAlign w:val="bottom"/>
            <w:gridSpan w:val="26"/>
          </w:tcPr>
          <w:p>
            <w:pPr>
              <w:spacing w:after="0"/>
              <w:rPr>
                <w:sz w:val="20"/>
                <w:szCs w:val="20"/>
                <w:color w:val="auto"/>
              </w:rPr>
            </w:pPr>
            <w:r>
              <w:rPr>
                <w:rFonts w:ascii="Times New Roman" w:cs="Times New Roman" w:eastAsia="Times New Roman" w:hAnsi="Times New Roman"/>
                <w:sz w:val="17"/>
                <w:szCs w:val="17"/>
                <w:b w:val="1"/>
                <w:bCs w:val="1"/>
                <w:color w:val="auto"/>
              </w:rPr>
              <w:t>Item 1</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700" w:type="dxa"/>
            <w:vAlign w:val="bottom"/>
            <w:gridSpan w:val="19"/>
          </w:tcPr>
          <w:p>
            <w:pPr>
              <w:ind w:left="200"/>
              <w:spacing w:after="0"/>
              <w:rPr>
                <w:sz w:val="20"/>
                <w:szCs w:val="20"/>
                <w:color w:val="auto"/>
              </w:rPr>
            </w:pPr>
            <w:r>
              <w:rPr>
                <w:rFonts w:ascii="Times New Roman" w:cs="Times New Roman" w:eastAsia="Times New Roman" w:hAnsi="Times New Roman"/>
                <w:sz w:val="17"/>
                <w:szCs w:val="17"/>
                <w:b w:val="1"/>
                <w:bCs w:val="1"/>
                <w:color w:val="auto"/>
              </w:rPr>
              <w:t>INDEX TO THE UNAUDITED CONDENSED CONSOLIDATED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140" w:type="dxa"/>
            <w:vAlign w:val="bottom"/>
            <w:gridSpan w:val="6"/>
          </w:tcPr>
          <w:p>
            <w:pPr>
              <w:ind w:left="44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74"/>
        </w:trPr>
        <w:tc>
          <w:tcPr>
            <w:tcW w:w="20" w:type="dxa"/>
            <w:vAlign w:val="bottom"/>
          </w:tcPr>
          <w:p>
            <w:pPr>
              <w:spacing w:after="0"/>
              <w:rPr>
                <w:sz w:val="15"/>
                <w:szCs w:val="15"/>
                <w:color w:val="auto"/>
              </w:rPr>
            </w:pPr>
          </w:p>
        </w:tc>
        <w:tc>
          <w:tcPr>
            <w:tcW w:w="2980" w:type="dxa"/>
            <w:vAlign w:val="bottom"/>
            <w:tcBorders>
              <w:bottom w:val="single" w:sz="8" w:color="0000FF"/>
            </w:tcBorders>
            <w:gridSpan w:val="14"/>
          </w:tcPr>
          <w:p>
            <w:pPr>
              <w:spacing w:after="0" w:line="175" w:lineRule="exact"/>
              <w:rPr>
                <w:sz w:val="20"/>
                <w:szCs w:val="20"/>
                <w:color w:val="auto"/>
              </w:rPr>
            </w:pPr>
            <w:r>
              <w:rPr>
                <w:rFonts w:ascii="Times New Roman" w:cs="Times New Roman" w:eastAsia="Times New Roman" w:hAnsi="Times New Roman"/>
                <w:sz w:val="17"/>
                <w:szCs w:val="17"/>
                <w:b w:val="1"/>
                <w:bCs w:val="1"/>
                <w:color w:val="0000FF"/>
              </w:rPr>
              <w:t>Condensed Consolidated Balance Sheets</w:t>
            </w:r>
          </w:p>
        </w:tc>
        <w:tc>
          <w:tcPr>
            <w:tcW w:w="6100" w:type="dxa"/>
            <w:vAlign w:val="bottom"/>
            <w:gridSpan w:val="11"/>
          </w:tcPr>
          <w:p>
            <w:pPr>
              <w:spacing w:after="0"/>
              <w:rPr>
                <w:sz w:val="15"/>
                <w:szCs w:val="15"/>
                <w:color w:val="auto"/>
              </w:rPr>
            </w:pPr>
          </w:p>
        </w:tc>
        <w:tc>
          <w:tcPr>
            <w:tcW w:w="56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bottom w:val="single" w:sz="8" w:color="0000FF"/>
            </w:tcBorders>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0000FF"/>
              </w:rPr>
              <w:t>1</w:t>
            </w:r>
          </w:p>
        </w:tc>
        <w:tc>
          <w:tcPr>
            <w:tcW w:w="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37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Operations</w:t>
            </w:r>
          </w:p>
        </w:tc>
        <w:tc>
          <w:tcPr>
            <w:tcW w:w="5320" w:type="dxa"/>
            <w:vAlign w:val="bottom"/>
            <w:gridSpan w:val="6"/>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2</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8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Comprehensive Income</w:t>
            </w:r>
          </w:p>
        </w:tc>
        <w:tc>
          <w:tcPr>
            <w:tcW w:w="420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3</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Cash Flows</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4</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4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Stockholders' Equity</w:t>
            </w:r>
          </w:p>
        </w:tc>
        <w:tc>
          <w:tcPr>
            <w:tcW w:w="4600" w:type="dxa"/>
            <w:vAlign w:val="bottom"/>
            <w:gridSpan w:val="3"/>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5</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17"/>
                <w:szCs w:val="17"/>
                <w:b w:val="1"/>
                <w:bCs w:val="1"/>
                <w:color w:val="0000FF"/>
              </w:rPr>
              <w:t>Notes to Unaudited Condensed Consolidated Financial Statements</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7</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60" w:type="dxa"/>
            <w:vAlign w:val="bottom"/>
            <w:tcBorders>
              <w:top w:val="single" w:sz="8" w:color="0000FF"/>
            </w:tcBorders>
            <w:gridSpan w:val="2"/>
          </w:tcPr>
          <w:p>
            <w:pPr>
              <w:ind w:left="320"/>
              <w:spacing w:after="0"/>
              <w:rPr>
                <w:sz w:val="20"/>
                <w:szCs w:val="20"/>
                <w:color w:val="auto"/>
              </w:rPr>
            </w:pPr>
            <w:r>
              <w:rPr>
                <w:rFonts w:ascii="Times New Roman" w:cs="Times New Roman" w:eastAsia="Times New Roman" w:hAnsi="Times New Roman"/>
                <w:sz w:val="17"/>
                <w:szCs w:val="17"/>
                <w:b w:val="1"/>
                <w:bCs w:val="1"/>
                <w:color w:val="0000FF"/>
                <w:w w:val="93"/>
              </w:rPr>
              <w:t>1.</w:t>
            </w:r>
          </w:p>
        </w:tc>
        <w:tc>
          <w:tcPr>
            <w:tcW w:w="4420" w:type="dxa"/>
            <w:vAlign w:val="bottom"/>
            <w:tcBorders>
              <w:top w:val="single" w:sz="8" w:color="0000FF"/>
            </w:tcBorders>
            <w:gridSpan w:val="22"/>
          </w:tcPr>
          <w:p>
            <w:pPr>
              <w:ind w:left="20"/>
              <w:spacing w:after="0"/>
              <w:rPr>
                <w:sz w:val="20"/>
                <w:szCs w:val="20"/>
                <w:color w:val="auto"/>
              </w:rPr>
            </w:pPr>
            <w:r>
              <w:rPr>
                <w:rFonts w:ascii="Times New Roman" w:cs="Times New Roman" w:eastAsia="Times New Roman" w:hAnsi="Times New Roman"/>
                <w:sz w:val="17"/>
                <w:szCs w:val="17"/>
                <w:b w:val="1"/>
                <w:bCs w:val="1"/>
                <w:color w:val="0000FF"/>
              </w:rPr>
              <w:t>Business Overview</w:t>
            </w:r>
          </w:p>
        </w:tc>
        <w:tc>
          <w:tcPr>
            <w:tcW w:w="420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7</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2.</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Basis of Presentation</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7</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3.</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Revenue</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8</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4.</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Earnings Per Share</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10</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5.</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Acquisition, Goodwill and Intangible Assets</w:t>
            </w:r>
          </w:p>
        </w:tc>
        <w:tc>
          <w:tcPr>
            <w:tcW w:w="680" w:type="dxa"/>
            <w:vAlign w:val="bottom"/>
            <w:gridSpan w:val="4"/>
          </w:tcPr>
          <w:p>
            <w:pPr>
              <w:jc w:val="center"/>
              <w:ind w:left="434"/>
              <w:spacing w:after="0"/>
              <w:rPr>
                <w:sz w:val="20"/>
                <w:szCs w:val="20"/>
                <w:color w:val="auto"/>
              </w:rPr>
            </w:pPr>
            <w:r>
              <w:rPr>
                <w:rFonts w:ascii="Times New Roman" w:cs="Times New Roman" w:eastAsia="Times New Roman" w:hAnsi="Times New Roman"/>
                <w:sz w:val="17"/>
                <w:szCs w:val="17"/>
                <w:b w:val="1"/>
                <w:bCs w:val="1"/>
                <w:color w:val="0000FF"/>
                <w:w w:val="93"/>
              </w:rPr>
              <w:t>11</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6.</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Accounts Payable and Other Accrued Expenses</w:t>
            </w:r>
          </w:p>
        </w:tc>
        <w:tc>
          <w:tcPr>
            <w:tcW w:w="680" w:type="dxa"/>
            <w:vAlign w:val="bottom"/>
            <w:gridSpan w:val="4"/>
          </w:tcPr>
          <w:p>
            <w:pPr>
              <w:jc w:val="center"/>
              <w:ind w:left="434"/>
              <w:spacing w:after="0"/>
              <w:rPr>
                <w:sz w:val="20"/>
                <w:szCs w:val="20"/>
                <w:color w:val="auto"/>
              </w:rPr>
            </w:pPr>
            <w:r>
              <w:rPr>
                <w:rFonts w:ascii="Times New Roman" w:cs="Times New Roman" w:eastAsia="Times New Roman" w:hAnsi="Times New Roman"/>
                <w:sz w:val="17"/>
                <w:szCs w:val="17"/>
                <w:b w:val="1"/>
                <w:bCs w:val="1"/>
                <w:color w:val="0000FF"/>
                <w:w w:val="93"/>
              </w:rPr>
              <w:t>11</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7.</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Accrued Compensation and Benefits</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12</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8.</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Debt</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12</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9.</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Derivatives</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14</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b w:val="1"/>
                <w:bCs w:val="1"/>
                <w:color w:val="0000FF"/>
                <w:w w:val="96"/>
              </w:rPr>
              <w:t>10. Income Taxes</w:t>
            </w:r>
          </w:p>
        </w:tc>
        <w:tc>
          <w:tcPr>
            <w:tcW w:w="7500" w:type="dxa"/>
            <w:vAlign w:val="bottom"/>
            <w:gridSpan w:val="18"/>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3"/>
              </w:rPr>
              <w:t>15</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b w:val="1"/>
                <w:bCs w:val="1"/>
                <w:color w:val="0000FF"/>
              </w:rPr>
              <w:t>11. Employee Benefit Plans</w:t>
            </w:r>
          </w:p>
        </w:tc>
        <w:tc>
          <w:tcPr>
            <w:tcW w:w="6600" w:type="dxa"/>
            <w:vAlign w:val="bottom"/>
            <w:gridSpan w:val="13"/>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3"/>
              </w:rPr>
              <w:t>16</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7"/>
                <w:szCs w:val="17"/>
                <w:b w:val="1"/>
                <w:bCs w:val="1"/>
                <w:color w:val="0000FF"/>
              </w:rPr>
              <w:t>12. Accumulated Other Comprehensive Income / (Loss)</w:t>
            </w:r>
          </w:p>
        </w:tc>
        <w:tc>
          <w:tcPr>
            <w:tcW w:w="54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3"/>
              </w:rPr>
              <w:t>16</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b w:val="1"/>
                <w:bCs w:val="1"/>
                <w:color w:val="0000FF"/>
                <w:w w:val="99"/>
              </w:rPr>
              <w:t>13. Stock-Based Compensation</w:t>
            </w:r>
          </w:p>
        </w:tc>
        <w:tc>
          <w:tcPr>
            <w:tcW w:w="648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3"/>
              </w:rPr>
              <w:t>17</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b w:val="1"/>
                <w:bCs w:val="1"/>
                <w:color w:val="0000FF"/>
                <w:w w:val="98"/>
              </w:rPr>
              <w:t>14. Fair Value Measurements</w:t>
            </w:r>
          </w:p>
        </w:tc>
        <w:tc>
          <w:tcPr>
            <w:tcW w:w="6600" w:type="dxa"/>
            <w:vAlign w:val="bottom"/>
            <w:gridSpan w:val="13"/>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3"/>
              </w:rPr>
              <w:t>18</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4"/>
          </w:tcPr>
          <w:p>
            <w:pPr>
              <w:spacing w:after="0"/>
              <w:rPr>
                <w:sz w:val="20"/>
                <w:szCs w:val="20"/>
                <w:color w:val="auto"/>
              </w:rPr>
            </w:pPr>
            <w:r>
              <w:rPr>
                <w:rFonts w:ascii="Times New Roman" w:cs="Times New Roman" w:eastAsia="Times New Roman" w:hAnsi="Times New Roman"/>
                <w:sz w:val="17"/>
                <w:szCs w:val="17"/>
                <w:b w:val="1"/>
                <w:bCs w:val="1"/>
                <w:color w:val="0000FF"/>
              </w:rPr>
              <w:t>15. Commitments and Contingencies</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19</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958"/>
        </w:trPr>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6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6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(Amounts in thousands, except share and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7"/>
                <w:szCs w:val="17"/>
                <w:color w:val="auto"/>
              </w:rPr>
            </w:pP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31"/>
        </w:trPr>
        <w:tc>
          <w:tcPr>
            <w:tcW w:w="8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4"/>
        </w:trPr>
        <w:tc>
          <w:tcPr>
            <w:tcW w:w="8200" w:type="dxa"/>
            <w:vAlign w:val="bottom"/>
            <w:vMerge w:val="restart"/>
          </w:tcPr>
          <w:p>
            <w:pPr>
              <w:ind w:left="37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Pr>
          <w:p>
            <w:pPr>
              <w:spacing w:after="0"/>
              <w:rPr>
                <w:sz w:val="19"/>
                <w:szCs w:val="19"/>
                <w:color w:val="auto"/>
              </w:rPr>
            </w:pP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453,539</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554,257</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2,047,342</w:t>
            </w:r>
          </w:p>
        </w:tc>
        <w:tc>
          <w:tcPr>
            <w:tcW w:w="0" w:type="dxa"/>
            <w:vAlign w:val="bottom"/>
          </w:tcPr>
          <w:p>
            <w:pPr>
              <w:spacing w:after="0"/>
              <w:rPr>
                <w:sz w:val="1"/>
                <w:szCs w:val="1"/>
                <w:color w:val="auto"/>
              </w:rPr>
            </w:pPr>
          </w:p>
        </w:tc>
      </w:tr>
      <w:tr>
        <w:trPr>
          <w:trHeight w:val="220"/>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169,142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137,310</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2,846,393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2,738,909</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 of accumulated depreciation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177,267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188,279</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174,345</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 of accumulated amortization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580,062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601,043</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2,343,789</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311,966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227,171</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320,419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290,152</w:t>
            </w:r>
          </w:p>
        </w:tc>
        <w:tc>
          <w:tcPr>
            <w:tcW w:w="0" w:type="dxa"/>
            <w:vAlign w:val="bottom"/>
          </w:tcPr>
          <w:p>
            <w:pPr>
              <w:spacing w:after="0"/>
              <w:rPr>
                <w:sz w:val="1"/>
                <w:szCs w:val="1"/>
                <w:color w:val="auto"/>
              </w:rPr>
            </w:pPr>
          </w:p>
        </w:tc>
      </w:tr>
      <w:tr>
        <w:trPr>
          <w:trHeight w:val="213"/>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6,820,989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6,563,688</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shd w:val="clear" w:color="auto" w:fill="CCEEFF"/>
          </w:tcPr>
          <w:p>
            <w:pPr>
              <w:ind w:left="2220"/>
              <w:spacing w:after="0" w:line="186"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61,875</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1,050,670</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506,130</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43,187</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30,328</w:t>
            </w:r>
          </w:p>
        </w:tc>
        <w:tc>
          <w:tcPr>
            <w:tcW w:w="0" w:type="dxa"/>
            <w:vAlign w:val="bottom"/>
          </w:tcPr>
          <w:p>
            <w:pPr>
              <w:spacing w:after="0"/>
              <w:rPr>
                <w:sz w:val="1"/>
                <w:szCs w:val="1"/>
                <w:color w:val="auto"/>
              </w:rPr>
            </w:pPr>
          </w:p>
        </w:tc>
      </w:tr>
      <w:tr>
        <w:trPr>
          <w:trHeight w:val="213"/>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1,814,329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1,692,190</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3,291,215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3,349,941</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182,134</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reserves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120,237</w:t>
            </w:r>
          </w:p>
        </w:tc>
        <w:tc>
          <w:tcPr>
            <w:tcW w:w="0" w:type="dxa"/>
            <w:vAlign w:val="bottom"/>
          </w:tcPr>
          <w:p>
            <w:pPr>
              <w:spacing w:after="0"/>
              <w:rPr>
                <w:sz w:val="1"/>
                <w:szCs w:val="1"/>
                <w:color w:val="auto"/>
              </w:rPr>
            </w:pPr>
          </w:p>
        </w:tc>
      </w:tr>
      <w:tr>
        <w:trPr>
          <w:trHeight w:val="22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186,378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172,624</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5,611,072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5,517,126</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200" w:type="dxa"/>
            <w:vAlign w:val="bottom"/>
          </w:tcPr>
          <w:p>
            <w:pPr>
              <w:ind w:left="340"/>
              <w:spacing w:after="0" w:line="168" w:lineRule="exact"/>
              <w:rPr>
                <w:sz w:val="20"/>
                <w:szCs w:val="20"/>
                <w:color w:val="auto"/>
              </w:rPr>
            </w:pPr>
            <w:r>
              <w:rPr>
                <w:rFonts w:ascii="Times New Roman" w:cs="Times New Roman" w:eastAsia="Times New Roman" w:hAnsi="Times New Roman"/>
                <w:sz w:val="17"/>
                <w:szCs w:val="17"/>
                <w:color w:val="auto"/>
              </w:rPr>
              <w:t>Common stock, Class A - $0.01 par value - authorized: 600,000,000 shares;</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0" w:type="dxa"/>
            <w:vAlign w:val="bottom"/>
          </w:tcPr>
          <w:p>
            <w:pPr>
              <w:ind w:left="340"/>
              <w:spacing w:after="0" w:line="168" w:lineRule="exact"/>
              <w:rPr>
                <w:sz w:val="20"/>
                <w:szCs w:val="20"/>
                <w:color w:val="auto"/>
              </w:rPr>
            </w:pPr>
            <w:r>
              <w:rPr>
                <w:rFonts w:ascii="Times New Roman" w:cs="Times New Roman" w:eastAsia="Times New Roman" w:hAnsi="Times New Roman"/>
                <w:sz w:val="17"/>
                <w:szCs w:val="17"/>
                <w:color w:val="auto"/>
              </w:rPr>
              <w:t>issued: 167,983,631 and 167,402,268 shares at December 31, 2024 and March 31, 2024, respectively;</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127,102,565 and 129,643,123 shares at December 31, 2024 and March 31, 2024, respectively</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Treasury stock, at cost - 40,881,066 and 37,759,145 shares at December 31, 2024 and March 31, 2024</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(2,752,083)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(2,277,546)</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1,009,759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908,837</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2,404,065</w:t>
            </w:r>
          </w:p>
        </w:tc>
        <w:tc>
          <w:tcPr>
            <w:tcW w:w="0" w:type="dxa"/>
            <w:vAlign w:val="bottom"/>
          </w:tcPr>
          <w:p>
            <w:pPr>
              <w:spacing w:after="0"/>
              <w:rPr>
                <w:sz w:val="1"/>
                <w:szCs w:val="1"/>
                <w:color w:val="auto"/>
              </w:rPr>
            </w:pPr>
          </w:p>
        </w:tc>
      </w:tr>
      <w:tr>
        <w:trPr>
          <w:trHeight w:val="220"/>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9,532</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1,209,917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1,046,562</w:t>
            </w:r>
          </w:p>
        </w:tc>
        <w:tc>
          <w:tcPr>
            <w:tcW w:w="0" w:type="dxa"/>
            <w:vAlign w:val="bottom"/>
          </w:tcPr>
          <w:p>
            <w:pPr>
              <w:spacing w:after="0"/>
              <w:rPr>
                <w:sz w:val="1"/>
                <w:szCs w:val="1"/>
                <w:color w:val="auto"/>
              </w:rPr>
            </w:pPr>
          </w:p>
        </w:tc>
      </w:tr>
      <w:tr>
        <w:trPr>
          <w:trHeight w:val="213"/>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6,820,989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6,563,688</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7"/>
        </w:trPr>
        <w:tc>
          <w:tcPr>
            <w:tcW w:w="140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5520" w:type="dxa"/>
            <w:vAlign w:val="bottom"/>
            <w:gridSpan w:val="7"/>
          </w:tcPr>
          <w:p>
            <w:pPr>
              <w:ind w:left="72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520" w:type="dxa"/>
            <w:vAlign w:val="bottom"/>
            <w:gridSpan w:val="7"/>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140" w:type="dxa"/>
            <w:vAlign w:val="bottom"/>
            <w:gridSpan w:val="2"/>
          </w:tcPr>
          <w:p>
            <w:pPr>
              <w:jc w:val="center"/>
              <w:ind w:left="19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600" w:type="dxa"/>
            <w:vAlign w:val="bottom"/>
            <w:gridSpan w:val="5"/>
          </w:tcPr>
          <w:p>
            <w:pPr>
              <w:jc w:val="center"/>
              <w:ind w:left="474"/>
              <w:spacing w:after="0"/>
              <w:rPr>
                <w:sz w:val="20"/>
                <w:szCs w:val="20"/>
                <w:color w:val="auto"/>
              </w:rPr>
            </w:pPr>
            <w:r>
              <w:rPr>
                <w:rFonts w:ascii="Times New Roman" w:cs="Times New Roman" w:eastAsia="Times New Roman" w:hAnsi="Times New Roman"/>
                <w:sz w:val="17"/>
                <w:szCs w:val="17"/>
                <w:b w:val="1"/>
                <w:bCs w:val="1"/>
                <w:color w:val="auto"/>
              </w:rPr>
              <w:t>(Amounts in thousands, except per share data)</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24"/>
                <w:szCs w:val="24"/>
                <w:color w:val="auto"/>
              </w:rPr>
            </w:pPr>
          </w:p>
        </w:tc>
        <w:tc>
          <w:tcPr>
            <w:tcW w:w="2380" w:type="dxa"/>
            <w:vAlign w:val="bottom"/>
            <w:gridSpan w:val="4"/>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31"/>
        </w:trPr>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0" w:type="dxa"/>
            <w:vAlign w:val="bottom"/>
          </w:tcPr>
          <w:p>
            <w:pPr>
              <w:spacing w:after="0"/>
              <w:rPr>
                <w:sz w:val="1"/>
                <w:szCs w:val="1"/>
                <w:color w:val="auto"/>
              </w:rPr>
            </w:pPr>
          </w:p>
        </w:tc>
      </w:tr>
      <w:tr>
        <w:trPr>
          <w:trHeight w:val="21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7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2,917,190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2,569,801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9,005,373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7,890,569</w:t>
            </w:r>
          </w:p>
        </w:tc>
        <w:tc>
          <w:tcPr>
            <w:tcW w:w="0" w:type="dxa"/>
            <w:vAlign w:val="bottom"/>
          </w:tcPr>
          <w:p>
            <w:pPr>
              <w:spacing w:after="0"/>
              <w:rPr>
                <w:sz w:val="1"/>
                <w:szCs w:val="1"/>
                <w:color w:val="auto"/>
              </w:rPr>
            </w:pPr>
          </w:p>
        </w:tc>
      </w:tr>
      <w:tr>
        <w:trPr>
          <w:trHeight w:val="22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2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1,305,612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1,180,961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4,039,128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3,665,589</w:t>
            </w:r>
          </w:p>
        </w:tc>
        <w:tc>
          <w:tcPr>
            <w:tcW w:w="0" w:type="dxa"/>
            <w:vAlign w:val="bottom"/>
          </w:tcPr>
          <w:p>
            <w:pPr>
              <w:spacing w:after="0"/>
              <w:rPr>
                <w:sz w:val="1"/>
                <w:szCs w:val="1"/>
                <w:color w:val="auto"/>
              </w:rPr>
            </w:pPr>
          </w:p>
        </w:tc>
      </w:tr>
      <w:tr>
        <w:trPr>
          <w:trHeight w:val="220"/>
        </w:trPr>
        <w:tc>
          <w:tcPr>
            <w:tcW w:w="30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Billable expenses</w:t>
            </w:r>
          </w:p>
        </w:tc>
        <w:tc>
          <w:tcPr>
            <w:tcW w:w="2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938,534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2,851,537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2,436,988</w:t>
            </w:r>
          </w:p>
        </w:tc>
        <w:tc>
          <w:tcPr>
            <w:tcW w:w="0" w:type="dxa"/>
            <w:vAlign w:val="bottom"/>
          </w:tcPr>
          <w:p>
            <w:pPr>
              <w:spacing w:after="0"/>
              <w:rPr>
                <w:sz w:val="1"/>
                <w:szCs w:val="1"/>
                <w:color w:val="auto"/>
              </w:rPr>
            </w:pPr>
          </w:p>
        </w:tc>
      </w:tr>
      <w:tr>
        <w:trPr>
          <w:trHeight w:val="220"/>
        </w:trPr>
        <w:tc>
          <w:tcPr>
            <w:tcW w:w="3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341,629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896,335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915,160</w:t>
            </w:r>
          </w:p>
        </w:tc>
        <w:tc>
          <w:tcPr>
            <w:tcW w:w="0" w:type="dxa"/>
            <w:vAlign w:val="bottom"/>
          </w:tcPr>
          <w:p>
            <w:pPr>
              <w:spacing w:after="0"/>
              <w:rPr>
                <w:sz w:val="1"/>
                <w:szCs w:val="1"/>
                <w:color w:val="auto"/>
              </w:rPr>
            </w:pPr>
          </w:p>
        </w:tc>
      </w:tr>
      <w:tr>
        <w:trPr>
          <w:trHeight w:val="220"/>
        </w:trPr>
        <w:tc>
          <w:tcPr>
            <w:tcW w:w="30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40,156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123,341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123,867</w:t>
            </w:r>
          </w:p>
        </w:tc>
        <w:tc>
          <w:tcPr>
            <w:tcW w:w="0" w:type="dxa"/>
            <w:vAlign w:val="bottom"/>
          </w:tcPr>
          <w:p>
            <w:pPr>
              <w:spacing w:after="0"/>
              <w:rPr>
                <w:sz w:val="1"/>
                <w:szCs w:val="1"/>
                <w:color w:val="auto"/>
              </w:rPr>
            </w:pPr>
          </w:p>
        </w:tc>
      </w:tr>
      <w:tr>
        <w:trPr>
          <w:trHeight w:val="213"/>
        </w:trPr>
        <w:tc>
          <w:tcPr>
            <w:tcW w:w="3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7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2,625,931</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2,322,243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7,910,341</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7,141,604</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291,259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1,095,032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748,965</w:t>
            </w:r>
          </w:p>
        </w:tc>
        <w:tc>
          <w:tcPr>
            <w:tcW w:w="0" w:type="dxa"/>
            <w:vAlign w:val="bottom"/>
          </w:tcPr>
          <w:p>
            <w:pPr>
              <w:spacing w:after="0"/>
              <w:rPr>
                <w:sz w:val="1"/>
                <w:szCs w:val="1"/>
                <w:color w:val="auto"/>
              </w:rPr>
            </w:pPr>
          </w:p>
        </w:tc>
      </w:tr>
      <w:tr>
        <w:trPr>
          <w:trHeight w:val="22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(45,629)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(138,605)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(126,812)</w:t>
            </w:r>
          </w:p>
        </w:tc>
        <w:tc>
          <w:tcPr>
            <w:tcW w:w="0" w:type="dxa"/>
            <w:vAlign w:val="bottom"/>
          </w:tcPr>
          <w:p>
            <w:pPr>
              <w:spacing w:after="0"/>
              <w:rPr>
                <w:sz w:val="1"/>
                <w:szCs w:val="1"/>
                <w:color w:val="auto"/>
              </w:rPr>
            </w:pPr>
          </w:p>
        </w:tc>
      </w:tr>
      <w:tr>
        <w:trPr>
          <w:trHeight w:val="220"/>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19,682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11,888</w:t>
            </w:r>
          </w:p>
        </w:tc>
        <w:tc>
          <w:tcPr>
            <w:tcW w:w="0" w:type="dxa"/>
            <w:vAlign w:val="bottom"/>
          </w:tcPr>
          <w:p>
            <w:pPr>
              <w:spacing w:after="0"/>
              <w:rPr>
                <w:sz w:val="1"/>
                <w:szCs w:val="1"/>
                <w:color w:val="auto"/>
              </w:rPr>
            </w:pPr>
          </w:p>
        </w:tc>
      </w:tr>
      <w:tr>
        <w:trPr>
          <w:trHeight w:val="21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248,396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976,109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634,041</w:t>
            </w:r>
          </w:p>
        </w:tc>
        <w:tc>
          <w:tcPr>
            <w:tcW w:w="0" w:type="dxa"/>
            <w:vAlign w:val="bottom"/>
          </w:tcPr>
          <w:p>
            <w:pPr>
              <w:spacing w:after="0"/>
              <w:rPr>
                <w:sz w:val="1"/>
                <w:szCs w:val="1"/>
                <w:color w:val="auto"/>
              </w:rPr>
            </w:pPr>
          </w:p>
        </w:tc>
      </w:tr>
      <w:tr>
        <w:trPr>
          <w:trHeight w:val="220"/>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61,446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233,814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156,291</w:t>
            </w:r>
          </w:p>
        </w:tc>
        <w:tc>
          <w:tcPr>
            <w:tcW w:w="0" w:type="dxa"/>
            <w:vAlign w:val="bottom"/>
          </w:tcPr>
          <w:p>
            <w:pPr>
              <w:spacing w:after="0"/>
              <w:rPr>
                <w:sz w:val="1"/>
                <w:szCs w:val="1"/>
                <w:color w:val="auto"/>
              </w:rPr>
            </w:pPr>
          </w:p>
        </w:tc>
      </w:tr>
      <w:tr>
        <w:trPr>
          <w:trHeight w:val="212"/>
        </w:trPr>
        <w:tc>
          <w:tcPr>
            <w:tcW w:w="304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color w:val="auto"/>
              </w:rPr>
              <w:t>Net income</w:t>
            </w:r>
          </w:p>
        </w:tc>
        <w:tc>
          <w:tcPr>
            <w:tcW w:w="27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186,950</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4"/>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145,644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742,295</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74"/>
              <w:spacing w:after="0" w:line="188"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477,750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Earnings per common share (Note 4):</w:t>
            </w:r>
          </w:p>
        </w:tc>
        <w:tc>
          <w:tcPr>
            <w:tcW w:w="2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40" w:type="dxa"/>
            <w:vAlign w:val="bottom"/>
            <w:gridSpan w:val="2"/>
            <w:vMerge w:val="continue"/>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40" w:type="dxa"/>
            <w:vAlign w:val="bottom"/>
            <w:gridSpan w:val="2"/>
            <w:vMerge w:val="continue"/>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1.45</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7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5.73</w:t>
            </w: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274"/>
              <w:spacing w:after="0" w:line="193"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65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77"/>
        </w:trPr>
        <w:tc>
          <w:tcPr>
            <w:tcW w:w="1400" w:type="dxa"/>
            <w:vAlign w:val="bottom"/>
            <w:tcBorders>
              <w:top w:val="single" w:sz="8" w:color="0000FF"/>
            </w:tcBorders>
          </w:tcPr>
          <w:p>
            <w:pPr>
              <w:spacing w:after="0"/>
              <w:rPr>
                <w:sz w:val="24"/>
                <w:szCs w:val="24"/>
                <w:color w:val="auto"/>
              </w:rPr>
            </w:pPr>
          </w:p>
        </w:tc>
        <w:tc>
          <w:tcPr>
            <w:tcW w:w="6560" w:type="dxa"/>
            <w:vAlign w:val="bottom"/>
            <w:gridSpan w:val="6"/>
          </w:tcPr>
          <w:p>
            <w:pPr>
              <w:jc w:val="center"/>
              <w:ind w:left="1794"/>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9"/>
        </w:trPr>
        <w:tc>
          <w:tcPr>
            <w:tcW w:w="1400" w:type="dxa"/>
            <w:vAlign w:val="bottom"/>
          </w:tcPr>
          <w:p>
            <w:pPr>
              <w:spacing w:after="0"/>
              <w:rPr>
                <w:sz w:val="22"/>
                <w:szCs w:val="22"/>
                <w:color w:val="auto"/>
              </w:rPr>
            </w:pPr>
          </w:p>
        </w:tc>
        <w:tc>
          <w:tcPr>
            <w:tcW w:w="7520" w:type="dxa"/>
            <w:vAlign w:val="bottom"/>
            <w:gridSpan w:val="8"/>
          </w:tcPr>
          <w:p>
            <w:pPr>
              <w:jc w:val="center"/>
              <w:ind w:left="83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9"/>
        </w:trPr>
        <w:tc>
          <w:tcPr>
            <w:tcW w:w="1400" w:type="dxa"/>
            <w:vAlign w:val="bottom"/>
          </w:tcPr>
          <w:p>
            <w:pPr>
              <w:spacing w:after="0"/>
              <w:rPr>
                <w:sz w:val="22"/>
                <w:szCs w:val="22"/>
                <w:color w:val="auto"/>
              </w:rPr>
            </w:pPr>
          </w:p>
        </w:tc>
        <w:tc>
          <w:tcPr>
            <w:tcW w:w="5120" w:type="dxa"/>
            <w:vAlign w:val="bottom"/>
            <w:gridSpan w:val="2"/>
          </w:tcPr>
          <w:p>
            <w:pPr>
              <w:jc w:val="center"/>
              <w:ind w:left="32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9"/>
        </w:trPr>
        <w:tc>
          <w:tcPr>
            <w:tcW w:w="1400" w:type="dxa"/>
            <w:vAlign w:val="bottom"/>
          </w:tcPr>
          <w:p>
            <w:pPr>
              <w:spacing w:after="0"/>
              <w:rPr>
                <w:sz w:val="22"/>
                <w:szCs w:val="22"/>
                <w:color w:val="auto"/>
              </w:rPr>
            </w:pPr>
          </w:p>
        </w:tc>
        <w:tc>
          <w:tcPr>
            <w:tcW w:w="5120" w:type="dxa"/>
            <w:vAlign w:val="bottom"/>
            <w:gridSpan w:val="2"/>
          </w:tcPr>
          <w:p>
            <w:pPr>
              <w:jc w:val="center"/>
              <w:ind w:left="3234"/>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5"/>
        </w:trPr>
        <w:tc>
          <w:tcPr>
            <w:tcW w:w="14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1"/>
        </w:trPr>
        <w:tc>
          <w:tcPr>
            <w:tcW w:w="14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20"/>
                <w:szCs w:val="20"/>
                <w:color w:val="auto"/>
              </w:rPr>
            </w:pPr>
          </w:p>
        </w:tc>
        <w:tc>
          <w:tcPr>
            <w:tcW w:w="2080" w:type="dxa"/>
            <w:vAlign w:val="bottom"/>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6"/>
        </w:trPr>
        <w:tc>
          <w:tcPr>
            <w:tcW w:w="1400" w:type="dxa"/>
            <w:vAlign w:val="bottom"/>
            <w:tcBorders>
              <w:bottom w:val="single" w:sz="8" w:color="CCEEFF"/>
            </w:tcBorders>
          </w:tcPr>
          <w:p>
            <w:pPr>
              <w:spacing w:after="0"/>
              <w:rPr>
                <w:sz w:val="18"/>
                <w:szCs w:val="18"/>
                <w:color w:val="auto"/>
              </w:rPr>
            </w:pPr>
          </w:p>
        </w:tc>
        <w:tc>
          <w:tcPr>
            <w:tcW w:w="5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742,295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477,750</w:t>
            </w:r>
          </w:p>
        </w:tc>
      </w:tr>
      <w:tr>
        <w:trPr>
          <w:trHeight w:val="220"/>
        </w:trPr>
        <w:tc>
          <w:tcPr>
            <w:tcW w:w="6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0"/>
        </w:trPr>
        <w:tc>
          <w:tcPr>
            <w:tcW w:w="6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unrealized gain (loss) on derivatives designated as cash flow hedges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w:t>
            </w:r>
          </w:p>
        </w:tc>
      </w:tr>
      <w:tr>
        <w:trPr>
          <w:trHeight w:val="220"/>
        </w:trPr>
        <w:tc>
          <w:tcPr>
            <w:tcW w:w="65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Change in postretirement plan costs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w:t>
            </w:r>
          </w:p>
        </w:tc>
      </w:tr>
      <w:tr>
        <w:trPr>
          <w:trHeight w:val="213"/>
        </w:trPr>
        <w:tc>
          <w:tcPr>
            <w:tcW w:w="65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other comprehensive income (loss), net of tax</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(3,830)</w:t>
            </w:r>
          </w:p>
        </w:tc>
      </w:tr>
      <w:tr>
        <w:trPr>
          <w:trHeight w:val="213"/>
        </w:trPr>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Comprehensive income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190,361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139,255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735,898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473,920</w:t>
            </w:r>
          </w:p>
        </w:tc>
      </w:tr>
      <w:tr>
        <w:trPr>
          <w:trHeight w:val="20"/>
        </w:trPr>
        <w:tc>
          <w:tcPr>
            <w:tcW w:w="14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8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7"/>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6820" w:type="dxa"/>
            <w:vAlign w:val="bottom"/>
          </w:tcPr>
          <w:p>
            <w:pPr>
              <w:jc w:val="center"/>
              <w:ind w:left="1534"/>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820" w:type="dxa"/>
            <w:vAlign w:val="bottom"/>
          </w:tcPr>
          <w:p>
            <w:pPr>
              <w:jc w:val="center"/>
              <w:ind w:left="153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820" w:type="dxa"/>
            <w:vAlign w:val="bottom"/>
          </w:tcPr>
          <w:p>
            <w:pPr>
              <w:jc w:val="center"/>
              <w:ind w:left="15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320" w:type="dxa"/>
            <w:vAlign w:val="bottom"/>
          </w:tcPr>
          <w:p>
            <w:pPr>
              <w:spacing w:after="0"/>
              <w:rPr>
                <w:sz w:val="21"/>
                <w:szCs w:val="21"/>
                <w:color w:val="auto"/>
              </w:rPr>
            </w:pPr>
          </w:p>
        </w:tc>
        <w:tc>
          <w:tcPr>
            <w:tcW w:w="2700" w:type="dxa"/>
            <w:vAlign w:val="bottom"/>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200" w:type="dxa"/>
            <w:vAlign w:val="bottom"/>
            <w:gridSpan w:val="2"/>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6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742,295</w:t>
            </w:r>
          </w:p>
        </w:tc>
        <w:tc>
          <w:tcPr>
            <w:tcW w:w="8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477,750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123,341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123,867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Noncash lease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38,967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40,558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70,830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61,277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(gains) losses on investments, dispositions, and other</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receivable,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(158,984)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(193,483)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Deferred income taxes and income taxes receivable / payable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(105,321)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(76,982)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Prepaid expenses and other current and long-term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224,241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43,758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(103,068)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(323,730)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7"/>
                <w:szCs w:val="17"/>
                <w:color w:val="auto"/>
              </w:rPr>
              <w:t>Other current and long-term 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789,991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115,068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Purchases of property, equipment, and software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(73,428)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Payments for business acquisitions and dispositions, net of cash acquired</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(96,524)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Payments for cost method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(183,765)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(68,254)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24,859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20,899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Stock option exercises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(497,116)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(303,654)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Cash dividends paid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(198,437)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(186,787)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Proceeds from revolving credit facility</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Repayments on revolving credit facility, term loans, and Senior Notes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(530,937)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Net proceeds from debt issuance</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636,207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Borders>
              <w:top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(706,944)</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(100,718)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196,951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554,257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404,862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equivalents––end of period</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453,539</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820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paid during the period for:</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121,373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105,259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Income taxes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321,896</w:t>
            </w:r>
          </w:p>
        </w:tc>
        <w:tc>
          <w:tcPr>
            <w:tcW w:w="8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222,267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disclosures of non-cash investing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Unpaid property, equipment, and software purchases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4,207</w:t>
            </w:r>
          </w:p>
        </w:tc>
        <w:tc>
          <w:tcPr>
            <w:tcW w:w="8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2"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jc w:val="center"/>
        <w:ind w:left="1160"/>
        <w:spacing w:after="0" w:line="222" w:lineRule="auto"/>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3"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(Amounts in thousands, except share</w:t>
            </w:r>
          </w:p>
        </w:tc>
        <w:tc>
          <w:tcPr>
            <w:tcW w:w="19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04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b w:val="1"/>
                <w:bCs w:val="1"/>
                <w:color w:val="auto"/>
              </w:rPr>
              <w:t>Treasury</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880" w:type="dxa"/>
            <w:vAlign w:val="bottom"/>
            <w:vMerge w:val="continue"/>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2040" w:type="dxa"/>
            <w:vAlign w:val="bottom"/>
            <w:gridSpan w:val="4"/>
            <w:vMerge w:val="continue"/>
          </w:tcPr>
          <w:p>
            <w:pPr>
              <w:spacing w:after="0"/>
              <w:rPr>
                <w:sz w:val="9"/>
                <w:szCs w:val="9"/>
                <w:color w:val="auto"/>
              </w:rPr>
            </w:pPr>
          </w:p>
        </w:tc>
        <w:tc>
          <w:tcPr>
            <w:tcW w:w="940" w:type="dxa"/>
            <w:vAlign w:val="bottom"/>
            <w:gridSpan w:val="3"/>
            <w:vMerge w:val="restart"/>
          </w:tcPr>
          <w:p>
            <w:pPr>
              <w:ind w:left="40"/>
              <w:spacing w:after="0" w:line="168"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center"/>
              <w:ind w:right="180"/>
              <w:spacing w:after="0" w:line="168" w:lineRule="exact"/>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9"/>
                <w:szCs w:val="9"/>
                <w:color w:val="auto"/>
              </w:rPr>
            </w:pPr>
          </w:p>
        </w:tc>
        <w:tc>
          <w:tcPr>
            <w:tcW w:w="440" w:type="dxa"/>
            <w:vAlign w:val="bottom"/>
            <w:vMerge w:val="restart"/>
          </w:tcPr>
          <w:p>
            <w:pPr>
              <w:jc w:val="right"/>
              <w:spacing w:after="0" w:line="168" w:lineRule="exact"/>
              <w:rPr>
                <w:sz w:val="20"/>
                <w:szCs w:val="20"/>
                <w:color w:val="auto"/>
              </w:rPr>
            </w:pPr>
            <w:r>
              <w:rPr>
                <w:rFonts w:ascii="Times New Roman" w:cs="Times New Roman" w:eastAsia="Times New Roman" w:hAnsi="Times New Roman"/>
                <w:sz w:val="17"/>
                <w:szCs w:val="17"/>
                <w:b w:val="1"/>
                <w:bCs w:val="1"/>
                <w:color w:val="auto"/>
              </w:rPr>
              <w:t>Tot</w:t>
            </w:r>
          </w:p>
        </w:tc>
        <w:tc>
          <w:tcPr>
            <w:tcW w:w="0" w:type="dxa"/>
            <w:vAlign w:val="bottom"/>
          </w:tcPr>
          <w:p>
            <w:pPr>
              <w:spacing w:after="0"/>
              <w:rPr>
                <w:sz w:val="1"/>
                <w:szCs w:val="1"/>
                <w:color w:val="auto"/>
              </w:rPr>
            </w:pPr>
          </w:p>
        </w:tc>
      </w:tr>
      <w:tr>
        <w:trPr>
          <w:trHeight w:val="65"/>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data)</w:t>
            </w:r>
          </w:p>
        </w:tc>
        <w:tc>
          <w:tcPr>
            <w:tcW w:w="1840" w:type="dxa"/>
            <w:vAlign w:val="bottom"/>
            <w:gridSpan w:val="4"/>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80" w:type="dxa"/>
            <w:vAlign w:val="bottom"/>
            <w:vMerge w:val="restart"/>
          </w:tcPr>
          <w:p>
            <w:pPr>
              <w:spacing w:after="0"/>
              <w:rPr>
                <w:sz w:val="5"/>
                <w:szCs w:val="5"/>
                <w:color w:val="auto"/>
              </w:rPr>
            </w:pPr>
          </w:p>
        </w:tc>
        <w:tc>
          <w:tcPr>
            <w:tcW w:w="1960" w:type="dxa"/>
            <w:vAlign w:val="bottom"/>
            <w:gridSpan w:val="3"/>
            <w:vMerge w:val="restart"/>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vMerge w:val="restart"/>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880" w:type="dxa"/>
            <w:vAlign w:val="bottom"/>
            <w:vMerge w:val="continue"/>
          </w:tcPr>
          <w:p>
            <w:pPr>
              <w:spacing w:after="0"/>
              <w:rPr>
                <w:sz w:val="13"/>
                <w:szCs w:val="13"/>
                <w:color w:val="auto"/>
              </w:rPr>
            </w:pPr>
          </w:p>
        </w:tc>
        <w:tc>
          <w:tcPr>
            <w:tcW w:w="18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96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60"/>
              <w:spacing w:after="0" w:line="156" w:lineRule="exact"/>
              <w:rPr>
                <w:sz w:val="20"/>
                <w:szCs w:val="20"/>
                <w:color w:val="auto"/>
              </w:rPr>
            </w:pPr>
            <w:r>
              <w:rPr>
                <w:rFonts w:ascii="Times New Roman" w:cs="Times New Roman" w:eastAsia="Times New Roman" w:hAnsi="Times New Roman"/>
                <w:sz w:val="17"/>
                <w:szCs w:val="17"/>
                <w:b w:val="1"/>
                <w:bCs w:val="1"/>
                <w:color w:val="auto"/>
              </w:rPr>
              <w:t>Paid-In</w:t>
            </w:r>
          </w:p>
        </w:tc>
        <w:tc>
          <w:tcPr>
            <w:tcW w:w="120" w:type="dxa"/>
            <w:vAlign w:val="bottom"/>
          </w:tcPr>
          <w:p>
            <w:pPr>
              <w:spacing w:after="0"/>
              <w:rPr>
                <w:sz w:val="13"/>
                <w:szCs w:val="13"/>
                <w:color w:val="auto"/>
              </w:rPr>
            </w:pPr>
          </w:p>
        </w:tc>
        <w:tc>
          <w:tcPr>
            <w:tcW w:w="92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28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6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7"/>
                <w:szCs w:val="17"/>
                <w:b w:val="1"/>
                <w:bCs w:val="1"/>
                <w:color w:val="auto"/>
                <w:w w:val="98"/>
              </w:rPr>
              <w:t>Stockho</w:t>
            </w:r>
          </w:p>
        </w:tc>
        <w:tc>
          <w:tcPr>
            <w:tcW w:w="0" w:type="dxa"/>
            <w:vAlign w:val="bottom"/>
          </w:tcPr>
          <w:p>
            <w:pPr>
              <w:spacing w:after="0"/>
              <w:rPr>
                <w:sz w:val="1"/>
                <w:szCs w:val="1"/>
                <w:color w:val="auto"/>
              </w:rPr>
            </w:pPr>
          </w:p>
        </w:tc>
      </w:tr>
      <w:tr>
        <w:trPr>
          <w:trHeight w:val="226"/>
        </w:trPr>
        <w:tc>
          <w:tcPr>
            <w:tcW w:w="288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Equi</w:t>
            </w:r>
          </w:p>
        </w:tc>
        <w:tc>
          <w:tcPr>
            <w:tcW w:w="0" w:type="dxa"/>
            <w:vAlign w:val="bottom"/>
          </w:tcPr>
          <w:p>
            <w:pPr>
              <w:spacing w:after="0"/>
              <w:rPr>
                <w:sz w:val="1"/>
                <w:szCs w:val="1"/>
                <w:color w:val="auto"/>
              </w:rPr>
            </w:pPr>
          </w:p>
        </w:tc>
      </w:tr>
      <w:tr>
        <w:trPr>
          <w:trHeight w:val="21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167,841,004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(39,939,116)</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(2,601,927)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975,216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2,826,078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13"/>
        </w:trPr>
        <w:tc>
          <w:tcPr>
            <w:tcW w:w="2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options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(1)</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(941,950)</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169"/>
        </w:trPr>
        <w:tc>
          <w:tcPr>
            <w:tcW w:w="2880" w:type="dxa"/>
            <w:vAlign w:val="bottom"/>
          </w:tcPr>
          <w:p>
            <w:pPr>
              <w:ind w:left="140"/>
              <w:spacing w:after="0" w:line="168" w:lineRule="exact"/>
              <w:rPr>
                <w:sz w:val="20"/>
                <w:szCs w:val="20"/>
                <w:color w:val="auto"/>
              </w:rPr>
            </w:pPr>
            <w:r>
              <w:rPr>
                <w:rFonts w:ascii="Times New Roman" w:cs="Times New Roman" w:eastAsia="Times New Roman" w:hAnsi="Times New Roman"/>
                <w:sz w:val="17"/>
                <w:szCs w:val="17"/>
                <w:color w:val="auto"/>
              </w:rPr>
              <w:t>Other comprehensive income, net of</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Dividends paid of $0.51 per share of</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(65,602)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2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167,983,631</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(40,881,066)</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(2,752,083)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1,009,759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2,947,426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39"/>
        </w:trPr>
        <w:tc>
          <w:tcPr>
            <w:tcW w:w="28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167,402,268</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(37,759,145)</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(2,277,546)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908,837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2,404,065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13"/>
        </w:trPr>
        <w:tc>
          <w:tcPr>
            <w:tcW w:w="2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483,438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options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97,925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(2)</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(3,121,921)</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(474,537)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742,295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20"/>
        </w:trPr>
        <w:tc>
          <w:tcPr>
            <w:tcW w:w="2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Dividends paid of $1.53 per share of</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(198,934)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0"/>
        </w:trPr>
        <w:tc>
          <w:tcPr>
            <w:tcW w:w="2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167,983,631</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(40,881,066)</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(2,752,083)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1,009,759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2,947,426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20" w:right="380" w:hanging="150"/>
        <w:spacing w:after="0" w:line="244" w:lineRule="auto"/>
        <w:tabs>
          <w:tab w:leader="none" w:pos="638"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During the three months ended December 31, 2024, the Company purchased 0.9 million shares of the Company’s Class A Common Stock for $145.0 million. Additionally, the Company repurchased shares for $3.8 million during the three months ended December 31, 2024 to cover the minimum statutory taxes on repurchases and restricted stock units that vested on various dates during the period.</w:t>
      </w:r>
    </w:p>
    <w:p>
      <w:pPr>
        <w:spacing w:after="0" w:line="83" w:lineRule="exact"/>
        <w:rPr>
          <w:rFonts w:ascii="Times New Roman" w:cs="Times New Roman" w:eastAsia="Times New Roman" w:hAnsi="Times New Roman"/>
          <w:sz w:val="21"/>
          <w:szCs w:val="21"/>
          <w:color w:val="auto"/>
          <w:vertAlign w:val="superscript"/>
        </w:rPr>
      </w:pPr>
    </w:p>
    <w:p>
      <w:pPr>
        <w:ind w:left="620" w:right="420" w:hanging="150"/>
        <w:spacing w:after="0" w:line="244" w:lineRule="auto"/>
        <w:tabs>
          <w:tab w:leader="none" w:pos="638"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During the nine months ended December 31, 2024, the Company purchased 3.0 million shares of the Company’s Class A Common Stock for $453.5 million. Additionally, the Company repurchased shares for $17.1 million during the nine months ended December 31, 2024 to cover the minimum statutory taxes on repurchases and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354"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2"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jc w:val="center"/>
        <w:ind w:left="1160"/>
        <w:spacing w:after="0" w:line="222" w:lineRule="auto"/>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1340"/>
          </w:cols>
          <w:pgMar w:left="320" w:top="354" w:right="239" w:bottom="1440" w:gutter="0" w:footer="0" w:header="0"/>
        </w:sectPr>
      </w:pPr>
    </w:p>
    <w:p>
      <w:pPr>
        <w:spacing w:after="0" w:line="210" w:lineRule="exact"/>
        <w:rPr>
          <w:sz w:val="20"/>
          <w:szCs w:val="20"/>
          <w:color w:val="auto"/>
        </w:rPr>
      </w:pPr>
    </w:p>
    <w:p>
      <w:pPr>
        <w:ind w:left="640"/>
        <w:spacing w:after="0" w:line="246" w:lineRule="auto"/>
        <w:rPr>
          <w:sz w:val="20"/>
          <w:szCs w:val="20"/>
          <w:color w:val="auto"/>
        </w:rPr>
      </w:pPr>
      <w:r>
        <w:rPr>
          <w:rFonts w:ascii="Times New Roman" w:cs="Times New Roman" w:eastAsia="Times New Roman" w:hAnsi="Times New Roman"/>
          <w:sz w:val="17"/>
          <w:szCs w:val="17"/>
          <w:b w:val="1"/>
          <w:bCs w:val="1"/>
          <w:color w:val="auto"/>
        </w:rPr>
        <w:t>(Amounts in thousands, except share data)</w:t>
      </w:r>
    </w:p>
    <w:p>
      <w:pPr>
        <w:spacing w:after="0" w:line="222" w:lineRule="exact"/>
        <w:rPr>
          <w:sz w:val="20"/>
          <w:szCs w:val="20"/>
          <w:color w:val="auto"/>
        </w:rPr>
      </w:pPr>
    </w:p>
    <w:p>
      <w:pPr>
        <w:ind w:left="760" w:right="460" w:hanging="116"/>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Balance at September 30, 2023 </w:t>
      </w:r>
      <w:r>
        <w:rPr>
          <w:rFonts w:ascii="Times New Roman" w:cs="Times New Roman" w:eastAsia="Times New Roman" w:hAnsi="Times New Roman"/>
          <w:sz w:val="17"/>
          <w:szCs w:val="17"/>
          <w:color w:val="auto"/>
        </w:rPr>
        <w:t>Issuance of common stock Stock options exercised</w:t>
      </w:r>
    </w:p>
    <w:p>
      <w:pPr>
        <w:ind w:left="760"/>
        <w:spacing w:after="0" w:line="222" w:lineRule="auto"/>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(3)</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Net income</w:t>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Other comprehensive loss, net of tax</w:t>
      </w:r>
    </w:p>
    <w:p>
      <w:pPr>
        <w:spacing w:after="0" w:line="25" w:lineRule="exact"/>
        <w:rPr>
          <w:sz w:val="20"/>
          <w:szCs w:val="20"/>
          <w:color w:val="auto"/>
        </w:rPr>
      </w:pPr>
    </w:p>
    <w:p>
      <w:pPr>
        <w:ind w:left="760" w:right="80"/>
        <w:spacing w:after="0" w:line="238" w:lineRule="auto"/>
        <w:rPr>
          <w:sz w:val="20"/>
          <w:szCs w:val="20"/>
          <w:color w:val="auto"/>
        </w:rPr>
      </w:pPr>
      <w:r>
        <w:rPr>
          <w:rFonts w:ascii="Times New Roman" w:cs="Times New Roman" w:eastAsia="Times New Roman" w:hAnsi="Times New Roman"/>
          <w:sz w:val="17"/>
          <w:szCs w:val="17"/>
          <w:color w:val="auto"/>
        </w:rPr>
        <w:t>Dividends paid of $0.47 per share of common stock</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Stock-based compensation expense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720" w:type="dxa"/>
            <w:vAlign w:val="bottom"/>
            <w:gridSpan w:val="4"/>
          </w:tcPr>
          <w:p>
            <w:pPr>
              <w:ind w:left="54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08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Treasury</w:t>
            </w: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0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Tot</w:t>
            </w:r>
          </w:p>
        </w:tc>
        <w:tc>
          <w:tcPr>
            <w:tcW w:w="0" w:type="dxa"/>
            <w:vAlign w:val="bottom"/>
          </w:tcPr>
          <w:p>
            <w:pPr>
              <w:spacing w:after="0"/>
              <w:rPr>
                <w:sz w:val="1"/>
                <w:szCs w:val="1"/>
                <w:color w:val="auto"/>
              </w:rPr>
            </w:pPr>
          </w:p>
        </w:tc>
      </w:tr>
      <w:tr>
        <w:trPr>
          <w:trHeight w:val="169"/>
        </w:trPr>
        <w:tc>
          <w:tcPr>
            <w:tcW w:w="1720" w:type="dxa"/>
            <w:vAlign w:val="bottom"/>
            <w:gridSpan w:val="4"/>
          </w:tcPr>
          <w:p>
            <w:pPr>
              <w:ind w:left="260"/>
              <w:spacing w:after="0" w:line="168" w:lineRule="exact"/>
              <w:rPr>
                <w:sz w:val="20"/>
                <w:szCs w:val="20"/>
                <w:color w:val="auto"/>
              </w:rPr>
            </w:pPr>
            <w:r>
              <w:rPr>
                <w:rFonts w:ascii="Times New Roman" w:cs="Times New Roman" w:eastAsia="Times New Roman" w:hAnsi="Times New Roman"/>
                <w:sz w:val="17"/>
                <w:szCs w:val="17"/>
                <w:b w:val="1"/>
                <w:bCs w:val="1"/>
                <w:color w:val="auto"/>
              </w:rPr>
              <w:t>Common Stock</w:t>
            </w:r>
          </w:p>
        </w:tc>
        <w:tc>
          <w:tcPr>
            <w:tcW w:w="2080" w:type="dxa"/>
            <w:vAlign w:val="bottom"/>
            <w:gridSpan w:val="4"/>
          </w:tcPr>
          <w:p>
            <w:pPr>
              <w:jc w:val="center"/>
              <w:ind w:right="60"/>
              <w:spacing w:after="0" w:line="168" w:lineRule="exact"/>
              <w:rPr>
                <w:sz w:val="20"/>
                <w:szCs w:val="20"/>
                <w:color w:val="auto"/>
              </w:rPr>
            </w:pPr>
            <w:r>
              <w:rPr>
                <w:rFonts w:ascii="Times New Roman" w:cs="Times New Roman" w:eastAsia="Times New Roman" w:hAnsi="Times New Roman"/>
                <w:sz w:val="17"/>
                <w:szCs w:val="17"/>
                <w:b w:val="1"/>
                <w:bCs w:val="1"/>
                <w:color w:val="auto"/>
              </w:rPr>
              <w:t>Stock</w:t>
            </w:r>
          </w:p>
        </w:tc>
        <w:tc>
          <w:tcPr>
            <w:tcW w:w="9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line="168" w:lineRule="exact"/>
              <w:rPr>
                <w:sz w:val="20"/>
                <w:szCs w:val="20"/>
                <w:color w:val="auto"/>
              </w:rPr>
            </w:pPr>
            <w:r>
              <w:rPr>
                <w:rFonts w:ascii="Times New Roman" w:cs="Times New Roman" w:eastAsia="Times New Roman" w:hAnsi="Times New Roman"/>
                <w:sz w:val="17"/>
                <w:szCs w:val="17"/>
                <w:b w:val="1"/>
                <w:bCs w:val="1"/>
                <w:color w:val="auto"/>
              </w:rPr>
              <w:t>Other</w:t>
            </w:r>
          </w:p>
        </w:tc>
        <w:tc>
          <w:tcPr>
            <w:tcW w:w="2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jc w:val="center"/>
              <w:ind w:right="80"/>
              <w:spacing w:after="0" w:line="143"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20" w:type="dxa"/>
            <w:vAlign w:val="bottom"/>
            <w:gridSpan w:val="2"/>
            <w:vMerge w:val="restart"/>
          </w:tcPr>
          <w:p>
            <w:pPr>
              <w:ind w:left="140"/>
              <w:spacing w:after="0" w:line="143"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880" w:type="dxa"/>
            <w:vAlign w:val="bottom"/>
            <w:gridSpan w:val="5"/>
            <w:vMerge w:val="restart"/>
          </w:tcPr>
          <w:p>
            <w:pPr>
              <w:ind w:left="40"/>
              <w:spacing w:after="0" w:line="143" w:lineRule="exact"/>
              <w:rPr>
                <w:sz w:val="20"/>
                <w:szCs w:val="20"/>
                <w:color w:val="auto"/>
              </w:rPr>
            </w:pPr>
            <w:r>
              <w:rPr>
                <w:rFonts w:ascii="Times New Roman" w:cs="Times New Roman" w:eastAsia="Times New Roman" w:hAnsi="Times New Roman"/>
                <w:sz w:val="16"/>
                <w:szCs w:val="16"/>
                <w:b w:val="1"/>
                <w:bCs w:val="1"/>
                <w:color w:val="auto"/>
              </w:rPr>
              <w:t>Comprehensive  Stockho</w:t>
            </w:r>
          </w:p>
        </w:tc>
        <w:tc>
          <w:tcPr>
            <w:tcW w:w="0" w:type="dxa"/>
            <w:vAlign w:val="bottom"/>
          </w:tcPr>
          <w:p>
            <w:pPr>
              <w:spacing w:after="0"/>
              <w:rPr>
                <w:sz w:val="1"/>
                <w:szCs w:val="1"/>
                <w:color w:val="auto"/>
              </w:rPr>
            </w:pPr>
          </w:p>
        </w:tc>
      </w:tr>
      <w:tr>
        <w:trPr>
          <w:trHeight w:val="58"/>
        </w:trPr>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2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8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00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Equ</w:t>
            </w:r>
          </w:p>
        </w:tc>
        <w:tc>
          <w:tcPr>
            <w:tcW w:w="0" w:type="dxa"/>
            <w:vAlign w:val="bottom"/>
          </w:tcPr>
          <w:p>
            <w:pPr>
              <w:spacing w:after="0"/>
              <w:rPr>
                <w:sz w:val="1"/>
                <w:szCs w:val="1"/>
                <w:color w:val="auto"/>
              </w:rPr>
            </w:pPr>
          </w:p>
        </w:tc>
      </w:tr>
      <w:tr>
        <w:trPr>
          <w:trHeight w:val="213"/>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166,669,125</w:t>
            </w: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$ 1,667</w:t>
            </w:r>
          </w:p>
        </w:tc>
        <w:tc>
          <w:tcPr>
            <w:tcW w:w="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(36,095,259)</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(2,054,418)</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$ 834,042</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$ 2,258,947</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31,892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08"/>
        </w:trPr>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106,446</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23,502</w:t>
            </w: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(764,764)</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(95,316)</w:t>
            </w: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0"/>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145,644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6"/>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6"/>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(61,821)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4"/>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23,767</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-1249680</wp:posOffset>
            </wp:positionV>
            <wp:extent cx="6803390" cy="147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3390" cy="147955"/>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-953135</wp:posOffset>
            </wp:positionV>
            <wp:extent cx="6803390" cy="139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3390" cy="13970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-673100</wp:posOffset>
            </wp:positionV>
            <wp:extent cx="6803390" cy="139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3390" cy="13970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-393065</wp:posOffset>
            </wp:positionV>
            <wp:extent cx="6803390" cy="255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3390" cy="2552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60" w:space="360"/>
            <w:col w:w="7620"/>
          </w:cols>
          <w:pgMar w:left="320" w:top="354" w:right="239" w:bottom="1440" w:gutter="0" w:footer="0" w:header="0"/>
          <w:type w:val="continuous"/>
        </w:sectPr>
      </w:pPr>
    </w:p>
    <w:tbl>
      <w:tblPr>
        <w:tblLayout w:type="fixed"/>
        <w:tblInd w:w="620" w:type="dxa"/>
        <w:tblCellMar>
          <w:top w:w="0" w:type="dxa"/>
          <w:left w:w="0" w:type="dxa"/>
          <w:bottom w:w="0" w:type="dxa"/>
          <w:right w:w="0" w:type="dxa"/>
        </w:tblCellMar>
      </w:tblPr>
      <w:tr>
        <w:trPr>
          <w:trHeight w:val="215"/>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166,799,073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w:t>
            </w: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(36,860,023)</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(2,149,734)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866,036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2,342,770</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39"/>
        </w:trPr>
        <w:tc>
          <w:tcPr>
            <w:tcW w:w="3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r>
      <w:tr>
        <w:trPr>
          <w:trHeight w:val="21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165,872,332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w:t>
            </w:r>
          </w:p>
        </w:tc>
        <w:tc>
          <w:tcPr>
            <w:tcW w:w="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(34,234,744)</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(1,859,905)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769,460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2,051,455</w:t>
            </w: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29,333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13"/>
        </w:trPr>
        <w:tc>
          <w:tcPr>
            <w:tcW w:w="3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610,945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options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315,796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310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(4)</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(2,625,279)</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(289,829)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477,750</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0"/>
        </w:trPr>
        <w:tc>
          <w:tcPr>
            <w:tcW w:w="3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9"/>
        </w:trPr>
        <w:tc>
          <w:tcPr>
            <w:tcW w:w="310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Dividends paid of $1.41 per share of</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23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(186,435)</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3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166,799,073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w:t>
            </w: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(36,860,023)</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(2,149,734)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866,036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2,342,770</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bl>
    <w:p>
      <w:pPr>
        <w:spacing w:after="0" w:line="176" w:lineRule="exact"/>
        <w:rPr>
          <w:sz w:val="20"/>
          <w:szCs w:val="20"/>
          <w:color w:val="auto"/>
        </w:rPr>
      </w:pPr>
    </w:p>
    <w:p>
      <w:pPr>
        <w:ind w:left="620" w:right="460" w:hanging="150"/>
        <w:spacing w:after="0" w:line="244" w:lineRule="auto"/>
        <w:tabs>
          <w:tab w:leader="none" w:pos="63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During the three months ended December 31, 2023, the Company purchased 0.8 million shares of the Company’s Class A Common Stock for $92.7 million. Additionally, the Company repurchased shares for $1.8 million during the three months ended December 31, 2023 to cover the minimum statutory taxes on repurchases and restricted stock units that vested on various dates during the period.</w:t>
      </w:r>
    </w:p>
    <w:p>
      <w:pPr>
        <w:spacing w:after="0" w:line="83" w:lineRule="exact"/>
        <w:rPr>
          <w:rFonts w:ascii="Times New Roman" w:cs="Times New Roman" w:eastAsia="Times New Roman" w:hAnsi="Times New Roman"/>
          <w:sz w:val="21"/>
          <w:szCs w:val="21"/>
          <w:color w:val="auto"/>
          <w:vertAlign w:val="superscript"/>
        </w:rPr>
      </w:pPr>
    </w:p>
    <w:p>
      <w:pPr>
        <w:ind w:left="620" w:right="420" w:hanging="150"/>
        <w:spacing w:after="0" w:line="244" w:lineRule="auto"/>
        <w:tabs>
          <w:tab w:leader="none" w:pos="63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During the nine months ended December 31, 2023, the Company purchased 2.5 million shares of the Company’s Class A Common Stock for $272.8 million. Additionally, the Company repurchased shares for $14.9 million during the nine months ended December 31, 2023 to cover the minimum statutory taxes on repurchases and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354" w:right="2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2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Overview</w:t>
      </w:r>
    </w:p>
    <w:p>
      <w:pPr>
        <w:spacing w:after="0" w:line="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Booz Allen Hamilton Holding Corporation, including its wholly owned subsidiaries, or the Company, we, us, and our, was incorporated in Delaware in May</w:t>
      </w:r>
    </w:p>
    <w:p>
      <w:pPr>
        <w:ind w:right="260"/>
        <w:spacing w:after="0" w:line="245" w:lineRule="auto"/>
        <w:rPr>
          <w:sz w:val="20"/>
          <w:szCs w:val="20"/>
          <w:color w:val="auto"/>
        </w:rPr>
      </w:pPr>
      <w:r>
        <w:rPr>
          <w:rFonts w:ascii="Times New Roman" w:cs="Times New Roman" w:eastAsia="Times New Roman" w:hAnsi="Times New Roman"/>
          <w:sz w:val="17"/>
          <w:szCs w:val="17"/>
          <w:color w:val="auto"/>
        </w:rPr>
        <w:t>2008. The Company provides advanced technology products and services including artificial intelligence, cyber, and digital solutions to U.S. and international governments, major corporations, and not-for-profit organizations. The Company reports operating results and financial data in one reportable segment. The Company is headquartered in McLean, Virginia, with approximately 35,900 employees as of December 31,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Basis of Presentation</w:t>
      </w:r>
    </w:p>
    <w:p>
      <w:pPr>
        <w:spacing w:after="0" w:line="118" w:lineRule="exact"/>
        <w:rPr>
          <w:sz w:val="20"/>
          <w:szCs w:val="20"/>
          <w:color w:val="auto"/>
        </w:rPr>
      </w:pPr>
    </w:p>
    <w:p>
      <w:pPr>
        <w:ind w:firstLine="389"/>
        <w:spacing w:after="0" w:line="259"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the Company and its subsidiaries that are majority-owned or otherwise controlled by the Company, and have been prepared in accordance with accounting principles generally accepted in the United States (“GAAP”) and the rules and regulations of the U.S. Securities and Exchange Commission (the “SEC”) and should be read in conjunction with the information contained in the Company's Annual Report on Form 10-K for the year ended March 31, 2024.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periods presented have been included. The Company’s fiscal year ends on March 31 and, unless otherwise noted, references to fiscal year or fiscal are for fiscal years ended March 31. The results of operations for the nine months ended December 31, 2024 are not necessarily indicative of results to be expected for the full fiscal year.</w:t>
      </w:r>
    </w:p>
    <w:p>
      <w:pPr>
        <w:spacing w:after="0" w:line="283" w:lineRule="exact"/>
        <w:rPr>
          <w:sz w:val="20"/>
          <w:szCs w:val="20"/>
          <w:color w:val="auto"/>
        </w:rPr>
      </w:pPr>
    </w:p>
    <w:p>
      <w:pPr>
        <w:ind w:right="520" w:firstLine="389"/>
        <w:spacing w:after="0" w:line="292" w:lineRule="auto"/>
        <w:rPr>
          <w:sz w:val="20"/>
          <w:szCs w:val="20"/>
          <w:color w:val="auto"/>
        </w:rPr>
      </w:pPr>
      <w:r>
        <w:rPr>
          <w:rFonts w:ascii="Times New Roman" w:cs="Times New Roman" w:eastAsia="Times New Roman" w:hAnsi="Times New Roman"/>
          <w:sz w:val="17"/>
          <w:szCs w:val="17"/>
          <w:color w:val="auto"/>
        </w:rPr>
        <w:t>The condensed consolidated financial statements and notes of the Company include its subsidiaries, and other entities over which the Company has a controlling financial interest or where the Company is a primary beneficiary.</w:t>
      </w:r>
    </w:p>
    <w:p>
      <w:pPr>
        <w:spacing w:after="0" w:line="43" w:lineRule="exact"/>
        <w:rPr>
          <w:sz w:val="20"/>
          <w:szCs w:val="20"/>
          <w:color w:val="auto"/>
        </w:rPr>
      </w:pPr>
    </w:p>
    <w:p>
      <w:pPr>
        <w:ind w:right="240" w:firstLine="389"/>
        <w:spacing w:after="0" w:line="292" w:lineRule="auto"/>
        <w:rPr>
          <w:sz w:val="20"/>
          <w:szCs w:val="20"/>
          <w:color w:val="auto"/>
        </w:rPr>
      </w:pPr>
      <w:r>
        <w:rPr>
          <w:rFonts w:ascii="Times New Roman" w:cs="Times New Roman" w:eastAsia="Times New Roman" w:hAnsi="Times New Roman"/>
          <w:sz w:val="17"/>
          <w:szCs w:val="17"/>
          <w:color w:val="auto"/>
        </w:rPr>
        <w:t>Certain amounts reported in the Company's prior fiscal year condensed consolidated financial statements have been reclassified to conform to the current fiscal year presentation.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Variable Interest Entities and Other Investments</w:t>
      </w:r>
    </w:p>
    <w:p>
      <w:pPr>
        <w:spacing w:after="0" w:line="120" w:lineRule="exact"/>
        <w:rPr>
          <w:sz w:val="20"/>
          <w:szCs w:val="20"/>
          <w:color w:val="auto"/>
        </w:rPr>
      </w:pPr>
    </w:p>
    <w:p>
      <w:pPr>
        <w:ind w:right="80" w:firstLine="389"/>
        <w:spacing w:after="0" w:line="262" w:lineRule="auto"/>
        <w:rPr>
          <w:sz w:val="20"/>
          <w:szCs w:val="20"/>
          <w:color w:val="auto"/>
        </w:rPr>
      </w:pPr>
      <w:r>
        <w:rPr>
          <w:rFonts w:ascii="Times New Roman" w:cs="Times New Roman" w:eastAsia="Times New Roman" w:hAnsi="Times New Roman"/>
          <w:sz w:val="17"/>
          <w:szCs w:val="17"/>
          <w:color w:val="auto"/>
        </w:rPr>
        <w:t>The Company invests in certain companies that advance or develop new technologies applicable to its business. Each investment is evaluated for consolidation under the variable interest entities model and/or the voting interest model.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accounted for under the measurement alternative, where they are subject to fair value adjustments in certain circumstances (e.g., observable price changes or impairment).</w:t>
      </w:r>
    </w:p>
    <w:p>
      <w:pPr>
        <w:spacing w:after="0" w:line="68" w:lineRule="exact"/>
        <w:rPr>
          <w:sz w:val="20"/>
          <w:szCs w:val="20"/>
          <w:color w:val="auto"/>
        </w:rPr>
      </w:pPr>
    </w:p>
    <w:p>
      <w:pPr>
        <w:ind w:right="400" w:firstLine="389"/>
        <w:spacing w:after="0" w:line="273" w:lineRule="auto"/>
        <w:rPr>
          <w:sz w:val="20"/>
          <w:szCs w:val="20"/>
          <w:color w:val="auto"/>
        </w:rPr>
      </w:pPr>
      <w:r>
        <w:rPr>
          <w:rFonts w:ascii="Times New Roman" w:cs="Times New Roman" w:eastAsia="Times New Roman" w:hAnsi="Times New Roman"/>
          <w:sz w:val="17"/>
          <w:szCs w:val="17"/>
          <w:color w:val="auto"/>
        </w:rPr>
        <w:t>The results of our investments are not material to the unaudited condensed and consolidated financial statements for the periods presented. As of December 31, 2024 and March 31, 2024, respectively, the total of equity and other investments related to unconsolidated entities included in other long term assets of the Company’s condensed consolidated balance sheet were $67.2 million and $42.0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Estimates</w:t>
      </w:r>
    </w:p>
    <w:p>
      <w:pPr>
        <w:spacing w:after="0" w:line="120" w:lineRule="exact"/>
        <w:rPr>
          <w:sz w:val="20"/>
          <w:szCs w:val="20"/>
          <w:color w:val="auto"/>
        </w:rPr>
      </w:pPr>
    </w:p>
    <w:p>
      <w:pPr>
        <w:ind w:right="20" w:firstLine="389"/>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liabilities, revenue and expenses, as well as the disclosure of contingent assets and liabilities at the date of the financial statements or during the relevant reporting periods (as applicable). The Company bases its estimates on assumptions, both historical and forward-looking, that it believes are reasonable and appropriate. Actual results may differ materially from those estimates. Estimates are used for, but not limited to, revenue recognition including the profitability of long-term contracts and indirect costs accruals, the provision for claimed costs, fair value measurements and the valuation and expected lives of intangible assets, incentive compensation, income taxes including reserves for uncertain tax positions, postretirement obligations and contingencies. See Note 2, “Summary of Significant Accounting Policies” to the Company’s consolidated financial statements included in the Annual Report on Form 10-K for the year ended March 31, 2024 for further details on significant estimates and assumptions used.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18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118" w:lineRule="exact"/>
        <w:rPr>
          <w:sz w:val="20"/>
          <w:szCs w:val="20"/>
          <w:color w:val="auto"/>
        </w:rPr>
      </w:pPr>
    </w:p>
    <w:p>
      <w:pPr>
        <w:ind w:right="180" w:firstLine="389"/>
        <w:spacing w:after="0" w:line="261"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Standards Update (“ASU”) 2023-07, </w:t>
      </w:r>
      <w:r>
        <w:rPr>
          <w:rFonts w:ascii="Times New Roman" w:cs="Times New Roman" w:eastAsia="Times New Roman" w:hAnsi="Times New Roman"/>
          <w:sz w:val="17"/>
          <w:szCs w:val="17"/>
          <w:i w:val="1"/>
          <w:iCs w:val="1"/>
          <w:color w:val="auto"/>
        </w:rPr>
        <w:t>Improvements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Reportable Segment Disclosures</w:t>
      </w:r>
      <w:r>
        <w:rPr>
          <w:rFonts w:ascii="Times New Roman" w:cs="Times New Roman" w:eastAsia="Times New Roman" w:hAnsi="Times New Roman"/>
          <w:sz w:val="17"/>
          <w:szCs w:val="17"/>
          <w:color w:val="auto"/>
        </w:rPr>
        <w:t>, which enhances reportable segment disclosure requirements, including significant segment expenses and interim disclosures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(“Topic 280”). The guidance allows for disclosure of multiple measures of a segment’s profit or loss, and it requires that public entities with a single reportable segment provide all disclosures required by the ASU and all existing disclosures in Topic 280. ASU 2023-07 is effective for annual periods beginning after December 15, 2023 and interim periods within fiscal years beginning after December 15, 2024. The amendments are to be applied retrospectively, and early adoption is permitted. The Company is currently assessing the impact of this update and does not expect this update to have a material impact on its present or historical consolidated financial statements.</w:t>
      </w:r>
    </w:p>
    <w:p>
      <w:pPr>
        <w:spacing w:after="0" w:line="68" w:lineRule="exact"/>
        <w:rPr>
          <w:sz w:val="20"/>
          <w:szCs w:val="20"/>
          <w:color w:val="auto"/>
        </w:rPr>
      </w:pPr>
    </w:p>
    <w:p>
      <w:pPr>
        <w:ind w:firstLine="389"/>
        <w:spacing w:after="0" w:line="267"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which requires disclosure of disaggregated information about an entity’s effective tax rate reconciliation as well as information on income taxes paid. The ASU is effective for annual periods beginning after December 15, 2024, and should be applied prospectively. The Company plans to adopt this standard in fiscal 2026 and is currently evaluating the impact of adoption of this standard on its financial statement disclosures.</w:t>
      </w:r>
    </w:p>
    <w:p>
      <w:pPr>
        <w:spacing w:after="0" w:line="64" w:lineRule="exact"/>
        <w:rPr>
          <w:sz w:val="20"/>
          <w:szCs w:val="20"/>
          <w:color w:val="auto"/>
        </w:rPr>
      </w:pPr>
    </w:p>
    <w:p>
      <w:pPr>
        <w:ind w:firstLine="389"/>
        <w:spacing w:after="0" w:line="264"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which is intended to enhance transparency into the nature and function of certain expenses. The guidance does not change the expense captions an entity presents on the face of the income statement; rather, it requires public business entities to provide disaggregated disclosures of certain expense captions in the notes to the financial statements. The ASU is effective for annual periods beginning after December 15, 2026 and interim periods within fiscal years beginning after December 15, 2027, and should be applied prospectively. The Company is currently assessing the impact of this update.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Adopted</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There have been no recently adopted accounting pronouncements that are material to the Company's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Estimates</w:t>
      </w:r>
    </w:p>
    <w:p>
      <w:pPr>
        <w:spacing w:after="0" w:line="120" w:lineRule="exact"/>
        <w:rPr>
          <w:sz w:val="20"/>
          <w:szCs w:val="20"/>
          <w:color w:val="auto"/>
        </w:rPr>
      </w:pPr>
    </w:p>
    <w:p>
      <w:pPr>
        <w:ind w:right="60" w:firstLine="389"/>
        <w:spacing w:after="0" w:line="259" w:lineRule="auto"/>
        <w:rPr>
          <w:sz w:val="20"/>
          <w:szCs w:val="20"/>
          <w:color w:val="auto"/>
        </w:rPr>
      </w:pPr>
      <w:r>
        <w:rPr>
          <w:rFonts w:ascii="Times New Roman" w:cs="Times New Roman" w:eastAsia="Times New Roman" w:hAnsi="Times New Roman"/>
          <w:sz w:val="17"/>
          <w:szCs w:val="17"/>
          <w:color w:val="auto"/>
        </w:rPr>
        <w:t>We recognize revenue for many of our fixed price contracts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the completion of our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and nine months ended December 31, 2024 and 2023, the aggregate impact of adjustments in contract estimates was not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120" w:lineRule="exact"/>
        <w:rPr>
          <w:sz w:val="20"/>
          <w:szCs w:val="20"/>
          <w:color w:val="auto"/>
        </w:rPr>
      </w:pPr>
    </w:p>
    <w:p>
      <w:pPr>
        <w:ind w:right="20" w:firstLine="389"/>
        <w:spacing w:after="0" w:line="273"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contract type and by customer type, as well as by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3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4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Revenue by Contract Type: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40" w:type="dxa"/>
            <w:vAlign w:val="bottom"/>
            <w:gridSpan w:val="6"/>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40" w:type="dxa"/>
            <w:vAlign w:val="bottom"/>
            <w:gridSpan w:val="6"/>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Cost-reimbursable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1,673,838</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1,403,297</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5,114,805</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4,317,430</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Time-and-materials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660,031</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614,339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2,053,417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1,888,679</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Fixed-price</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583,321</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552,165</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1,837,151</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1,684,460</w:t>
            </w: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2,917,190</w:t>
            </w: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2,569,801</w:t>
            </w: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9,005,373</w:t>
            </w: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7,890,569</w:t>
            </w: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i w:val="1"/>
                <w:iCs w:val="1"/>
                <w:color w:val="auto"/>
              </w:rPr>
              <w:t>Revenue by Customer Type:</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1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gridSpan w:val="7"/>
          </w:tcPr>
          <w:p>
            <w:pPr>
              <w:jc w:val="right"/>
              <w:ind w:right="794"/>
              <w:spacing w:after="0" w:line="194"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7"/>
          </w:tcPr>
          <w:p>
            <w:pPr>
              <w:jc w:val="right"/>
              <w:ind w:right="894"/>
              <w:spacing w:after="0" w:line="194" w:lineRule="exact"/>
              <w:rPr>
                <w:sz w:val="20"/>
                <w:szCs w:val="20"/>
                <w:color w:val="auto"/>
              </w:rPr>
            </w:pPr>
            <w:r>
              <w:rPr>
                <w:rFonts w:ascii="Times New Roman" w:cs="Times New Roman" w:eastAsia="Times New Roman" w:hAnsi="Times New Roman"/>
                <w:sz w:val="17"/>
                <w:szCs w:val="17"/>
                <w:b w:val="1"/>
                <w:bCs w:val="1"/>
                <w:color w:val="auto"/>
              </w:rPr>
              <w:t>Nine Months Ended</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Defense Clients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1,454,686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1,225,697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4,415,664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3,718,335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Intelligence Clients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451,187</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405,885</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1,408,646</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1,326,342</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2040" w:type="dxa"/>
            <w:vAlign w:val="bottom"/>
            <w:gridSpan w:val="2"/>
            <w:shd w:val="clear" w:color="auto" w:fill="CCEEFF"/>
          </w:tcPr>
          <w:p>
            <w:pPr>
              <w:spacing w:after="0" w:line="221" w:lineRule="exact"/>
              <w:rPr>
                <w:sz w:val="20"/>
                <w:szCs w:val="20"/>
                <w:color w:val="auto"/>
              </w:rPr>
            </w:pPr>
            <w:r>
              <w:rPr>
                <w:rFonts w:ascii="Times New Roman" w:cs="Times New Roman" w:eastAsia="Times New Roman" w:hAnsi="Times New Roman"/>
                <w:sz w:val="17"/>
                <w:szCs w:val="17"/>
                <w:color w:val="auto"/>
              </w:rPr>
              <w:t xml:space="preserve">Civil Clients </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1,011,317</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938,219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3,181,063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2,845,892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2,917,190</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2,569,801</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9,005,373</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7,890,569</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100" w:firstLine="4"/>
        <w:spacing w:after="0" w:line="299" w:lineRule="auto"/>
        <w:tabs>
          <w:tab w:leader="none" w:pos="159"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the first quarter of fiscal 2025, Civil Clients includes revenue from Global Commercial Clients, which was previously separately reported. Prior periods’ revenues have been recast to reflect the change.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by Whether the Company Acts as a Prime Contractor or a Subcontractor:</w:t>
      </w:r>
    </w:p>
    <w:p>
      <w:pPr>
        <w:spacing w:after="0" w:line="37"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80" w:type="dxa"/>
            <w:vAlign w:val="bottom"/>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0" w:type="dxa"/>
            <w:vAlign w:val="bottom"/>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700" w:type="dxa"/>
            <w:vAlign w:val="bottom"/>
          </w:tcPr>
          <w:p>
            <w:pPr>
              <w:spacing w:after="0"/>
              <w:rPr>
                <w:sz w:val="17"/>
                <w:szCs w:val="17"/>
                <w:color w:val="auto"/>
              </w:rPr>
            </w:pPr>
          </w:p>
        </w:tc>
      </w:tr>
      <w:tr>
        <w:trPr>
          <w:trHeight w:val="228"/>
        </w:trPr>
        <w:tc>
          <w:tcPr>
            <w:tcW w:w="2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13"/>
        </w:trPr>
        <w:tc>
          <w:tcPr>
            <w:tcW w:w="2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r>
      <w:tr>
        <w:trPr>
          <w:trHeight w:val="21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Prime Contractor</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2,775,505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2,447,401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8,584,534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7,502,044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r>
      <w:tr>
        <w:trPr>
          <w:trHeight w:val="220"/>
        </w:trPr>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Subcontractor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141,685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122,400</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420,839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388,525</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38"/>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2,917,190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2,569,801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9,005,373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7,890,569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Obligations</w:t>
      </w:r>
    </w:p>
    <w:p>
      <w:pPr>
        <w:spacing w:after="0" w:line="120" w:lineRule="exact"/>
        <w:rPr>
          <w:sz w:val="20"/>
          <w:szCs w:val="20"/>
          <w:color w:val="auto"/>
        </w:rPr>
      </w:pPr>
    </w:p>
    <w:p>
      <w:pPr>
        <w:ind w:right="440" w:firstLine="389"/>
        <w:spacing w:after="0" w:line="273" w:lineRule="auto"/>
        <w:rPr>
          <w:sz w:val="20"/>
          <w:szCs w:val="20"/>
          <w:color w:val="auto"/>
        </w:rPr>
      </w:pPr>
      <w:r>
        <w:rPr>
          <w:rFonts w:ascii="Times New Roman" w:cs="Times New Roman" w:eastAsia="Times New Roman" w:hAnsi="Times New Roman"/>
          <w:sz w:val="17"/>
          <w:szCs w:val="17"/>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59" w:lineRule="exact"/>
        <w:rPr>
          <w:sz w:val="20"/>
          <w:szCs w:val="20"/>
          <w:color w:val="auto"/>
        </w:rPr>
      </w:pPr>
    </w:p>
    <w:p>
      <w:pPr>
        <w:ind w:right="240" w:firstLine="389"/>
        <w:spacing w:after="0" w:line="273" w:lineRule="auto"/>
        <w:rPr>
          <w:sz w:val="20"/>
          <w:szCs w:val="20"/>
          <w:color w:val="auto"/>
        </w:rPr>
      </w:pPr>
      <w:r>
        <w:rPr>
          <w:rFonts w:ascii="Times New Roman" w:cs="Times New Roman" w:eastAsia="Times New Roman" w:hAnsi="Times New Roman"/>
          <w:sz w:val="17"/>
          <w:szCs w:val="17"/>
          <w:color w:val="auto"/>
        </w:rPr>
        <w:t>As of December 31, 2024 and March 31, 2024, the Company had $9.5 billion and $8.7 billion of remaining performance obligations, respectively. We expect to recognize approximately 70% of the remaining performance obligations at December 31, 2024 as revenue over the next 12 months, and approximately 80% over the next 24 months. The remainder is expected to be recognized thereafter.</w:t>
      </w: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0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120" w:lineRule="exact"/>
        <w:rPr>
          <w:sz w:val="20"/>
          <w:szCs w:val="20"/>
          <w:color w:val="auto"/>
        </w:rPr>
      </w:pPr>
    </w:p>
    <w:p>
      <w:pPr>
        <w:ind w:right="460" w:firstLine="389"/>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contract assets and liabilities, and accounts receivable, net of allowance recognized on the Company’s condensed consolidated balance sheets:</w:t>
      </w:r>
    </w:p>
    <w:tbl>
      <w:tblPr>
        <w:tblLayout w:type="fixed"/>
        <w:tblInd w:w="0" w:type="dxa"/>
        <w:tblCellMar>
          <w:top w:w="0" w:type="dxa"/>
          <w:left w:w="0" w:type="dxa"/>
          <w:bottom w:w="0" w:type="dxa"/>
          <w:right w:w="0" w:type="dxa"/>
        </w:tblCellMar>
      </w:tblPr>
      <w:tr>
        <w:trPr>
          <w:trHeight w:val="177"/>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15"/>
                <w:szCs w:val="15"/>
                <w:color w:val="auto"/>
              </w:rPr>
            </w:pPr>
          </w:p>
        </w:tc>
        <w:tc>
          <w:tcPr>
            <w:tcW w:w="1280" w:type="dxa"/>
            <w:vAlign w:val="bottom"/>
          </w:tcPr>
          <w:p>
            <w:pPr>
              <w:jc w:val="right"/>
              <w:ind w:right="294"/>
              <w:spacing w:after="0" w:line="176"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1"/>
        </w:trPr>
        <w:tc>
          <w:tcPr>
            <w:tcW w:w="7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0"/>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receivable–billed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771,843</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700,066</w:t>
            </w:r>
          </w:p>
        </w:tc>
      </w:tr>
      <w:tr>
        <w:trPr>
          <w:trHeight w:val="220"/>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receivable–unbilled (contract 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1,452,730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1,347,577</w:t>
            </w:r>
          </w:p>
        </w:tc>
      </w:tr>
      <w:tr>
        <w:trPr>
          <w:trHeight w:val="220"/>
        </w:trPr>
        <w:tc>
          <w:tcPr>
            <w:tcW w:w="7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w:t>
            </w:r>
          </w:p>
        </w:tc>
      </w:tr>
      <w:tr>
        <w:trPr>
          <w:trHeight w:val="213"/>
        </w:trPr>
        <w:tc>
          <w:tcPr>
            <w:tcW w:w="7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2,223,712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2,047,342</w:t>
            </w: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receivable–unbilled (contract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57,708</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57,355</w:t>
            </w:r>
          </w:p>
        </w:tc>
      </w:tr>
      <w:tr>
        <w:trPr>
          <w:trHeight w:val="213"/>
        </w:trPr>
        <w:tc>
          <w:tcPr>
            <w:tcW w:w="79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accounts receivable,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2,281,420</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2,104,697</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796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Other current liabilities</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6"/>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Advance payments, billings in excess of costs incurred and deferred revenue (contract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21,246</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15,527</w:t>
            </w:r>
          </w:p>
        </w:tc>
      </w:tr>
    </w:tbl>
    <w:p>
      <w:pPr>
        <w:spacing w:after="0" w:line="119" w:lineRule="exact"/>
        <w:rPr>
          <w:sz w:val="20"/>
          <w:szCs w:val="20"/>
          <w:color w:val="auto"/>
        </w:rPr>
      </w:pPr>
    </w:p>
    <w:p>
      <w:pPr>
        <w:ind w:right="40" w:firstLine="389"/>
        <w:spacing w:after="0" w:line="262" w:lineRule="auto"/>
        <w:rPr>
          <w:sz w:val="20"/>
          <w:szCs w:val="20"/>
          <w:color w:val="auto"/>
        </w:rPr>
      </w:pPr>
      <w:r>
        <w:rPr>
          <w:rFonts w:ascii="Times New Roman" w:cs="Times New Roman" w:eastAsia="Times New Roman" w:hAnsi="Times New Roman"/>
          <w:sz w:val="17"/>
          <w:szCs w:val="17"/>
          <w:color w:val="auto"/>
        </w:rPr>
        <w:t>Changes in contract assets and contract liabilities are primarily due to the timing difference between the Company’s performance of services and payments from customers. For the three months ended December 31, 2024 and 2023, we recognized revenue of $1.0 million and $0.4 million, respectively, and for the nine months ended December 31, 2024 and 2023, we recognized revenue of $10.5 million and $16.6 million, respectively, related to our contract liabilities on April 1, 2024 and 2023,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Earnings Per Share</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 reconciliation of the income used to compute basic and diluted EPS for the periods presented are as follows:</w:t>
      </w: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16"/>
                <w:szCs w:val="16"/>
                <w:color w:val="auto"/>
              </w:rPr>
            </w:pPr>
          </w:p>
        </w:tc>
        <w:tc>
          <w:tcPr>
            <w:tcW w:w="2460" w:type="dxa"/>
            <w:vAlign w:val="bottom"/>
            <w:gridSpan w:val="4"/>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9"/>
                <w:szCs w:val="19"/>
                <w:color w:val="auto"/>
              </w:rPr>
            </w:pPr>
          </w:p>
        </w:tc>
        <w:tc>
          <w:tcPr>
            <w:tcW w:w="2460" w:type="dxa"/>
            <w:vAlign w:val="bottom"/>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0"/>
        </w:trPr>
        <w:tc>
          <w:tcPr>
            <w:tcW w:w="56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7"/>
                <w:szCs w:val="17"/>
                <w:color w:val="auto"/>
              </w:rPr>
              <w:t xml:space="preserve">Numerator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Earnings for basic computations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185,866</w:t>
            </w:r>
          </w:p>
        </w:tc>
        <w:tc>
          <w:tcPr>
            <w:tcW w:w="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144,431</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738,189</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473,856</w:t>
            </w:r>
          </w:p>
        </w:tc>
        <w:tc>
          <w:tcPr>
            <w:tcW w:w="0" w:type="dxa"/>
            <w:vAlign w:val="bottom"/>
          </w:tcPr>
          <w:p>
            <w:pPr>
              <w:spacing w:after="0"/>
              <w:rPr>
                <w:sz w:val="1"/>
                <w:szCs w:val="1"/>
                <w:color w:val="auto"/>
              </w:rPr>
            </w:pPr>
          </w:p>
        </w:tc>
      </w:tr>
      <w:tr>
        <w:trPr>
          <w:trHeight w:val="220"/>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Earnings for diluted computations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738,200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473,864</w:t>
            </w:r>
          </w:p>
        </w:tc>
        <w:tc>
          <w:tcPr>
            <w:tcW w:w="0" w:type="dxa"/>
            <w:vAlign w:val="bottom"/>
          </w:tcPr>
          <w:p>
            <w:pPr>
              <w:spacing w:after="0"/>
              <w:rPr>
                <w:sz w:val="1"/>
                <w:szCs w:val="1"/>
                <w:color w:val="auto"/>
              </w:rPr>
            </w:pPr>
          </w:p>
        </w:tc>
      </w:tr>
      <w:tr>
        <w:trPr>
          <w:trHeight w:val="220"/>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Weighted-average common stock shares outstanding, basic</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127,429,723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130,121,092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128,407,906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130,647,687</w:t>
            </w:r>
          </w:p>
        </w:tc>
        <w:tc>
          <w:tcPr>
            <w:tcW w:w="0" w:type="dxa"/>
            <w:vAlign w:val="bottom"/>
          </w:tcPr>
          <w:p>
            <w:pPr>
              <w:spacing w:after="0"/>
              <w:rPr>
                <w:sz w:val="1"/>
                <w:szCs w:val="1"/>
                <w:color w:val="auto"/>
              </w:rPr>
            </w:pPr>
          </w:p>
        </w:tc>
      </w:tr>
      <w:tr>
        <w:trPr>
          <w:trHeight w:val="220"/>
        </w:trPr>
        <w:tc>
          <w:tcPr>
            <w:tcW w:w="5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Dilutive stock options and restricted stock</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510,414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367,958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501,587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411,067</w:t>
            </w:r>
          </w:p>
        </w:tc>
        <w:tc>
          <w:tcPr>
            <w:tcW w:w="0" w:type="dxa"/>
            <w:vAlign w:val="bottom"/>
          </w:tcPr>
          <w:p>
            <w:pPr>
              <w:spacing w:after="0"/>
              <w:rPr>
                <w:sz w:val="1"/>
                <w:szCs w:val="1"/>
                <w:color w:val="auto"/>
              </w:rPr>
            </w:pPr>
          </w:p>
        </w:tc>
      </w:tr>
      <w:tr>
        <w:trPr>
          <w:trHeight w:val="213"/>
        </w:trPr>
        <w:tc>
          <w:tcPr>
            <w:tcW w:w="5600" w:type="dxa"/>
            <w:vAlign w:val="bottom"/>
            <w:shd w:val="clear" w:color="auto" w:fill="CCEEFF"/>
          </w:tcPr>
          <w:p>
            <w:pPr>
              <w:ind w:left="320"/>
              <w:spacing w:after="0" w:line="213" w:lineRule="exact"/>
              <w:rPr>
                <w:sz w:val="20"/>
                <w:szCs w:val="20"/>
                <w:color w:val="auto"/>
              </w:rPr>
            </w:pPr>
            <w:r>
              <w:rPr>
                <w:rFonts w:ascii="Times New Roman" w:cs="Times New Roman" w:eastAsia="Times New Roman" w:hAnsi="Times New Roman"/>
                <w:sz w:val="17"/>
                <w:szCs w:val="17"/>
                <w:color w:val="auto"/>
              </w:rPr>
              <w:t xml:space="preserve">Weighted-average common stock shares outstanding, diluted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127,940,137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130,489,050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128,909,493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131,058,754</w:t>
            </w:r>
          </w:p>
        </w:tc>
        <w:tc>
          <w:tcPr>
            <w:tcW w:w="0" w:type="dxa"/>
            <w:vAlign w:val="bottom"/>
          </w:tcPr>
          <w:p>
            <w:pPr>
              <w:spacing w:after="0"/>
              <w:rPr>
                <w:sz w:val="1"/>
                <w:szCs w:val="1"/>
                <w:color w:val="auto"/>
              </w:rPr>
            </w:pPr>
          </w:p>
        </w:tc>
      </w:tr>
      <w:tr>
        <w:trPr>
          <w:trHeight w:val="22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Earnings per common share: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20"/>
              <w:spacing w:after="0" w:line="232"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1.45</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5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5.73</w:t>
            </w:r>
          </w:p>
        </w:tc>
        <w:tc>
          <w:tcPr>
            <w:tcW w:w="140" w:type="dxa"/>
            <w:vAlign w:val="bottom"/>
          </w:tcPr>
          <w:p>
            <w:pPr>
              <w:spacing w:after="0"/>
              <w:rPr>
                <w:sz w:val="16"/>
                <w:szCs w:val="16"/>
                <w:color w:val="auto"/>
              </w:rPr>
            </w:pPr>
          </w:p>
        </w:tc>
        <w:tc>
          <w:tcPr>
            <w:tcW w:w="240" w:type="dxa"/>
            <w:vAlign w:val="bottom"/>
            <w:tcBorders>
              <w:bottom w:val="single" w:sz="8" w:color="auto"/>
            </w:tcBorders>
          </w:tcPr>
          <w:p>
            <w:pPr>
              <w:jc w:val="right"/>
              <w:ind w:right="5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240" w:hanging="158"/>
        <w:spacing w:after="0" w:line="224" w:lineRule="auto"/>
        <w:tabs>
          <w:tab w:leader="none" w:pos="385"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difference between earnings for basic and diluted computations and net income presented on the condensed consolidated statements of operations is due to undistributed earnings and dividends allocated to the participating securities. There were approximately 0.7 million and 1.1 million of participating securities for both the three and nine months ended December 31, 2024 and 2023, respectively.</w:t>
      </w:r>
    </w:p>
    <w:p>
      <w:pPr>
        <w:ind w:left="320" w:hanging="238"/>
        <w:spacing w:after="0" w:line="209" w:lineRule="auto"/>
        <w:tabs>
          <w:tab w:leader="none" w:pos="32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impact of anti-dilutive options excluded from the calculation of EPS was not material during the periods presented.</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2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Acquisition, Goodwill and Intangible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w:t>
      </w:r>
    </w:p>
    <w:p>
      <w:pPr>
        <w:spacing w:after="0" w:line="120" w:lineRule="exact"/>
        <w:rPr>
          <w:sz w:val="20"/>
          <w:szCs w:val="20"/>
          <w:color w:val="auto"/>
        </w:rPr>
      </w:pPr>
    </w:p>
    <w:p>
      <w:pPr>
        <w:ind w:right="60" w:firstLine="389"/>
        <w:spacing w:after="0" w:line="264" w:lineRule="auto"/>
        <w:rPr>
          <w:sz w:val="20"/>
          <w:szCs w:val="20"/>
          <w:color w:val="auto"/>
        </w:rPr>
      </w:pPr>
      <w:r>
        <w:rPr>
          <w:rFonts w:ascii="Times New Roman" w:cs="Times New Roman" w:eastAsia="Times New Roman" w:hAnsi="Times New Roman"/>
          <w:sz w:val="17"/>
          <w:szCs w:val="17"/>
          <w:color w:val="auto"/>
        </w:rPr>
        <w:t>On June 7, 2024, the Company completed the acquisition of PAR Government Systems Corporation (“PGSC”), a wholly owned subsidiary of PAR Technology Corporation, for approximately $98.7 million, net of post-closing adjustments and incurred transaction costs as part of the acquisition. PGSC was founded in 1985 and headquartered in Rome, New York, and delivers differentiated services and solutions in strategic mission areas, including the provision of real-time communications and mobile situational awareness to maintain battlespace dominance for a range of government customers. The acquisition was funded with cash on hand. As a result of the transaction, PGSC became a wholly owned subsidiary of Booz Allen Hamilton Inc.</w:t>
      </w:r>
    </w:p>
    <w:p>
      <w:pPr>
        <w:spacing w:after="0" w:line="66" w:lineRule="exact"/>
        <w:rPr>
          <w:sz w:val="20"/>
          <w:szCs w:val="20"/>
          <w:color w:val="auto"/>
        </w:rPr>
      </w:pPr>
    </w:p>
    <w:p>
      <w:pPr>
        <w:ind w:firstLine="389"/>
        <w:spacing w:after="0" w:line="267" w:lineRule="auto"/>
        <w:rPr>
          <w:sz w:val="20"/>
          <w:szCs w:val="20"/>
          <w:color w:val="auto"/>
        </w:rPr>
      </w:pPr>
      <w:r>
        <w:rPr>
          <w:rFonts w:ascii="Times New Roman" w:cs="Times New Roman" w:eastAsia="Times New Roman" w:hAnsi="Times New Roman"/>
          <w:sz w:val="17"/>
          <w:szCs w:val="17"/>
          <w:color w:val="auto"/>
        </w:rPr>
        <w:t>The acquisition was accounted for under the acquisition method of accounting, which requires the total acquisition consideration to be allocated to the assets acquired and liabilities assumed based on an estimate of the acquisition date fair value, with the difference reflected in goodwill. The Company completed the determination of fair values of the acquired assets and liabilities assumed during the third quarter of fiscal 2025, except for the purchase price allocation for federal income tax purposes, which is in the process of being finalized.</w:t>
      </w:r>
    </w:p>
    <w:p>
      <w:pPr>
        <w:spacing w:after="0" w:line="64" w:lineRule="exact"/>
        <w:rPr>
          <w:sz w:val="20"/>
          <w:szCs w:val="20"/>
          <w:color w:val="auto"/>
        </w:rPr>
      </w:pPr>
    </w:p>
    <w:p>
      <w:pPr>
        <w:jc w:val="both"/>
        <w:ind w:right="120" w:firstLine="389"/>
        <w:spacing w:after="0" w:line="273" w:lineRule="auto"/>
        <w:rPr>
          <w:sz w:val="20"/>
          <w:szCs w:val="20"/>
          <w:color w:val="auto"/>
        </w:rPr>
      </w:pPr>
      <w:r>
        <w:rPr>
          <w:rFonts w:ascii="Times New Roman" w:cs="Times New Roman" w:eastAsia="Times New Roman" w:hAnsi="Times New Roman"/>
          <w:sz w:val="17"/>
          <w:szCs w:val="17"/>
          <w:color w:val="auto"/>
        </w:rPr>
        <w:t>The goodwill recognized of $61.1 million is primarily attributable to PGSC’s specialized workforce and the expected synergies between the Company and PGSC, and is deductible for tax purposes. The intangible assets recognized of $27.0 million consist primarily of contract assets and are being amortized over the estimated useful life of twelve years.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0" w:lineRule="exact"/>
        <w:rPr>
          <w:sz w:val="20"/>
          <w:szCs w:val="20"/>
          <w:color w:val="auto"/>
        </w:rPr>
      </w:pPr>
    </w:p>
    <w:p>
      <w:pPr>
        <w:ind w:right="20" w:firstLine="389"/>
        <w:spacing w:after="0" w:line="292" w:lineRule="auto"/>
        <w:rPr>
          <w:sz w:val="20"/>
          <w:szCs w:val="20"/>
          <w:color w:val="auto"/>
        </w:rPr>
      </w:pPr>
      <w:r>
        <w:rPr>
          <w:rFonts w:ascii="Times New Roman" w:cs="Times New Roman" w:eastAsia="Times New Roman" w:hAnsi="Times New Roman"/>
          <w:sz w:val="17"/>
          <w:szCs w:val="17"/>
          <w:color w:val="auto"/>
        </w:rPr>
        <w:t>As of December 31, 2024 and March 31, 2024, goodwill was $2,404.9 million and $2,343.8 million, respectively. The $61.1 million increase in the carrying amount of goodwill was attributable the Company's acquisition of PGSC.</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9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Intangible assets consisted of the following:</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9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4"/>
                <w:szCs w:val="14"/>
                <w:color w:val="auto"/>
              </w:rPr>
            </w:pP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4"/>
              <w:spacing w:after="0" w:line="168"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4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0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0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Amortizable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Customer contracts and related customer</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618,894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287,326</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331,568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591,895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237,764</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354,131</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Software</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169,110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146,284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89,572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56,712</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amortizable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788,004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398,142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389,862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738,179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327,336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410,843</w:t>
            </w: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Unamortizable intangible assets: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Trade name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190,200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190,200</w:t>
            </w:r>
          </w:p>
        </w:tc>
        <w:tc>
          <w:tcPr>
            <w:tcW w:w="0" w:type="dxa"/>
            <w:vAlign w:val="bottom"/>
          </w:tcPr>
          <w:p>
            <w:pPr>
              <w:spacing w:after="0"/>
              <w:rPr>
                <w:sz w:val="1"/>
                <w:szCs w:val="1"/>
                <w:color w:val="auto"/>
              </w:rPr>
            </w:pPr>
          </w:p>
        </w:tc>
      </w:tr>
      <w:tr>
        <w:trPr>
          <w:trHeight w:val="23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978,204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398,142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928,379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327,336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601,043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580" w:firstLine="389"/>
        <w:spacing w:after="0" w:line="292" w:lineRule="auto"/>
        <w:rPr>
          <w:sz w:val="20"/>
          <w:szCs w:val="20"/>
          <w:color w:val="auto"/>
        </w:rPr>
      </w:pPr>
      <w:r>
        <w:rPr>
          <w:rFonts w:ascii="Times New Roman" w:cs="Times New Roman" w:eastAsia="Times New Roman" w:hAnsi="Times New Roman"/>
          <w:sz w:val="17"/>
          <w:szCs w:val="17"/>
          <w:color w:val="auto"/>
        </w:rPr>
        <w:t>The $49.8 million increase in the gross carrying amount of intangible assets was primarily attributable the Company's acquisition of PGSC, with the remainder resulting from increases in the Company’s internally developed software.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6. Accounts Payable and Other Accrued Expenses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11"/>
        </w:trPr>
        <w:tc>
          <w:tcPr>
            <w:tcW w:w="440" w:type="dxa"/>
            <w:vAlign w:val="bottom"/>
          </w:tcPr>
          <w:p>
            <w:pPr>
              <w:spacing w:after="0"/>
              <w:rPr>
                <w:sz w:val="24"/>
                <w:szCs w:val="24"/>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other accrued expenses consisted of the following:</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44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16"/>
                <w:szCs w:val="16"/>
                <w:color w:val="auto"/>
              </w:rPr>
            </w:pPr>
          </w:p>
        </w:tc>
        <w:tc>
          <w:tcPr>
            <w:tcW w:w="1320" w:type="dxa"/>
            <w:vAlign w:val="bottom"/>
          </w:tcPr>
          <w:p>
            <w:pPr>
              <w:jc w:val="right"/>
              <w:ind w:right="314"/>
              <w:spacing w:after="0" w:line="194"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1"/>
        </w:trPr>
        <w:tc>
          <w:tcPr>
            <w:tcW w:w="440" w:type="dxa"/>
            <w:vAlign w:val="bottom"/>
          </w:tcPr>
          <w:p>
            <w:pPr>
              <w:spacing w:after="0"/>
              <w:rPr>
                <w:sz w:val="20"/>
                <w:szCs w:val="20"/>
                <w:color w:val="auto"/>
              </w:rPr>
            </w:pPr>
          </w:p>
        </w:tc>
        <w:tc>
          <w:tcPr>
            <w:tcW w:w="73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44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Vendor payables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640,494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653,131</w:t>
            </w:r>
          </w:p>
        </w:tc>
      </w:tr>
      <w:tr>
        <w:trPr>
          <w:trHeight w:val="220"/>
        </w:trPr>
        <w:tc>
          <w:tcPr>
            <w:tcW w:w="44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claimed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363,745</w:t>
            </w:r>
          </w:p>
        </w:tc>
      </w:tr>
      <w:tr>
        <w:trPr>
          <w:trHeight w:val="220"/>
        </w:trPr>
        <w:tc>
          <w:tcPr>
            <w:tcW w:w="440" w:type="dxa"/>
            <w:vAlign w:val="bottom"/>
          </w:tcPr>
          <w:p>
            <w:pPr>
              <w:spacing w:after="0"/>
              <w:rPr>
                <w:sz w:val="19"/>
                <w:szCs w:val="19"/>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14,375</w:t>
            </w:r>
          </w:p>
        </w:tc>
      </w:tr>
      <w:tr>
        <w:trPr>
          <w:trHeight w:val="220"/>
        </w:trPr>
        <w:tc>
          <w:tcPr>
            <w:tcW w:w="440" w:type="dxa"/>
            <w:vAlign w:val="bottom"/>
          </w:tcPr>
          <w:p>
            <w:pPr>
              <w:spacing w:after="0"/>
              <w:rPr>
                <w:sz w:val="19"/>
                <w:szCs w:val="19"/>
                <w:color w:val="auto"/>
              </w:rPr>
            </w:pPr>
          </w:p>
        </w:tc>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19,419</w:t>
            </w:r>
          </w:p>
        </w:tc>
      </w:tr>
      <w:tr>
        <w:trPr>
          <w:trHeight w:val="238"/>
        </w:trPr>
        <w:tc>
          <w:tcPr>
            <w:tcW w:w="440" w:type="dxa"/>
            <w:vAlign w:val="bottom"/>
          </w:tcPr>
          <w:p>
            <w:pPr>
              <w:spacing w:after="0"/>
              <w:rPr>
                <w:sz w:val="20"/>
                <w:szCs w:val="20"/>
                <w:color w:val="auto"/>
              </w:rPr>
            </w:pPr>
          </w:p>
        </w:tc>
        <w:tc>
          <w:tcPr>
            <w:tcW w:w="7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accounts payable and other accrued expenses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946,127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1,050,670</w:t>
            </w:r>
          </w:p>
        </w:tc>
      </w:tr>
      <w:tr>
        <w:trPr>
          <w:trHeight w:val="20"/>
        </w:trPr>
        <w:tc>
          <w:tcPr>
            <w:tcW w:w="44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80" w:firstLine="428"/>
        <w:spacing w:after="0" w:line="292" w:lineRule="auto"/>
        <w:rPr>
          <w:sz w:val="20"/>
          <w:szCs w:val="20"/>
          <w:color w:val="auto"/>
        </w:rPr>
      </w:pPr>
      <w:r>
        <w:rPr>
          <w:rFonts w:ascii="Times New Roman" w:cs="Times New Roman" w:eastAsia="Times New Roman" w:hAnsi="Times New Roman"/>
          <w:sz w:val="17"/>
          <w:szCs w:val="17"/>
          <w:color w:val="auto"/>
        </w:rPr>
        <w:t>See Note 15, “Commitments and Contingencies,” to the condensed consolidated financial statements for further discussion of the Company’s provision for claimed costs.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2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7. Accrued Compensation and Benefits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1"/>
        </w:trPr>
        <w:tc>
          <w:tcPr>
            <w:tcW w:w="220" w:type="dxa"/>
            <w:vAlign w:val="bottom"/>
          </w:tcPr>
          <w:p>
            <w:pPr>
              <w:spacing w:after="0"/>
              <w:rPr>
                <w:sz w:val="24"/>
                <w:szCs w:val="24"/>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compensation and benefits consisted of the following:</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4"/>
        </w:trPr>
        <w:tc>
          <w:tcPr>
            <w:tcW w:w="22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6"/>
                <w:szCs w:val="16"/>
                <w:color w:val="auto"/>
              </w:rPr>
            </w:pPr>
          </w:p>
        </w:tc>
        <w:tc>
          <w:tcPr>
            <w:tcW w:w="1240" w:type="dxa"/>
            <w:vAlign w:val="bottom"/>
          </w:tcPr>
          <w:p>
            <w:pPr>
              <w:jc w:val="right"/>
              <w:ind w:right="274"/>
              <w:spacing w:after="0" w:line="194"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1"/>
        </w:trPr>
        <w:tc>
          <w:tcPr>
            <w:tcW w:w="220" w:type="dxa"/>
            <w:vAlign w:val="bottom"/>
          </w:tcPr>
          <w:p>
            <w:pPr>
              <w:spacing w:after="0"/>
              <w:rPr>
                <w:sz w:val="20"/>
                <w:szCs w:val="20"/>
                <w:color w:val="auto"/>
              </w:rPr>
            </w:pPr>
          </w:p>
        </w:tc>
        <w:tc>
          <w:tcPr>
            <w:tcW w:w="77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220" w:type="dxa"/>
            <w:vAlign w:val="bottom"/>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Bonus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151,063</w:t>
            </w:r>
          </w:p>
        </w:tc>
      </w:tr>
      <w:tr>
        <w:trPr>
          <w:trHeight w:val="220"/>
        </w:trPr>
        <w:tc>
          <w:tcPr>
            <w:tcW w:w="22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Retirement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57,465</w:t>
            </w:r>
          </w:p>
        </w:tc>
      </w:tr>
      <w:tr>
        <w:trPr>
          <w:trHeight w:val="220"/>
        </w:trPr>
        <w:tc>
          <w:tcPr>
            <w:tcW w:w="22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223,385</w:t>
            </w:r>
          </w:p>
        </w:tc>
      </w:tr>
      <w:tr>
        <w:trPr>
          <w:trHeight w:val="220"/>
        </w:trPr>
        <w:tc>
          <w:tcPr>
            <w:tcW w:w="22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payroll and related liabilities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247,228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45,904</w:t>
            </w:r>
          </w:p>
        </w:tc>
      </w:tr>
      <w:tr>
        <w:trPr>
          <w:trHeight w:val="220"/>
        </w:trPr>
        <w:tc>
          <w:tcPr>
            <w:tcW w:w="22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28,313</w:t>
            </w:r>
          </w:p>
        </w:tc>
      </w:tr>
      <w:tr>
        <w:trPr>
          <w:trHeight w:val="213"/>
        </w:trPr>
        <w:tc>
          <w:tcPr>
            <w:tcW w:w="2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accrued compensation and benefits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706,894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506,130</w:t>
            </w:r>
          </w:p>
        </w:tc>
      </w:tr>
      <w:tr>
        <w:trPr>
          <w:trHeight w:val="20"/>
        </w:trPr>
        <w:tc>
          <w:tcPr>
            <w:tcW w:w="2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increase in accrued payroll and related liabilities was due to the Company changing its payroll cadence during fiscal 2025.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 Debt</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11"/>
        </w:trPr>
        <w:tc>
          <w:tcPr>
            <w:tcW w:w="54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Debt consisted of the following on the dates below:</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6"/>
        </w:trPr>
        <w:tc>
          <w:tcPr>
            <w:tcW w:w="5460" w:type="dxa"/>
            <w:vAlign w:val="bottom"/>
          </w:tcPr>
          <w:p>
            <w:pPr>
              <w:spacing w:after="0"/>
              <w:rPr>
                <w:sz w:val="21"/>
                <w:szCs w:val="21"/>
                <w:color w:val="auto"/>
              </w:rPr>
            </w:pPr>
          </w:p>
        </w:tc>
        <w:tc>
          <w:tcPr>
            <w:tcW w:w="276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00" w:type="dxa"/>
            <w:vAlign w:val="bottom"/>
          </w:tcPr>
          <w:p>
            <w:pPr>
              <w:spacing w:after="0"/>
              <w:rPr>
                <w:sz w:val="21"/>
                <w:szCs w:val="21"/>
                <w:color w:val="auto"/>
              </w:rPr>
            </w:pPr>
          </w:p>
        </w:tc>
        <w:tc>
          <w:tcPr>
            <w:tcW w:w="276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March 31, 2024</w:t>
            </w:r>
          </w:p>
        </w:tc>
      </w:tr>
      <w:tr>
        <w:trPr>
          <w:trHeight w:val="162"/>
        </w:trPr>
        <w:tc>
          <w:tcPr>
            <w:tcW w:w="5460" w:type="dxa"/>
            <w:vAlign w:val="bottom"/>
          </w:tcPr>
          <w:p>
            <w:pPr>
              <w:spacing w:after="0"/>
              <w:rPr>
                <w:sz w:val="14"/>
                <w:szCs w:val="14"/>
                <w:color w:val="auto"/>
              </w:rPr>
            </w:pPr>
          </w:p>
        </w:tc>
        <w:tc>
          <w:tcPr>
            <w:tcW w:w="140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7"/>
                <w:szCs w:val="17"/>
                <w:b w:val="1"/>
                <w:bCs w:val="1"/>
                <w:color w:val="auto"/>
              </w:rPr>
              <w:t>Interest</w:t>
            </w:r>
          </w:p>
        </w:tc>
        <w:tc>
          <w:tcPr>
            <w:tcW w:w="160" w:type="dxa"/>
            <w:vAlign w:val="bottom"/>
          </w:tcPr>
          <w:p>
            <w:pPr>
              <w:spacing w:after="0"/>
              <w:rPr>
                <w:sz w:val="14"/>
                <w:szCs w:val="14"/>
                <w:color w:val="auto"/>
              </w:rPr>
            </w:pPr>
          </w:p>
        </w:tc>
        <w:tc>
          <w:tcPr>
            <w:tcW w:w="1200" w:type="dxa"/>
            <w:vAlign w:val="bottom"/>
          </w:tcPr>
          <w:p>
            <w:pPr>
              <w:jc w:val="right"/>
              <w:ind w:right="134"/>
              <w:spacing w:after="0" w:line="162"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100" w:type="dxa"/>
            <w:vAlign w:val="bottom"/>
          </w:tcPr>
          <w:p>
            <w:pPr>
              <w:spacing w:after="0"/>
              <w:rPr>
                <w:sz w:val="14"/>
                <w:szCs w:val="14"/>
                <w:color w:val="auto"/>
              </w:rPr>
            </w:pPr>
          </w:p>
        </w:tc>
        <w:tc>
          <w:tcPr>
            <w:tcW w:w="1560" w:type="dxa"/>
            <w:vAlign w:val="bottom"/>
            <w:gridSpan w:val="3"/>
          </w:tcPr>
          <w:p>
            <w:pPr>
              <w:jc w:val="right"/>
              <w:ind w:right="534"/>
              <w:spacing w:after="0" w:line="162" w:lineRule="exact"/>
              <w:rPr>
                <w:sz w:val="20"/>
                <w:szCs w:val="20"/>
                <w:color w:val="auto"/>
              </w:rPr>
            </w:pPr>
            <w:r>
              <w:rPr>
                <w:rFonts w:ascii="Times New Roman" w:cs="Times New Roman" w:eastAsia="Times New Roman" w:hAnsi="Times New Roman"/>
                <w:sz w:val="17"/>
                <w:szCs w:val="17"/>
                <w:b w:val="1"/>
                <w:bCs w:val="1"/>
                <w:color w:val="auto"/>
              </w:rPr>
              <w:t>Interest</w:t>
            </w:r>
          </w:p>
        </w:tc>
        <w:tc>
          <w:tcPr>
            <w:tcW w:w="1200" w:type="dxa"/>
            <w:vAlign w:val="bottom"/>
          </w:tcPr>
          <w:p>
            <w:pPr>
              <w:jc w:val="right"/>
              <w:ind w:right="134"/>
              <w:spacing w:after="0" w:line="162" w:lineRule="exact"/>
              <w:rPr>
                <w:sz w:val="20"/>
                <w:szCs w:val="20"/>
                <w:color w:val="auto"/>
              </w:rPr>
            </w:pPr>
            <w:r>
              <w:rPr>
                <w:rFonts w:ascii="Times New Roman" w:cs="Times New Roman" w:eastAsia="Times New Roman" w:hAnsi="Times New Roman"/>
                <w:sz w:val="17"/>
                <w:szCs w:val="17"/>
                <w:b w:val="1"/>
                <w:bCs w:val="1"/>
                <w:color w:val="auto"/>
              </w:rPr>
              <w:t>Outstanding</w:t>
            </w:r>
          </w:p>
        </w:tc>
      </w:tr>
      <w:tr>
        <w:trPr>
          <w:trHeight w:val="231"/>
        </w:trPr>
        <w:tc>
          <w:tcPr>
            <w:tcW w:w="5460" w:type="dxa"/>
            <w:vAlign w:val="bottom"/>
          </w:tcPr>
          <w:p>
            <w:pPr>
              <w:spacing w:after="0"/>
              <w:rPr>
                <w:sz w:val="20"/>
                <w:szCs w:val="20"/>
                <w:color w:val="auto"/>
              </w:rPr>
            </w:pP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7"/>
                <w:szCs w:val="17"/>
                <w:b w:val="1"/>
                <w:bCs w:val="1"/>
                <w:color w:val="auto"/>
              </w:rPr>
              <w:t>Rate</w:t>
            </w:r>
          </w:p>
        </w:tc>
        <w:tc>
          <w:tcPr>
            <w:tcW w:w="160" w:type="dxa"/>
            <w:vAlign w:val="bottom"/>
          </w:tcPr>
          <w:p>
            <w:pPr>
              <w:spacing w:after="0"/>
              <w:rPr>
                <w:sz w:val="20"/>
                <w:szCs w:val="20"/>
                <w:color w:val="auto"/>
              </w:rPr>
            </w:pP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00" w:type="dxa"/>
            <w:vAlign w:val="bottom"/>
          </w:tcPr>
          <w:p>
            <w:pPr>
              <w:spacing w:after="0"/>
              <w:rPr>
                <w:sz w:val="20"/>
                <w:szCs w:val="20"/>
                <w:color w:val="auto"/>
              </w:rPr>
            </w:pPr>
          </w:p>
        </w:tc>
        <w:tc>
          <w:tcPr>
            <w:tcW w:w="1560" w:type="dxa"/>
            <w:vAlign w:val="bottom"/>
            <w:gridSpan w:val="3"/>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Rate</w:t>
            </w: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216"/>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A</w:t>
            </w:r>
          </w:p>
        </w:tc>
        <w:tc>
          <w:tcPr>
            <w:tcW w:w="13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5.707 %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1,546,875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6.677 %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1,588,125</w:t>
            </w:r>
          </w:p>
        </w:tc>
      </w:tr>
      <w:tr>
        <w:trPr>
          <w:trHeight w:val="220"/>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due 2028</w:t>
            </w:r>
          </w:p>
        </w:tc>
        <w:tc>
          <w:tcPr>
            <w:tcW w:w="13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3.875 %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2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2029</w:t>
            </w:r>
          </w:p>
        </w:tc>
        <w:tc>
          <w:tcPr>
            <w:tcW w:w="1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4.000 %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20"/>
        </w:trPr>
        <w:tc>
          <w:tcPr>
            <w:tcW w:w="54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Senior Notes due 2033</w:t>
            </w:r>
          </w:p>
        </w:tc>
        <w:tc>
          <w:tcPr>
            <w:tcW w:w="13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5.950 %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5.950 %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r>
      <w:tr>
        <w:trPr>
          <w:trHeight w:val="22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Unamortized debt issuance costs and discount on debt</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(26,309)</w:t>
            </w:r>
          </w:p>
        </w:tc>
      </w:tr>
      <w:tr>
        <w:trPr>
          <w:trHeight w:val="213"/>
        </w:trPr>
        <w:tc>
          <w:tcPr>
            <w:tcW w:w="5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3,373,715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3,411,816</w:t>
            </w:r>
          </w:p>
        </w:tc>
      </w:tr>
      <w:tr>
        <w:trPr>
          <w:trHeight w:val="220"/>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(61,875)</w:t>
            </w:r>
          </w:p>
        </w:tc>
      </w:tr>
      <w:tr>
        <w:trPr>
          <w:trHeight w:val="213"/>
        </w:trPr>
        <w:tc>
          <w:tcPr>
            <w:tcW w:w="54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3,291,215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3,349,941</w:t>
            </w:r>
          </w:p>
        </w:tc>
      </w:tr>
      <w:tr>
        <w:trPr>
          <w:trHeight w:val="20"/>
        </w:trPr>
        <w:tc>
          <w:tcPr>
            <w:tcW w:w="5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120" w:lineRule="exact"/>
        <w:rPr>
          <w:sz w:val="20"/>
          <w:szCs w:val="20"/>
          <w:color w:val="auto"/>
        </w:rPr>
      </w:pPr>
    </w:p>
    <w:p>
      <w:pPr>
        <w:ind w:firstLine="389"/>
        <w:spacing w:after="0" w:line="258" w:lineRule="auto"/>
        <w:rPr>
          <w:sz w:val="20"/>
          <w:szCs w:val="20"/>
          <w:color w:val="auto"/>
        </w:rPr>
      </w:pPr>
      <w:r>
        <w:rPr>
          <w:rFonts w:ascii="Times New Roman" w:cs="Times New Roman" w:eastAsia="Times New Roman" w:hAnsi="Times New Roman"/>
          <w:sz w:val="17"/>
          <w:szCs w:val="17"/>
          <w:color w:val="auto"/>
        </w:rPr>
        <w:t>Booz Allen Hamilton Inc. (“Booz Allen Hamilton”), Booz Allen Hamilton Investor Corporation (“Investor”), and certain wholly owned subsidiaries of Booz Allen Hamilton are parties to a Credit Agreement dated as of July 31, 2012, as amended (the “Credit Agreement”), with certain institutional lenders and Bank of America, N.A., as Administrative Agent, Collateral Agent and Issuing Lender. As of December 31, 2024, the Credit Agreement provided Booz Allen Hamilton with a $1,546.9 million Term Loan A (“Term Loan A”) and a $1.0 billion revolving credit facility (the “Revolving Credit Facility”), with a sub-limit for letters of credit of $200.0 million. As of December 31, 2024, the maturity date of Term Loan A and the Revolving Commitments is September 7, 2027. Voluntary prepayments of Term Loan A and the Revolving Loans are permitted at any time, in minimum principal amounts, without premium or penalty. Booz Allen Hamilton’s obligations and the guarantors’ guarantees under the Credit Agreement were secured by a first priority lien on substantially all of the assets (including capital stock of subsidiaries) of Booz Allen Hamilton, Investor and the subsidiary guarantors, subject to certain exceptions set forth in the Credit Agreement and related documentation; such security was released in connection with Booz Allen Hamilton obtaining investment grade ratings from both Moody's and S&amp;P. On September 7, 2022 (the “Ninth Amendment Effective Date”), the previously outstanding Term Loan B loans under the Credit Agreement were prepaid in full.</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9" w:lineRule="exact"/>
        <w:rPr>
          <w:sz w:val="20"/>
          <w:szCs w:val="20"/>
          <w:color w:val="auto"/>
        </w:rPr>
      </w:pPr>
    </w:p>
    <w:p>
      <w:pPr>
        <w:ind w:right="40" w:firstLine="389"/>
        <w:spacing w:after="0" w:line="259" w:lineRule="auto"/>
        <w:rPr>
          <w:sz w:val="20"/>
          <w:szCs w:val="20"/>
          <w:color w:val="auto"/>
        </w:rPr>
      </w:pPr>
      <w:r>
        <w:rPr>
          <w:rFonts w:ascii="Times New Roman" w:cs="Times New Roman" w:eastAsia="Times New Roman" w:hAnsi="Times New Roman"/>
          <w:sz w:val="17"/>
          <w:szCs w:val="17"/>
          <w:color w:val="auto"/>
        </w:rPr>
        <w:t>On July 27, 2023 (the “Tenth Amendment Effective Date”), Booz Allen Hamilton entered into a Tenth Amendment (the “Amendment”) to the Credit Agreement (as amended prior to the Tenth Amendment Effective Date, the “Existing Credit Agreement” and, as amended by the Amendment, the “Amended Credit Agreement”) with Bank of America, N.A., as administrative agent (in such capacity, the “Administrative Agent”), and the lenders and other financial institutions party thereto, in order to make permanent certain changes to the Existing Credit Agreement in connection with Booz Allen Hamilton obtaining investment grade ratings from both Moody's and S&amp;P and prepaying the Term Loan B loans in full and to make certain additional changes in connection therewith, including, among other things, (i) removing the requirements for the obligations under the Amended Credit Agreement to be secured, (ii) removing the requirement for any subsidiary or other affiliate of Booz Allen Hamilton (other than the Company) to provide any guarantee of the obligations under the Amended Credit Agreement, and (iii) removing or modifying certain covenants applicable to Booz Allen Hamilton. Pursuant to the Amendment, all guarantees in respect of the Existing Credit Agreement have been released. The Amendment did not impact any of the terms of the Credit Agreement related to amortization or payments.</w:t>
      </w:r>
    </w:p>
    <w:p>
      <w:pPr>
        <w:spacing w:after="0" w:line="279" w:lineRule="exact"/>
        <w:rPr>
          <w:sz w:val="20"/>
          <w:szCs w:val="20"/>
          <w:color w:val="auto"/>
        </w:rPr>
      </w:pPr>
    </w:p>
    <w:p>
      <w:pPr>
        <w:ind w:right="100" w:firstLine="389"/>
        <w:spacing w:after="0" w:line="267" w:lineRule="auto"/>
        <w:rPr>
          <w:sz w:val="20"/>
          <w:szCs w:val="20"/>
          <w:color w:val="auto"/>
        </w:rPr>
      </w:pPr>
      <w:r>
        <w:rPr>
          <w:rFonts w:ascii="Times New Roman" w:cs="Times New Roman" w:eastAsia="Times New Roman" w:hAnsi="Times New Roman"/>
          <w:sz w:val="17"/>
          <w:szCs w:val="17"/>
          <w:color w:val="auto"/>
        </w:rPr>
        <w:t>On the Tenth Amendment Effective Date in connection with the Amendment, the Company entered into a Guarantee Agreement (the “Guarantee Agreement”) in favor of the Administrative Agent, pursuant to which the Company guarantees on an unsecured basis the obligations of Booz Allen Hamilton under the Amended Credit Agreement subject to certain conditions. Pursuant to the Amended Credit Agreement Booz Allen Hamilton has the option, though not any obligation, to join one or more of its domestic subsidiaries as a guarantor under the Guarantee Agreement.</w:t>
      </w:r>
    </w:p>
    <w:p>
      <w:pPr>
        <w:spacing w:after="0" w:line="64" w:lineRule="exact"/>
        <w:rPr>
          <w:sz w:val="20"/>
          <w:szCs w:val="20"/>
          <w:color w:val="auto"/>
        </w:rPr>
      </w:pPr>
    </w:p>
    <w:p>
      <w:pPr>
        <w:ind w:right="20" w:firstLine="389"/>
        <w:spacing w:after="0" w:line="264" w:lineRule="auto"/>
        <w:rPr>
          <w:sz w:val="20"/>
          <w:szCs w:val="20"/>
          <w:color w:val="auto"/>
        </w:rPr>
      </w:pPr>
      <w:r>
        <w:rPr>
          <w:rFonts w:ascii="Times New Roman" w:cs="Times New Roman" w:eastAsia="Times New Roman" w:hAnsi="Times New Roman"/>
          <w:sz w:val="17"/>
          <w:szCs w:val="17"/>
          <w:color w:val="auto"/>
        </w:rPr>
        <w:t>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Term Loan A and (ii) on the last business day of each full fiscal quarter that begins after the two year anniversary of the Ninth Amendment Effective Date but before the five year anniversary of the Ninth Amendment Effective Date, 1.25% of the stated principal amount of Term Loan A. The remaining balance of Term Loan A will be payable upon maturity.</w:t>
      </w:r>
    </w:p>
    <w:p>
      <w:pPr>
        <w:spacing w:after="0" w:line="66" w:lineRule="exact"/>
        <w:rPr>
          <w:sz w:val="20"/>
          <w:szCs w:val="20"/>
          <w:color w:val="auto"/>
        </w:rPr>
      </w:pPr>
    </w:p>
    <w:p>
      <w:pPr>
        <w:ind w:firstLine="389"/>
        <w:spacing w:after="0" w:line="259" w:lineRule="auto"/>
        <w:rPr>
          <w:sz w:val="20"/>
          <w:szCs w:val="20"/>
          <w:color w:val="auto"/>
        </w:rPr>
      </w:pPr>
      <w:r>
        <w:rPr>
          <w:rFonts w:ascii="Times New Roman" w:cs="Times New Roman" w:eastAsia="Times New Roman" w:hAnsi="Times New Roman"/>
          <w:sz w:val="17"/>
          <w:szCs w:val="17"/>
          <w:color w:val="auto"/>
        </w:rPr>
        <w:t>The rate at which Term Loan A and the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Term Loan A and the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72" w:lineRule="exact"/>
        <w:rPr>
          <w:sz w:val="20"/>
          <w:szCs w:val="20"/>
          <w:color w:val="auto"/>
        </w:rPr>
      </w:pPr>
    </w:p>
    <w:p>
      <w:pPr>
        <w:ind w:right="220" w:firstLine="389"/>
        <w:spacing w:after="0" w:line="292" w:lineRule="auto"/>
        <w:rPr>
          <w:sz w:val="20"/>
          <w:szCs w:val="20"/>
          <w:color w:val="auto"/>
        </w:rPr>
      </w:pPr>
      <w:r>
        <w:rPr>
          <w:rFonts w:ascii="Times New Roman" w:cs="Times New Roman" w:eastAsia="Times New Roman" w:hAnsi="Times New Roman"/>
          <w:sz w:val="17"/>
          <w:szCs w:val="17"/>
          <w:color w:val="auto"/>
        </w:rPr>
        <w:t>The Company occasionally borrows under the Revolving Credit Facility for our working capital needs. There were no borrowings during the nine months ended December 31, 2024 and as of December 31, 2024 and March 31, 2024, respectively, there was no outstanding balance on the Revolving Credit Facility.</w:t>
      </w:r>
    </w:p>
    <w:p>
      <w:pPr>
        <w:spacing w:after="0" w:line="43" w:lineRule="exact"/>
        <w:rPr>
          <w:sz w:val="20"/>
          <w:szCs w:val="20"/>
          <w:color w:val="auto"/>
        </w:rPr>
      </w:pPr>
    </w:p>
    <w:p>
      <w:pPr>
        <w:ind w:right="140" w:firstLine="389"/>
        <w:spacing w:after="0" w:line="267" w:lineRule="auto"/>
        <w:rPr>
          <w:sz w:val="20"/>
          <w:szCs w:val="20"/>
          <w:color w:val="auto"/>
        </w:rPr>
      </w:pPr>
      <w:r>
        <w:rPr>
          <w:rFonts w:ascii="Times New Roman" w:cs="Times New Roman" w:eastAsia="Times New Roman" w:hAnsi="Times New Roman"/>
          <w:sz w:val="17"/>
          <w:szCs w:val="17"/>
          <w:color w:val="auto"/>
        </w:rPr>
        <w:t>Borrowings under Term Loan A, and if used, the Revolving Credit Facility, incur interest at a variable rate. As of December 31, 2024, the Company had interest rate swaps with an aggregate notional amount of $550.0 million. These instruments hedge the variability of cash outflows for interest payments on a portion of the Company’s floating rate borrowings under the Credit Agreement. The Company's objectives in using cash flow hedges are to reduce volatility due to interest rate movements and to add stability to interest expense (See Note 9, “Derivatives,” to our condensed consolidated financial statements).</w:t>
      </w:r>
    </w:p>
    <w:p>
      <w:pPr>
        <w:spacing w:after="0" w:line="64" w:lineRule="exact"/>
        <w:rPr>
          <w:sz w:val="20"/>
          <w:szCs w:val="20"/>
          <w:color w:val="auto"/>
        </w:rPr>
      </w:pPr>
    </w:p>
    <w:p>
      <w:pPr>
        <w:ind w:right="40" w:firstLine="389"/>
        <w:spacing w:after="0" w:line="264"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customary affirmative and negative covenants. In connection with Booz Allen Hamilton obtaining investment grade ratings from both Moody's and S&amp;P, certain activities previously restricted by certain negative covenants are permitted subject to pro forma compliance with the financial covenants and no events of default having occurred or are continuing. In addition, Booz Allen Hamilton is required to meet certain financial covenants at each quarter end, specifically the consolidated net total leverage ratio. As of December 31, 2024 and March 31, 2024, Booz Allen Hamilton was in compliance with all financial covenants associated with its debt and debt-like instruments.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material terms of the Company’s Senior Notes as of December 31,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0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83"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1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14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8"/>
        </w:trPr>
        <w:tc>
          <w:tcPr>
            <w:tcW w:w="1760" w:type="dxa"/>
            <w:vAlign w:val="bottom"/>
          </w:tcPr>
          <w:p>
            <w:pPr>
              <w:spacing w:after="0"/>
              <w:rPr>
                <w:sz w:val="19"/>
                <w:szCs w:val="19"/>
                <w:color w:val="auto"/>
              </w:rPr>
            </w:pPr>
          </w:p>
        </w:tc>
        <w:tc>
          <w:tcPr>
            <w:tcW w:w="180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Indenture Date</w:t>
            </w:r>
          </w:p>
        </w:tc>
        <w:tc>
          <w:tcPr>
            <w:tcW w:w="20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Rate</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21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Interest Payable</w:t>
            </w:r>
          </w:p>
        </w:tc>
        <w:tc>
          <w:tcPr>
            <w:tcW w:w="16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Issuance Costs</w:t>
            </w:r>
          </w:p>
        </w:tc>
      </w:tr>
      <w:tr>
        <w:trPr>
          <w:trHeight w:val="26"/>
        </w:trPr>
        <w:tc>
          <w:tcPr>
            <w:tcW w:w="1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1"/>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Notes due 2033</w:t>
            </w:r>
          </w:p>
        </w:tc>
        <w:tc>
          <w:tcPr>
            <w:tcW w:w="1800" w:type="dxa"/>
            <w:vAlign w:val="bottom"/>
            <w:tcBorders>
              <w:bottom w:val="single" w:sz="8" w:color="CCEEFF"/>
            </w:tcBorders>
            <w:shd w:val="clear" w:color="auto" w:fill="CCEEFF"/>
          </w:tcPr>
          <w:p>
            <w:pPr>
              <w:jc w:val="center"/>
              <w:ind w:left="474"/>
              <w:spacing w:after="0"/>
              <w:rPr>
                <w:sz w:val="20"/>
                <w:szCs w:val="20"/>
                <w:color w:val="auto"/>
              </w:rPr>
            </w:pPr>
            <w:r>
              <w:rPr>
                <w:rFonts w:ascii="Times New Roman" w:cs="Times New Roman" w:eastAsia="Times New Roman" w:hAnsi="Times New Roman"/>
                <w:sz w:val="17"/>
                <w:szCs w:val="17"/>
                <w:color w:val="auto"/>
                <w:w w:val="99"/>
              </w:rPr>
              <w:t>8/4/2023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5.950%</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8/4/2033</w:t>
            </w:r>
          </w:p>
        </w:tc>
        <w:tc>
          <w:tcPr>
            <w:tcW w:w="2140" w:type="dxa"/>
            <w:vAlign w:val="bottom"/>
            <w:tcBorders>
              <w:bottom w:val="single" w:sz="8" w:color="CCEEFF"/>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February and August 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12,400</w:t>
            </w:r>
          </w:p>
        </w:tc>
      </w:tr>
      <w:tr>
        <w:trPr>
          <w:trHeight w:val="272"/>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Senior Notes due 2029</w:t>
            </w:r>
          </w:p>
        </w:tc>
        <w:tc>
          <w:tcPr>
            <w:tcW w:w="180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6/17/2021</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7/1/2029</w:t>
            </w:r>
          </w:p>
        </w:tc>
        <w:tc>
          <w:tcPr>
            <w:tcW w:w="21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July and January 1</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w:t>
            </w:r>
          </w:p>
        </w:tc>
      </w:tr>
      <w:tr>
        <w:trPr>
          <w:trHeight w:val="26"/>
        </w:trPr>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8"/>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Notes due 2028</w:t>
            </w:r>
          </w:p>
        </w:tc>
        <w:tc>
          <w:tcPr>
            <w:tcW w:w="1800" w:type="dxa"/>
            <w:vAlign w:val="bottom"/>
            <w:tcBorders>
              <w:bottom w:val="single" w:sz="8" w:color="CCEEFF"/>
            </w:tcBorders>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8/24/2020</w:t>
            </w: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3.875%</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9/1/2028</w:t>
            </w:r>
          </w:p>
        </w:tc>
        <w:tc>
          <w:tcPr>
            <w:tcW w:w="2140" w:type="dxa"/>
            <w:vAlign w:val="bottom"/>
            <w:tcBorders>
              <w:bottom w:val="single" w:sz="8" w:color="CCEEFF"/>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March and September 1</w:t>
            </w: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9,200</w:t>
            </w:r>
          </w:p>
        </w:tc>
      </w:tr>
      <w:tr>
        <w:trPr>
          <w:trHeight w:val="219"/>
        </w:trPr>
        <w:tc>
          <w:tcPr>
            <w:tcW w:w="1760" w:type="dxa"/>
            <w:vAlign w:val="bottom"/>
          </w:tcPr>
          <w:p>
            <w:pPr>
              <w:spacing w:after="0"/>
              <w:rPr>
                <w:sz w:val="19"/>
                <w:szCs w:val="19"/>
                <w:color w:val="auto"/>
              </w:rPr>
            </w:pPr>
          </w:p>
        </w:tc>
        <w:tc>
          <w:tcPr>
            <w:tcW w:w="1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1,850,000</w:t>
            </w: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28,100</w:t>
            </w:r>
          </w:p>
        </w:tc>
      </w:tr>
      <w:tr>
        <w:trPr>
          <w:trHeight w:val="20"/>
        </w:trPr>
        <w:tc>
          <w:tcPr>
            <w:tcW w:w="1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120" w:firstLine="389"/>
        <w:spacing w:after="0" w:line="267" w:lineRule="auto"/>
        <w:rPr>
          <w:sz w:val="20"/>
          <w:szCs w:val="20"/>
          <w:color w:val="auto"/>
        </w:rPr>
      </w:pPr>
      <w:r>
        <w:rPr>
          <w:rFonts w:ascii="Times New Roman" w:cs="Times New Roman" w:eastAsia="Times New Roman" w:hAnsi="Times New Roman"/>
          <w:sz w:val="17"/>
          <w:szCs w:val="17"/>
          <w:color w:val="auto"/>
        </w:rPr>
        <w:t>Interest is payable semi-annually in cash in arrears, with the principal due at maturity. Issuance Costs were recorded as an offset against the carrying value of respective debt and are being amortized to interest expense over the term of the respective debt. For further information on the Senior Notes, including terms, conditions, restrictions and redemption options, see Note 10, “Debt,” of the Company’s consolidated financial statements included in the fiscal 2024 Annual Report on Form 10-K.</w:t>
      </w:r>
    </w:p>
    <w:p>
      <w:pPr>
        <w:spacing w:after="0" w:line="64" w:lineRule="exact"/>
        <w:rPr>
          <w:sz w:val="20"/>
          <w:szCs w:val="20"/>
          <w:color w:val="auto"/>
        </w:rPr>
      </w:pPr>
    </w:p>
    <w:p>
      <w:pPr>
        <w:ind w:firstLine="389"/>
        <w:spacing w:after="0" w:line="267" w:lineRule="auto"/>
        <w:rPr>
          <w:sz w:val="20"/>
          <w:szCs w:val="20"/>
          <w:color w:val="auto"/>
        </w:rPr>
      </w:pPr>
      <w:r>
        <w:rPr>
          <w:rFonts w:ascii="Times New Roman" w:cs="Times New Roman" w:eastAsia="Times New Roman" w:hAnsi="Times New Roman"/>
          <w:sz w:val="17"/>
          <w:szCs w:val="17"/>
          <w:color w:val="auto"/>
        </w:rPr>
        <w:t>All Senior Notes’ indentures contain certain covenants, events of default and other customary provisions. In connection with the Senior Notes obtaining investment grade ratings from Moody's and S&amp;P in January 2023, certain negative covenants in the indentures governing the Senior Notes 2028 and Senior Notes 2029 were suspended, and the related guarantees were released. The Senior Notes due 2033 are fully and unconditionally guaranteed on an unsecured and unsubordinated basis by Booz Allen Hamilton Holding Corporation, pursuant to the relevant indenture.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11"/>
        </w:trPr>
        <w:tc>
          <w:tcPr>
            <w:tcW w:w="58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Interest expense consisted of the following: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5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60"/>
              <w:spacing w:after="0" w:line="194"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16"/>
                <w:szCs w:val="16"/>
                <w:color w:val="auto"/>
              </w:rPr>
            </w:pPr>
          </w:p>
        </w:tc>
        <w:tc>
          <w:tcPr>
            <w:tcW w:w="2300" w:type="dxa"/>
            <w:vAlign w:val="bottom"/>
            <w:gridSpan w:val="4"/>
          </w:tcPr>
          <w:p>
            <w:pPr>
              <w:jc w:val="center"/>
              <w:ind w:right="214"/>
              <w:spacing w:after="0" w:line="194" w:lineRule="exact"/>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1"/>
        </w:trPr>
        <w:tc>
          <w:tcPr>
            <w:tcW w:w="5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Pr>
          <w:p>
            <w:pPr>
              <w:spacing w:after="0"/>
              <w:rPr>
                <w:sz w:val="20"/>
                <w:szCs w:val="20"/>
                <w:color w:val="auto"/>
              </w:rPr>
            </w:pPr>
          </w:p>
        </w:tc>
        <w:tc>
          <w:tcPr>
            <w:tcW w:w="2300" w:type="dxa"/>
            <w:vAlign w:val="bottom"/>
            <w:gridSpan w:val="4"/>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6"/>
        </w:trPr>
        <w:tc>
          <w:tcPr>
            <w:tcW w:w="520" w:type="dxa"/>
            <w:vAlign w:val="bottom"/>
          </w:tcPr>
          <w:p>
            <w:pPr>
              <w:spacing w:after="0"/>
              <w:rPr>
                <w:sz w:val="18"/>
                <w:szCs w:val="18"/>
                <w:color w:val="auto"/>
              </w:rPr>
            </w:pPr>
          </w:p>
        </w:tc>
        <w:tc>
          <w:tcPr>
            <w:tcW w:w="53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87"/>
        </w:trPr>
        <w:tc>
          <w:tcPr>
            <w:tcW w:w="520" w:type="dxa"/>
            <w:vAlign w:val="bottom"/>
          </w:tcPr>
          <w:p>
            <w:pPr>
              <w:spacing w:after="0"/>
              <w:rPr>
                <w:sz w:val="16"/>
                <w:szCs w:val="16"/>
                <w:color w:val="auto"/>
              </w:rPr>
            </w:pPr>
          </w:p>
        </w:tc>
        <w:tc>
          <w:tcPr>
            <w:tcW w:w="5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840" w:type="dxa"/>
            <w:vAlign w:val="bottom"/>
            <w:shd w:val="clear" w:color="auto" w:fill="CCEEFF"/>
          </w:tcPr>
          <w:p>
            <w:pPr>
              <w:spacing w:after="0"/>
              <w:rPr>
                <w:sz w:val="16"/>
                <w:szCs w:val="16"/>
                <w:color w:val="auto"/>
              </w:rPr>
            </w:pPr>
          </w:p>
        </w:tc>
      </w:tr>
      <w:tr>
        <w:trPr>
          <w:trHeight w:val="220"/>
        </w:trPr>
        <w:tc>
          <w:tcPr>
            <w:tcW w:w="52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80,874</w:t>
            </w:r>
          </w:p>
        </w:tc>
      </w:tr>
      <w:tr>
        <w:trPr>
          <w:trHeight w:val="220"/>
        </w:trPr>
        <w:tc>
          <w:tcPr>
            <w:tcW w:w="520" w:type="dxa"/>
            <w:vAlign w:val="bottom"/>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w:t>
            </w:r>
          </w:p>
        </w:tc>
      </w:tr>
      <w:tr>
        <w:trPr>
          <w:trHeight w:val="220"/>
        </w:trPr>
        <w:tc>
          <w:tcPr>
            <w:tcW w:w="52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51,243</w:t>
            </w:r>
          </w:p>
        </w:tc>
      </w:tr>
      <w:tr>
        <w:trPr>
          <w:trHeight w:val="169"/>
        </w:trPr>
        <w:tc>
          <w:tcPr>
            <w:tcW w:w="520" w:type="dxa"/>
            <w:vAlign w:val="bottom"/>
          </w:tcPr>
          <w:p>
            <w:pPr>
              <w:spacing w:after="0"/>
              <w:rPr>
                <w:sz w:val="14"/>
                <w:szCs w:val="14"/>
                <w:color w:val="auto"/>
              </w:rPr>
            </w:pPr>
          </w:p>
        </w:tc>
        <w:tc>
          <w:tcPr>
            <w:tcW w:w="53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Amortization of Debt Issuance Cost (DIC) and Original Issue Discount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3"/>
        </w:trPr>
        <w:tc>
          <w:tcPr>
            <w:tcW w:w="520" w:type="dxa"/>
            <w:vAlign w:val="bottom"/>
          </w:tcPr>
          <w:p>
            <w:pPr>
              <w:spacing w:after="0"/>
              <w:rPr>
                <w:sz w:val="20"/>
                <w:szCs w:val="20"/>
                <w:color w:val="auto"/>
              </w:rPr>
            </w:pPr>
          </w:p>
        </w:tc>
        <w:tc>
          <w:tcPr>
            <w:tcW w:w="536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 xml:space="preserve">(OID)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w:t>
            </w:r>
          </w:p>
        </w:tc>
      </w:tr>
      <w:tr>
        <w:trPr>
          <w:trHeight w:val="220"/>
        </w:trPr>
        <w:tc>
          <w:tcPr>
            <w:tcW w:w="52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(11,117)</w:t>
            </w:r>
          </w:p>
        </w:tc>
      </w:tr>
      <w:tr>
        <w:trPr>
          <w:trHeight w:val="220"/>
        </w:trPr>
        <w:tc>
          <w:tcPr>
            <w:tcW w:w="520" w:type="dxa"/>
            <w:vAlign w:val="bottom"/>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r>
      <w:tr>
        <w:trPr>
          <w:trHeight w:val="213"/>
        </w:trPr>
        <w:tc>
          <w:tcPr>
            <w:tcW w:w="52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45,629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46,582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138,605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126,812</w:t>
            </w:r>
          </w:p>
        </w:tc>
      </w:tr>
      <w:tr>
        <w:trPr>
          <w:trHeight w:val="20"/>
        </w:trPr>
        <w:tc>
          <w:tcPr>
            <w:tcW w:w="5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780" w:right="100" w:hanging="154"/>
        <w:spacing w:after="0" w:line="264" w:lineRule="auto"/>
        <w:tabs>
          <w:tab w:leader="none" w:pos="783" w:val="left"/>
        </w:tabs>
        <w:numPr>
          <w:ilvl w:val="1"/>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DIC and OID on the Term Loans and Senior Notes are recorded as a reduction of long-term debt in the condensed consolidated balance sheet and are amortized ratably over the life of the related debt using the effective rate method. DIC on the Company’s Revolving Credit Facility is recorded as a long-term asset on the condensed consolidated balance sheet and amortized ratably over the term of the Revolving Credit Facility.</w:t>
      </w:r>
    </w:p>
    <w:p>
      <w:pPr>
        <w:spacing w:after="0" w:line="66" w:lineRule="exact"/>
        <w:rPr>
          <w:rFonts w:ascii="Times New Roman" w:cs="Times New Roman" w:eastAsia="Times New Roman" w:hAnsi="Times New Roman"/>
          <w:sz w:val="20"/>
          <w:szCs w:val="20"/>
          <w:color w:val="auto"/>
          <w:vertAlign w:val="superscript"/>
        </w:rPr>
      </w:pPr>
    </w:p>
    <w:p>
      <w:pPr>
        <w:ind w:left="180" w:hanging="176"/>
        <w:spacing w:after="0"/>
        <w:tabs>
          <w:tab w:leader="none" w:pos="1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Derivatives</w:t>
      </w:r>
    </w:p>
    <w:p>
      <w:pPr>
        <w:spacing w:after="0" w:line="118" w:lineRule="exact"/>
        <w:rPr>
          <w:sz w:val="20"/>
          <w:szCs w:val="20"/>
          <w:color w:val="auto"/>
        </w:rPr>
      </w:pPr>
    </w:p>
    <w:p>
      <w:pPr>
        <w:ind w:right="80" w:firstLine="389"/>
        <w:spacing w:after="0" w:line="273" w:lineRule="auto"/>
        <w:rPr>
          <w:sz w:val="20"/>
          <w:szCs w:val="20"/>
          <w:color w:val="auto"/>
        </w:rPr>
      </w:pPr>
      <w:r>
        <w:rPr>
          <w:rFonts w:ascii="Times New Roman" w:cs="Times New Roman" w:eastAsia="Times New Roman" w:hAnsi="Times New Roman"/>
          <w:sz w:val="17"/>
          <w:szCs w:val="17"/>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w:t>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material terms of the Company’s outstanding interest rate swap derivative contracts as of December 31, 2024:</w:t>
      </w:r>
    </w:p>
    <w:p>
      <w:pPr>
        <w:spacing w:after="0" w:line="49" w:lineRule="exact"/>
        <w:rPr>
          <w:sz w:val="20"/>
          <w:szCs w:val="20"/>
          <w:color w:val="auto"/>
        </w:rPr>
      </w:pPr>
    </w:p>
    <w:tbl>
      <w:tblPr>
        <w:tblLayout w:type="fixed"/>
        <w:tblInd w:w="2400" w:type="dxa"/>
        <w:tblCellMar>
          <w:top w:w="0" w:type="dxa"/>
          <w:left w:w="0" w:type="dxa"/>
          <w:bottom w:w="0" w:type="dxa"/>
          <w:right w:w="0" w:type="dxa"/>
        </w:tblCellMar>
      </w:tblPr>
      <w:tr>
        <w:trPr>
          <w:trHeight w:val="228"/>
        </w:trPr>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Effective Date</w:t>
            </w:r>
          </w:p>
        </w:tc>
        <w:tc>
          <w:tcPr>
            <w:tcW w:w="16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154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7"/>
                <w:szCs w:val="17"/>
                <w:b w:val="1"/>
                <w:bCs w:val="1"/>
                <w:color w:val="auto"/>
                <w:w w:val="97"/>
              </w:rPr>
              <w:t>Terms</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Notional Amount</w:t>
            </w:r>
          </w:p>
        </w:tc>
      </w:tr>
      <w:tr>
        <w:trPr>
          <w:trHeight w:val="213"/>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28, 2023</w:t>
            </w:r>
          </w:p>
        </w:tc>
        <w:tc>
          <w:tcPr>
            <w:tcW w:w="16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June 30, 2025</w:t>
            </w:r>
          </w:p>
        </w:tc>
        <w:tc>
          <w:tcPr>
            <w:tcW w:w="154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color w:val="auto"/>
                <w:w w:val="99"/>
              </w:rPr>
              <w:t>Variable to Fixed</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20"/>
        </w:trPr>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30, 2023</w:t>
            </w:r>
          </w:p>
        </w:tc>
        <w:tc>
          <w:tcPr>
            <w:tcW w:w="166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June 30, 2026</w:t>
            </w:r>
          </w:p>
        </w:tc>
        <w:tc>
          <w:tcPr>
            <w:tcW w:w="154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w w:val="99"/>
              </w:rPr>
              <w:t>Variable to Fixed</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r>
      <w:tr>
        <w:trPr>
          <w:trHeight w:val="220"/>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28, 2024</w:t>
            </w:r>
          </w:p>
        </w:tc>
        <w:tc>
          <w:tcPr>
            <w:tcW w:w="16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June 30, 2027</w:t>
            </w:r>
          </w:p>
        </w:tc>
        <w:tc>
          <w:tcPr>
            <w:tcW w:w="154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color w:val="auto"/>
                <w:w w:val="99"/>
              </w:rPr>
              <w:t>Variable to Fixed</w:t>
            </w:r>
          </w:p>
        </w:tc>
        <w:tc>
          <w:tcPr>
            <w:tcW w:w="4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19"/>
        </w:trPr>
        <w:tc>
          <w:tcPr>
            <w:tcW w:w="1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550,000</w:t>
            </w:r>
          </w:p>
        </w:tc>
      </w:tr>
    </w:tbl>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variable-to-fixed interest rate swaps effectively convert a portion of the variable rate debt into fixed interest rate debt.</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47" w:lineRule="exact"/>
        <w:rPr>
          <w:sz w:val="20"/>
          <w:szCs w:val="20"/>
          <w:color w:val="auto"/>
        </w:rPr>
      </w:pPr>
    </w:p>
    <w:p>
      <w:pPr>
        <w:ind w:right="160" w:firstLine="389"/>
        <w:spacing w:after="0" w:line="267" w:lineRule="auto"/>
        <w:rPr>
          <w:sz w:val="20"/>
          <w:szCs w:val="20"/>
          <w:color w:val="auto"/>
        </w:rPr>
      </w:pPr>
      <w:r>
        <w:rPr>
          <w:rFonts w:ascii="Times New Roman" w:cs="Times New Roman" w:eastAsia="Times New Roman" w:hAnsi="Times New Roman"/>
          <w:sz w:val="17"/>
          <w:szCs w:val="17"/>
          <w:color w:val="auto"/>
        </w:rPr>
        <w:t>Derivative instruments are recorded in the condensed consolidated balance sheet on a gross basis at estimated fair value. As of December 31, 2024, $2.7 million, $0.2 million, $0.5 million and $1.2 million were classified as other current assets, other long-term assets, other current liabilities and other long-term liabilities, respectively, on the condensed consolidated balance sheet. As of March 31, 2024, $8.7 million and $1.6 million were classified as other current assets and other long-term assets, respectively, on the condensed consolidated balance sheet.</w:t>
      </w:r>
    </w:p>
    <w:p>
      <w:pPr>
        <w:spacing w:after="0" w:line="12" w:lineRule="exact"/>
        <w:rPr>
          <w:sz w:val="20"/>
          <w:szCs w:val="20"/>
          <w:color w:val="auto"/>
        </w:rPr>
      </w:pPr>
    </w:p>
    <w:p>
      <w:pPr>
        <w:ind w:firstLine="389"/>
        <w:spacing w:after="0" w:line="267" w:lineRule="auto"/>
        <w:rPr>
          <w:sz w:val="20"/>
          <w:szCs w:val="20"/>
          <w:color w:val="auto"/>
        </w:rPr>
      </w:pPr>
      <w:r>
        <w:rPr>
          <w:rFonts w:ascii="Times New Roman" w:cs="Times New Roman" w:eastAsia="Times New Roman" w:hAnsi="Times New Roman"/>
          <w:sz w:val="17"/>
          <w:szCs w:val="17"/>
          <w:color w:val="auto"/>
        </w:rPr>
        <w:t>For interest rate swaps designated as cash flow hedges, the changes in the fair value of derivatives are recorded in Accumulated Other Comprehensive Income (“AOCI”), net of taxes, and are subsequently reclassified into interest expense, net in the period that the hedged forecasted interest payments are made on the Company's variable-rate debt. The effect of derivative instruments on the accompanying condensed consolidated financial statements for the periods presented is as follows:</w:t>
      </w:r>
    </w:p>
    <w:p>
      <w:pPr>
        <w:spacing w:after="0" w:line="198"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2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gridSpan w:val="4"/>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Pre-Tax Gain (Loss) Recognized 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Pre-Tax Gain Reclassified from AOCI</w:t>
            </w:r>
          </w:p>
        </w:tc>
      </w:tr>
      <w:tr>
        <w:trPr>
          <w:trHeight w:val="231"/>
        </w:trPr>
        <w:tc>
          <w:tcPr>
            <w:tcW w:w="2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tcBorders>
              <w:bottom w:val="single" w:sz="8" w:color="auto"/>
            </w:tcBorders>
            <w:gridSpan w:val="2"/>
          </w:tcPr>
          <w:p>
            <w:pPr>
              <w:jc w:val="center"/>
              <w:ind w:left="574"/>
              <w:spacing w:after="0"/>
              <w:rPr>
                <w:sz w:val="20"/>
                <w:szCs w:val="20"/>
                <w:color w:val="auto"/>
              </w:rPr>
            </w:pPr>
            <w:r>
              <w:rPr>
                <w:rFonts w:ascii="Times New Roman" w:cs="Times New Roman" w:eastAsia="Times New Roman" w:hAnsi="Times New Roman"/>
                <w:sz w:val="17"/>
                <w:szCs w:val="17"/>
                <w:b w:val="1"/>
                <w:bCs w:val="1"/>
                <w:color w:val="auto"/>
              </w:rPr>
              <w:t>AOCI on Derivatives</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into Income</w:t>
            </w:r>
          </w:p>
        </w:tc>
      </w:tr>
      <w:tr>
        <w:trPr>
          <w:trHeight w:val="164"/>
        </w:trPr>
        <w:tc>
          <w:tcPr>
            <w:tcW w:w="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2"/>
          </w:tcPr>
          <w:p>
            <w:pPr>
              <w:jc w:val="center"/>
              <w:ind w:left="574"/>
              <w:spacing w:after="0" w:line="164"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3"/>
          </w:tcPr>
          <w:p>
            <w:pPr>
              <w:jc w:val="center"/>
              <w:ind w:right="200"/>
              <w:spacing w:after="0" w:line="164" w:lineRule="exact"/>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8"/>
        </w:trPr>
        <w:tc>
          <w:tcPr>
            <w:tcW w:w="2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2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Derivatives in Cash Flow Hedging Relationships</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360" w:type="dxa"/>
            <w:vAlign w:val="bottom"/>
            <w:tcBorders>
              <w:bottom w:val="single" w:sz="8" w:color="auto"/>
            </w:tcBorders>
          </w:tcPr>
          <w:p>
            <w:pPr>
              <w:spacing w:after="0"/>
              <w:rPr>
                <w:sz w:val="20"/>
                <w:szCs w:val="20"/>
                <w:color w:val="auto"/>
              </w:rPr>
            </w:pPr>
          </w:p>
        </w:tc>
      </w:tr>
      <w:tr>
        <w:trPr>
          <w:trHeight w:val="213"/>
        </w:trPr>
        <w:tc>
          <w:tcPr>
            <w:tcW w:w="440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rate swaps </w:t>
            </w:r>
            <w:r>
              <w:rPr>
                <w:rFonts w:ascii="Times New Roman" w:cs="Times New Roman" w:eastAsia="Times New Roman" w:hAnsi="Times New Roman"/>
                <w:sz w:val="22"/>
                <w:szCs w:val="22"/>
                <w:color w:val="auto"/>
                <w:vertAlign w:val="superscript"/>
              </w:rPr>
              <w:t>(1)</w:t>
            </w:r>
          </w:p>
        </w:tc>
        <w:tc>
          <w:tcPr>
            <w:tcW w:w="980" w:type="dxa"/>
            <w:vAlign w:val="bottom"/>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6,294 $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1,843 $</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3,846</w:t>
            </w:r>
          </w:p>
        </w:tc>
      </w:tr>
      <w:tr>
        <w:trPr>
          <w:trHeight w:val="545"/>
        </w:trPr>
        <w:tc>
          <w:tcPr>
            <w:tcW w:w="2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4"/>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Pre-Tax (Loss) Gain Recognized in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4"/>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Pre-Tax Gain Reclassified from</w:t>
            </w:r>
          </w:p>
        </w:tc>
      </w:tr>
      <w:tr>
        <w:trPr>
          <w:trHeight w:val="231"/>
        </w:trPr>
        <w:tc>
          <w:tcPr>
            <w:tcW w:w="2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AOCI on Derivatives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3"/>
          </w:tcPr>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AOCI into Income</w:t>
            </w:r>
          </w:p>
        </w:tc>
      </w:tr>
      <w:tr>
        <w:trPr>
          <w:trHeight w:val="164"/>
        </w:trPr>
        <w:tc>
          <w:tcPr>
            <w:tcW w:w="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2"/>
          </w:tcPr>
          <w:p>
            <w:pPr>
              <w:jc w:val="center"/>
              <w:ind w:left="274"/>
              <w:spacing w:after="0" w:line="164" w:lineRule="exact"/>
              <w:rPr>
                <w:sz w:val="20"/>
                <w:szCs w:val="20"/>
                <w:color w:val="auto"/>
              </w:rPr>
            </w:pPr>
            <w:r>
              <w:rPr>
                <w:rFonts w:ascii="Times New Roman" w:cs="Times New Roman" w:eastAsia="Times New Roman" w:hAnsi="Times New Roman"/>
                <w:sz w:val="17"/>
                <w:szCs w:val="17"/>
                <w:b w:val="1"/>
                <w:bCs w:val="1"/>
                <w:color w:val="auto"/>
              </w:rPr>
              <w:t>Nine Months Ended</w:t>
            </w: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gridSpan w:val="2"/>
          </w:tcPr>
          <w:p>
            <w:pPr>
              <w:jc w:val="center"/>
              <w:ind w:right="334"/>
              <w:spacing w:after="0" w:line="164" w:lineRule="exact"/>
              <w:rPr>
                <w:sz w:val="20"/>
                <w:szCs w:val="20"/>
                <w:color w:val="auto"/>
              </w:rPr>
            </w:pPr>
            <w:r>
              <w:rPr>
                <w:rFonts w:ascii="Times New Roman" w:cs="Times New Roman" w:eastAsia="Times New Roman" w:hAnsi="Times New Roman"/>
                <w:sz w:val="17"/>
                <w:szCs w:val="17"/>
                <w:b w:val="1"/>
                <w:bCs w:val="1"/>
                <w:color w:val="auto"/>
              </w:rPr>
              <w:t>Nine Months Ended</w:t>
            </w:r>
          </w:p>
        </w:tc>
        <w:tc>
          <w:tcPr>
            <w:tcW w:w="360" w:type="dxa"/>
            <w:vAlign w:val="bottom"/>
          </w:tcPr>
          <w:p>
            <w:pPr>
              <w:spacing w:after="0"/>
              <w:rPr>
                <w:sz w:val="14"/>
                <w:szCs w:val="14"/>
                <w:color w:val="auto"/>
              </w:rPr>
            </w:pPr>
          </w:p>
        </w:tc>
      </w:tr>
      <w:tr>
        <w:trPr>
          <w:trHeight w:val="231"/>
        </w:trPr>
        <w:tc>
          <w:tcPr>
            <w:tcW w:w="2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42"/>
        </w:trPr>
        <w:tc>
          <w:tcPr>
            <w:tcW w:w="200" w:type="dxa"/>
            <w:vAlign w:val="bottom"/>
          </w:tcPr>
          <w:p>
            <w:pPr>
              <w:spacing w:after="0"/>
              <w:rPr>
                <w:sz w:val="21"/>
                <w:szCs w:val="21"/>
                <w:color w:val="auto"/>
              </w:rPr>
            </w:pPr>
          </w:p>
        </w:tc>
        <w:tc>
          <w:tcPr>
            <w:tcW w:w="4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b w:val="1"/>
                <w:bCs w:val="1"/>
                <w:color w:val="auto"/>
              </w:rPr>
              <w:t>Derivatives in Cash Flow Hedging Relationships</w:t>
            </w:r>
          </w:p>
        </w:tc>
        <w:tc>
          <w:tcPr>
            <w:tcW w:w="98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360" w:type="dxa"/>
            <w:vAlign w:val="bottom"/>
          </w:tcPr>
          <w:p>
            <w:pPr>
              <w:spacing w:after="0"/>
              <w:rPr>
                <w:sz w:val="21"/>
                <w:szCs w:val="21"/>
                <w:color w:val="auto"/>
              </w:rPr>
            </w:pPr>
          </w:p>
        </w:tc>
      </w:tr>
      <w:tr>
        <w:trPr>
          <w:trHeight w:val="213"/>
        </w:trPr>
        <w:tc>
          <w:tcPr>
            <w:tcW w:w="200" w:type="dxa"/>
            <w:vAlign w:val="bottom"/>
          </w:tcPr>
          <w:p>
            <w:pPr>
              <w:spacing w:after="0"/>
              <w:rPr>
                <w:sz w:val="18"/>
                <w:szCs w:val="18"/>
                <w:color w:val="auto"/>
              </w:rPr>
            </w:pPr>
          </w:p>
        </w:tc>
        <w:tc>
          <w:tcPr>
            <w:tcW w:w="42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Interest rate swaps </w:t>
            </w:r>
            <w:r>
              <w:rPr>
                <w:rFonts w:ascii="Times New Roman" w:cs="Times New Roman" w:eastAsia="Times New Roman" w:hAnsi="Times New Roman"/>
                <w:sz w:val="22"/>
                <w:szCs w:val="22"/>
                <w:color w:val="auto"/>
                <w:vertAlign w:val="superscript"/>
              </w:rPr>
              <w:t>(1)</w:t>
            </w:r>
          </w:p>
        </w:tc>
        <w:tc>
          <w:tcPr>
            <w:tcW w:w="98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(773)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7,489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8,304 $</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11,117</w:t>
            </w:r>
          </w:p>
        </w:tc>
        <w:tc>
          <w:tcPr>
            <w:tcW w:w="360" w:type="dxa"/>
            <w:vAlign w:val="bottom"/>
          </w:tcPr>
          <w:p>
            <w:pPr>
              <w:spacing w:after="0"/>
              <w:rPr>
                <w:sz w:val="18"/>
                <w:szCs w:val="18"/>
                <w:color w:val="auto"/>
              </w:rPr>
            </w:pPr>
          </w:p>
        </w:tc>
      </w:tr>
    </w:tbl>
    <w:p>
      <w:pPr>
        <w:spacing w:after="0" w:line="111" w:lineRule="exact"/>
        <w:rPr>
          <w:sz w:val="20"/>
          <w:szCs w:val="20"/>
          <w:color w:val="auto"/>
        </w:rPr>
      </w:pPr>
    </w:p>
    <w:p>
      <w:pPr>
        <w:ind w:left="480" w:right="580" w:hanging="165"/>
        <w:spacing w:after="0" w:line="231" w:lineRule="auto"/>
        <w:tabs>
          <w:tab w:leader="none" w:pos="498"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reclassifications from accumulated other comprehensive income to net income are included in interest expense in the Condensed Consolidated Statement of Operations.</w:t>
      </w:r>
    </w:p>
    <w:p>
      <w:pPr>
        <w:spacing w:after="0" w:line="87" w:lineRule="exact"/>
        <w:rPr>
          <w:sz w:val="20"/>
          <w:szCs w:val="20"/>
          <w:color w:val="auto"/>
        </w:rPr>
      </w:pPr>
    </w:p>
    <w:p>
      <w:pPr>
        <w:ind w:right="60" w:firstLine="389"/>
        <w:spacing w:after="0" w:line="292" w:lineRule="auto"/>
        <w:rPr>
          <w:sz w:val="20"/>
          <w:szCs w:val="20"/>
          <w:color w:val="auto"/>
        </w:rPr>
      </w:pPr>
      <w:r>
        <w:rPr>
          <w:rFonts w:ascii="Times New Roman" w:cs="Times New Roman" w:eastAsia="Times New Roman" w:hAnsi="Times New Roman"/>
          <w:sz w:val="17"/>
          <w:szCs w:val="17"/>
          <w:color w:val="auto"/>
        </w:rPr>
        <w:t>Over the next 12 months, the Company estimates that $2.2 million will be reclassified as a decrease to interest expense. Cash flows associated with periodic settlements of interest rate swaps will be classified as operating activities in the condensed consolidated statement of cash flows.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18" w:lineRule="exact"/>
        <w:rPr>
          <w:sz w:val="20"/>
          <w:szCs w:val="20"/>
          <w:color w:val="auto"/>
        </w:rPr>
      </w:pPr>
    </w:p>
    <w:p>
      <w:pPr>
        <w:ind w:right="280" w:firstLine="389"/>
        <w:spacing w:after="0" w:line="266" w:lineRule="auto"/>
        <w:rPr>
          <w:sz w:val="20"/>
          <w:szCs w:val="20"/>
          <w:color w:val="auto"/>
        </w:rPr>
      </w:pPr>
      <w:r>
        <w:rPr>
          <w:rFonts w:ascii="Times New Roman" w:cs="Times New Roman" w:eastAsia="Times New Roman" w:hAnsi="Times New Roman"/>
          <w:sz w:val="17"/>
          <w:szCs w:val="17"/>
          <w:color w:val="auto"/>
        </w:rPr>
        <w:t>The Company’s effective income tax rates were 24.7% and 29.8% for the three months ended December 31, 2024 and 2023, respectively, and 24.0% and 24.7% for the nine months ended December 31, 2024 and 2023, respectively. Our effective tax rates for these periods differ from the federal statutory rate of</w:t>
      </w:r>
    </w:p>
    <w:p>
      <w:pPr>
        <w:ind w:right="40"/>
        <w:spacing w:after="0" w:line="262" w:lineRule="auto"/>
        <w:rPr>
          <w:sz w:val="20"/>
          <w:szCs w:val="20"/>
          <w:color w:val="auto"/>
        </w:rPr>
      </w:pPr>
      <w:r>
        <w:rPr>
          <w:rFonts w:ascii="Times New Roman" w:cs="Times New Roman" w:eastAsia="Times New Roman" w:hAnsi="Times New Roman"/>
          <w:sz w:val="17"/>
          <w:szCs w:val="17"/>
          <w:color w:val="auto"/>
        </w:rPr>
        <w:t>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w:t>
      </w:r>
    </w:p>
    <w:p>
      <w:pPr>
        <w:spacing w:after="0" w:line="15" w:lineRule="exact"/>
        <w:rPr>
          <w:sz w:val="20"/>
          <w:szCs w:val="20"/>
          <w:color w:val="auto"/>
        </w:rPr>
      </w:pPr>
    </w:p>
    <w:p>
      <w:pPr>
        <w:ind w:firstLine="389"/>
        <w:spacing w:after="0" w:line="286" w:lineRule="auto"/>
        <w:rPr>
          <w:sz w:val="20"/>
          <w:szCs w:val="20"/>
          <w:color w:val="auto"/>
        </w:rPr>
      </w:pPr>
      <w:r>
        <w:rPr>
          <w:rFonts w:ascii="Times New Roman" w:cs="Times New Roman" w:eastAsia="Times New Roman" w:hAnsi="Times New Roman"/>
          <w:sz w:val="17"/>
          <w:szCs w:val="17"/>
          <w:color w:val="auto"/>
        </w:rPr>
        <w:t>As of December 31, 2024 and March 31, 2024 the Company recorded $131.0 million and $115.4 million, respectively, of reserves for uncertain tax positions primarily related to research and development tax credits.</w:t>
      </w:r>
    </w:p>
    <w:p>
      <w:pPr>
        <w:spacing w:after="0" w:line="1" w:lineRule="exact"/>
        <w:rPr>
          <w:sz w:val="20"/>
          <w:szCs w:val="20"/>
          <w:color w:val="auto"/>
        </w:rPr>
      </w:pPr>
    </w:p>
    <w:p>
      <w:pPr>
        <w:ind w:right="140" w:firstLine="389"/>
        <w:spacing w:after="0" w:line="278" w:lineRule="auto"/>
        <w:rPr>
          <w:sz w:val="20"/>
          <w:szCs w:val="20"/>
          <w:color w:val="auto"/>
        </w:rPr>
      </w:pPr>
      <w:r>
        <w:rPr>
          <w:rFonts w:ascii="Times New Roman" w:cs="Times New Roman" w:eastAsia="Times New Roman" w:hAnsi="Times New Roman"/>
          <w:sz w:val="17"/>
          <w:szCs w:val="17"/>
          <w:color w:val="auto"/>
        </w:rPr>
        <w:t>As of December 31, 2024 and March 31, 2024, the Company has recorded both a current income tax receivable (classified as prepaid expenses and other current assets) and a current income tax payable (classified as other current liabilities) on its condensed consolidated balance sheet. These amounts are reflective</w:t>
      </w:r>
    </w:p>
    <w:p>
      <w:pPr>
        <w:spacing w:after="0" w:line="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7"/>
          <w:szCs w:val="17"/>
          <w:color w:val="auto"/>
        </w:rPr>
        <w:t>of fiscal 2025 and 2024 tax accruals in each U.S. Federal, state, and foreign jurisdiction, as adjusted for estimated payments made to date. In addition, as of December 31, 2024 and March 31, 2024, the Company has recorded a long-term income tax receivable of $152.5 million, which represents the amended U.S. federal return refund claims for research and development tax credits and the carryback claim for the fiscal 2021 net operating loss which is classified as other long-term assets on the condensed consolidated balance sheet. The Company is currently under federal audit by the IRS for fiscal years 2016, 2017, and 2019-2021 and the receipt of our U.S federal return refund claims is contingent upon the completion of the ongoing IRS audits.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Employee Benefit Plans</w:t>
      </w:r>
    </w:p>
    <w:p>
      <w:pPr>
        <w:spacing w:after="0" w:line="118" w:lineRule="exact"/>
        <w:rPr>
          <w:sz w:val="20"/>
          <w:szCs w:val="20"/>
          <w:color w:val="auto"/>
        </w:rPr>
      </w:pPr>
    </w:p>
    <w:p>
      <w:pPr>
        <w:ind w:right="40" w:firstLine="389"/>
        <w:spacing w:after="0" w:line="264" w:lineRule="auto"/>
        <w:rPr>
          <w:sz w:val="20"/>
          <w:szCs w:val="20"/>
          <w:color w:val="auto"/>
        </w:rPr>
      </w:pPr>
      <w:r>
        <w:rPr>
          <w:rFonts w:ascii="Times New Roman" w:cs="Times New Roman" w:eastAsia="Times New Roman" w:hAnsi="Times New Roman"/>
          <w:sz w:val="17"/>
          <w:szCs w:val="17"/>
          <w:color w:val="auto"/>
        </w:rPr>
        <w:t>The Company sponsors the Employees’ Capital Accumulation Plan (the “ECAP”) which is a qualified defined contribution plan that covers eligible U.S. and certain international employees. The ECAP provides for distributions to participants by reason of retirement, death, disability, or termination of employment. The Company provides an annual matching contribution of up to 6% of eligible annual compensation. Total expense recognized for matching contributions under the ECAP were $62.1 million and $55.5 million for the three months ended December 31, 2024 and 2023, respectively, and $185.0 million and $163.7 million for the nine months ended December 31, 2024 and 2023, respectively.</w:t>
      </w:r>
    </w:p>
    <w:p>
      <w:pPr>
        <w:spacing w:after="0" w:line="66" w:lineRule="exact"/>
        <w:rPr>
          <w:sz w:val="20"/>
          <w:szCs w:val="20"/>
          <w:color w:val="auto"/>
        </w:rPr>
      </w:pPr>
    </w:p>
    <w:p>
      <w:pPr>
        <w:ind w:right="320" w:firstLine="389"/>
        <w:spacing w:after="0" w:line="267" w:lineRule="auto"/>
        <w:rPr>
          <w:sz w:val="20"/>
          <w:szCs w:val="20"/>
          <w:color w:val="auto"/>
        </w:rPr>
      </w:pPr>
      <w:r>
        <w:rPr>
          <w:rFonts w:ascii="Times New Roman" w:cs="Times New Roman" w:eastAsia="Times New Roman" w:hAnsi="Times New Roman"/>
          <w:sz w:val="17"/>
          <w:szCs w:val="17"/>
          <w:color w:val="auto"/>
        </w:rPr>
        <w:t>The Company also provides post-retirement healthcare benefits to former officers under a medical indemnity insurance plan, with premiums paid by the Company. As of December 31, 2024 and March 31, 2024, the unfunded status of the post-retirement medical plan was $131.0 million and $127.0 million, respectively, which is included in other long-term liabilities in the accompanying condensed consolidated balance sheets. Balance sheet and income statement impacts of any remaining benefit plans are immaterial for all periods presented in these condensed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Accumulated Other Comprehensive Income / (Loss)</w:t>
      </w:r>
    </w:p>
    <w:p>
      <w:pPr>
        <w:spacing w:after="0" w:line="118" w:lineRule="exact"/>
        <w:rPr>
          <w:sz w:val="20"/>
          <w:szCs w:val="20"/>
          <w:color w:val="auto"/>
        </w:rPr>
      </w:pPr>
    </w:p>
    <w:p>
      <w:pPr>
        <w:ind w:right="320" w:firstLine="389"/>
        <w:spacing w:after="0" w:line="277" w:lineRule="auto"/>
        <w:rPr>
          <w:sz w:val="20"/>
          <w:szCs w:val="20"/>
          <w:color w:val="auto"/>
        </w:rPr>
      </w:pPr>
      <w:r>
        <w:rPr>
          <w:rFonts w:ascii="Times New Roman" w:cs="Times New Roman" w:eastAsia="Times New Roman" w:hAnsi="Times New Roman"/>
          <w:sz w:val="17"/>
          <w:szCs w:val="17"/>
          <w:color w:val="auto"/>
        </w:rPr>
        <w:t>All amounts recorded in other comprehensive income are related to the Company's post-retirement plans and interest rate swaps designated as cash flow hedges. The following table shows the changes in accumulated other comprehensive income, net of tax:</w:t>
      </w:r>
    </w:p>
    <w:tbl>
      <w:tblPr>
        <w:tblLayout w:type="fixed"/>
        <w:tblInd w:w="0" w:type="dxa"/>
        <w:tblCellMar>
          <w:top w:w="0" w:type="dxa"/>
          <w:left w:w="0" w:type="dxa"/>
          <w:bottom w:w="0" w:type="dxa"/>
          <w:right w:w="0" w:type="dxa"/>
        </w:tblCellMar>
      </w:tblPr>
      <w:tr>
        <w:trPr>
          <w:trHeight w:val="177"/>
        </w:trPr>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4"/>
          </w:tcPr>
          <w:p>
            <w:pPr>
              <w:jc w:val="right"/>
              <w:ind w:right="34"/>
              <w:spacing w:after="0" w:line="176"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4"/>
          </w:tcPr>
          <w:p>
            <w:pPr>
              <w:jc w:val="right"/>
              <w:ind w:right="74"/>
              <w:spacing w:after="0" w:line="176" w:lineRule="exact"/>
              <w:rPr>
                <w:sz w:val="20"/>
                <w:szCs w:val="20"/>
                <w:color w:val="auto"/>
              </w:rPr>
            </w:pPr>
            <w:r>
              <w:rPr>
                <w:rFonts w:ascii="Times New Roman" w:cs="Times New Roman" w:eastAsia="Times New Roman" w:hAnsi="Times New Roman"/>
                <w:sz w:val="17"/>
                <w:szCs w:val="17"/>
                <w:b w:val="1"/>
                <w:bCs w:val="1"/>
                <w:color w:val="auto"/>
              </w:rPr>
              <w:t>Nine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Post-</w:t>
            </w:r>
          </w:p>
        </w:tc>
        <w:tc>
          <w:tcPr>
            <w:tcW w:w="140" w:type="dxa"/>
            <w:vAlign w:val="bottom"/>
          </w:tcPr>
          <w:p>
            <w:pPr>
              <w:spacing w:after="0"/>
              <w:rPr>
                <w:sz w:val="14"/>
                <w:szCs w:val="14"/>
                <w:color w:val="auto"/>
              </w:rPr>
            </w:pPr>
          </w:p>
        </w:tc>
        <w:tc>
          <w:tcPr>
            <w:tcW w:w="114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Derivatives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7"/>
              </w:rPr>
              <w:t>Post-</w:t>
            </w:r>
          </w:p>
        </w:tc>
        <w:tc>
          <w:tcPr>
            <w:tcW w:w="140" w:type="dxa"/>
            <w:vAlign w:val="bottom"/>
          </w:tcPr>
          <w:p>
            <w:pPr>
              <w:spacing w:after="0"/>
              <w:rPr>
                <w:sz w:val="14"/>
                <w:szCs w:val="14"/>
                <w:color w:val="auto"/>
              </w:rPr>
            </w:pPr>
          </w:p>
        </w:tc>
        <w:tc>
          <w:tcPr>
            <w:tcW w:w="1140" w:type="dxa"/>
            <w:vAlign w:val="bottom"/>
          </w:tcPr>
          <w:p>
            <w:pPr>
              <w:jc w:val="center"/>
              <w:ind w:right="14"/>
              <w:spacing w:after="0" w:line="164" w:lineRule="exact"/>
              <w:rPr>
                <w:sz w:val="20"/>
                <w:szCs w:val="20"/>
                <w:color w:val="auto"/>
              </w:rPr>
            </w:pPr>
            <w:r>
              <w:rPr>
                <w:rFonts w:ascii="Times New Roman" w:cs="Times New Roman" w:eastAsia="Times New Roman" w:hAnsi="Times New Roman"/>
                <w:sz w:val="17"/>
                <w:szCs w:val="17"/>
                <w:b w:val="1"/>
                <w:bCs w:val="1"/>
                <w:color w:val="auto"/>
              </w:rPr>
              <w:t>Derivatives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designated as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b w:val="1"/>
                <w:bCs w:val="1"/>
                <w:color w:val="auto"/>
              </w:rPr>
              <w:t>retirement</w:t>
            </w:r>
          </w:p>
        </w:tc>
        <w:tc>
          <w:tcPr>
            <w:tcW w:w="140" w:type="dxa"/>
            <w:vAlign w:val="bottom"/>
          </w:tcPr>
          <w:p>
            <w:pPr>
              <w:spacing w:after="0"/>
              <w:rPr>
                <w:sz w:val="15"/>
                <w:szCs w:val="15"/>
                <w:color w:val="auto"/>
              </w:rPr>
            </w:pPr>
          </w:p>
        </w:tc>
        <w:tc>
          <w:tcPr>
            <w:tcW w:w="1140" w:type="dxa"/>
            <w:vAlign w:val="bottom"/>
          </w:tcPr>
          <w:p>
            <w:pPr>
              <w:jc w:val="right"/>
              <w:ind w:right="54"/>
              <w:spacing w:after="0" w:line="181" w:lineRule="exact"/>
              <w:rPr>
                <w:sz w:val="20"/>
                <w:szCs w:val="20"/>
                <w:color w:val="auto"/>
              </w:rPr>
            </w:pPr>
            <w:r>
              <w:rPr>
                <w:rFonts w:ascii="Times New Roman" w:cs="Times New Roman" w:eastAsia="Times New Roman" w:hAnsi="Times New Roman"/>
                <w:sz w:val="17"/>
                <w:szCs w:val="17"/>
                <w:b w:val="1"/>
                <w:bCs w:val="1"/>
                <w:color w:val="auto"/>
              </w:rPr>
              <w:t>designated as</w:t>
            </w:r>
          </w:p>
        </w:tc>
        <w:tc>
          <w:tcPr>
            <w:tcW w:w="220" w:type="dxa"/>
            <w:vAlign w:val="bottom"/>
          </w:tcPr>
          <w:p>
            <w:pPr>
              <w:spacing w:after="0"/>
              <w:rPr>
                <w:sz w:val="15"/>
                <w:szCs w:val="15"/>
                <w:color w:val="auto"/>
              </w:rPr>
            </w:pPr>
          </w:p>
        </w:tc>
        <w:tc>
          <w:tcPr>
            <w:tcW w:w="88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160" w:type="dxa"/>
            <w:vAlign w:val="bottom"/>
          </w:tcPr>
          <w:p>
            <w:pPr>
              <w:spacing w:after="0"/>
              <w:rPr>
                <w:sz w:val="15"/>
                <w:szCs w:val="15"/>
                <w:color w:val="auto"/>
              </w:rPr>
            </w:pPr>
          </w:p>
        </w:tc>
        <w:tc>
          <w:tcPr>
            <w:tcW w:w="1000" w:type="dxa"/>
            <w:vAlign w:val="bottom"/>
          </w:tcPr>
          <w:p>
            <w:pPr>
              <w:jc w:val="center"/>
              <w:ind w:right="14"/>
              <w:spacing w:after="0" w:line="181" w:lineRule="exact"/>
              <w:rPr>
                <w:sz w:val="20"/>
                <w:szCs w:val="20"/>
                <w:color w:val="auto"/>
              </w:rPr>
            </w:pPr>
            <w:r>
              <w:rPr>
                <w:rFonts w:ascii="Times New Roman" w:cs="Times New Roman" w:eastAsia="Times New Roman" w:hAnsi="Times New Roman"/>
                <w:sz w:val="17"/>
                <w:szCs w:val="17"/>
                <w:b w:val="1"/>
                <w:bCs w:val="1"/>
                <w:color w:val="auto"/>
              </w:rPr>
              <w:t>retirement</w:t>
            </w:r>
          </w:p>
        </w:tc>
        <w:tc>
          <w:tcPr>
            <w:tcW w:w="140" w:type="dxa"/>
            <w:vAlign w:val="bottom"/>
          </w:tcPr>
          <w:p>
            <w:pPr>
              <w:spacing w:after="0"/>
              <w:rPr>
                <w:sz w:val="15"/>
                <w:szCs w:val="15"/>
                <w:color w:val="auto"/>
              </w:rPr>
            </w:pPr>
          </w:p>
        </w:tc>
        <w:tc>
          <w:tcPr>
            <w:tcW w:w="1140" w:type="dxa"/>
            <w:vAlign w:val="bottom"/>
          </w:tcPr>
          <w:p>
            <w:pPr>
              <w:jc w:val="center"/>
              <w:ind w:right="14"/>
              <w:spacing w:after="0" w:line="181" w:lineRule="exact"/>
              <w:rPr>
                <w:sz w:val="20"/>
                <w:szCs w:val="20"/>
                <w:color w:val="auto"/>
              </w:rPr>
            </w:pPr>
            <w:r>
              <w:rPr>
                <w:rFonts w:ascii="Times New Roman" w:cs="Times New Roman" w:eastAsia="Times New Roman" w:hAnsi="Times New Roman"/>
                <w:sz w:val="17"/>
                <w:szCs w:val="17"/>
                <w:b w:val="1"/>
                <w:bCs w:val="1"/>
                <w:color w:val="auto"/>
              </w:rPr>
              <w:t>cash flow</w:t>
            </w:r>
          </w:p>
        </w:tc>
        <w:tc>
          <w:tcPr>
            <w:tcW w:w="220" w:type="dxa"/>
            <w:vAlign w:val="bottom"/>
          </w:tcPr>
          <w:p>
            <w:pPr>
              <w:spacing w:after="0"/>
              <w:rPr>
                <w:sz w:val="15"/>
                <w:szCs w:val="15"/>
                <w:color w:val="auto"/>
              </w:rPr>
            </w:pPr>
          </w:p>
        </w:tc>
        <w:tc>
          <w:tcPr>
            <w:tcW w:w="90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7"/>
              </w:rPr>
              <w:t>plans</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cash flow hedges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plans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hedges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7,556</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9,532</w:t>
            </w:r>
          </w:p>
        </w:tc>
        <w:tc>
          <w:tcPr>
            <w:tcW w:w="0" w:type="dxa"/>
            <w:vAlign w:val="bottom"/>
          </w:tcPr>
          <w:p>
            <w:pPr>
              <w:spacing w:after="0"/>
              <w:rPr>
                <w:sz w:val="1"/>
                <w:szCs w:val="1"/>
                <w:color w:val="auto"/>
              </w:rPr>
            </w:pPr>
          </w:p>
        </w:tc>
      </w:tr>
      <w:tr>
        <w:trPr>
          <w:trHeight w:val="169"/>
        </w:trPr>
        <w:tc>
          <w:tcPr>
            <w:tcW w:w="4140" w:type="dxa"/>
            <w:vAlign w:val="bottom"/>
          </w:tcPr>
          <w:p>
            <w:pPr>
              <w:ind w:left="140"/>
              <w:spacing w:after="0" w:line="168" w:lineRule="exact"/>
              <w:rPr>
                <w:sz w:val="20"/>
                <w:szCs w:val="20"/>
                <w:color w:val="auto"/>
              </w:rPr>
            </w:pPr>
            <w:r>
              <w:rPr>
                <w:rFonts w:ascii="Times New Roman" w:cs="Times New Roman" w:eastAsia="Times New Roman" w:hAnsi="Times New Roman"/>
                <w:sz w:val="17"/>
                <w:szCs w:val="17"/>
                <w:color w:val="auto"/>
              </w:rPr>
              <w:t>Other comprehensive income (loss) before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140" w:type="dxa"/>
            <w:vAlign w:val="bottom"/>
          </w:tcPr>
          <w:p>
            <w:pPr>
              <w:ind w:left="140"/>
              <w:spacing w:after="0" w:line="233" w:lineRule="exact"/>
              <w:rPr>
                <w:sz w:val="20"/>
                <w:szCs w:val="20"/>
                <w:color w:val="auto"/>
              </w:rPr>
            </w:pPr>
            <w:r>
              <w:rPr>
                <w:rFonts w:ascii="Times New Roman" w:cs="Times New Roman" w:eastAsia="Times New Roman" w:hAnsi="Times New Roman"/>
                <w:sz w:val="17"/>
                <w:szCs w:val="17"/>
                <w:color w:val="auto"/>
              </w:rPr>
              <w:t>reclassifications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4,667</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4,667</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0" w:type="dxa"/>
            <w:vAlign w:val="bottom"/>
          </w:tcPr>
          <w:p>
            <w:pPr>
              <w:spacing w:after="0"/>
              <w:rPr>
                <w:sz w:val="1"/>
                <w:szCs w:val="1"/>
                <w:color w:val="auto"/>
              </w:rPr>
            </w:pPr>
          </w:p>
        </w:tc>
      </w:tr>
      <w:tr>
        <w:trPr>
          <w:trHeight w:val="169"/>
        </w:trPr>
        <w:tc>
          <w:tcPr>
            <w:tcW w:w="414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14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7"/>
                <w:szCs w:val="17"/>
                <w:color w:val="auto"/>
              </w:rPr>
              <w:t xml:space="preserve">comprehensive income (loss) </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(6,158)</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(5,824)</w:t>
            </w:r>
          </w:p>
        </w:tc>
        <w:tc>
          <w:tcPr>
            <w:tcW w:w="0" w:type="dxa"/>
            <w:vAlign w:val="bottom"/>
          </w:tcPr>
          <w:p>
            <w:pPr>
              <w:spacing w:after="0"/>
              <w:rPr>
                <w:sz w:val="1"/>
                <w:szCs w:val="1"/>
                <w:color w:val="auto"/>
              </w:rPr>
            </w:pPr>
          </w:p>
        </w:tc>
      </w:tr>
      <w:tr>
        <w:trPr>
          <w:trHeight w:val="213"/>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(6,731)</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(6,397)</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480" w:right="280" w:hanging="165"/>
        <w:spacing w:after="0" w:line="238" w:lineRule="auto"/>
        <w:tabs>
          <w:tab w:leader="none" w:pos="49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Changes in other comprehensive income (loss) before reclassification for derivatives designated as cash flow hedges are recorded net of tax (expense) benefit of $(1.6) million and $0.2 million for the three and nine months ended December 31, 2024, respectively. The tax impact of other comprehensive income before reclassification for post-retirement plans for the three and nine months ended December 31, 2024 was immaterial.</w:t>
      </w:r>
    </w:p>
    <w:p>
      <w:pPr>
        <w:spacing w:after="0" w:line="35" w:lineRule="exact"/>
        <w:rPr>
          <w:rFonts w:ascii="Times New Roman" w:cs="Times New Roman" w:eastAsia="Times New Roman" w:hAnsi="Times New Roman"/>
          <w:sz w:val="22"/>
          <w:szCs w:val="22"/>
          <w:color w:val="auto"/>
          <w:vertAlign w:val="superscript"/>
        </w:rPr>
      </w:pPr>
    </w:p>
    <w:p>
      <w:pPr>
        <w:ind w:left="480" w:right="40" w:hanging="165"/>
        <w:spacing w:after="0" w:line="244" w:lineRule="auto"/>
        <w:tabs>
          <w:tab w:leader="none" w:pos="483"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The reclassifications from accumulated other comprehensive income to net income for derivatives designated as cash flow hedges are recorded net of tax expense of $(0.5) million and $(2.1) million for the three and nine months ended December 31, 2024, respectively. The tax impact of reclassifications from accumulated other comprehensive loss to net income for post-retirement plans for the three and nine months ended December 31, 2024 was immaterial.</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4"/>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4"/>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7"/>
              </w:rPr>
              <w:t>Post-</w:t>
            </w:r>
          </w:p>
        </w:tc>
        <w:tc>
          <w:tcPr>
            <w:tcW w:w="140" w:type="dxa"/>
            <w:vAlign w:val="bottom"/>
          </w:tcPr>
          <w:p>
            <w:pPr>
              <w:spacing w:after="0"/>
              <w:rPr>
                <w:sz w:val="14"/>
                <w:szCs w:val="14"/>
                <w:color w:val="auto"/>
              </w:rPr>
            </w:pPr>
          </w:p>
        </w:tc>
        <w:tc>
          <w:tcPr>
            <w:tcW w:w="116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Derivatives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Post-</w:t>
            </w:r>
          </w:p>
        </w:tc>
        <w:tc>
          <w:tcPr>
            <w:tcW w:w="120" w:type="dxa"/>
            <w:vAlign w:val="bottom"/>
          </w:tcPr>
          <w:p>
            <w:pPr>
              <w:spacing w:after="0"/>
              <w:rPr>
                <w:sz w:val="14"/>
                <w:szCs w:val="14"/>
                <w:color w:val="auto"/>
              </w:rPr>
            </w:pPr>
          </w:p>
        </w:tc>
        <w:tc>
          <w:tcPr>
            <w:tcW w:w="1100" w:type="dxa"/>
            <w:vAlign w:val="bottom"/>
          </w:tcPr>
          <w:p>
            <w:pPr>
              <w:jc w:val="center"/>
              <w:ind w:right="34"/>
              <w:spacing w:after="0" w:line="164" w:lineRule="exact"/>
              <w:rPr>
                <w:sz w:val="20"/>
                <w:szCs w:val="20"/>
                <w:color w:val="auto"/>
              </w:rPr>
            </w:pPr>
            <w:r>
              <w:rPr>
                <w:rFonts w:ascii="Times New Roman" w:cs="Times New Roman" w:eastAsia="Times New Roman" w:hAnsi="Times New Roman"/>
                <w:sz w:val="17"/>
                <w:szCs w:val="17"/>
                <w:b w:val="1"/>
                <w:bCs w:val="1"/>
                <w:color w:val="auto"/>
                <w:w w:val="99"/>
              </w:rPr>
              <w:t>Derivatives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designated as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4"/>
              <w:spacing w:after="0" w:line="168" w:lineRule="exact"/>
              <w:rPr>
                <w:sz w:val="20"/>
                <w:szCs w:val="20"/>
                <w:color w:val="auto"/>
              </w:rPr>
            </w:pPr>
            <w:r>
              <w:rPr>
                <w:rFonts w:ascii="Times New Roman" w:cs="Times New Roman" w:eastAsia="Times New Roman" w:hAnsi="Times New Roman"/>
                <w:sz w:val="17"/>
                <w:szCs w:val="17"/>
                <w:b w:val="1"/>
                <w:bCs w:val="1"/>
                <w:color w:val="auto"/>
              </w:rPr>
              <w:t>retirement</w:t>
            </w:r>
          </w:p>
        </w:tc>
        <w:tc>
          <w:tcPr>
            <w:tcW w:w="140" w:type="dxa"/>
            <w:vAlign w:val="bottom"/>
          </w:tcPr>
          <w:p>
            <w:pPr>
              <w:spacing w:after="0"/>
              <w:rPr>
                <w:sz w:val="14"/>
                <w:szCs w:val="14"/>
                <w:color w:val="auto"/>
              </w:rPr>
            </w:pPr>
          </w:p>
        </w:tc>
        <w:tc>
          <w:tcPr>
            <w:tcW w:w="1160" w:type="dxa"/>
            <w:vAlign w:val="bottom"/>
          </w:tcPr>
          <w:p>
            <w:pPr>
              <w:jc w:val="right"/>
              <w:ind w:right="74"/>
              <w:spacing w:after="0" w:line="168" w:lineRule="exact"/>
              <w:rPr>
                <w:sz w:val="20"/>
                <w:szCs w:val="20"/>
                <w:color w:val="auto"/>
              </w:rPr>
            </w:pPr>
            <w:r>
              <w:rPr>
                <w:rFonts w:ascii="Times New Roman" w:cs="Times New Roman" w:eastAsia="Times New Roman" w:hAnsi="Times New Roman"/>
                <w:sz w:val="17"/>
                <w:szCs w:val="17"/>
                <w:b w:val="1"/>
                <w:bCs w:val="1"/>
                <w:color w:val="auto"/>
              </w:rPr>
              <w:t>designated as</w:t>
            </w:r>
          </w:p>
        </w:tc>
        <w:tc>
          <w:tcPr>
            <w:tcW w:w="200" w:type="dxa"/>
            <w:vAlign w:val="bottom"/>
          </w:tcPr>
          <w:p>
            <w:pPr>
              <w:spacing w:after="0"/>
              <w:rPr>
                <w:sz w:val="14"/>
                <w:szCs w:val="14"/>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140" w:type="dxa"/>
            <w:vAlign w:val="bottom"/>
          </w:tcPr>
          <w:p>
            <w:pPr>
              <w:spacing w:after="0"/>
              <w:rPr>
                <w:sz w:val="14"/>
                <w:szCs w:val="14"/>
                <w:color w:val="auto"/>
              </w:rPr>
            </w:pPr>
          </w:p>
        </w:tc>
        <w:tc>
          <w:tcPr>
            <w:tcW w:w="1000" w:type="dxa"/>
            <w:vAlign w:val="bottom"/>
          </w:tcPr>
          <w:p>
            <w:pPr>
              <w:jc w:val="center"/>
              <w:ind w:right="54"/>
              <w:spacing w:after="0" w:line="168" w:lineRule="exact"/>
              <w:rPr>
                <w:sz w:val="20"/>
                <w:szCs w:val="20"/>
                <w:color w:val="auto"/>
              </w:rPr>
            </w:pPr>
            <w:r>
              <w:rPr>
                <w:rFonts w:ascii="Times New Roman" w:cs="Times New Roman" w:eastAsia="Times New Roman" w:hAnsi="Times New Roman"/>
                <w:sz w:val="17"/>
                <w:szCs w:val="17"/>
                <w:b w:val="1"/>
                <w:bCs w:val="1"/>
                <w:color w:val="auto"/>
              </w:rPr>
              <w:t>retirement</w:t>
            </w:r>
          </w:p>
        </w:tc>
        <w:tc>
          <w:tcPr>
            <w:tcW w:w="120" w:type="dxa"/>
            <w:vAlign w:val="bottom"/>
          </w:tcPr>
          <w:p>
            <w:pPr>
              <w:spacing w:after="0"/>
              <w:rPr>
                <w:sz w:val="14"/>
                <w:szCs w:val="14"/>
                <w:color w:val="auto"/>
              </w:rPr>
            </w:pPr>
          </w:p>
        </w:tc>
        <w:tc>
          <w:tcPr>
            <w:tcW w:w="110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cash flow</w:t>
            </w:r>
          </w:p>
        </w:tc>
        <w:tc>
          <w:tcPr>
            <w:tcW w:w="220" w:type="dxa"/>
            <w:vAlign w:val="bottom"/>
          </w:tcPr>
          <w:p>
            <w:pPr>
              <w:spacing w:after="0"/>
              <w:rPr>
                <w:sz w:val="14"/>
                <w:szCs w:val="14"/>
                <w:color w:val="auto"/>
              </w:rPr>
            </w:pPr>
          </w:p>
        </w:tc>
        <w:tc>
          <w:tcPr>
            <w:tcW w:w="86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0" w:type="dxa"/>
            <w:vAlign w:val="bottom"/>
          </w:tcPr>
          <w:p>
            <w:pPr>
              <w:spacing w:after="0"/>
              <w:rPr>
                <w:sz w:val="1"/>
                <w:szCs w:val="1"/>
                <w:color w:val="auto"/>
              </w:rPr>
            </w:pPr>
          </w:p>
        </w:tc>
      </w:tr>
      <w:tr>
        <w:trPr>
          <w:trHeight w:val="233"/>
        </w:trPr>
        <w:tc>
          <w:tcPr>
            <w:tcW w:w="4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plans</w:t>
            </w: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cash flow hedges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7"/>
              </w:rPr>
              <w:t>plans</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hedges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18,684</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13,208</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31,892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w w:val="99"/>
              </w:rPr>
              <w:t>9,883</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29,333</w:t>
            </w:r>
          </w:p>
        </w:tc>
        <w:tc>
          <w:tcPr>
            <w:tcW w:w="0" w:type="dxa"/>
            <w:vAlign w:val="bottom"/>
          </w:tcPr>
          <w:p>
            <w:pPr>
              <w:spacing w:after="0"/>
              <w:rPr>
                <w:sz w:val="1"/>
                <w:szCs w:val="1"/>
                <w:color w:val="auto"/>
              </w:rPr>
            </w:pPr>
          </w:p>
        </w:tc>
      </w:tr>
      <w:tr>
        <w:trPr>
          <w:trHeight w:val="169"/>
        </w:trPr>
        <w:tc>
          <w:tcPr>
            <w:tcW w:w="4300" w:type="dxa"/>
            <w:vAlign w:val="bottom"/>
          </w:tcPr>
          <w:p>
            <w:pPr>
              <w:ind w:left="140"/>
              <w:spacing w:after="0" w:line="168" w:lineRule="exact"/>
              <w:rPr>
                <w:sz w:val="20"/>
                <w:szCs w:val="20"/>
                <w:color w:val="auto"/>
              </w:rPr>
            </w:pPr>
            <w:r>
              <w:rPr>
                <w:rFonts w:ascii="Times New Roman" w:cs="Times New Roman" w:eastAsia="Times New Roman" w:hAnsi="Times New Roman"/>
                <w:sz w:val="17"/>
                <w:szCs w:val="17"/>
                <w:color w:val="auto"/>
              </w:rPr>
              <w:t>Other comprehensive (loss) income before</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300" w:type="dxa"/>
            <w:vAlign w:val="bottom"/>
          </w:tcPr>
          <w:p>
            <w:pPr>
              <w:ind w:left="140"/>
              <w:spacing w:after="0" w:line="233" w:lineRule="exact"/>
              <w:rPr>
                <w:sz w:val="20"/>
                <w:szCs w:val="20"/>
                <w:color w:val="auto"/>
              </w:rPr>
            </w:pPr>
            <w:r>
              <w:rPr>
                <w:rFonts w:ascii="Times New Roman" w:cs="Times New Roman" w:eastAsia="Times New Roman" w:hAnsi="Times New Roman"/>
                <w:sz w:val="17"/>
                <w:szCs w:val="17"/>
                <w:color w:val="auto"/>
              </w:rPr>
              <w:t>reclassifications</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(3,165)</w:t>
            </w:r>
          </w:p>
        </w:tc>
        <w:tc>
          <w:tcPr>
            <w:tcW w:w="200" w:type="dxa"/>
            <w:vAlign w:val="bottom"/>
          </w:tcPr>
          <w:p>
            <w:pPr>
              <w:spacing w:after="0"/>
              <w:rPr>
                <w:sz w:val="20"/>
                <w:szCs w:val="20"/>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(3,165)</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00" w:type="dxa"/>
            <w:vAlign w:val="bottom"/>
          </w:tcPr>
          <w:p>
            <w:pPr>
              <w:jc w:val="center"/>
              <w:ind w:left="514"/>
              <w:spacing w:after="0"/>
              <w:rPr>
                <w:sz w:val="20"/>
                <w:szCs w:val="20"/>
                <w:color w:val="auto"/>
              </w:rPr>
            </w:pPr>
            <w:r>
              <w:rPr>
                <w:rFonts w:ascii="Times New Roman" w:cs="Times New Roman" w:eastAsia="Times New Roman" w:hAnsi="Times New Roman"/>
                <w:sz w:val="17"/>
                <w:szCs w:val="17"/>
                <w:color w:val="auto"/>
                <w:w w:val="99"/>
              </w:rPr>
              <w:t>5,535</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5,535</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30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7"/>
                <w:szCs w:val="17"/>
                <w:color w:val="auto"/>
              </w:rPr>
              <w:t>comprehensive income</w:t>
            </w:r>
            <w:r>
              <w:rPr>
                <w:rFonts w:ascii="Times New Roman" w:cs="Times New Roman" w:eastAsia="Times New Roman" w:hAnsi="Times New Roman"/>
                <w:sz w:val="22"/>
                <w:szCs w:val="22"/>
                <w:color w:val="auto"/>
                <w:vertAlign w:val="superscript"/>
              </w:rPr>
              <w:t>(4)</w:t>
            </w: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(2,841)</w:t>
            </w: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(3,224)</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left="474"/>
              <w:spacing w:after="0"/>
              <w:rPr>
                <w:sz w:val="20"/>
                <w:szCs w:val="20"/>
                <w:color w:val="auto"/>
              </w:rPr>
            </w:pPr>
            <w:r>
              <w:rPr>
                <w:rFonts w:ascii="Times New Roman" w:cs="Times New Roman" w:eastAsia="Times New Roman" w:hAnsi="Times New Roman"/>
                <w:sz w:val="17"/>
                <w:szCs w:val="17"/>
                <w:color w:val="auto"/>
              </w:rPr>
              <w:t>(8,216)</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(9,365)</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current-period other comprehensive loss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(6,006)</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(6,389)</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474"/>
              <w:spacing w:after="0"/>
              <w:rPr>
                <w:sz w:val="20"/>
                <w:szCs w:val="20"/>
                <w:color w:val="auto"/>
              </w:rPr>
            </w:pPr>
            <w:r>
              <w:rPr>
                <w:rFonts w:ascii="Times New Roman" w:cs="Times New Roman" w:eastAsia="Times New Roman" w:hAnsi="Times New Roman"/>
                <w:sz w:val="17"/>
                <w:szCs w:val="17"/>
                <w:color w:val="auto"/>
              </w:rPr>
              <w:t>(2,681)</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(3,830)</w:t>
            </w:r>
          </w:p>
        </w:tc>
        <w:tc>
          <w:tcPr>
            <w:tcW w:w="0" w:type="dxa"/>
            <w:vAlign w:val="bottom"/>
          </w:tcPr>
          <w:p>
            <w:pPr>
              <w:spacing w:after="0"/>
              <w:rPr>
                <w:sz w:val="1"/>
                <w:szCs w:val="1"/>
                <w:color w:val="auto"/>
              </w:rPr>
            </w:pPr>
          </w:p>
        </w:tc>
      </w:tr>
      <w:tr>
        <w:trPr>
          <w:trHeight w:val="23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18,301</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7,202</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25,503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w w:val="99"/>
              </w:rPr>
              <w:t>7,202</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gridSpan w:val="2"/>
          </w:tcPr>
          <w:p>
            <w:pPr>
              <w:jc w:val="right"/>
              <w:ind w:right="954"/>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47" w:lineRule="exact"/>
        <w:rPr>
          <w:sz w:val="20"/>
          <w:szCs w:val="20"/>
          <w:color w:val="auto"/>
        </w:rPr>
      </w:pPr>
    </w:p>
    <w:p>
      <w:pPr>
        <w:ind w:left="620" w:right="140" w:hanging="150"/>
        <w:spacing w:after="0" w:line="284" w:lineRule="auto"/>
        <w:tabs>
          <w:tab w:leader="none" w:pos="623" w:val="left"/>
        </w:tabs>
        <w:numPr>
          <w:ilvl w:val="1"/>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Changes in other comprehensive income before reclassification for derivatives designated as cash flow hedges are recorded net of tax benefit (expense) of $1.1 million and $(2.0) million for the three and nine months ended December 31, 2023, respectively.</w:t>
      </w:r>
    </w:p>
    <w:p>
      <w:pPr>
        <w:spacing w:after="0" w:line="4" w:lineRule="exact"/>
        <w:rPr>
          <w:rFonts w:ascii="Times New Roman" w:cs="Times New Roman" w:eastAsia="Times New Roman" w:hAnsi="Times New Roman"/>
          <w:sz w:val="19"/>
          <w:szCs w:val="19"/>
          <w:color w:val="auto"/>
          <w:vertAlign w:val="superscript"/>
        </w:rPr>
      </w:pPr>
    </w:p>
    <w:p>
      <w:pPr>
        <w:ind w:left="620" w:right="20" w:hanging="150"/>
        <w:spacing w:after="0" w:line="396" w:lineRule="auto"/>
        <w:tabs>
          <w:tab w:leader="none" w:pos="623" w:val="left"/>
        </w:tabs>
        <w:numPr>
          <w:ilvl w:val="1"/>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reclassifications from accumulated other comprehensive income to net income for derivatives designated as cash flow hedges are recorded net of tax expense of $(1.0) million and $(2.9) million for the three and nine months ended December 31, 2023, respectively. The tax impact of reclassifications from accumulated other comprehensive income to net income for post-retirement plans for the three and nine months ended December 31, 2023 was immaterial.</w:t>
      </w:r>
    </w:p>
    <w:p>
      <w:pPr>
        <w:spacing w:after="0" w:line="1" w:lineRule="exact"/>
        <w:rPr>
          <w:rFonts w:ascii="Times New Roman" w:cs="Times New Roman" w:eastAsia="Times New Roman" w:hAnsi="Times New Roman"/>
          <w:sz w:val="19"/>
          <w:szCs w:val="19"/>
          <w:color w:val="auto"/>
          <w:vertAlign w:val="superscript"/>
        </w:rPr>
      </w:pPr>
    </w:p>
    <w:p>
      <w:pPr>
        <w:ind w:left="260" w:hanging="256"/>
        <w:spacing w:after="0"/>
        <w:tabs>
          <w:tab w:leader="none" w:pos="26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stock-based compensation expense recognized in the condensed consolidated statements of operations:</w:t>
      </w:r>
    </w:p>
    <w:p>
      <w:pPr>
        <w:spacing w:after="0" w:line="29"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1"/>
        </w:trPr>
        <w:tc>
          <w:tcPr>
            <w:tcW w:w="4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16"/>
        </w:trPr>
        <w:tc>
          <w:tcPr>
            <w:tcW w:w="4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25,938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26,300</w:t>
            </w:r>
          </w:p>
        </w:tc>
      </w:tr>
      <w:tr>
        <w:trPr>
          <w:trHeight w:val="220"/>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16,003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44,892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34,977</w:t>
            </w:r>
          </w:p>
        </w:tc>
      </w:tr>
      <w:tr>
        <w:trPr>
          <w:trHeight w:val="238"/>
        </w:trPr>
        <w:tc>
          <w:tcPr>
            <w:tcW w:w="4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70,830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61,277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220" w:firstLine="389"/>
        <w:spacing w:after="0" w:line="267" w:lineRule="auto"/>
        <w:rPr>
          <w:sz w:val="20"/>
          <w:szCs w:val="20"/>
          <w:color w:val="auto"/>
        </w:rPr>
      </w:pPr>
      <w:r>
        <w:rPr>
          <w:rFonts w:ascii="Times New Roman" w:cs="Times New Roman" w:eastAsia="Times New Roman" w:hAnsi="Times New Roman"/>
          <w:sz w:val="17"/>
          <w:szCs w:val="17"/>
          <w:color w:val="auto"/>
        </w:rPr>
        <w:t>The following table summarizes the total stock-based compensation expense recognized in the condensed consolidated statements of operations by the following types of equity awards, including stock options, time-based and performance-based restricted stock awards. Compensation expense for performance-based awards is estimated at each reporting date using management's expectation of the probable achievement of the specified performance criteria of each tranche during the respective performance periods:</w:t>
      </w:r>
    </w:p>
    <w:p>
      <w:pPr>
        <w:spacing w:after="0" w:line="29"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1"/>
        </w:trPr>
        <w:tc>
          <w:tcPr>
            <w:tcW w:w="4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16"/>
        </w:trPr>
        <w:tc>
          <w:tcPr>
            <w:tcW w:w="4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Equity Incentive Plan Options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w:t>
            </w:r>
          </w:p>
        </w:tc>
      </w:tr>
      <w:tr>
        <w:trPr>
          <w:trHeight w:val="220"/>
        </w:trPr>
        <w:tc>
          <w:tcPr>
            <w:tcW w:w="4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Restricted Stock and other awards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24,897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70,099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60,286</w:t>
            </w:r>
          </w:p>
        </w:tc>
      </w:tr>
      <w:tr>
        <w:trPr>
          <w:trHeight w:val="238"/>
        </w:trPr>
        <w:tc>
          <w:tcPr>
            <w:tcW w:w="4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70,830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61,277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both"/>
        <w:ind w:right="420" w:firstLine="389"/>
        <w:spacing w:after="0" w:line="269" w:lineRule="auto"/>
        <w:rPr>
          <w:sz w:val="20"/>
          <w:szCs w:val="20"/>
          <w:color w:val="auto"/>
        </w:rPr>
      </w:pPr>
      <w:r>
        <w:rPr>
          <w:rFonts w:ascii="Times New Roman" w:cs="Times New Roman" w:eastAsia="Times New Roman" w:hAnsi="Times New Roman"/>
          <w:sz w:val="17"/>
          <w:szCs w:val="17"/>
          <w:color w:val="auto"/>
        </w:rPr>
        <w:t>As of December 31, 2024, there was $92.1 million of total unrecognized compensation cost related to unvested stock-based compensation agreements. Absent the effect of forfeiture or acceleration of stock compensation cost for any departures of employees, the following table summarizes the unrecognized compensation cost and the weighted-average period the cost is expected to be amortized (excludes any future award):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restart"/>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00" w:type="dxa"/>
            <w:vAlign w:val="bottom"/>
          </w:tcPr>
          <w:p>
            <w:pPr>
              <w:spacing w:after="0"/>
              <w:rPr>
                <w:sz w:val="12"/>
                <w:szCs w:val="12"/>
                <w:color w:val="auto"/>
              </w:rPr>
            </w:pPr>
          </w:p>
        </w:tc>
        <w:tc>
          <w:tcPr>
            <w:tcW w:w="216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w w:val="96"/>
              </w:rPr>
              <w:t>Weighted Average Remaining</w:t>
            </w:r>
          </w:p>
        </w:tc>
        <w:tc>
          <w:tcPr>
            <w:tcW w:w="0" w:type="dxa"/>
            <w:vAlign w:val="bottom"/>
          </w:tcPr>
          <w:p>
            <w:pPr>
              <w:spacing w:after="0"/>
              <w:rPr>
                <w:sz w:val="1"/>
                <w:szCs w:val="1"/>
                <w:color w:val="auto"/>
              </w:rPr>
            </w:pPr>
          </w:p>
        </w:tc>
      </w:tr>
      <w:tr>
        <w:trPr>
          <w:trHeight w:val="156"/>
        </w:trPr>
        <w:tc>
          <w:tcPr>
            <w:tcW w:w="7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Period to be Recognized (in</w:t>
            </w:r>
          </w:p>
        </w:tc>
        <w:tc>
          <w:tcPr>
            <w:tcW w:w="0" w:type="dxa"/>
            <w:vAlign w:val="bottom"/>
          </w:tcPr>
          <w:p>
            <w:pPr>
              <w:spacing w:after="0"/>
              <w:rPr>
                <w:sz w:val="1"/>
                <w:szCs w:val="1"/>
                <w:color w:val="auto"/>
              </w:rPr>
            </w:pPr>
          </w:p>
        </w:tc>
      </w:tr>
      <w:tr>
        <w:trPr>
          <w:trHeight w:val="206"/>
        </w:trPr>
        <w:tc>
          <w:tcPr>
            <w:tcW w:w="7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w w:val="98"/>
              </w:rPr>
              <w:t>Compensation Cost</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years)</w:t>
            </w:r>
          </w:p>
        </w:tc>
        <w:tc>
          <w:tcPr>
            <w:tcW w:w="0" w:type="dxa"/>
            <w:vAlign w:val="bottom"/>
          </w:tcPr>
          <w:p>
            <w:pPr>
              <w:spacing w:after="0"/>
              <w:rPr>
                <w:sz w:val="1"/>
                <w:szCs w:val="1"/>
                <w:color w:val="auto"/>
              </w:rPr>
            </w:pPr>
          </w:p>
        </w:tc>
      </w:tr>
      <w:tr>
        <w:trPr>
          <w:trHeight w:val="21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Incentive Plan 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3.10</w:t>
            </w:r>
          </w:p>
        </w:tc>
        <w:tc>
          <w:tcPr>
            <w:tcW w:w="0" w:type="dxa"/>
            <w:vAlign w:val="bottom"/>
          </w:tcPr>
          <w:p>
            <w:pPr>
              <w:spacing w:after="0"/>
              <w:rPr>
                <w:sz w:val="1"/>
                <w:szCs w:val="1"/>
                <w:color w:val="auto"/>
              </w:rPr>
            </w:pPr>
          </w:p>
        </w:tc>
      </w:tr>
      <w:tr>
        <w:trPr>
          <w:trHeight w:val="220"/>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Awards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90,634</w:t>
            </w: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38"/>
        </w:trPr>
        <w:tc>
          <w:tcPr>
            <w:tcW w:w="72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1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w:t>
      </w:r>
    </w:p>
    <w:p>
      <w:pPr>
        <w:spacing w:after="0" w:line="120" w:lineRule="exact"/>
        <w:rPr>
          <w:sz w:val="20"/>
          <w:szCs w:val="20"/>
          <w:color w:val="auto"/>
        </w:rPr>
      </w:pPr>
    </w:p>
    <w:p>
      <w:pPr>
        <w:ind w:right="100" w:firstLine="389"/>
        <w:spacing w:after="0" w:line="264" w:lineRule="auto"/>
        <w:rPr>
          <w:sz w:val="20"/>
          <w:szCs w:val="20"/>
          <w:color w:val="auto"/>
        </w:rPr>
      </w:pPr>
      <w:r>
        <w:rPr>
          <w:rFonts w:ascii="Times New Roman" w:cs="Times New Roman" w:eastAsia="Times New Roman" w:hAnsi="Times New Roman"/>
          <w:sz w:val="17"/>
          <w:szCs w:val="17"/>
          <w:color w:val="auto"/>
        </w:rPr>
        <w:t>During the nine months ended December 31, 2024, the Board of Directors granted 0.6 million time-based and performance-based restricted stock units to certain employees of the Company. The aggregate value of these awards was $97.1 million based on the grant date fair value. The performance-based awards granted during the nine months ended December 31, 2024 included additional market conditions related to the Company’s total shareholder return relative to its peer group over the three-year performance period. The Company recognizes compensation expense for these performance-based awards with market conditions based on the grant-date fair value calculated using a Monte Carlo model.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Fair Value Measurements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20" w:lineRule="exact"/>
        <w:rPr>
          <w:sz w:val="20"/>
          <w:szCs w:val="20"/>
          <w:color w:val="auto"/>
        </w:rPr>
      </w:pPr>
    </w:p>
    <w:p>
      <w:pPr>
        <w:ind w:firstLine="389"/>
        <w:spacing w:after="0" w:line="273" w:lineRule="auto"/>
        <w:rPr>
          <w:sz w:val="20"/>
          <w:szCs w:val="20"/>
          <w:color w:val="auto"/>
        </w:rPr>
      </w:pPr>
      <w:r>
        <w:rPr>
          <w:rFonts w:ascii="Times New Roman" w:cs="Times New Roman" w:eastAsia="Times New Roman" w:hAnsi="Times New Roman"/>
          <w:sz w:val="17"/>
          <w:szCs w:val="17"/>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 financial instrument's level within the fair value hierarchy is based on the lowest level of input that is significant to the fair value measurement. The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040" w:type="dxa"/>
            <w:vAlign w:val="bottom"/>
            <w:gridSpan w:val="10"/>
          </w:tcPr>
          <w:p>
            <w:pPr>
              <w:jc w:val="right"/>
              <w:spacing w:after="0"/>
              <w:rPr>
                <w:sz w:val="20"/>
                <w:szCs w:val="20"/>
                <w:color w:val="auto"/>
              </w:rPr>
            </w:pPr>
            <w:r>
              <w:rPr>
                <w:rFonts w:ascii="Times New Roman" w:cs="Times New Roman" w:eastAsia="Times New Roman" w:hAnsi="Times New Roman"/>
                <w:sz w:val="17"/>
                <w:szCs w:val="17"/>
                <w:color w:val="auto"/>
              </w:rPr>
              <w:t>financial instruments measured at fair value in the accompanying condensed consolidated balance sheets consist of the following:</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40" w:type="dxa"/>
            <w:vAlign w:val="bottom"/>
            <w:gridSpan w:val="9"/>
          </w:tcPr>
          <w:p>
            <w:pPr>
              <w:jc w:val="center"/>
              <w:ind w:right="114"/>
              <w:spacing w:after="0" w:line="176" w:lineRule="exact"/>
              <w:rPr>
                <w:sz w:val="20"/>
                <w:szCs w:val="20"/>
                <w:color w:val="auto"/>
              </w:rPr>
            </w:pPr>
            <w:r>
              <w:rPr>
                <w:rFonts w:ascii="Times New Roman" w:cs="Times New Roman" w:eastAsia="Times New Roman" w:hAnsi="Times New Roman"/>
                <w:sz w:val="17"/>
                <w:szCs w:val="17"/>
                <w:b w:val="1"/>
                <w:bCs w:val="1"/>
                <w:color w:val="auto"/>
              </w:rPr>
              <w:t>Recurring Fair Value Measurements</w:t>
            </w:r>
          </w:p>
        </w:tc>
        <w:tc>
          <w:tcPr>
            <w:tcW w:w="920" w:type="dxa"/>
            <w:vAlign w:val="bottom"/>
          </w:tcPr>
          <w:p>
            <w:pPr>
              <w:spacing w:after="0"/>
              <w:rPr>
                <w:sz w:val="15"/>
                <w:szCs w:val="15"/>
                <w:color w:val="auto"/>
              </w:rPr>
            </w:pPr>
          </w:p>
        </w:tc>
      </w:tr>
      <w:tr>
        <w:trPr>
          <w:trHeight w:val="231"/>
        </w:trPr>
        <w:tc>
          <w:tcPr>
            <w:tcW w:w="20" w:type="dxa"/>
            <w:vAlign w:val="bottom"/>
          </w:tcPr>
          <w:p>
            <w:pPr>
              <w:spacing w:after="0"/>
              <w:rPr>
                <w:sz w:val="20"/>
                <w:szCs w:val="20"/>
                <w:color w:val="auto"/>
              </w:rPr>
            </w:pPr>
          </w:p>
        </w:tc>
        <w:tc>
          <w:tcPr>
            <w:tcW w:w="6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0"/>
        </w:trPr>
        <w:tc>
          <w:tcPr>
            <w:tcW w:w="20" w:type="dxa"/>
            <w:vAlign w:val="bottom"/>
          </w:tcPr>
          <w:p>
            <w:pPr>
              <w:spacing w:after="0"/>
              <w:rPr>
                <w:sz w:val="17"/>
                <w:szCs w:val="17"/>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24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Current derivative instruments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w:t>
            </w:r>
          </w:p>
        </w:tc>
      </w:tr>
      <w:tr>
        <w:trPr>
          <w:trHeight w:val="220"/>
        </w:trPr>
        <w:tc>
          <w:tcPr>
            <w:tcW w:w="20" w:type="dxa"/>
            <w:vAlign w:val="bottom"/>
          </w:tcPr>
          <w:p>
            <w:pPr>
              <w:spacing w:after="0"/>
              <w:rPr>
                <w:sz w:val="19"/>
                <w:szCs w:val="19"/>
                <w:color w:val="auto"/>
              </w:rPr>
            </w:pPr>
          </w:p>
        </w:tc>
        <w:tc>
          <w:tcPr>
            <w:tcW w:w="624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Long-term derivative instruments </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20"/>
        </w:trPr>
        <w:tc>
          <w:tcPr>
            <w:tcW w:w="20" w:type="dxa"/>
            <w:vAlign w:val="bottom"/>
          </w:tcPr>
          <w:p>
            <w:pPr>
              <w:spacing w:after="0"/>
              <w:rPr>
                <w:sz w:val="19"/>
                <w:szCs w:val="19"/>
                <w:color w:val="auto"/>
              </w:rPr>
            </w:pPr>
          </w:p>
        </w:tc>
        <w:tc>
          <w:tcPr>
            <w:tcW w:w="624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Long-term deferred compensation plan asset </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36,827</w:t>
            </w: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36,827</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2,917</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39,744</w:t>
            </w:r>
          </w:p>
        </w:tc>
      </w:tr>
      <w:tr>
        <w:trPr>
          <w:trHeight w:val="200"/>
        </w:trPr>
        <w:tc>
          <w:tcPr>
            <w:tcW w:w="20" w:type="dxa"/>
            <w:vAlign w:val="bottom"/>
          </w:tcPr>
          <w:p>
            <w:pPr>
              <w:spacing w:after="0"/>
              <w:rPr>
                <w:sz w:val="17"/>
                <w:szCs w:val="17"/>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24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Current derivative instruments </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r>
      <w:tr>
        <w:trPr>
          <w:trHeight w:val="220"/>
        </w:trPr>
        <w:tc>
          <w:tcPr>
            <w:tcW w:w="20" w:type="dxa"/>
            <w:vAlign w:val="bottom"/>
          </w:tcPr>
          <w:p>
            <w:pPr>
              <w:spacing w:after="0"/>
              <w:rPr>
                <w:sz w:val="19"/>
                <w:szCs w:val="19"/>
                <w:color w:val="auto"/>
              </w:rPr>
            </w:pPr>
          </w:p>
        </w:tc>
        <w:tc>
          <w:tcPr>
            <w:tcW w:w="624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Long-term derivative instruments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w:t>
            </w:r>
          </w:p>
        </w:tc>
      </w:tr>
      <w:tr>
        <w:trPr>
          <w:trHeight w:val="220"/>
        </w:trPr>
        <w:tc>
          <w:tcPr>
            <w:tcW w:w="20" w:type="dxa"/>
            <w:vAlign w:val="bottom"/>
          </w:tcPr>
          <w:p>
            <w:pPr>
              <w:spacing w:after="0"/>
              <w:rPr>
                <w:sz w:val="19"/>
                <w:szCs w:val="19"/>
                <w:color w:val="auto"/>
              </w:rPr>
            </w:pPr>
          </w:p>
        </w:tc>
        <w:tc>
          <w:tcPr>
            <w:tcW w:w="624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Long-term deferred compensation plan liability </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36,827</w:t>
            </w:r>
          </w:p>
        </w:tc>
      </w:tr>
      <w:tr>
        <w:trPr>
          <w:trHeight w:val="213"/>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38,553</w:t>
            </w:r>
          </w:p>
        </w:tc>
      </w:tr>
      <w:tr>
        <w:trPr>
          <w:trHeight w:val="330"/>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gridSpan w:val="9"/>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Recurring Fair Value Measurements</w:t>
            </w:r>
          </w:p>
        </w:tc>
        <w:tc>
          <w:tcPr>
            <w:tcW w:w="92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as of March 31, 2024</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60" w:type="dxa"/>
            <w:vAlign w:val="bottom"/>
          </w:tcPr>
          <w:p>
            <w:pPr>
              <w:spacing w:after="0"/>
              <w:rPr>
                <w:sz w:val="18"/>
                <w:szCs w:val="18"/>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0"/>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24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Current derivative instruments </w:t>
            </w:r>
            <w:r>
              <w:rPr>
                <w:rFonts w:ascii="Times New Roman" w:cs="Times New Roman" w:eastAsia="Times New Roman" w:hAnsi="Times New Roman"/>
                <w:sz w:val="22"/>
                <w:szCs w:val="22"/>
                <w:color w:val="auto"/>
                <w:vertAlign w:val="superscript"/>
              </w:rPr>
              <w:t>(1)</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8,713</w:t>
            </w:r>
          </w:p>
        </w:tc>
      </w:tr>
      <w:tr>
        <w:trPr>
          <w:trHeight w:val="220"/>
        </w:trPr>
        <w:tc>
          <w:tcPr>
            <w:tcW w:w="20" w:type="dxa"/>
            <w:vAlign w:val="bottom"/>
          </w:tcPr>
          <w:p>
            <w:pPr>
              <w:spacing w:after="0"/>
              <w:rPr>
                <w:sz w:val="19"/>
                <w:szCs w:val="19"/>
                <w:color w:val="auto"/>
              </w:rPr>
            </w:pPr>
          </w:p>
        </w:tc>
        <w:tc>
          <w:tcPr>
            <w:tcW w:w="624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Long-term derivative instruments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w:t>
            </w:r>
          </w:p>
        </w:tc>
      </w:tr>
      <w:tr>
        <w:trPr>
          <w:trHeight w:val="220"/>
        </w:trPr>
        <w:tc>
          <w:tcPr>
            <w:tcW w:w="20" w:type="dxa"/>
            <w:vAlign w:val="bottom"/>
          </w:tcPr>
          <w:p>
            <w:pPr>
              <w:spacing w:after="0"/>
              <w:rPr>
                <w:sz w:val="19"/>
                <w:szCs w:val="19"/>
                <w:color w:val="auto"/>
              </w:rPr>
            </w:pPr>
          </w:p>
        </w:tc>
        <w:tc>
          <w:tcPr>
            <w:tcW w:w="624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Long-term deferred compensation plan asset </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28,957</w:t>
            </w:r>
          </w:p>
        </w:tc>
      </w:tr>
      <w:tr>
        <w:trPr>
          <w:trHeight w:val="213"/>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39,226</w:t>
            </w:r>
          </w:p>
        </w:tc>
      </w:tr>
      <w:tr>
        <w:trPr>
          <w:trHeight w:val="200"/>
        </w:trPr>
        <w:tc>
          <w:tcPr>
            <w:tcW w:w="20" w:type="dxa"/>
            <w:vAlign w:val="bottom"/>
          </w:tcPr>
          <w:p>
            <w:pPr>
              <w:spacing w:after="0"/>
              <w:rPr>
                <w:sz w:val="17"/>
                <w:szCs w:val="17"/>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24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Long-term deferred compensation plan liability </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28,957</w:t>
            </w:r>
          </w:p>
        </w:tc>
      </w:tr>
      <w:tr>
        <w:trPr>
          <w:trHeight w:val="213"/>
        </w:trPr>
        <w:tc>
          <w:tcPr>
            <w:tcW w:w="2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28,957</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28,957</w:t>
            </w:r>
          </w:p>
        </w:tc>
      </w:tr>
    </w:tbl>
    <w:p>
      <w:pPr>
        <w:spacing w:after="0" w:line="59" w:lineRule="exact"/>
        <w:rPr>
          <w:sz w:val="20"/>
          <w:szCs w:val="20"/>
          <w:color w:val="auto"/>
        </w:rPr>
      </w:pPr>
    </w:p>
    <w:p>
      <w:pPr>
        <w:ind w:left="620" w:right="80" w:hanging="227"/>
        <w:spacing w:after="0" w:line="244" w:lineRule="auto"/>
        <w:tabs>
          <w:tab w:leader="none" w:pos="561"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“Derivatives,” to the condensed consolidated financial statements for further discussion on the Company’s derivative instruments designated as cash flow hedges.</w:t>
      </w:r>
    </w:p>
    <w:p>
      <w:pPr>
        <w:spacing w:after="0" w:line="31" w:lineRule="exact"/>
        <w:rPr>
          <w:rFonts w:ascii="Times New Roman" w:cs="Times New Roman" w:eastAsia="Times New Roman" w:hAnsi="Times New Roman"/>
          <w:sz w:val="21"/>
          <w:szCs w:val="21"/>
          <w:color w:val="auto"/>
          <w:vertAlign w:val="superscript"/>
        </w:rPr>
      </w:pPr>
    </w:p>
    <w:p>
      <w:pPr>
        <w:ind w:left="620" w:right="80" w:hanging="227"/>
        <w:spacing w:after="0" w:line="247" w:lineRule="auto"/>
        <w:tabs>
          <w:tab w:leader="none" w:pos="561"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and liabilities represent investments held in a consolidated trust to fund the Company's non-qualified deferred compensation plan and are recorded in other long-term assets and other long-term liabilities on our condensed consolidated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Marketable Securities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fair value of the Company's cash and cash equivalents, which are Level 1 inputs, approximated its carrying value at December 31, 2024 and March 31,</w:t>
      </w:r>
    </w:p>
    <w:p>
      <w:pPr>
        <w:spacing w:after="0" w:line="31"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17"/>
          <w:szCs w:val="17"/>
          <w:color w:val="auto"/>
        </w:rPr>
        <w:t>2024. The Company’s cash and cash equivalent balances presented on the accompanying condensed consolidated balance sheets include $215.0 million and $192.7 million of marketable securities in money market funds as of December 31, 2024 and March 31, 2024,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Debt</w:t>
      </w:r>
    </w:p>
    <w:p>
      <w:pPr>
        <w:spacing w:after="0" w:line="120"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The Company's long-term debt is carried at amortized cost and is measured at fair value quarterly for disclosure purposes. The estimated fair values are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are determined using quoted prices or other market information obtained from recent trading activity in the high-yield bond market (Level 2 inputs). The carrying amount and estimated fair value of long-term debt consists of the following:</w:t>
      </w:r>
    </w:p>
    <w:p>
      <w:pPr>
        <w:spacing w:after="0" w:line="3"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20" w:type="dxa"/>
            <w:vAlign w:val="bottom"/>
          </w:tcPr>
          <w:p>
            <w:pPr>
              <w:spacing w:after="0"/>
              <w:rPr>
                <w:sz w:val="19"/>
                <w:szCs w:val="19"/>
                <w:color w:val="auto"/>
              </w:rPr>
            </w:pPr>
          </w:p>
        </w:tc>
        <w:tc>
          <w:tcPr>
            <w:tcW w:w="2520" w:type="dxa"/>
            <w:vAlign w:val="bottom"/>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March 31, 2024</w:t>
            </w:r>
          </w:p>
        </w:tc>
      </w:tr>
      <w:tr>
        <w:trPr>
          <w:trHeight w:val="162"/>
        </w:trPr>
        <w:tc>
          <w:tcPr>
            <w:tcW w:w="5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40"/>
              <w:spacing w:after="0" w:line="162"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34"/>
              <w:spacing w:after="0" w:line="162" w:lineRule="exact"/>
              <w:rPr>
                <w:sz w:val="20"/>
                <w:szCs w:val="20"/>
                <w:color w:val="auto"/>
              </w:rPr>
            </w:pPr>
            <w:r>
              <w:rPr>
                <w:rFonts w:ascii="Times New Roman" w:cs="Times New Roman" w:eastAsia="Times New Roman" w:hAnsi="Times New Roman"/>
                <w:sz w:val="17"/>
                <w:szCs w:val="17"/>
                <w:b w:val="1"/>
                <w:bCs w:val="1"/>
                <w:color w:val="auto"/>
              </w:rPr>
              <w:t>Estimated Fair</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20"/>
              <w:spacing w:after="0" w:line="162"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4"/>
              <w:spacing w:after="0" w:line="162" w:lineRule="exact"/>
              <w:rPr>
                <w:sz w:val="20"/>
                <w:szCs w:val="20"/>
                <w:color w:val="auto"/>
              </w:rPr>
            </w:pPr>
            <w:r>
              <w:rPr>
                <w:rFonts w:ascii="Times New Roman" w:cs="Times New Roman" w:eastAsia="Times New Roman" w:hAnsi="Times New Roman"/>
                <w:sz w:val="17"/>
                <w:szCs w:val="17"/>
                <w:b w:val="1"/>
                <w:bCs w:val="1"/>
                <w:color w:val="auto"/>
                <w:w w:val="98"/>
              </w:rPr>
              <w:t>Estimated Fair</w:t>
            </w:r>
          </w:p>
        </w:tc>
      </w:tr>
      <w:tr>
        <w:trPr>
          <w:trHeight w:val="231"/>
        </w:trPr>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20"/>
                <w:szCs w:val="20"/>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Loan A</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1,546,875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1,544,941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1,588,125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1,582,170</w:t>
            </w:r>
          </w:p>
        </w:tc>
      </w:tr>
      <w:tr>
        <w:trPr>
          <w:trHeight w:val="220"/>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3.875% Senior Notes due 2028</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662,802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656,677</w:t>
            </w:r>
          </w:p>
        </w:tc>
      </w:tr>
      <w:tr>
        <w:trPr>
          <w:trHeight w:val="22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4.000% Senior Notes due 2029</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465,470</w:t>
            </w:r>
          </w:p>
        </w:tc>
      </w:tr>
      <w:tr>
        <w:trPr>
          <w:trHeight w:val="226"/>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5.950% Senior Notes due 2033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672,815</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120" w:lineRule="exact"/>
        <w:rPr>
          <w:sz w:val="20"/>
          <w:szCs w:val="20"/>
          <w:color w:val="auto"/>
        </w:rPr>
      </w:pPr>
    </w:p>
    <w:p>
      <w:pPr>
        <w:ind w:right="80" w:firstLine="389"/>
        <w:spacing w:after="0" w:line="264" w:lineRule="auto"/>
        <w:rPr>
          <w:sz w:val="20"/>
          <w:szCs w:val="20"/>
          <w:color w:val="auto"/>
        </w:rPr>
      </w:pPr>
      <w:r>
        <w:rPr>
          <w:rFonts w:ascii="Times New Roman" w:cs="Times New Roman" w:eastAsia="Times New Roman" w:hAnsi="Times New Roman"/>
          <w:sz w:val="17"/>
          <w:szCs w:val="17"/>
          <w:color w:val="auto"/>
        </w:rPr>
        <w:t>As of December 31, 2024 and March 31, 2024, the total of our investments that are accounted for at fair value on a non-recurring basis under the measurement alternative were $61.9 million and $37.4 million, respectively. While these assets are not measured at fair value on an ongoing basis, they are subject to fair value adjustments in certain circumstances (e.g., observable price changes or impairment). We did not have any material measurement adjustments during the nine months ended December 31, 2024, with the exception of the assets and liabilities acquired through our acquisitions (see Note 5, “Acquisition, Goodwill and Intangible Assets,” to the condensed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Commitments and Contingencies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Letters of Credit and Third-Party Guarantees</w:t>
      </w:r>
    </w:p>
    <w:p>
      <w:pPr>
        <w:spacing w:after="0" w:line="120" w:lineRule="exact"/>
        <w:rPr>
          <w:sz w:val="20"/>
          <w:szCs w:val="20"/>
          <w:color w:val="auto"/>
        </w:rPr>
      </w:pPr>
    </w:p>
    <w:p>
      <w:pPr>
        <w:ind w:right="60" w:firstLine="389"/>
        <w:spacing w:after="0" w:line="264" w:lineRule="auto"/>
        <w:rPr>
          <w:sz w:val="20"/>
          <w:szCs w:val="20"/>
          <w:color w:val="auto"/>
        </w:rPr>
      </w:pPr>
      <w:r>
        <w:rPr>
          <w:rFonts w:ascii="Times New Roman" w:cs="Times New Roman" w:eastAsia="Times New Roman" w:hAnsi="Times New Roman"/>
          <w:sz w:val="17"/>
          <w:szCs w:val="17"/>
          <w:color w:val="auto"/>
        </w:rPr>
        <w:t>As of December 31, 2024 and March 31, 2024, the Company was contingently liable under open standby letters of credit and bank guarantees issued by our banks in favor of third parties that totaled $4.5 million and $4.4 million, respectively. These letters of credit and bank guarantees primarily support insurance and bid and performance obligations. At December 31, 2024 and March 31, 2024, respectively, approximately $1.4 million and $1.3 million of these instruments reduced the available borrowings under the Revolving Credit Facility. The remainder is guaranteed under a separate $7.5 million facility of which $4.5 million and $4.4 million was available to the Company at December 31, 2024 and March 31, 2024,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Contracting Matters - Provision for Claimed Costs</w:t>
      </w:r>
    </w:p>
    <w:p>
      <w:pPr>
        <w:spacing w:after="0" w:line="120" w:lineRule="exact"/>
        <w:rPr>
          <w:sz w:val="20"/>
          <w:szCs w:val="20"/>
          <w:color w:val="auto"/>
        </w:rPr>
      </w:pPr>
    </w:p>
    <w:p>
      <w:pPr>
        <w:ind w:right="60" w:firstLine="389"/>
        <w:spacing w:after="0" w:line="260" w:lineRule="auto"/>
        <w:rPr>
          <w:sz w:val="20"/>
          <w:szCs w:val="20"/>
          <w:color w:val="auto"/>
        </w:rPr>
      </w:pPr>
      <w:r>
        <w:rPr>
          <w:rFonts w:ascii="Times New Roman" w:cs="Times New Roman" w:eastAsia="Times New Roman" w:hAnsi="Times New Roman"/>
          <w:sz w:val="17"/>
          <w:szCs w:val="17"/>
          <w:color w:val="auto"/>
        </w:rPr>
        <w:t>For both the three months ended December 31, 2024 and 2023, approximately 98%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For both the nine months ended December 31, 2024 and 2023, approximately 98% of the Company's revenue was generated from such contracts. As noted in the Company's Annual Report on Form 10-K for the fiscal year ended March 31, 2024, in the ordinary course of business, agencies of the U.S. government, including the Defense Contract Audit Agency (“DCAA”), audit the Company’s claimed costs and conduct inquiries and investigations of our business practices with respect to government contracts to determine whether the Company's operations are conducted in accordance with these requirements and the terms of the relevant contracts.</w:t>
      </w:r>
    </w:p>
    <w:p>
      <w:pPr>
        <w:spacing w:after="0" w:line="73" w:lineRule="exact"/>
        <w:rPr>
          <w:sz w:val="20"/>
          <w:szCs w:val="20"/>
          <w:color w:val="auto"/>
        </w:rPr>
      </w:pPr>
    </w:p>
    <w:p>
      <w:pPr>
        <w:ind w:firstLine="389"/>
        <w:spacing w:after="0" w:line="259" w:lineRule="auto"/>
        <w:rPr>
          <w:sz w:val="20"/>
          <w:szCs w:val="20"/>
          <w:color w:val="auto"/>
        </w:rPr>
      </w:pPr>
      <w:r>
        <w:rPr>
          <w:rFonts w:ascii="Times New Roman" w:cs="Times New Roman" w:eastAsia="Times New Roman" w:hAnsi="Times New Roman"/>
          <w:sz w:val="17"/>
          <w:szCs w:val="17"/>
          <w:color w:val="auto"/>
        </w:rPr>
        <w:t>Based upon information obtained from DCAA’s audit findings over four historical rate years, the Company changed its estimate and reduced a portion of its provision for claimed costs during the second quarter of fiscal 2025, which resulted in a $121.7 million increase to revenue, to reflect our best estimate of the final cost rates for the outstanding audit years. Operating income for the nine months ended December 31, 2024 was accordingly increased by $121.7 million and net income was increased by $90.1 million (or $0.70 of basic and $0.70 diluted earnings per common share for the nine months ended December 31, 2024). Our final cost rates for the recently audited years remain subject to negotiation with the Defense Contract Management Agency (“DCMA”) Administrative Contracting Officer. Management believes it has recorded the appropriate provision for claimed costs for any audit, inquiry, or investigation of which it is aware that may be subject to any reductions and/or penalties. As of December 31, 2024 and March 31, 2024, the Company had recorded liabilities of approximately $246.7 million and $363.7 million, respectively, for estimated adjustments to claimed costs based on its historical DCAA audit results, including the final resolution of such audits with DCMA, for claimed costs incurred subsequent to fiscal 2011.</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0" w:lineRule="exact"/>
        <w:rPr>
          <w:sz w:val="20"/>
          <w:szCs w:val="20"/>
          <w:color w:val="auto"/>
        </w:rPr>
      </w:pPr>
    </w:p>
    <w:p>
      <w:pPr>
        <w:ind w:firstLine="389"/>
        <w:spacing w:after="0" w:line="257" w:lineRule="auto"/>
        <w:rPr>
          <w:sz w:val="20"/>
          <w:szCs w:val="20"/>
          <w:color w:val="auto"/>
        </w:rPr>
      </w:pPr>
      <w:r>
        <w:rPr>
          <w:rFonts w:ascii="Times New Roman" w:cs="Times New Roman" w:eastAsia="Times New Roman" w:hAnsi="Times New Roman"/>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both December 31, 2024 and March 31, 2024, there were no material amounts accrued in the condensed consolidated financial statements related to these proceedings as either the amounts are immaterial or the Company is not able to reasonably estimate the expected amount or range of cost or any loss associated with these matters.</w:t>
      </w:r>
    </w:p>
    <w:p>
      <w:pPr>
        <w:spacing w:after="0" w:line="288" w:lineRule="exact"/>
        <w:rPr>
          <w:sz w:val="20"/>
          <w:szCs w:val="20"/>
          <w:color w:val="auto"/>
        </w:rPr>
      </w:pPr>
    </w:p>
    <w:p>
      <w:pPr>
        <w:ind w:right="360" w:firstLine="389"/>
        <w:spacing w:after="0" w:line="267" w:lineRule="auto"/>
        <w:rPr>
          <w:sz w:val="20"/>
          <w:szCs w:val="20"/>
          <w:color w:val="auto"/>
        </w:rPr>
      </w:pPr>
      <w:r>
        <w:rPr>
          <w:rFonts w:ascii="Times New Roman" w:cs="Times New Roman" w:eastAsia="Times New Roman" w:hAnsi="Times New Roman"/>
          <w:sz w:val="17"/>
          <w:szCs w:val="17"/>
          <w:color w:val="auto"/>
        </w:rPr>
        <w:t>During the second quarter of fiscal 2025, the Company secured insurance recoveries of $115.3 million from claims related to the Company’s settlement described in Note 20, “Commitments and Contingencies,” to the consolidated financial statements contained within our Annual Report on Form 10-K for the fiscal year ended March 31, 2024. The insurance recoveries offset our general and administrative expenses in our Condensed Consolidated Statement of Operations.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6"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2024 filed with the Securities and Exchange Commission on May 24, 2024,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66" w:lineRule="exact"/>
        <w:rPr>
          <w:sz w:val="20"/>
          <w:szCs w:val="20"/>
          <w:color w:val="auto"/>
        </w:rPr>
      </w:pPr>
    </w:p>
    <w:p>
      <w:pPr>
        <w:ind w:right="360"/>
        <w:spacing w:after="0" w:line="383" w:lineRule="auto"/>
        <w:rPr>
          <w:sz w:val="20"/>
          <w:szCs w:val="20"/>
          <w:color w:val="auto"/>
        </w:rPr>
      </w:pPr>
      <w:r>
        <w:rPr>
          <w:rFonts w:ascii="Times New Roman" w:cs="Times New Roman" w:eastAsia="Times New Roman" w:hAnsi="Times New Roman"/>
          <w:sz w:val="17"/>
          <w:szCs w:val="17"/>
          <w:i w:val="1"/>
          <w:iCs w:val="1"/>
          <w:color w:val="auto"/>
        </w:rPr>
        <w:t xml:space="preserve">Our fiscal year ends March 31 and, unless otherwise noted, references to years or fiscal are for fiscal years ended March 31. See “—Results of Operations.” </w:t>
      </w:r>
      <w:r>
        <w:rPr>
          <w:rFonts w:ascii="Times New Roman" w:cs="Times New Roman" w:eastAsia="Times New Roman" w:hAnsi="Times New Roman"/>
          <w:sz w:val="17"/>
          <w:szCs w:val="17"/>
          <w:b w:val="1"/>
          <w:bCs w:val="1"/>
          <w:color w:val="auto"/>
        </w:rPr>
        <w:t>Overview</w:t>
      </w:r>
    </w:p>
    <w:p>
      <w:pPr>
        <w:ind w:firstLine="428"/>
        <w:spacing w:after="0" w:line="264" w:lineRule="auto"/>
        <w:rPr>
          <w:sz w:val="20"/>
          <w:szCs w:val="20"/>
          <w:color w:val="auto"/>
        </w:rPr>
      </w:pPr>
      <w:r>
        <w:rPr>
          <w:rFonts w:ascii="Times New Roman" w:cs="Times New Roman" w:eastAsia="Times New Roman" w:hAnsi="Times New Roman"/>
          <w:sz w:val="17"/>
          <w:szCs w:val="17"/>
          <w:color w:val="auto"/>
        </w:rPr>
        <w:t>Trusted to transform missions with the power of tomorrow’s technologies, Booz Allen advances the nation’s most critical civil, defense, and national security priorities. Our ability to deliver value to our clients has always been, and continues to be, a product of the strong character, expertise and tremendous passion of our people. Our approximately 35,900 employees work to solve hard problems by making clients' missions their own, combining decades of consulting and domain expertise with functional expertise in areas such as analytics, digital solutions, engineering, cyber and artificial intelligence, all fostered by a culture of innovation that extends to all reaches of the Company.</w:t>
      </w:r>
    </w:p>
    <w:p>
      <w:pPr>
        <w:spacing w:after="0" w:line="66" w:lineRule="exact"/>
        <w:rPr>
          <w:sz w:val="20"/>
          <w:szCs w:val="20"/>
          <w:color w:val="auto"/>
        </w:rPr>
      </w:pPr>
    </w:p>
    <w:p>
      <w:pPr>
        <w:ind w:right="20" w:firstLine="428"/>
        <w:spacing w:after="0" w:line="262" w:lineRule="auto"/>
        <w:rPr>
          <w:sz w:val="20"/>
          <w:szCs w:val="20"/>
          <w:color w:val="auto"/>
        </w:rPr>
      </w:pPr>
      <w:r>
        <w:rPr>
          <w:rFonts w:ascii="Times New Roman" w:cs="Times New Roman" w:eastAsia="Times New Roman" w:hAnsi="Times New Roman"/>
          <w:sz w:val="17"/>
          <w:szCs w:val="17"/>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and Other Highlights</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third quarter of fiscal 2025, the Company generated year over year revenue growth and increased client staff headcount.</w:t>
      </w:r>
    </w:p>
    <w:p>
      <w:pPr>
        <w:spacing w:after="0" w:line="116" w:lineRule="exact"/>
        <w:rPr>
          <w:sz w:val="20"/>
          <w:szCs w:val="20"/>
          <w:color w:val="auto"/>
        </w:rPr>
      </w:pPr>
    </w:p>
    <w:p>
      <w:pPr>
        <w:ind w:firstLine="389"/>
        <w:spacing w:after="0" w:line="264" w:lineRule="auto"/>
        <w:rPr>
          <w:sz w:val="20"/>
          <w:szCs w:val="20"/>
          <w:color w:val="auto"/>
        </w:rPr>
      </w:pPr>
      <w:r>
        <w:rPr>
          <w:rFonts w:ascii="Times New Roman" w:cs="Times New Roman" w:eastAsia="Times New Roman" w:hAnsi="Times New Roman"/>
          <w:sz w:val="17"/>
          <w:szCs w:val="17"/>
          <w:color w:val="auto"/>
        </w:rPr>
        <w:t>Revenue increased 13.5% to $2,917.2 million in the three months ended December 31, 2024 from $2,569.8 million in the three months ended December 31, 2023, and increased 14.1% to $9,005.4 million in the nine months ended December 31, 2024 from $7,890.6 million in the nine months ended December 31, 2023. The increase was primarily driven by strong demand for our services and solutions as well as continued headcount growth and higher billable expenses. In addition, revenue was positively impacted by $121.7 million representing the reduction to our provision for claimed costs recorded during the second quarter of fiscal 2025. See Note 15, “Commitments and Contingencies,” to the condensed consolidated financial statements for further information.</w:t>
      </w:r>
    </w:p>
    <w:p>
      <w:pPr>
        <w:spacing w:after="0" w:line="66" w:lineRule="exact"/>
        <w:rPr>
          <w:sz w:val="20"/>
          <w:szCs w:val="20"/>
          <w:color w:val="auto"/>
        </w:rPr>
      </w:pPr>
    </w:p>
    <w:p>
      <w:pPr>
        <w:ind w:firstLine="389"/>
        <w:spacing w:after="0" w:line="260" w:lineRule="auto"/>
        <w:rPr>
          <w:sz w:val="20"/>
          <w:szCs w:val="20"/>
          <w:color w:val="auto"/>
        </w:rPr>
      </w:pPr>
      <w:r>
        <w:rPr>
          <w:rFonts w:ascii="Times New Roman" w:cs="Times New Roman" w:eastAsia="Times New Roman" w:hAnsi="Times New Roman"/>
          <w:sz w:val="17"/>
          <w:szCs w:val="17"/>
          <w:color w:val="auto"/>
        </w:rPr>
        <w:t>Operating income increased 17.7% to $291.3 million in the three months ended December 31, 2024 from $247.6 million in the three months ended December 31, 2023, which reflects an increase in operating margin from 9.6% to 10.0%. Operating income increased 46.2% to $1,095.0 million in the nine months ended December 31, 2024 from $749.0 million in the nine months ended December 31, 2023, which reflects an increase in operating margin from 9.5% to 12.2%. Operating income was primarily driven by the same drivers benefiting revenue growth as well as strong contract-level performance coupled with ongoing cost management efforts. Margins were impacted by a decrease in general and administrative expenses in the year to date period resulting from $115.3 million in insurance recoveries from claims related to the Company’s fiscal 2024 settlement as described in Note 20, “Commitments and Contingencies,” to the consolidated financial statements contained within the Annual Report on Form 10-K for the fiscal year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Measures</w:t>
      </w:r>
    </w:p>
    <w:p>
      <w:pPr>
        <w:spacing w:after="0" w:line="118" w:lineRule="exact"/>
        <w:rPr>
          <w:sz w:val="20"/>
          <w:szCs w:val="20"/>
          <w:color w:val="auto"/>
        </w:rPr>
      </w:pPr>
    </w:p>
    <w:p>
      <w:pPr>
        <w:ind w:firstLine="389"/>
        <w:spacing w:after="0" w:line="256" w:lineRule="auto"/>
        <w:rPr>
          <w:sz w:val="20"/>
          <w:szCs w:val="20"/>
          <w:color w:val="auto"/>
        </w:rPr>
      </w:pPr>
      <w:r>
        <w:rPr>
          <w:rFonts w:ascii="Times New Roman" w:cs="Times New Roman" w:eastAsia="Times New Roman" w:hAnsi="Times New Roman"/>
          <w:sz w:val="17"/>
          <w:szCs w:val="17"/>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27" w:lineRule="exact"/>
        <w:rPr>
          <w:sz w:val="20"/>
          <w:szCs w:val="20"/>
          <w:color w:val="auto"/>
        </w:rPr>
      </w:pPr>
    </w:p>
    <w:p>
      <w:pPr>
        <w:ind w:left="620" w:right="40" w:hanging="305"/>
        <w:spacing w:after="0" w:line="266" w:lineRule="auto"/>
        <w:tabs>
          <w:tab w:leader="none" w:pos="6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7"/>
          <w:szCs w:val="17"/>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w:t>
      </w:r>
    </w:p>
    <w:p>
      <w:pPr>
        <w:spacing w:after="0" w:line="14" w:lineRule="exact"/>
        <w:rPr>
          <w:rFonts w:ascii="Arial" w:cs="Arial" w:eastAsia="Arial" w:hAnsi="Arial"/>
          <w:sz w:val="17"/>
          <w:szCs w:val="17"/>
          <w:color w:val="auto"/>
        </w:rPr>
      </w:pPr>
    </w:p>
    <w:p>
      <w:pPr>
        <w:ind w:left="620" w:right="20" w:hanging="305"/>
        <w:spacing w:after="0" w:line="261"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Operating Income” represents operating income before change in provision for claimed costs for historical rate years, acquisition and divestiture costs, financing transaction costs, significant acquisition amortization, the reserve associated with the U.S. Department of Justice investigation disclosed in Note 20, “Commitments and Contingencies,” in the Annual Report on Form 10-K for the fiscal year ended March 31, 2024, and insurance recoveries related to the Company’s fiscal 2024 settlement disclosed in Note 20, “Commitments and Contingencies,” in the Annual Report on Form 10-K for the fiscal year ended March 31, 2024.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28" w:lineRule="exact"/>
        <w:rPr>
          <w:rFonts w:ascii="Times New Roman" w:cs="Times New Roman" w:eastAsia="Times New Roman" w:hAnsi="Times New Roman"/>
          <w:sz w:val="17"/>
          <w:szCs w:val="17"/>
          <w:color w:val="auto"/>
        </w:rPr>
      </w:pPr>
    </w:p>
    <w:p>
      <w:pPr>
        <w:ind w:left="620" w:hanging="305"/>
        <w:spacing w:after="0" w:line="259"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represents net income before income taxes, net interest and other expense and depreciation and amortization and before certain other items, including change in provision for claimed costs for historical rate years, acquisition and divestiture costs, financing transaction costs, the reserve associated with the U.S. Department of Justice investigation disclosed in Note 20, “Commitments and Contingencies,” in the Annual Report on Form 10-K for the fiscal year ended March 31, 2024, and insurance recoveries related to the Company’s fiscal 2024 settlement disclosed in Note 20, “Commitments and Contingencies,” in the Annual Report on Form 10-K for the fiscal year ended March 31, 2024.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20" w:hanging="305"/>
        <w:spacing w:after="0" w:line="25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Income” represents net income before: (i) change in provision for claimed costs for historical rate years, (ii) acquisition and divestiture costs, (iii) financing transaction costs, (iv) significant acquisition amortization, (v) the reserve associated with the U.S. Department of Justice investigation disclosed in Note 20, “Commitments and Contingencies,” in the Annual Report on Form 10-K for the fiscal year ended March 31, 2024, (vi), insurance recoveries related to the Company’s fiscal 2024 settlement disclosed in Note 20, “Commitments and Contingencies,” in the Annual Report on Form 10-K for the fiscal year ended March 31, 2024, and (vii) amortization or write-off of debt issuance costs and debt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Adjusted Net Income as an important indicator of performance consistent with the manner in which management measures and forecasts the Company's performance and the way in which management is incentivized to perform.</w:t>
      </w:r>
    </w:p>
    <w:p>
      <w:pPr>
        <w:spacing w:after="0" w:line="20" w:lineRule="exact"/>
        <w:rPr>
          <w:rFonts w:ascii="Times New Roman" w:cs="Times New Roman" w:eastAsia="Times New Roman" w:hAnsi="Times New Roman"/>
          <w:sz w:val="17"/>
          <w:szCs w:val="17"/>
          <w:color w:val="auto"/>
        </w:rPr>
      </w:pPr>
    </w:p>
    <w:p>
      <w:pPr>
        <w:ind w:left="620" w:right="140" w:hanging="305"/>
        <w:spacing w:after="0" w:line="272" w:lineRule="auto"/>
        <w:tabs>
          <w:tab w:leader="none" w:pos="6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8" w:lineRule="exact"/>
        <w:rPr>
          <w:rFonts w:ascii="Arial" w:cs="Arial" w:eastAsia="Arial" w:hAnsi="Arial"/>
          <w:sz w:val="17"/>
          <w:szCs w:val="17"/>
          <w:color w:val="auto"/>
        </w:rPr>
      </w:pPr>
    </w:p>
    <w:p>
      <w:pPr>
        <w:ind w:left="620" w:right="280" w:hanging="305"/>
        <w:spacing w:after="0" w:line="292" w:lineRule="auto"/>
        <w:tabs>
          <w:tab w:leader="none" w:pos="615" w:val="left"/>
        </w:tabs>
        <w:numPr>
          <w:ilvl w:val="0"/>
          <w:numId w:val="14"/>
        </w:numPr>
        <w:rPr>
          <w:rFonts w:ascii="Calibri" w:cs="Calibri" w:eastAsia="Calibri" w:hAnsi="Calibri"/>
          <w:sz w:val="12"/>
          <w:szCs w:val="12"/>
          <w:color w:val="auto"/>
        </w:rPr>
      </w:pPr>
      <w:r>
        <w:rPr>
          <w:rFonts w:ascii="Times New Roman" w:cs="Times New Roman" w:eastAsia="Times New Roman" w:hAnsi="Times New Roman"/>
          <w:sz w:val="17"/>
          <w:szCs w:val="17"/>
          <w:color w:val="auto"/>
        </w:rPr>
        <w:t>“Free Cash Flow” represents the net cash generated from operating activities less the impact of purchases of property, equipment, and software. "Free Cash Flow Conversion" is calculated as Free Cash Flow divided by Adjusted Net Income.</w:t>
      </w:r>
    </w:p>
    <w:p>
      <w:pPr>
        <w:spacing w:after="0" w:line="43" w:lineRule="exact"/>
        <w:rPr>
          <w:sz w:val="20"/>
          <w:szCs w:val="20"/>
          <w:color w:val="auto"/>
        </w:rPr>
      </w:pPr>
    </w:p>
    <w:p>
      <w:pPr>
        <w:ind w:right="280" w:firstLine="622"/>
        <w:spacing w:after="0" w:line="273" w:lineRule="auto"/>
        <w:rPr>
          <w:sz w:val="20"/>
          <w:szCs w:val="20"/>
          <w:color w:val="auto"/>
        </w:rPr>
      </w:pPr>
      <w:r>
        <w:rPr>
          <w:rFonts w:ascii="Times New Roman" w:cs="Times New Roman" w:eastAsia="Times New Roman" w:hAnsi="Times New Roman"/>
          <w:sz w:val="17"/>
          <w:szCs w:val="17"/>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5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9"/>
        </w:trPr>
        <w:tc>
          <w:tcPr>
            <w:tcW w:w="12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24"/>
                <w:szCs w:val="24"/>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center"/>
              <w:ind w:left="4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center"/>
              <w:ind w:left="47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Revenue, Excluding Billable Expenses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Revenue</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2,917,190</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2,569,801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9,005,373</w:t>
            </w:r>
          </w:p>
        </w:tc>
        <w:tc>
          <w:tcPr>
            <w:tcW w:w="8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7,890,569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Billable expenses</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938,534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799,896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2,851,537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2,436,988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Revenue, Excluding Billable Expenses*</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1,978,656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1,769,905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6,153,836</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5,453,581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20" w:type="dxa"/>
            <w:vAlign w:val="bottom"/>
          </w:tcPr>
          <w:p>
            <w:pPr>
              <w:spacing w:after="0"/>
              <w:rPr>
                <w:sz w:val="16"/>
                <w:szCs w:val="16"/>
                <w:color w:val="auto"/>
              </w:rPr>
            </w:pPr>
          </w:p>
        </w:tc>
        <w:tc>
          <w:tcPr>
            <w:tcW w:w="532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i w:val="1"/>
                <w:iCs w:val="1"/>
                <w:color w:val="auto"/>
              </w:rPr>
              <w:t>Adjusted Operating Income</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Operating income</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291,259</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247,558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1,095,032</w:t>
            </w:r>
          </w:p>
        </w:tc>
        <w:tc>
          <w:tcPr>
            <w:tcW w:w="8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748,965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provision for claimed costs (a)</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(113,112)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Acquisition and divestiture costs (b)</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7,693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Financing transaction costs (c)</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Significant acquisition amortization (d)</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13,597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39,396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Legal matter reserve (e)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Insurance recoveries (f)</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(115,320)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532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Adjusted Operating Income</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304,951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263,107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913,689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804,674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4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10160" w:type="dxa"/>
            <w:vAlign w:val="bottom"/>
            <w:gridSpan w:val="13"/>
          </w:tcPr>
          <w:p>
            <w:pPr>
              <w:ind w:left="20"/>
              <w:spacing w:after="0" w:line="167" w:lineRule="exact"/>
              <w:rPr>
                <w:sz w:val="20"/>
                <w:szCs w:val="20"/>
                <w:color w:val="auto"/>
              </w:rPr>
            </w:pPr>
            <w:r>
              <w:rPr>
                <w:rFonts w:ascii="Times New Roman" w:cs="Times New Roman" w:eastAsia="Times New Roman" w:hAnsi="Times New Roman"/>
                <w:sz w:val="17"/>
                <w:szCs w:val="17"/>
                <w:b w:val="1"/>
                <w:bCs w:val="1"/>
                <w:i w:val="1"/>
                <w:iCs w:val="1"/>
                <w:color w:val="auto"/>
              </w:rPr>
              <w:t>EBITDA, Adjusted EBITDA, Adjusted EBITDA Margin on Revenue &amp; Adjusted EBITDA Margin on Revenue, Excluding Billable Expenses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186,950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145,644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742,295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477,750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61,446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61,740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233,814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156,291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and other, net (g)</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42,863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40,174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118,923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114,924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40,156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41,113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123,341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123,867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5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EBITDA</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331,415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288,671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1,218,373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872,832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Change in provision for claimed costs (a)</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(113,112)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 and divestiture costs (b)</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7,693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Financing transaction costs (c)</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Legal matter reserve (e)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Insurance recoveries (f)</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(115,320)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532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Adjusted EBITDA</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331,721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290,623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997,634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888,240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Times New Roman" w:cs="Times New Roman" w:eastAsia="Times New Roman" w:hAnsi="Times New Roman"/>
                <w:sz w:val="17"/>
                <w:szCs w:val="17"/>
                <w:color w:val="auto"/>
              </w:rPr>
              <w:t>Net income margin</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5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Adjusted EBITDA Margin on Revenue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Adjusted EBITDA Margin on Revenue, Excluding Billable Expenses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4"/>
        </w:trPr>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5"/>
        </w:trPr>
        <w:tc>
          <w:tcPr>
            <w:tcW w:w="5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5"/>
        </w:trPr>
        <w:tc>
          <w:tcPr>
            <w:tcW w:w="12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4"/>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4"/>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5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4"/>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Adjusted Net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186,950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145,644</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742,295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477,750</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provision for claimed costs (a)</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(113,112)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(18,345)</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Acquisition and divestiture costs (b)</w:t>
            </w: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7,693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5,480</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 transaction costs (c)</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820</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Significant acquisition amortization (d)</w:t>
            </w: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13,597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40,301</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Legal matter reserve (e)</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27,453</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Insurance recoveries (f)</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and write-off of debt issuance costs and debt discount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2,950</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Adjustments for tax effect (h)</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(3,845)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22,048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46,301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10,094</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55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Adjusted Net Income</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197,896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184,303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610,517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546,503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Adjusted Diluted 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Weighted-average number of diluted shares outstanding</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127,940,137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130,489,050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128,909,493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131,058,754</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40"/>
        </w:trPr>
        <w:tc>
          <w:tcPr>
            <w:tcW w:w="120" w:type="dxa"/>
            <w:vAlign w:val="bottom"/>
          </w:tcPr>
          <w:p>
            <w:pPr>
              <w:spacing w:after="0"/>
              <w:rPr>
                <w:sz w:val="20"/>
                <w:szCs w:val="20"/>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Adjusted Net Income Per Diluted Share (i)</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1.41</w:t>
            </w: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150,772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233,985</w:t>
            </w: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789,991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115,068</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Less: Purchases of property, equipment and software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(17,181)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(23,096)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(73,428)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(50,532)</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55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Free cash flow</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133,591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210,889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716,563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64,536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50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Times New Roman" w:cs="Times New Roman" w:eastAsia="Times New Roman" w:hAnsi="Times New Roman"/>
                <w:sz w:val="17"/>
                <w:szCs w:val="17"/>
                <w:color w:val="auto"/>
              </w:rPr>
              <w:t>Operating cash flow conversion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55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Free cash flow conversion</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00" w:right="500" w:hanging="241"/>
        <w:spacing w:after="0" w:line="286" w:lineRule="auto"/>
        <w:tabs>
          <w:tab w:leader="none" w:pos="2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Excluding Billable Expenses includes $113.1 million and $18.3 million of revenue for the nine months ending December 31, 2024 and 2023 respectively, resulting from the reduction to our provision for claimed costs as noted below.</w:t>
      </w:r>
    </w:p>
    <w:p>
      <w:pPr>
        <w:spacing w:after="0" w:line="1" w:lineRule="exact"/>
        <w:rPr>
          <w:sz w:val="20"/>
          <w:szCs w:val="20"/>
          <w:color w:val="auto"/>
        </w:rPr>
      </w:pPr>
    </w:p>
    <w:p>
      <w:pPr>
        <w:ind w:left="400" w:hanging="318"/>
        <w:spacing w:after="0" w:line="273" w:lineRule="auto"/>
        <w:tabs>
          <w:tab w:leader="none" w:pos="39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reduction to our provision for claimed costs for years prior to fiscal 2025 recorded during the second quarters of fiscal 2025 and 2024, which resulted in a corresponding increase to revenue, as a result of the Defense Contract Audit Agency's findings related to its audits of our claimed costs for multiple fiscal years. See Note 15, “Commitments and Contingencies,”to the condensed consolidated financial statements for further information.</w:t>
      </w:r>
    </w:p>
    <w:p>
      <w:pPr>
        <w:spacing w:after="0" w:line="7" w:lineRule="exact"/>
        <w:rPr>
          <w:rFonts w:ascii="Times New Roman" w:cs="Times New Roman" w:eastAsia="Times New Roman" w:hAnsi="Times New Roman"/>
          <w:sz w:val="17"/>
          <w:szCs w:val="17"/>
          <w:color w:val="auto"/>
        </w:rPr>
      </w:pPr>
    </w:p>
    <w:p>
      <w:pPr>
        <w:ind w:left="400" w:right="60" w:hanging="318"/>
        <w:spacing w:after="0" w:line="267" w:lineRule="auto"/>
        <w:tabs>
          <w:tab w:leader="none" w:pos="39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costs associated with the acquisition efforts of the Company related to transactions for which the Company has entered into a letter of intent to acquire a controlling financial interest in the target entity. Transactions primarily include the acquisitions of EverWatch Corp. (“EverWatch”) in fiscal 2023 and PAR Government Systems Corporation (“PGSC”) in fiscal 2025. See Note 5, “Acquisition, Goodwill, and Intangible Assets,”to the condensed consolidated financial statements for further information.</w:t>
      </w:r>
    </w:p>
    <w:p>
      <w:pPr>
        <w:spacing w:after="0" w:line="11" w:lineRule="exact"/>
        <w:rPr>
          <w:rFonts w:ascii="Times New Roman" w:cs="Times New Roman" w:eastAsia="Times New Roman" w:hAnsi="Times New Roman"/>
          <w:sz w:val="17"/>
          <w:szCs w:val="17"/>
          <w:color w:val="auto"/>
        </w:rPr>
      </w:pPr>
    </w:p>
    <w:p>
      <w:pPr>
        <w:ind w:left="380" w:hanging="298"/>
        <w:spacing w:after="0"/>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expenses associated with debt financing activities incurred during the second quarter of fiscal 2024.</w:t>
      </w:r>
    </w:p>
    <w:p>
      <w:pPr>
        <w:spacing w:after="0" w:line="63" w:lineRule="exact"/>
        <w:rPr>
          <w:rFonts w:ascii="Times New Roman" w:cs="Times New Roman" w:eastAsia="Times New Roman" w:hAnsi="Times New Roman"/>
          <w:sz w:val="17"/>
          <w:szCs w:val="17"/>
          <w:color w:val="auto"/>
        </w:rPr>
      </w:pPr>
    </w:p>
    <w:p>
      <w:pPr>
        <w:ind w:left="380" w:hanging="298"/>
        <w:spacing w:after="0"/>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expense associated with acquired intangibles from significant acquisitions.</w:t>
      </w:r>
    </w:p>
    <w:p>
      <w:pPr>
        <w:spacing w:after="0" w:line="63" w:lineRule="exact"/>
        <w:rPr>
          <w:rFonts w:ascii="Times New Roman" w:cs="Times New Roman" w:eastAsia="Times New Roman" w:hAnsi="Times New Roman"/>
          <w:sz w:val="17"/>
          <w:szCs w:val="17"/>
          <w:color w:val="auto"/>
        </w:rPr>
      </w:pPr>
    </w:p>
    <w:p>
      <w:pPr>
        <w:ind w:left="400" w:right="420" w:hanging="318"/>
        <w:spacing w:after="0" w:line="286" w:lineRule="auto"/>
        <w:tabs>
          <w:tab w:leader="none" w:pos="39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 associated with the U.S. Department of Justice's investigation of the Company. See Note 20, “Commitments and Contingencies,” to the consolidated financial statements contained within the Annual Report on Form 10-K for the fiscal year ended March 31, 2024 for further information.</w:t>
      </w:r>
    </w:p>
    <w:p>
      <w:pPr>
        <w:ind w:left="400" w:right="140" w:hanging="318"/>
        <w:spacing w:after="0" w:line="270" w:lineRule="auto"/>
        <w:tabs>
          <w:tab w:leader="none" w:pos="39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insurance recoveries from claims related to the Company’s fiscal 2024 settlement as described in Note 20, “Commitments and Contingencies,” to the consolidated financial statements contained within the Annual Report on Form 10-K for the fiscal year ended March 31, 2024.</w:t>
      </w:r>
    </w:p>
    <w:p>
      <w:pPr>
        <w:ind w:left="380" w:hanging="298"/>
        <w:spacing w:after="0"/>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combination of Interest expense and Other income, net from the condensed consolidated statement of operations.</w:t>
      </w:r>
    </w:p>
    <w:p>
      <w:pPr>
        <w:spacing w:after="0" w:line="63" w:lineRule="exact"/>
        <w:rPr>
          <w:rFonts w:ascii="Times New Roman" w:cs="Times New Roman" w:eastAsia="Times New Roman" w:hAnsi="Times New Roman"/>
          <w:sz w:val="17"/>
          <w:szCs w:val="17"/>
          <w:color w:val="auto"/>
        </w:rPr>
      </w:pPr>
    </w:p>
    <w:p>
      <w:pPr>
        <w:ind w:left="400" w:right="80" w:hanging="318"/>
        <w:spacing w:after="0" w:line="267" w:lineRule="auto"/>
        <w:tabs>
          <w:tab w:leader="none" w:pos="39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tax effect of adjustments at an assumed effective tax rate of 26%, which approximates the blended federal and state tax rates, and consistently excludes the impact of other tax credits and incentive benefits realized. The tax effect of certain discrete items is calculated specifically and may vary from the general 26% rate. The prior period tax effect also includes an adjustment related to the indirect effects of the application of Section 174 of the Tax Cuts and Jobs Act of 2017 ($26.0 million and $22.0 million for the three and nine months ended December 31, 2023, respectively).</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400" w:right="60" w:hanging="318"/>
        <w:spacing w:after="0" w:line="273" w:lineRule="auto"/>
        <w:tabs>
          <w:tab w:leader="none" w:pos="39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adjustments of approximately $1.1 million and $4.1 million of net earnings for the three and nine months ended December 31, 2024, respectively, and approximately $1.2 million and $3.9 million of net earnings for the three and nine months ended December 31, 2023, respectively, associated with the application of the two-class method for computing diluted earnings per share.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and Trends Affecting Our Results of Operations</w:t>
      </w:r>
    </w:p>
    <w:p>
      <w:pPr>
        <w:spacing w:after="0" w:line="118" w:lineRule="exact"/>
        <w:rPr>
          <w:sz w:val="20"/>
          <w:szCs w:val="20"/>
          <w:color w:val="auto"/>
        </w:rPr>
      </w:pPr>
    </w:p>
    <w:p>
      <w:pPr>
        <w:ind w:right="660" w:firstLine="389"/>
        <w:spacing w:after="0" w:line="292" w:lineRule="auto"/>
        <w:rPr>
          <w:sz w:val="20"/>
          <w:szCs w:val="20"/>
          <w:color w:val="auto"/>
        </w:rPr>
      </w:pPr>
      <w:r>
        <w:rPr>
          <w:rFonts w:ascii="Times New Roman" w:cs="Times New Roman" w:eastAsia="Times New Roman" w:hAnsi="Times New Roman"/>
          <w:sz w:val="17"/>
          <w:szCs w:val="17"/>
          <w:color w:val="auto"/>
        </w:rPr>
        <w:t>Our results of operations have been, and we expect them to continue to be, affected by the following factors, which may cause our future results of operations to differ from our historical results of operations discussed under “—Results of Operations.”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Environment and Key Trends in Our Markets</w:t>
      </w:r>
    </w:p>
    <w:p>
      <w:pPr>
        <w:spacing w:after="0" w:line="120" w:lineRule="exact"/>
        <w:rPr>
          <w:sz w:val="20"/>
          <w:szCs w:val="20"/>
          <w:color w:val="auto"/>
        </w:rPr>
      </w:pPr>
    </w:p>
    <w:p>
      <w:pPr>
        <w:ind w:right="520" w:firstLine="428"/>
        <w:spacing w:after="0" w:line="292" w:lineRule="auto"/>
        <w:rPr>
          <w:sz w:val="20"/>
          <w:szCs w:val="20"/>
          <w:color w:val="auto"/>
        </w:rPr>
      </w:pPr>
      <w:r>
        <w:rPr>
          <w:rFonts w:ascii="Times New Roman" w:cs="Times New Roman" w:eastAsia="Times New Roman" w:hAnsi="Times New Roman"/>
          <w:sz w:val="17"/>
          <w:szCs w:val="17"/>
          <w:color w:val="auto"/>
        </w:rPr>
        <w:t>We believe that the following trends and developments in the U.S. government services industry and our markets may influence our future results of operations:</w:t>
      </w:r>
    </w:p>
    <w:p>
      <w:pPr>
        <w:spacing w:after="0" w:line="43" w:lineRule="exact"/>
        <w:rPr>
          <w:sz w:val="20"/>
          <w:szCs w:val="20"/>
          <w:color w:val="auto"/>
        </w:rPr>
      </w:pPr>
    </w:p>
    <w:p>
      <w:pPr>
        <w:ind w:left="620" w:right="60" w:hanging="150"/>
        <w:spacing w:after="0" w:line="260"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the Coronavirus Aid, Relief, and Economic Security Act (the “CARES Act”), and the Consolidated Appropriations Act of 2021, and address the ability of Congress to determine how to allocate the available budget authority and pass appropriations bills to fund both U.S. government departments and agencies that are, and those that are not, subject to the caps;</w:t>
      </w:r>
    </w:p>
    <w:p>
      <w:pPr>
        <w:spacing w:after="0" w:line="73" w:lineRule="exact"/>
        <w:rPr>
          <w:rFonts w:ascii="Times New Roman" w:cs="Times New Roman" w:eastAsia="Times New Roman" w:hAnsi="Times New Roman"/>
          <w:sz w:val="17"/>
          <w:szCs w:val="17"/>
          <w:color w:val="auto"/>
        </w:rPr>
      </w:pPr>
    </w:p>
    <w:p>
      <w:pPr>
        <w:ind w:left="620" w:right="320" w:hanging="150"/>
        <w:spacing w:after="0" w:line="292"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42" w:lineRule="exact"/>
        <w:rPr>
          <w:rFonts w:ascii="Times New Roman" w:cs="Times New Roman" w:eastAsia="Times New Roman" w:hAnsi="Times New Roman"/>
          <w:sz w:val="17"/>
          <w:szCs w:val="17"/>
          <w:color w:val="auto"/>
        </w:rPr>
      </w:pPr>
    </w:p>
    <w:p>
      <w:pPr>
        <w:ind w:left="620" w:right="20" w:hanging="150"/>
        <w:spacing w:after="0" w:line="260"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69" w:lineRule="exact"/>
        <w:rPr>
          <w:rFonts w:ascii="Times New Roman" w:cs="Times New Roman" w:eastAsia="Times New Roman" w:hAnsi="Times New Roman"/>
          <w:sz w:val="17"/>
          <w:szCs w:val="17"/>
          <w:color w:val="auto"/>
        </w:rPr>
      </w:pPr>
    </w:p>
    <w:p>
      <w:pPr>
        <w:ind w:left="620" w:hanging="150"/>
        <w:spacing w:after="0" w:line="292"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the completion of future U.S. government’s budget processes, which have in the past and could in the future delay procurement of the products, services, and solutions we provide;</w:t>
      </w:r>
    </w:p>
    <w:p>
      <w:pPr>
        <w:spacing w:after="0" w:line="42" w:lineRule="exact"/>
        <w:rPr>
          <w:rFonts w:ascii="Times New Roman" w:cs="Times New Roman" w:eastAsia="Times New Roman" w:hAnsi="Times New Roman"/>
          <w:sz w:val="17"/>
          <w:szCs w:val="17"/>
          <w:color w:val="auto"/>
        </w:rPr>
      </w:pPr>
    </w:p>
    <w:p>
      <w:pPr>
        <w:jc w:val="both"/>
        <w:ind w:left="620" w:right="60" w:hanging="150"/>
        <w:spacing w:after="0" w:line="26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63" w:lineRule="exact"/>
        <w:rPr>
          <w:rFonts w:ascii="Times New Roman" w:cs="Times New Roman" w:eastAsia="Times New Roman" w:hAnsi="Times New Roman"/>
          <w:sz w:val="17"/>
          <w:szCs w:val="17"/>
          <w:color w:val="auto"/>
        </w:rPr>
      </w:pPr>
    </w:p>
    <w:p>
      <w:pPr>
        <w:ind w:left="620" w:right="200" w:hanging="150"/>
        <w:spacing w:after="0" w:line="273"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nature and effect of disease outbreaks, pandemics and widespread health epidemics, such as COVID-19, including the impact on federal budgets, current and pending procurements, supply chains, demand for services, deployment and productivity of our employees and the economic and societal impact of a pandemic, and the expected continued volatility in billable expenses;</w:t>
      </w:r>
    </w:p>
    <w:p>
      <w:pPr>
        <w:spacing w:after="0" w:line="58" w:lineRule="exact"/>
        <w:rPr>
          <w:rFonts w:ascii="Times New Roman" w:cs="Times New Roman" w:eastAsia="Times New Roman" w:hAnsi="Times New Roman"/>
          <w:sz w:val="17"/>
          <w:szCs w:val="17"/>
          <w:color w:val="auto"/>
        </w:rPr>
      </w:pPr>
    </w:p>
    <w:p>
      <w:pPr>
        <w:ind w:left="620" w:hanging="15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inflationary pressure that could impact the cost of doing business and/or reduce customer buying power;</w:t>
      </w:r>
    </w:p>
    <w:p>
      <w:pPr>
        <w:spacing w:after="0" w:line="115" w:lineRule="exact"/>
        <w:rPr>
          <w:rFonts w:ascii="Times New Roman" w:cs="Times New Roman" w:eastAsia="Times New Roman" w:hAnsi="Times New Roman"/>
          <w:sz w:val="17"/>
          <w:szCs w:val="17"/>
          <w:color w:val="auto"/>
        </w:rPr>
      </w:pPr>
    </w:p>
    <w:p>
      <w:pPr>
        <w:ind w:left="620" w:right="580" w:hanging="150"/>
        <w:spacing w:after="0" w:line="292"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 possible recession and volatility or instability of the global financial system, including bank failures and the resulting impact on counterparties and business conditions generally;</w:t>
      </w:r>
    </w:p>
    <w:p>
      <w:pPr>
        <w:spacing w:after="0" w:line="42" w:lineRule="exact"/>
        <w:rPr>
          <w:rFonts w:ascii="Times New Roman" w:cs="Times New Roman" w:eastAsia="Times New Roman" w:hAnsi="Times New Roman"/>
          <w:sz w:val="17"/>
          <w:szCs w:val="17"/>
          <w:color w:val="auto"/>
        </w:rPr>
      </w:pPr>
    </w:p>
    <w:p>
      <w:pPr>
        <w:ind w:left="620" w:right="20" w:hanging="150"/>
        <w:spacing w:after="0" w:line="26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and regulatory changes, or shifts in regulatory priorities as a result of U.S. administration transitions, including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hanging="15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by the U.S. government to address organizational conflicts of interest and related issues and the impact of those efforts on us and our competitors;</w:t>
      </w:r>
    </w:p>
    <w:p>
      <w:pPr>
        <w:spacing w:after="0" w:line="115" w:lineRule="exact"/>
        <w:rPr>
          <w:rFonts w:ascii="Times New Roman" w:cs="Times New Roman" w:eastAsia="Times New Roman" w:hAnsi="Times New Roman"/>
          <w:sz w:val="17"/>
          <w:szCs w:val="17"/>
          <w:color w:val="auto"/>
        </w:rPr>
      </w:pPr>
    </w:p>
    <w:p>
      <w:pPr>
        <w:ind w:left="620" w:right="20" w:hanging="150"/>
        <w:spacing w:after="0" w:line="29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42" w:lineRule="exact"/>
        <w:rPr>
          <w:rFonts w:ascii="Times New Roman" w:cs="Times New Roman" w:eastAsia="Times New Roman" w:hAnsi="Times New Roman"/>
          <w:sz w:val="17"/>
          <w:szCs w:val="17"/>
          <w:color w:val="auto"/>
        </w:rPr>
      </w:pPr>
    </w:p>
    <w:p>
      <w:pPr>
        <w:ind w:left="620" w:right="280" w:hanging="150"/>
        <w:spacing w:after="0" w:line="29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42" w:lineRule="exact"/>
        <w:rPr>
          <w:rFonts w:ascii="Times New Roman" w:cs="Times New Roman" w:eastAsia="Times New Roman" w:hAnsi="Times New Roman"/>
          <w:sz w:val="17"/>
          <w:szCs w:val="17"/>
          <w:color w:val="auto"/>
        </w:rPr>
      </w:pPr>
    </w:p>
    <w:p>
      <w:pPr>
        <w:ind w:left="620" w:right="340" w:hanging="150"/>
        <w:spacing w:after="0" w:line="29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42" w:lineRule="exact"/>
        <w:rPr>
          <w:rFonts w:ascii="Times New Roman" w:cs="Times New Roman" w:eastAsia="Times New Roman" w:hAnsi="Times New Roman"/>
          <w:sz w:val="17"/>
          <w:szCs w:val="17"/>
          <w:color w:val="auto"/>
        </w:rPr>
      </w:pPr>
    </w:p>
    <w:p>
      <w:pPr>
        <w:ind w:left="620" w:right="320" w:hanging="150"/>
        <w:spacing w:after="0" w:line="29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agencies awarding contracts on a technically acceptable/lowest cost basis, which could have a negative impact on our ability to win certain contracts;</w:t>
      </w:r>
    </w:p>
    <w:p>
      <w:pPr>
        <w:spacing w:after="0" w:line="42" w:lineRule="exact"/>
        <w:rPr>
          <w:rFonts w:ascii="Times New Roman" w:cs="Times New Roman" w:eastAsia="Times New Roman" w:hAnsi="Times New Roman"/>
          <w:sz w:val="17"/>
          <w:szCs w:val="17"/>
          <w:color w:val="auto"/>
        </w:rPr>
      </w:pPr>
    </w:p>
    <w:p>
      <w:pPr>
        <w:ind w:left="620" w:right="100" w:hanging="150"/>
        <w:spacing w:after="0" w:line="29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42" w:lineRule="exact"/>
        <w:rPr>
          <w:rFonts w:ascii="Times New Roman" w:cs="Times New Roman" w:eastAsia="Times New Roman" w:hAnsi="Times New Roman"/>
          <w:sz w:val="17"/>
          <w:szCs w:val="17"/>
          <w:color w:val="auto"/>
        </w:rPr>
      </w:pPr>
    </w:p>
    <w:p>
      <w:pPr>
        <w:ind w:left="620" w:right="140" w:hanging="150"/>
        <w:spacing w:after="0" w:line="27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58" w:lineRule="exact"/>
        <w:rPr>
          <w:rFonts w:ascii="Times New Roman" w:cs="Times New Roman" w:eastAsia="Times New Roman" w:hAnsi="Times New Roman"/>
          <w:sz w:val="17"/>
          <w:szCs w:val="17"/>
          <w:color w:val="auto"/>
        </w:rPr>
      </w:pPr>
    </w:p>
    <w:p>
      <w:pPr>
        <w:ind w:left="620" w:right="460" w:hanging="150"/>
        <w:spacing w:after="0" w:line="29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42" w:lineRule="exact"/>
        <w:rPr>
          <w:rFonts w:ascii="Times New Roman" w:cs="Times New Roman" w:eastAsia="Times New Roman" w:hAnsi="Times New Roman"/>
          <w:sz w:val="17"/>
          <w:szCs w:val="17"/>
          <w:color w:val="auto"/>
        </w:rPr>
      </w:pPr>
    </w:p>
    <w:p>
      <w:pPr>
        <w:jc w:val="both"/>
        <w:ind w:left="620" w:right="500" w:hanging="150"/>
        <w:spacing w:after="0" w:line="27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increasingly complex requirements and enforcement and reporting landscapes of the Department of Defense and the U.S. intelligence community, including cybersecurity, managing federal health care cost growth, competition, and focus on reforming existing government regulation of various sectors of the economy, such as financial regulation and healthcare; and</w:t>
      </w:r>
    </w:p>
    <w:p>
      <w:pPr>
        <w:spacing w:after="0" w:line="58" w:lineRule="exact"/>
        <w:rPr>
          <w:rFonts w:ascii="Times New Roman" w:cs="Times New Roman" w:eastAsia="Times New Roman" w:hAnsi="Times New Roman"/>
          <w:sz w:val="17"/>
          <w:szCs w:val="17"/>
          <w:color w:val="auto"/>
        </w:rPr>
      </w:pPr>
    </w:p>
    <w:p>
      <w:pPr>
        <w:ind w:left="620" w:right="320" w:hanging="150"/>
        <w:spacing w:after="0" w:line="27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Revenue</w:t>
      </w:r>
    </w:p>
    <w:p>
      <w:pPr>
        <w:spacing w:after="0" w:line="120" w:lineRule="exact"/>
        <w:rPr>
          <w:sz w:val="20"/>
          <w:szCs w:val="20"/>
          <w:color w:val="auto"/>
        </w:rPr>
      </w:pPr>
    </w:p>
    <w:p>
      <w:pPr>
        <w:ind w:firstLine="428"/>
        <w:spacing w:after="0" w:line="257" w:lineRule="auto"/>
        <w:rPr>
          <w:sz w:val="20"/>
          <w:szCs w:val="20"/>
          <w:color w:val="auto"/>
        </w:rPr>
      </w:pPr>
      <w:r>
        <w:rPr>
          <w:rFonts w:ascii="Times New Roman" w:cs="Times New Roman" w:eastAsia="Times New Roman" w:hAnsi="Times New Roman"/>
          <w:sz w:val="17"/>
          <w:szCs w:val="17"/>
          <w:color w:val="auto"/>
        </w:rPr>
        <w:t>Substantially all of our revenue is derived from services provided under contracts and task orders with the U.S. government, primarily by our client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 annually from 2013 to 2021, half of which was intended to come from defense programs, though less than $1 billion has been cut for defense programs per year under the BCA. Mandatory sequestrations under the BCA were subsequently extended by the Bipartisan Budget Acts of 2013, 2015, 2018 and 2019, the Military Retired Pay Restoration Act, the CARES Act and the Infrastructure Investment and Jobs Act. The extension of the mandatory sequestration applies an 8.3% reduction in defense spending in each year from 2021 through 2031.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Types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generate revenue under the following three basic types of contracts: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0" w:right="20" w:hanging="150"/>
        <w:spacing w:after="0" w:line="260"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Cost-Reimbursable Contracts. </w:t>
      </w:r>
      <w:r>
        <w:rPr>
          <w:rFonts w:ascii="Times New Roman" w:cs="Times New Roman" w:eastAsia="Times New Roman" w:hAnsi="Times New Roman"/>
          <w:sz w:val="17"/>
          <w:szCs w:val="17"/>
          <w:color w:val="auto"/>
        </w:rPr>
        <w:t>Cost-reimbursable contracts provide for the payment of allowable costs incurred during performance of the contract, up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69" w:lineRule="exact"/>
        <w:rPr>
          <w:rFonts w:ascii="Times New Roman" w:cs="Times New Roman" w:eastAsia="Times New Roman" w:hAnsi="Times New Roman"/>
          <w:sz w:val="17"/>
          <w:szCs w:val="17"/>
          <w:color w:val="auto"/>
        </w:rPr>
      </w:pPr>
    </w:p>
    <w:p>
      <w:pPr>
        <w:ind w:left="620" w:right="40" w:hanging="150"/>
        <w:spacing w:after="0" w:line="264" w:lineRule="auto"/>
        <w:tabs>
          <w:tab w:leader="none" w:pos="616"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Time-and-Materials Contracts. </w:t>
      </w:r>
      <w:r>
        <w:rPr>
          <w:rFonts w:ascii="Times New Roman" w:cs="Times New Roman" w:eastAsia="Times New Roman" w:hAnsi="Times New Roman"/>
          <w:sz w:val="17"/>
          <w:szCs w:val="17"/>
          <w:color w:val="auto"/>
        </w:rPr>
        <w:t>Under contracts in this category, we are paid a fixed hourly rate for each direct labor hour expended, and we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65" w:lineRule="exact"/>
        <w:rPr>
          <w:rFonts w:ascii="Times New Roman" w:cs="Times New Roman" w:eastAsia="Times New Roman" w:hAnsi="Times New Roman"/>
          <w:sz w:val="17"/>
          <w:szCs w:val="17"/>
          <w:i w:val="1"/>
          <w:iCs w:val="1"/>
          <w:color w:val="auto"/>
        </w:rPr>
      </w:pPr>
    </w:p>
    <w:p>
      <w:pPr>
        <w:ind w:left="620" w:right="120" w:hanging="150"/>
        <w:spacing w:after="0" w:line="264" w:lineRule="auto"/>
        <w:tabs>
          <w:tab w:leader="none" w:pos="616"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Fixed-Price Contracts. </w:t>
      </w:r>
      <w:r>
        <w:rPr>
          <w:rFonts w:ascii="Times New Roman" w:cs="Times New Roman" w:eastAsia="Times New Roman" w:hAnsi="Times New Roman"/>
          <w:sz w:val="17"/>
          <w:szCs w:val="17"/>
          <w:color w:val="auto"/>
        </w:rPr>
        <w:t>Under a fixed-price contract, we agree to perform the specified work for a predetermined price. To the extent our actual direct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68" w:lineRule="exact"/>
        <w:rPr>
          <w:sz w:val="20"/>
          <w:szCs w:val="20"/>
          <w:color w:val="auto"/>
        </w:rPr>
      </w:pPr>
    </w:p>
    <w:p>
      <w:pPr>
        <w:ind w:firstLine="428"/>
        <w:spacing w:after="0" w:line="258" w:lineRule="auto"/>
        <w:rPr>
          <w:sz w:val="20"/>
          <w:szCs w:val="20"/>
          <w:color w:val="auto"/>
        </w:rPr>
      </w:pPr>
      <w:r>
        <w:rPr>
          <w:rFonts w:ascii="Times New Roman" w:cs="Times New Roman" w:eastAsia="Times New Roman" w:hAnsi="Times New Roman"/>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table below presents the percentage of total revenue for each type of contract as of the respective periods presented: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3060" w:type="dxa"/>
            <w:vAlign w:val="bottom"/>
            <w:gridSpan w:val="5"/>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1"/>
        </w:trPr>
        <w:tc>
          <w:tcPr>
            <w:tcW w:w="5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20" w:type="dxa"/>
            <w:vAlign w:val="bottom"/>
            <w:gridSpan w:val="4"/>
          </w:tcPr>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40" w:type="dxa"/>
            <w:vAlign w:val="bottom"/>
          </w:tcPr>
          <w:p>
            <w:pPr>
              <w:spacing w:after="0"/>
              <w:rPr>
                <w:sz w:val="20"/>
                <w:szCs w:val="20"/>
                <w:color w:val="auto"/>
              </w:rPr>
            </w:pPr>
          </w:p>
        </w:tc>
        <w:tc>
          <w:tcPr>
            <w:tcW w:w="2020" w:type="dxa"/>
            <w:vAlign w:val="bottom"/>
            <w:gridSpan w:val="3"/>
          </w:tcPr>
          <w:p>
            <w:pPr>
              <w:jc w:val="center"/>
              <w:ind w:right="83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6"/>
        </w:trPr>
        <w:tc>
          <w:tcPr>
            <w:tcW w:w="5220" w:type="dxa"/>
            <w:vAlign w:val="bottom"/>
          </w:tcPr>
          <w:p>
            <w:pPr>
              <w:spacing w:after="0"/>
              <w:rPr>
                <w:sz w:val="18"/>
                <w:szCs w:val="18"/>
                <w:color w:val="auto"/>
              </w:rPr>
            </w:pPr>
          </w:p>
        </w:tc>
        <w:tc>
          <w:tcPr>
            <w:tcW w:w="940" w:type="dxa"/>
            <w:vAlign w:val="bottom"/>
            <w:tcBorders>
              <w:top w:val="single" w:sz="8" w:color="auto"/>
            </w:tcBorders>
          </w:tcPr>
          <w:p>
            <w:pPr>
              <w:jc w:val="center"/>
              <w:ind w:lef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20" w:type="dxa"/>
            <w:vAlign w:val="bottom"/>
            <w:tcBorders>
              <w:top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center"/>
              <w:ind w:lef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20" w:type="dxa"/>
            <w:vAlign w:val="bottom"/>
            <w:tcBorders>
              <w:top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Cost-reimbursable</w:t>
            </w:r>
          </w:p>
        </w:tc>
        <w:tc>
          <w:tcPr>
            <w:tcW w:w="940" w:type="dxa"/>
            <w:vAlign w:val="bottom"/>
            <w:tcBorders>
              <w:top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rPr>
              <w:t>57%</w:t>
            </w: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55%</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rPr>
              <w:t>57%</w:t>
            </w: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55%</w:t>
            </w: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Time-and-materials</w:t>
            </w:r>
          </w:p>
        </w:tc>
        <w:tc>
          <w:tcPr>
            <w:tcW w:w="94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23%</w:t>
            </w:r>
          </w:p>
        </w:tc>
        <w:tc>
          <w:tcPr>
            <w:tcW w:w="2020" w:type="dxa"/>
            <w:vAlign w:val="bottom"/>
            <w:gridSpan w:val="3"/>
          </w:tcPr>
          <w:p>
            <w:pPr>
              <w:jc w:val="center"/>
              <w:ind w:left="514"/>
              <w:spacing w:after="0"/>
              <w:rPr>
                <w:sz w:val="20"/>
                <w:szCs w:val="20"/>
                <w:color w:val="auto"/>
              </w:rPr>
            </w:pPr>
            <w:r>
              <w:rPr>
                <w:rFonts w:ascii="Times New Roman" w:cs="Times New Roman" w:eastAsia="Times New Roman" w:hAnsi="Times New Roman"/>
                <w:sz w:val="17"/>
                <w:szCs w:val="17"/>
                <w:color w:val="auto"/>
                <w:w w:val="96"/>
              </w:rPr>
              <w:t>24%</w:t>
            </w:r>
          </w:p>
        </w:tc>
        <w:tc>
          <w:tcPr>
            <w:tcW w:w="100" w:type="dxa"/>
            <w:vAlign w:val="bottom"/>
          </w:tcPr>
          <w:p>
            <w:pPr>
              <w:spacing w:after="0"/>
              <w:rPr>
                <w:sz w:val="19"/>
                <w:szCs w:val="19"/>
                <w:color w:val="auto"/>
              </w:rPr>
            </w:pPr>
          </w:p>
        </w:tc>
        <w:tc>
          <w:tcPr>
            <w:tcW w:w="94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23%</w:t>
            </w:r>
          </w:p>
        </w:tc>
        <w:tc>
          <w:tcPr>
            <w:tcW w:w="2020" w:type="dxa"/>
            <w:vAlign w:val="bottom"/>
            <w:gridSpan w:val="3"/>
          </w:tcPr>
          <w:p>
            <w:pPr>
              <w:jc w:val="center"/>
              <w:ind w:left="514"/>
              <w:spacing w:after="0"/>
              <w:rPr>
                <w:sz w:val="20"/>
                <w:szCs w:val="20"/>
                <w:color w:val="auto"/>
              </w:rPr>
            </w:pPr>
            <w:r>
              <w:rPr>
                <w:rFonts w:ascii="Times New Roman" w:cs="Times New Roman" w:eastAsia="Times New Roman" w:hAnsi="Times New Roman"/>
                <w:sz w:val="17"/>
                <w:szCs w:val="17"/>
                <w:color w:val="auto"/>
                <w:w w:val="96"/>
              </w:rPr>
              <w:t>24%</w:t>
            </w:r>
          </w:p>
        </w:tc>
      </w:tr>
      <w:tr>
        <w:trPr>
          <w:trHeight w:val="22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Fixed-price</w:t>
            </w:r>
          </w:p>
        </w:tc>
        <w:tc>
          <w:tcPr>
            <w:tcW w:w="94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rPr>
              <w:t>20%</w:t>
            </w:r>
          </w:p>
        </w:tc>
        <w:tc>
          <w:tcPr>
            <w:tcW w:w="2020" w:type="dxa"/>
            <w:vAlign w:val="bottom"/>
            <w:gridSpan w:val="3"/>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w w:val="96"/>
              </w:rPr>
              <w:t>21%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rPr>
              <w:t>20%</w:t>
            </w:r>
          </w:p>
        </w:tc>
        <w:tc>
          <w:tcPr>
            <w:tcW w:w="2020" w:type="dxa"/>
            <w:vAlign w:val="bottom"/>
            <w:gridSpan w:val="3"/>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w w:val="96"/>
              </w:rPr>
              <w:t>21%</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Diversity and Revenue Mix</w:t>
      </w:r>
    </w:p>
    <w:p>
      <w:pPr>
        <w:spacing w:after="0" w:line="118" w:lineRule="exact"/>
        <w:rPr>
          <w:sz w:val="20"/>
          <w:szCs w:val="20"/>
          <w:color w:val="auto"/>
        </w:rPr>
      </w:pPr>
    </w:p>
    <w:p>
      <w:pPr>
        <w:ind w:right="40" w:firstLine="389"/>
        <w:spacing w:after="0" w:line="262" w:lineRule="auto"/>
        <w:rPr>
          <w:sz w:val="20"/>
          <w:szCs w:val="20"/>
          <w:color w:val="auto"/>
        </w:rPr>
      </w:pPr>
      <w:r>
        <w:rPr>
          <w:rFonts w:ascii="Times New Roman" w:cs="Times New Roman" w:eastAsia="Times New Roman" w:hAnsi="Times New Roman"/>
          <w:sz w:val="17"/>
          <w:szCs w:val="17"/>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firstLine="389"/>
        <w:spacing w:after="0" w:line="264" w:lineRule="auto"/>
        <w:rPr>
          <w:sz w:val="20"/>
          <w:szCs w:val="20"/>
          <w:color w:val="auto"/>
        </w:rPr>
      </w:pPr>
      <w:r>
        <w:rPr>
          <w:rFonts w:ascii="Times New Roman" w:cs="Times New Roman" w:eastAsia="Times New Roman" w:hAnsi="Times New Roman"/>
          <w:sz w:val="17"/>
          <w:szCs w:val="17"/>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client staff labor, as the portion of our operating margin derived from fees we earn on services provided by our subcontractors is not significant. We view growth in direct client staff labor as the primary driver of earnings growth. Direct client staff labor growth is driven by client staff headcount growth, after attrition, and total backlog growth.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People</w:t>
      </w:r>
    </w:p>
    <w:p>
      <w:pPr>
        <w:spacing w:after="0" w:line="118" w:lineRule="exact"/>
        <w:rPr>
          <w:sz w:val="20"/>
          <w:szCs w:val="20"/>
          <w:color w:val="auto"/>
        </w:rPr>
      </w:pPr>
    </w:p>
    <w:p>
      <w:pPr>
        <w:jc w:val="both"/>
        <w:ind w:firstLine="389"/>
        <w:spacing w:after="0" w:line="264" w:lineRule="auto"/>
        <w:rPr>
          <w:sz w:val="20"/>
          <w:szCs w:val="20"/>
          <w:color w:val="auto"/>
        </w:rPr>
      </w:pPr>
      <w:r>
        <w:rPr>
          <w:rFonts w:ascii="Times New Roman" w:cs="Times New Roman" w:eastAsia="Times New Roman" w:hAnsi="Times New Roman"/>
          <w:sz w:val="17"/>
          <w:szCs w:val="17"/>
          <w:color w:val="auto"/>
        </w:rPr>
        <w:t>Revenue from our contracts is derived from services delivered by client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December 31, 2024 and 2023, we employed approximately 35,900 and 33,800 people, respectively, of which approximately 32,700 and 30,900, respectively, were client staff.</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Backlog</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define backlog to include the following three components:</w:t>
      </w:r>
    </w:p>
    <w:p>
      <w:pPr>
        <w:spacing w:after="0" w:line="114" w:lineRule="exact"/>
        <w:rPr>
          <w:sz w:val="20"/>
          <w:szCs w:val="20"/>
          <w:color w:val="auto"/>
        </w:rPr>
      </w:pPr>
    </w:p>
    <w:p>
      <w:pPr>
        <w:ind w:left="620" w:right="480" w:hanging="305"/>
        <w:spacing w:after="0" w:line="294" w:lineRule="auto"/>
        <w:tabs>
          <w:tab w:leader="none" w:pos="616"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Funded Backlog. </w:t>
      </w:r>
      <w:r>
        <w:rPr>
          <w:rFonts w:ascii="Times New Roman" w:cs="Times New Roman" w:eastAsia="Times New Roman" w:hAnsi="Times New Roman"/>
          <w:sz w:val="17"/>
          <w:szCs w:val="17"/>
          <w:color w:val="auto"/>
        </w:rPr>
        <w:t>Funded backlog represents the revenue value of orders for services under existing contracts for which funding is appropriated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otherwise authorized less revenue previously recognized on these contracts.</w:t>
      </w:r>
    </w:p>
    <w:p>
      <w:pPr>
        <w:spacing w:after="0" w:line="39" w:lineRule="exact"/>
        <w:rPr>
          <w:rFonts w:ascii="Times New Roman" w:cs="Times New Roman" w:eastAsia="Times New Roman" w:hAnsi="Times New Roman"/>
          <w:sz w:val="17"/>
          <w:szCs w:val="17"/>
          <w:i w:val="1"/>
          <w:iCs w:val="1"/>
          <w:color w:val="auto"/>
        </w:rPr>
      </w:pPr>
    </w:p>
    <w:p>
      <w:pPr>
        <w:ind w:left="620" w:right="100" w:hanging="305"/>
        <w:spacing w:after="0" w:line="29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Unfunded Backlog. </w:t>
      </w:r>
      <w:r>
        <w:rPr>
          <w:rFonts w:ascii="Times New Roman" w:cs="Times New Roman" w:eastAsia="Times New Roman" w:hAnsi="Times New Roman"/>
          <w:sz w:val="17"/>
          <w:szCs w:val="17"/>
          <w:color w:val="auto"/>
        </w:rPr>
        <w:t>Unfunded backlog represents the revenue value of orders (including optional orders) for services under existing contracts for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funding has not been appropriated or otherwise authorized.</w:t>
      </w:r>
    </w:p>
    <w:p>
      <w:pPr>
        <w:spacing w:after="0" w:line="39" w:lineRule="exact"/>
        <w:rPr>
          <w:rFonts w:ascii="Times New Roman" w:cs="Times New Roman" w:eastAsia="Times New Roman" w:hAnsi="Times New Roman"/>
          <w:sz w:val="17"/>
          <w:szCs w:val="17"/>
          <w:color w:val="auto"/>
        </w:rPr>
      </w:pPr>
    </w:p>
    <w:p>
      <w:pPr>
        <w:ind w:left="620" w:right="240" w:hanging="305"/>
        <w:spacing w:after="0" w:line="29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Priced Options. </w:t>
      </w:r>
      <w:r>
        <w:rPr>
          <w:rFonts w:ascii="Times New Roman" w:cs="Times New Roman" w:eastAsia="Times New Roman" w:hAnsi="Times New Roman"/>
          <w:sz w:val="17"/>
          <w:szCs w:val="17"/>
          <w:color w:val="auto"/>
        </w:rPr>
        <w:t>Priced contract options represent 100% of the revenue value of all future contract option periods under existing contracts that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exercised at our clients’ option and for which funding has not been appropriated or otherwise authorized.</w:t>
      </w:r>
    </w:p>
    <w:p>
      <w:pPr>
        <w:spacing w:after="0" w:line="42" w:lineRule="exact"/>
        <w:rPr>
          <w:sz w:val="20"/>
          <w:szCs w:val="20"/>
          <w:color w:val="auto"/>
        </w:rPr>
      </w:pPr>
    </w:p>
    <w:p>
      <w:pPr>
        <w:ind w:right="580" w:firstLine="389"/>
        <w:spacing w:after="0" w:line="292" w:lineRule="auto"/>
        <w:rPr>
          <w:sz w:val="20"/>
          <w:szCs w:val="20"/>
          <w:color w:val="auto"/>
        </w:rPr>
      </w:pPr>
      <w:r>
        <w:rPr>
          <w:rFonts w:ascii="Times New Roman" w:cs="Times New Roman" w:eastAsia="Times New Roman" w:hAnsi="Times New Roman"/>
          <w:sz w:val="17"/>
          <w:szCs w:val="17"/>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43" w:lineRule="exact"/>
        <w:rPr>
          <w:sz w:val="20"/>
          <w:szCs w:val="20"/>
          <w:color w:val="auto"/>
        </w:rPr>
      </w:pPr>
    </w:p>
    <w:tbl>
      <w:tblPr>
        <w:tblLayout w:type="fixed"/>
        <w:tblInd w:w="180" w:type="dxa"/>
        <w:tblCellMar>
          <w:top w:w="0" w:type="dxa"/>
          <w:left w:w="0" w:type="dxa"/>
          <w:bottom w:w="0" w:type="dxa"/>
          <w:right w:w="0" w:type="dxa"/>
        </w:tblCellMar>
      </w:tblPr>
      <w:tr>
        <w:trPr>
          <w:trHeight w:val="226"/>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following table summarizes the value of our contract backlog as of the respective periods presented:</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6"/>
        </w:trPr>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00" w:type="dxa"/>
            <w:vAlign w:val="bottom"/>
          </w:tcPr>
          <w:p>
            <w:pPr>
              <w:spacing w:after="0"/>
              <w:rPr>
                <w:sz w:val="21"/>
                <w:szCs w:val="21"/>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1"/>
        </w:trPr>
        <w:tc>
          <w:tcPr>
            <w:tcW w:w="7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6"/>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4"/>
          </w:tcPr>
          <w:p>
            <w:pPr>
              <w:jc w:val="right"/>
              <w:ind w:right="1094"/>
              <w:spacing w:after="0"/>
              <w:rPr>
                <w:sz w:val="20"/>
                <w:szCs w:val="20"/>
                <w:color w:val="auto"/>
              </w:rPr>
            </w:pPr>
            <w:r>
              <w:rPr>
                <w:rFonts w:ascii="Times New Roman" w:cs="Times New Roman" w:eastAsia="Times New Roman" w:hAnsi="Times New Roman"/>
                <w:sz w:val="17"/>
                <w:szCs w:val="17"/>
                <w:b w:val="1"/>
                <w:bCs w:val="1"/>
                <w:color w:val="auto"/>
              </w:rPr>
              <w:t>(In millions)</w:t>
            </w:r>
          </w:p>
        </w:tc>
      </w:tr>
      <w:tr>
        <w:trPr>
          <w:trHeight w:val="22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Backlog (1):</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0"/>
        </w:trPr>
        <w:tc>
          <w:tcPr>
            <w:tcW w:w="7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Funded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5,246</w:t>
            </w:r>
          </w:p>
        </w:tc>
      </w:tr>
      <w:tr>
        <w:trPr>
          <w:trHeight w:val="220"/>
        </w:trPr>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Unfunded</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9,195</w:t>
            </w:r>
          </w:p>
        </w:tc>
      </w:tr>
      <w:tr>
        <w:trPr>
          <w:trHeight w:val="220"/>
        </w:trPr>
        <w:tc>
          <w:tcPr>
            <w:tcW w:w="7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Priced options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19,880</w:t>
            </w:r>
          </w:p>
        </w:tc>
      </w:tr>
      <w:tr>
        <w:trPr>
          <w:trHeight w:val="238"/>
        </w:trPr>
        <w:tc>
          <w:tcPr>
            <w:tcW w:w="76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backlog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34,321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500" w:right="700" w:hanging="233"/>
        <w:spacing w:after="0" w:line="244" w:lineRule="auto"/>
        <w:tabs>
          <w:tab w:leader="none" w:pos="51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presented includes backlog acquired from the Company’s acquisition of PGSC during the nine months ended December 31, 2024. Total backlog acquired from PGSC was approximately $230.5 million at the date of acquisition.</w:t>
      </w:r>
    </w:p>
    <w:p>
      <w:pPr>
        <w:spacing w:after="0" w:line="186" w:lineRule="exact"/>
        <w:rPr>
          <w:sz w:val="20"/>
          <w:szCs w:val="20"/>
          <w:color w:val="auto"/>
        </w:rPr>
      </w:pPr>
    </w:p>
    <w:p>
      <w:pPr>
        <w:ind w:firstLine="389"/>
        <w:spacing w:after="0" w:line="258" w:lineRule="auto"/>
        <w:rPr>
          <w:sz w:val="20"/>
          <w:szCs w:val="20"/>
          <w:color w:val="auto"/>
        </w:rPr>
      </w:pPr>
      <w:r>
        <w:rPr>
          <w:rFonts w:ascii="Times New Roman" w:cs="Times New Roman" w:eastAsia="Times New Roman" w:hAnsi="Times New Roman"/>
          <w:sz w:val="17"/>
          <w:szCs w:val="17"/>
          <w:color w:val="auto"/>
        </w:rPr>
        <w:t>Our total backlog consists of remaining performance obligations, certain orders under contracts for which the period of performance has expired, and unexercised option period and other unexercised optional orders. As of December 31, 2024 and March 31, 2024, the Company had $9.5 billion and $8.7 billion of remaining performance obligations, respectively. We expect to recognize approximately 70% of the remaining performance obligations as of December 31, 2024 as revenue over the next 12 months, and approximately 80% over the next 24 months. The remainder is expected to be recognized thereafter. However, given the uncertainties discussed below, as well as the risks described in “Item 1A. Risk Factors” of our Annual Report on Form 10-K for the fiscal year ended March 31, 2024,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389"/>
        <w:spacing w:after="0" w:line="260" w:lineRule="auto"/>
        <w:rPr>
          <w:sz w:val="20"/>
          <w:szCs w:val="20"/>
          <w:color w:val="auto"/>
        </w:rPr>
      </w:pPr>
      <w:r>
        <w:rPr>
          <w:rFonts w:ascii="Times New Roman" w:cs="Times New Roman" w:eastAsia="Times New Roman" w:hAnsi="Times New Roman"/>
          <w:sz w:val="17"/>
          <w:szCs w:val="17"/>
          <w:color w:val="auto"/>
        </w:rPr>
        <w:t>We view growth in total backlog and client staff headcount as the two key measures of our potential business growth. Growing and deploying client staff is the primary means by which we are able to achieve profitable revenue growth. To the extent that we are able to hire additional client staff and deploy them against funded backlog, we generally recognize increased revenue. Total backlog increased by 14.8% from December 31, 2023 to December 31, 2024. Additions to funded backlog during the twelve months ended December 31, 2024 and 2023 totaled $11.9 billion and $11.0 billion, respectively,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3" w:lineRule="exact"/>
        <w:rPr>
          <w:sz w:val="20"/>
          <w:szCs w:val="20"/>
          <w:color w:val="auto"/>
        </w:rPr>
      </w:pPr>
    </w:p>
    <w:p>
      <w:pPr>
        <w:ind w:right="20" w:firstLine="389"/>
        <w:spacing w:after="0" w:line="258" w:lineRule="auto"/>
        <w:rPr>
          <w:sz w:val="20"/>
          <w:szCs w:val="20"/>
          <w:color w:val="auto"/>
        </w:rPr>
      </w:pPr>
      <w:r>
        <w:rPr>
          <w:rFonts w:ascii="Times New Roman" w:cs="Times New Roman" w:eastAsia="Times New Roman" w:hAnsi="Times New Roman"/>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client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81" w:lineRule="exact"/>
        <w:rPr>
          <w:sz w:val="20"/>
          <w:szCs w:val="20"/>
          <w:color w:val="auto"/>
        </w:rPr>
      </w:pPr>
    </w:p>
    <w:p>
      <w:pPr>
        <w:jc w:val="both"/>
        <w:ind w:right="140" w:firstLine="389"/>
        <w:spacing w:after="0" w:line="264" w:lineRule="auto"/>
        <w:rPr>
          <w:sz w:val="20"/>
          <w:szCs w:val="20"/>
          <w:color w:val="auto"/>
        </w:rPr>
      </w:pPr>
      <w:r>
        <w:rPr>
          <w:rFonts w:ascii="Times New Roman" w:cs="Times New Roman" w:eastAsia="Times New Roman" w:hAnsi="Times New Roman"/>
          <w:sz w:val="17"/>
          <w:szCs w:val="17"/>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value that was not recognized as revenue due to the expiration of a contract’s period of performance did not exceed 5% of total backlog as of December 31, 2024 or any of the preceding three fiscal quarters.</w:t>
      </w:r>
    </w:p>
    <w:p>
      <w:pPr>
        <w:spacing w:after="0" w:line="66" w:lineRule="exact"/>
        <w:rPr>
          <w:sz w:val="20"/>
          <w:szCs w:val="20"/>
          <w:color w:val="auto"/>
        </w:rPr>
      </w:pPr>
    </w:p>
    <w:p>
      <w:pPr>
        <w:jc w:val="both"/>
        <w:ind w:right="180" w:firstLine="389"/>
        <w:spacing w:after="0" w:line="273" w:lineRule="auto"/>
        <w:rPr>
          <w:sz w:val="20"/>
          <w:szCs w:val="20"/>
          <w:color w:val="auto"/>
        </w:rPr>
      </w:pPr>
      <w:r>
        <w:rPr>
          <w:rFonts w:ascii="Times New Roman" w:cs="Times New Roman" w:eastAsia="Times New Roman" w:hAnsi="Times New Roman"/>
          <w:sz w:val="17"/>
          <w:szCs w:val="17"/>
          <w:color w:val="auto"/>
        </w:rPr>
        <w:t>We expect to recognize revenue from a substantial portion of funded backlog as of December 31, 2024 within the next twelve months. However, given the uncertainties discussed above, as well as the risks described in “Part I, Item 1A. Risk Factors,” of our fiscal 2024 Annual Report on Form 10-K, we can give no assurance that we will be able to convert our backlog into revenue in any particular period, if at all.</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Government Audit Impact on Operating Income</w:t>
      </w:r>
    </w:p>
    <w:p>
      <w:pPr>
        <w:spacing w:after="0" w:line="118" w:lineRule="exact"/>
        <w:rPr>
          <w:sz w:val="20"/>
          <w:szCs w:val="20"/>
          <w:color w:val="auto"/>
        </w:rPr>
      </w:pPr>
    </w:p>
    <w:p>
      <w:pPr>
        <w:ind w:right="100" w:firstLine="428"/>
        <w:spacing w:after="0" w:line="264" w:lineRule="auto"/>
        <w:rPr>
          <w:sz w:val="20"/>
          <w:szCs w:val="20"/>
          <w:color w:val="auto"/>
        </w:rPr>
      </w:pPr>
      <w:r>
        <w:rPr>
          <w:rFonts w:ascii="Times New Roman" w:cs="Times New Roman" w:eastAsia="Times New Roman" w:hAnsi="Times New Roman"/>
          <w:sz w:val="17"/>
          <w:szCs w:val="17"/>
          <w:color w:val="auto"/>
        </w:rPr>
        <w:t>As noted in the Company's Annual Report on Form 10-K for the fiscal year ended March 31, 2024, in the ordinary course of business, agencies of the U.S. government for which the Company is engaged as a prime contractor or a subcontractor, including the Defense Contract Audit Agency, audit the Company’s claimed costs and conduct inquiries and investigations of our business practices with respect to government contracts. Such audits may result in, and have historically resulted in, the Company’s inability to retain certain claimed costs, including executive and employee compensation, due to differing views of the allowability and reasonableness of such costs.</w:t>
      </w:r>
    </w:p>
    <w:p>
      <w:pPr>
        <w:spacing w:after="0" w:line="66" w:lineRule="exact"/>
        <w:rPr>
          <w:sz w:val="20"/>
          <w:szCs w:val="20"/>
          <w:color w:val="auto"/>
        </w:rPr>
      </w:pPr>
    </w:p>
    <w:p>
      <w:pPr>
        <w:ind w:right="20" w:firstLine="428"/>
        <w:spacing w:after="0" w:line="262" w:lineRule="auto"/>
        <w:rPr>
          <w:sz w:val="20"/>
          <w:szCs w:val="20"/>
          <w:color w:val="auto"/>
        </w:rPr>
      </w:pPr>
      <w:r>
        <w:rPr>
          <w:rFonts w:ascii="Times New Roman" w:cs="Times New Roman" w:eastAsia="Times New Roman" w:hAnsi="Times New Roman"/>
          <w:sz w:val="17"/>
          <w:szCs w:val="17"/>
          <w:color w:val="auto"/>
        </w:rPr>
        <w:t>Following the settlement of the civil and criminal investigation of the Company by the U.S. Department of Justice (“DOJ”) previously disclosed in Note 20, “Commitments and Contingencies,” to the Company’s Annual Report on Form 10-K for the fiscal year ended March 31, 2024, audits for years subsequent to the Company’s fiscal year 2011 have resumed and remain subject to final resolution. As discussed in Note 15, “Commitments and Contingencies,” to the condensed consolidated financial statements, the Company recognized a reserve for estimated adjustments to historical claimed costs in respect of the years subsequent to fiscal 2011. As audits of the periods subsequent to 2011 are completed, our estimates of adjustment to claimed costs for these periods could change. Any such change could materially impact our reported revenue, operating income, net income and basic and diluted earnings per common share.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Costs and Expenses</w:t>
      </w:r>
    </w:p>
    <w:p>
      <w:pPr>
        <w:spacing w:after="0" w:line="120" w:lineRule="exact"/>
        <w:rPr>
          <w:sz w:val="20"/>
          <w:szCs w:val="20"/>
          <w:color w:val="auto"/>
        </w:rPr>
      </w:pPr>
    </w:p>
    <w:p>
      <w:pPr>
        <w:ind w:right="300" w:firstLine="389"/>
        <w:spacing w:after="0" w:line="273" w:lineRule="auto"/>
        <w:rPr>
          <w:sz w:val="20"/>
          <w:szCs w:val="20"/>
          <w:color w:val="auto"/>
        </w:rPr>
      </w:pPr>
      <w:r>
        <w:rPr>
          <w:rFonts w:ascii="Times New Roman" w:cs="Times New Roman" w:eastAsia="Times New Roman" w:hAnsi="Times New Roman"/>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most significant operating costs and expenses are described below.</w:t>
      </w:r>
    </w:p>
    <w:p>
      <w:pPr>
        <w:spacing w:after="0" w:line="114" w:lineRule="exact"/>
        <w:rPr>
          <w:sz w:val="20"/>
          <w:szCs w:val="20"/>
          <w:color w:val="auto"/>
        </w:rPr>
      </w:pPr>
    </w:p>
    <w:p>
      <w:pPr>
        <w:ind w:left="620" w:right="180" w:hanging="305"/>
        <w:spacing w:after="0" w:line="29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Cost of Revenue</w:t>
      </w:r>
      <w:r>
        <w:rPr>
          <w:rFonts w:ascii="Times New Roman" w:cs="Times New Roman" w:eastAsia="Times New Roman" w:hAnsi="Times New Roman"/>
          <w:sz w:val="17"/>
          <w:szCs w:val="17"/>
          <w:color w:val="auto"/>
        </w:rPr>
        <w:t>. Cost of revenue includes direct labor, related employee benefits, and overhead. Overhead consists of indirect costs, including indirect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labor relating to infrastructure, management and administration, and other expenses.</w:t>
      </w:r>
    </w:p>
    <w:p>
      <w:pPr>
        <w:spacing w:after="0" w:line="39"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Billable Expenses. </w:t>
      </w:r>
      <w:r>
        <w:rPr>
          <w:rFonts w:ascii="Times New Roman" w:cs="Times New Roman" w:eastAsia="Times New Roman" w:hAnsi="Times New Roman"/>
          <w:sz w:val="17"/>
          <w:szCs w:val="17"/>
          <w:color w:val="auto"/>
        </w:rPr>
        <w:t>Billable expenses include direct subcontractor expenses, travel expenses, and other expenses incurred to perform on contracts.</w:t>
      </w:r>
    </w:p>
    <w:p>
      <w:pPr>
        <w:spacing w:after="0" w:line="115" w:lineRule="exact"/>
        <w:rPr>
          <w:rFonts w:ascii="Times New Roman" w:cs="Times New Roman" w:eastAsia="Times New Roman" w:hAnsi="Times New Roman"/>
          <w:sz w:val="17"/>
          <w:szCs w:val="17"/>
          <w:color w:val="auto"/>
        </w:rPr>
      </w:pPr>
    </w:p>
    <w:p>
      <w:pPr>
        <w:ind w:left="620" w:right="20" w:hanging="305"/>
        <w:spacing w:after="0" w:line="286"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include indirect labor of executive management and corporate administrative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functions, marketing and bid and proposal costs, legal costs, and other discretionary spending.</w:t>
      </w:r>
    </w:p>
    <w:p>
      <w:pPr>
        <w:ind w:left="620" w:right="300" w:hanging="305"/>
        <w:spacing w:after="0" w:line="27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includes the depreciation of computers, leasehold improvements, furniture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equipment, and the amortization of internally developed software, as well as third-party software that we use internally, and of identifiable long-lived intangible assets over their estimated useful lives.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120" w:lineRule="exact"/>
        <w:rPr>
          <w:sz w:val="20"/>
          <w:szCs w:val="20"/>
          <w:color w:val="auto"/>
        </w:rPr>
      </w:pPr>
    </w:p>
    <w:p>
      <w:pPr>
        <w:ind w:right="180" w:firstLine="389"/>
        <w:spacing w:after="0" w:line="260" w:lineRule="auto"/>
        <w:rPr>
          <w:sz w:val="20"/>
          <w:szCs w:val="20"/>
          <w:color w:val="auto"/>
        </w:rPr>
      </w:pPr>
      <w:r>
        <w:rPr>
          <w:rFonts w:ascii="Times New Roman" w:cs="Times New Roman" w:eastAsia="Times New Roman" w:hAnsi="Times New Roman"/>
          <w:sz w:val="17"/>
          <w:szCs w:val="17"/>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Seasonality is just one of a number of factors, many of which are outside of our control, which may affect our results in any period. See “Part I, Item 1A.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Factors,” of our fiscal 2024 Annual Report on Form 10-K.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 and Policies</w:t>
      </w:r>
    </w:p>
    <w:p>
      <w:pPr>
        <w:spacing w:after="0" w:line="118" w:lineRule="exact"/>
        <w:rPr>
          <w:sz w:val="20"/>
          <w:szCs w:val="20"/>
          <w:color w:val="auto"/>
        </w:rPr>
      </w:pPr>
    </w:p>
    <w:p>
      <w:pPr>
        <w:ind w:firstLine="389"/>
        <w:spacing w:after="0" w:line="264" w:lineRule="auto"/>
        <w:rPr>
          <w:sz w:val="20"/>
          <w:szCs w:val="20"/>
          <w:color w:val="auto"/>
        </w:rPr>
      </w:pPr>
      <w:r>
        <w:rPr>
          <w:rFonts w:ascii="Times New Roman" w:cs="Times New Roman" w:eastAsia="Times New Roman" w:hAnsi="Times New Roman"/>
          <w:sz w:val="17"/>
          <w:szCs w:val="17"/>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2024. Other than the change in estimate that resulted in a reduction to our provision for claimed costs during the second quarter of fiscal 2025, there were no other material changes to our critical accounting policies, estimates or judgments that occurred during the periods covered by this report. See Note 15, “Commitments and Contingencies,” to our condensed consolidated financial statements for additional information related to the aforementioned change in estimate.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items from our condensed consolidated statements of operations for the nine months ended December 31, 2024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3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9"/>
        </w:trPr>
        <w:tc>
          <w:tcPr>
            <w:tcW w:w="3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7"/>
                <w:szCs w:val="17"/>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60" w:type="dxa"/>
            <w:vAlign w:val="bottom"/>
          </w:tcPr>
          <w:p>
            <w:pPr>
              <w:spacing w:after="0"/>
              <w:rPr>
                <w:sz w:val="17"/>
                <w:szCs w:val="17"/>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7"/>
                <w:szCs w:val="17"/>
                <w:color w:val="auto"/>
              </w:rPr>
            </w:pP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8"/>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4"/>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10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8"/>
                <w:szCs w:val="18"/>
                <w:color w:val="auto"/>
              </w:rPr>
            </w:pPr>
          </w:p>
        </w:tc>
        <w:tc>
          <w:tcPr>
            <w:tcW w:w="2500" w:type="dxa"/>
            <w:vAlign w:val="bottom"/>
            <w:gridSpan w:val="4"/>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100" w:type="dxa"/>
            <w:vAlign w:val="bottom"/>
          </w:tcPr>
          <w:p>
            <w:pPr>
              <w:spacing w:after="0"/>
              <w:rPr>
                <w:sz w:val="18"/>
                <w:szCs w:val="18"/>
                <w:color w:val="auto"/>
              </w:rPr>
            </w:pP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2,917,190</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2,569,801</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9,005,373</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7,890,569</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14.1 %</w:t>
            </w:r>
          </w:p>
        </w:tc>
      </w:tr>
      <w:tr>
        <w:trPr>
          <w:trHeight w:val="205"/>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1,305,612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1,180,961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4,039,128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3,665,589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05"/>
        </w:trPr>
        <w:tc>
          <w:tcPr>
            <w:tcW w:w="3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Billable expenses</w:t>
            </w:r>
          </w:p>
        </w:tc>
        <w:tc>
          <w:tcPr>
            <w:tcW w:w="16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938,534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799,896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2,851,537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2,436,988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17.0 %</w:t>
            </w:r>
          </w:p>
        </w:tc>
      </w:tr>
      <w:tr>
        <w:trPr>
          <w:trHeight w:val="21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341,629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300,273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896,335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915,160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5"/>
        </w:trPr>
        <w:tc>
          <w:tcPr>
            <w:tcW w:w="3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40,156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123,867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35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2,625,931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2,322,243</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7,910,341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7,141,604</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r>
      <w:tr>
        <w:trPr>
          <w:trHeight w:val="198"/>
        </w:trPr>
        <w:tc>
          <w:tcPr>
            <w:tcW w:w="35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291,259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247,558</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1,095,032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748,965</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46.2 %</w:t>
            </w:r>
          </w:p>
        </w:tc>
      </w:tr>
      <w:tr>
        <w:trPr>
          <w:trHeight w:val="21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(126,812)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05"/>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65.6 %</w:t>
            </w:r>
          </w:p>
        </w:tc>
      </w:tr>
      <w:tr>
        <w:trPr>
          <w:trHeight w:val="20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248,396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207,384</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976,109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634,041</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54.0 %</w:t>
            </w:r>
          </w:p>
        </w:tc>
      </w:tr>
      <w:tr>
        <w:trPr>
          <w:trHeight w:val="205"/>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61,446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61,740</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156,291</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49.6 %</w:t>
            </w:r>
          </w:p>
        </w:tc>
      </w:tr>
      <w:tr>
        <w:trPr>
          <w:trHeight w:val="228"/>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186,950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742,295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477,750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1" w:lineRule="exact"/>
        <w:rPr>
          <w:sz w:val="20"/>
          <w:szCs w:val="20"/>
          <w:color w:val="auto"/>
        </w:rPr>
      </w:pPr>
    </w:p>
    <w:p>
      <w:pPr>
        <w:ind w:firstLine="389"/>
        <w:spacing w:after="0" w:line="238" w:lineRule="auto"/>
        <w:rPr>
          <w:sz w:val="20"/>
          <w:szCs w:val="20"/>
          <w:color w:val="auto"/>
        </w:rPr>
      </w:pPr>
      <w:r>
        <w:rPr>
          <w:rFonts w:ascii="Times New Roman" w:cs="Times New Roman" w:eastAsia="Times New Roman" w:hAnsi="Times New Roman"/>
          <w:sz w:val="17"/>
          <w:szCs w:val="17"/>
          <w:color w:val="auto"/>
        </w:rPr>
        <w:t>Revenue increased 13.5% to $2.9 billion, and 14.1% to $9.0 billion, respectively for the three and nine months ended December 31, 2024 as compared to the prior year period. The increase was primarily driven by strong demand for our services and solutions as well as continued headcount growth and higher billable expenses. In addition, revenue was positively impacted by $121.7 million representing the reduction to our provision for claimed costs recorded during the second quarter of fiscal 2025 (as compared to $18.3 million in the second quarter of fiscal 2024). See Note 15, “Commitments and Contingencies,” to the condensed consolidated financial statements for further information. Total headcount as of December 31, 2024 increased by approximately 2,100 as compared to December 31, 2023.</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118" w:lineRule="exact"/>
        <w:rPr>
          <w:sz w:val="20"/>
          <w:szCs w:val="20"/>
          <w:color w:val="auto"/>
        </w:rPr>
      </w:pPr>
    </w:p>
    <w:p>
      <w:pPr>
        <w:ind w:right="80" w:firstLine="389"/>
        <w:spacing w:after="0" w:line="262" w:lineRule="auto"/>
        <w:rPr>
          <w:sz w:val="20"/>
          <w:szCs w:val="20"/>
          <w:color w:val="auto"/>
        </w:rPr>
      </w:pPr>
      <w:r>
        <w:rPr>
          <w:rFonts w:ascii="Times New Roman" w:cs="Times New Roman" w:eastAsia="Times New Roman" w:hAnsi="Times New Roman"/>
          <w:sz w:val="17"/>
          <w:szCs w:val="17"/>
          <w:color w:val="auto"/>
        </w:rPr>
        <w:t>Cost of revenue as a percentage of revenue was 44.8% and 46.0% for the three months ended December 31, 2024 and 2023, respectively, and 44.9% and 46.5% for the nine months ended December 31, 2024 and 2023, respectively. Cost of revenue increased 10.6% and 10.2% for the three and nine months ended December 31, 2024, respectively, as compared to the three and nine months ended December 31, 2023. The increases were primarily due to increases in salaries and salary-related benefits of $142.1 million and $426.6 million, respectively, driven by increased headcount and salary increases, partially offset by decreases in incentive and stock based compensation of $14.9 million and $19.9 million, and other business expenses and professional fees of $4.2 million and $34.1 million, respectively, as compared to the prior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Billable Expenses</w:t>
      </w:r>
    </w:p>
    <w:p>
      <w:pPr>
        <w:spacing w:after="0" w:line="118" w:lineRule="exact"/>
        <w:rPr>
          <w:sz w:val="20"/>
          <w:szCs w:val="20"/>
          <w:color w:val="auto"/>
        </w:rPr>
      </w:pPr>
    </w:p>
    <w:p>
      <w:pPr>
        <w:ind w:right="20" w:firstLine="389"/>
        <w:spacing w:after="0" w:line="264" w:lineRule="auto"/>
        <w:rPr>
          <w:sz w:val="20"/>
          <w:szCs w:val="20"/>
          <w:color w:val="auto"/>
        </w:rPr>
      </w:pPr>
      <w:r>
        <w:rPr>
          <w:rFonts w:ascii="Times New Roman" w:cs="Times New Roman" w:eastAsia="Times New Roman" w:hAnsi="Times New Roman"/>
          <w:sz w:val="17"/>
          <w:szCs w:val="17"/>
          <w:color w:val="auto"/>
        </w:rPr>
        <w:t>Billable expenses as a percentage of revenue were 32.2% and 31.1% for the three months ended December 31, 2024 and 2023, respectively, and 31.7% and 30.9% for the nine months ended December 31, 2024 and 2023, respectively. Billable expenses increased 17.3% and 17.0% for the three and nine months ended December 31, 2024, respectively, as compared to the three and nine months ended December 31, 2023. The increases were primarily attributable to increases in the use of subcontractors driven by client demand and timing of client needs, as well as increases in expenses from contracts requiring the Company to incur other direct expenses and travel on behalf of clients as compared to the prior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18" w:lineRule="exact"/>
        <w:rPr>
          <w:sz w:val="20"/>
          <w:szCs w:val="20"/>
          <w:color w:val="auto"/>
        </w:rPr>
      </w:pPr>
    </w:p>
    <w:p>
      <w:pPr>
        <w:ind w:firstLine="389"/>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expenses as a percentage of revenue were 11.7% for both the three months ended December 31, 2024 and 2023, respectively, and 10.0% and 11.6% for the nine months ended December 31, 2024 and 2023, respectively. General and administrative expenses increased 13.8% and decreased 2.1% for the three and nine months ended December 31, 2024, respectively, as compared to the three and nine months ended December 31, 2023.</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80" w:firstLine="389"/>
        <w:spacing w:after="0" w:line="262" w:lineRule="auto"/>
        <w:rPr>
          <w:sz w:val="20"/>
          <w:szCs w:val="20"/>
          <w:color w:val="auto"/>
        </w:rPr>
      </w:pPr>
      <w:r>
        <w:rPr>
          <w:rFonts w:ascii="Times New Roman" w:cs="Times New Roman" w:eastAsia="Times New Roman" w:hAnsi="Times New Roman"/>
          <w:sz w:val="17"/>
          <w:szCs w:val="17"/>
          <w:color w:val="auto"/>
        </w:rPr>
        <w:t>General and administrative expenses increased in the third quarter as compared to the prior year primarily due to increases in salary and salary related benefits of $22.3 million and other business expenses of $10.8 million. The year to date period was impacted by $115.3 million in insurance recoveries from claims related to the Company’s fiscal 2024 settlement as described in Note 20, “Commitments and Contingencies,” to the consolidated financial statements contained within the Annual Report on Form 10-K for the fiscal year ended March 31, 2024, as well as a $27.5 million reserve from fiscal 2024 associated with the U.S. Department of Justice's investigation of the Company, not present in the current year. These decreases were partially offset by increases in salary and salary related benefits of $63.4 million, increases in other business expenses and professional fees of $38.5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118" w:lineRule="exact"/>
        <w:rPr>
          <w:sz w:val="20"/>
          <w:szCs w:val="20"/>
          <w:color w:val="auto"/>
        </w:rPr>
      </w:pPr>
    </w:p>
    <w:p>
      <w:pPr>
        <w:ind w:right="100" w:firstLine="389"/>
        <w:spacing w:after="0" w:line="292" w:lineRule="auto"/>
        <w:rPr>
          <w:sz w:val="20"/>
          <w:szCs w:val="20"/>
          <w:color w:val="auto"/>
        </w:rPr>
      </w:pPr>
      <w:r>
        <w:rPr>
          <w:rFonts w:ascii="Times New Roman" w:cs="Times New Roman" w:eastAsia="Times New Roman" w:hAnsi="Times New Roman"/>
          <w:sz w:val="17"/>
          <w:szCs w:val="17"/>
          <w:color w:val="auto"/>
        </w:rPr>
        <w:t>Depreciation and amortization expense decreased 2.3% and 0.4% for the three and nine months ended December 31, 2024, respectively, as compared to the three and nine months ended December 31, 2023, primarily driven by leasehold improvement amortization.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18" w:lineRule="exact"/>
        <w:rPr>
          <w:sz w:val="20"/>
          <w:szCs w:val="20"/>
          <w:color w:val="auto"/>
        </w:rPr>
      </w:pPr>
    </w:p>
    <w:p>
      <w:pPr>
        <w:ind w:right="100" w:firstLine="389"/>
        <w:spacing w:after="0" w:line="267" w:lineRule="auto"/>
        <w:rPr>
          <w:sz w:val="20"/>
          <w:szCs w:val="20"/>
          <w:color w:val="auto"/>
        </w:rPr>
      </w:pPr>
      <w:r>
        <w:rPr>
          <w:rFonts w:ascii="Times New Roman" w:cs="Times New Roman" w:eastAsia="Times New Roman" w:hAnsi="Times New Roman"/>
          <w:sz w:val="17"/>
          <w:szCs w:val="17"/>
          <w:color w:val="auto"/>
        </w:rPr>
        <w:t>Interest expense decreased 2.0% and increased 9.3% for the three and nine months ended December 31, 2024, respectively, as compared to the three and nine months ended December 31, 2023. A decrease in interest rates year over year contributed to the change. However, an increase in bond interest expense of $13.1 million year over year related to the $650.0 million Senior Notes due 2033, issued by the Company in August of fiscal 2024, drove the increase in expense for the year to date period.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118" w:lineRule="exact"/>
        <w:rPr>
          <w:sz w:val="20"/>
          <w:szCs w:val="20"/>
          <w:color w:val="auto"/>
        </w:rPr>
      </w:pPr>
    </w:p>
    <w:p>
      <w:pPr>
        <w:ind w:right="80" w:firstLine="389"/>
        <w:spacing w:after="0" w:line="264" w:lineRule="auto"/>
        <w:rPr>
          <w:sz w:val="20"/>
          <w:szCs w:val="20"/>
          <w:color w:val="auto"/>
        </w:rPr>
      </w:pPr>
      <w:r>
        <w:rPr>
          <w:rFonts w:ascii="Times New Roman" w:cs="Times New Roman" w:eastAsia="Times New Roman" w:hAnsi="Times New Roman"/>
          <w:sz w:val="17"/>
          <w:szCs w:val="17"/>
          <w:color w:val="auto"/>
        </w:rPr>
        <w:t>Other income (expense), net decreased to $2.8 million for the three months ended December 31, 2024 from $6.4 million for the three months ended December 31, 2023, and increased to $19.7 million for the nine months ended December 31, 2024 from $11.9 million for the nine months ended December 31, 2023. The decline in other income, net for the quarter to date period was primarily driven by a decline in interest income driven by a lower average cash balance and lower interest rates.The increases in other income, net for the year to date period were primarily driven by an increase of $11.2 million in the fair value of the Company’s investments reflected in the second quarter of fiscal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118" w:lineRule="exact"/>
        <w:rPr>
          <w:sz w:val="20"/>
          <w:szCs w:val="20"/>
          <w:color w:val="auto"/>
        </w:rPr>
      </w:pPr>
    </w:p>
    <w:p>
      <w:pPr>
        <w:ind w:right="40" w:firstLine="389"/>
        <w:spacing w:after="0" w:line="264" w:lineRule="auto"/>
        <w:rPr>
          <w:sz w:val="20"/>
          <w:szCs w:val="20"/>
          <w:color w:val="auto"/>
        </w:rPr>
      </w:pPr>
      <w:r>
        <w:rPr>
          <w:rFonts w:ascii="Times New Roman" w:cs="Times New Roman" w:eastAsia="Times New Roman" w:hAnsi="Times New Roman"/>
          <w:sz w:val="17"/>
          <w:szCs w:val="17"/>
          <w:color w:val="auto"/>
        </w:rPr>
        <w:t>Income tax expense decreased to $61.4 million for the three months ended December 31, 2024 from $61.7 million for the three months ended December 31, 2023, a decrease of 0.5%, and increased to $233.8 million for the nine months ended December 31, 2024 from $156.3 million for the nine months ended December 31, 2023, an increase of 49.6%. The quarterly effective tax rate decreased to 24.7% from 29.8% year over year. The increase in income tax expense for the year to date period was driven by reversals in the prior year period related to indirect effects of underlying prior period uncertain tax positions, not present in the current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120" w:firstLine="389"/>
        <w:spacing w:after="0" w:line="267" w:lineRule="auto"/>
        <w:rPr>
          <w:sz w:val="20"/>
          <w:szCs w:val="20"/>
          <w:color w:val="auto"/>
        </w:rPr>
      </w:pPr>
      <w:r>
        <w:rPr>
          <w:rFonts w:ascii="Times New Roman" w:cs="Times New Roman" w:eastAsia="Times New Roman" w:hAnsi="Times New Roman"/>
          <w:sz w:val="17"/>
          <w:szCs w:val="17"/>
          <w:color w:val="auto"/>
        </w:rPr>
        <w:t>As of December 31, 2024, our total liquidity was $1.5 billion, consisting of $453.5 million of cash and cash equivalents and $998.6 million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64" w:lineRule="exact"/>
        <w:rPr>
          <w:sz w:val="20"/>
          <w:szCs w:val="20"/>
          <w:color w:val="auto"/>
        </w:rPr>
      </w:pPr>
    </w:p>
    <w:p>
      <w:pPr>
        <w:ind w:right="260" w:firstLine="389"/>
        <w:spacing w:after="0" w:line="277" w:lineRule="auto"/>
        <w:rPr>
          <w:sz w:val="20"/>
          <w:szCs w:val="20"/>
          <w:color w:val="auto"/>
        </w:rPr>
      </w:pPr>
      <w:r>
        <w:rPr>
          <w:rFonts w:ascii="Times New Roman" w:cs="Times New Roman" w:eastAsia="Times New Roman" w:hAnsi="Times New Roman"/>
          <w:sz w:val="17"/>
          <w:szCs w:val="17"/>
          <w:color w:val="auto"/>
        </w:rPr>
        <w:t>The following table presents selected financial information as of December 31, 2024 and March 31, 2024 and for the first nine months of fiscal 2025 and 2024:</w:t>
      </w:r>
    </w:p>
    <w:tbl>
      <w:tblPr>
        <w:tblLayout w:type="fixed"/>
        <w:tblInd w:w="0" w:type="dxa"/>
        <w:tblCellMar>
          <w:top w:w="0" w:type="dxa"/>
          <w:left w:w="0" w:type="dxa"/>
          <w:bottom w:w="0" w:type="dxa"/>
          <w:right w:w="0" w:type="dxa"/>
        </w:tblCellMar>
      </w:tblPr>
      <w:tr>
        <w:trPr>
          <w:trHeight w:val="177"/>
        </w:trPr>
        <w:tc>
          <w:tcPr>
            <w:tcW w:w="36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460" w:type="dxa"/>
            <w:vAlign w:val="bottom"/>
          </w:tcPr>
          <w:p>
            <w:pPr>
              <w:spacing w:after="0"/>
              <w:rPr>
                <w:sz w:val="15"/>
                <w:szCs w:val="15"/>
                <w:color w:val="auto"/>
              </w:rPr>
            </w:pPr>
          </w:p>
        </w:tc>
        <w:tc>
          <w:tcPr>
            <w:tcW w:w="164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1"/>
        </w:trPr>
        <w:tc>
          <w:tcPr>
            <w:tcW w:w="36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20"/>
                <w:szCs w:val="20"/>
                <w:color w:val="auto"/>
              </w:rPr>
            </w:pPr>
          </w:p>
        </w:tc>
      </w:tr>
      <w:tr>
        <w:trPr>
          <w:trHeight w:val="179"/>
        </w:trPr>
        <w:tc>
          <w:tcPr>
            <w:tcW w:w="36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36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3"/>
        </w:trPr>
        <w:tc>
          <w:tcPr>
            <w:tcW w:w="3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453,539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554,257</w:t>
            </w:r>
          </w:p>
        </w:tc>
        <w:tc>
          <w:tcPr>
            <w:tcW w:w="260" w:type="dxa"/>
            <w:vAlign w:val="bottom"/>
          </w:tcPr>
          <w:p>
            <w:pPr>
              <w:spacing w:after="0"/>
              <w:rPr>
                <w:sz w:val="19"/>
                <w:szCs w:val="19"/>
                <w:color w:val="auto"/>
              </w:rPr>
            </w:pPr>
          </w:p>
        </w:tc>
      </w:tr>
      <w:tr>
        <w:trPr>
          <w:trHeight w:val="22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3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3,373,715</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3,411,816</w:t>
            </w:r>
          </w:p>
        </w:tc>
        <w:tc>
          <w:tcPr>
            <w:tcW w:w="260" w:type="dxa"/>
            <w:vAlign w:val="bottom"/>
          </w:tcPr>
          <w:p>
            <w:pPr>
              <w:spacing w:after="0"/>
              <w:rPr>
                <w:sz w:val="19"/>
                <w:szCs w:val="19"/>
                <w:color w:val="auto"/>
              </w:rPr>
            </w:pPr>
          </w:p>
        </w:tc>
      </w:tr>
      <w:tr>
        <w:trPr>
          <w:trHeight w:val="824"/>
        </w:trPr>
        <w:tc>
          <w:tcPr>
            <w:tcW w:w="3680" w:type="dxa"/>
            <w:vAlign w:val="bottom"/>
          </w:tcPr>
          <w:p>
            <w:pPr>
              <w:spacing w:after="0"/>
              <w:rPr>
                <w:sz w:val="24"/>
                <w:szCs w:val="24"/>
                <w:color w:val="auto"/>
              </w:rPr>
            </w:pPr>
          </w:p>
        </w:tc>
        <w:tc>
          <w:tcPr>
            <w:tcW w:w="3520" w:type="dxa"/>
            <w:vAlign w:val="bottom"/>
          </w:tcPr>
          <w:p>
            <w:pPr>
              <w:jc w:val="right"/>
              <w:ind w:right="1394"/>
              <w:spacing w:after="0"/>
              <w:rPr>
                <w:sz w:val="20"/>
                <w:szCs w:val="20"/>
                <w:color w:val="auto"/>
              </w:rPr>
            </w:pPr>
            <w:r>
              <w:rPr>
                <w:rFonts w:ascii="Times New Roman" w:cs="Times New Roman" w:eastAsia="Times New Roman" w:hAnsi="Times New Roman"/>
                <w:sz w:val="17"/>
                <w:szCs w:val="17"/>
                <w:color w:val="auto"/>
              </w:rPr>
              <w:t>33</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0"/>
        </w:trPr>
        <w:tc>
          <w:tcPr>
            <w:tcW w:w="368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5"/>
        </w:trPr>
        <w:tc>
          <w:tcPr>
            <w:tcW w:w="7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797"/>
        </w:trPr>
        <w:tc>
          <w:tcPr>
            <w:tcW w:w="2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5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60" w:type="dxa"/>
            <w:vAlign w:val="bottom"/>
            <w:gridSpan w:val="4"/>
          </w:tcPr>
          <w:p>
            <w:pPr>
              <w:ind w:left="82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1"/>
        </w:trPr>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40" w:type="dxa"/>
            <w:vAlign w:val="bottom"/>
            <w:tcBorders>
              <w:bottom w:val="single" w:sz="8" w:color="auto"/>
            </w:tcBorders>
          </w:tcPr>
          <w:p>
            <w:pPr>
              <w:spacing w:after="0"/>
              <w:rPr>
                <w:sz w:val="20"/>
                <w:szCs w:val="20"/>
                <w:color w:val="auto"/>
              </w:rPr>
            </w:pPr>
          </w:p>
        </w:tc>
      </w:tr>
      <w:tr>
        <w:trPr>
          <w:trHeight w:val="216"/>
        </w:trPr>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76"/>
        </w:trPr>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83"/>
        </w:trPr>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spacing w:after="0"/>
              <w:rPr>
                <w:sz w:val="15"/>
                <w:szCs w:val="15"/>
                <w:color w:val="auto"/>
              </w:rPr>
            </w:pPr>
          </w:p>
        </w:tc>
      </w:tr>
      <w:tr>
        <w:trPr>
          <w:trHeight w:val="23"/>
        </w:trPr>
        <w:tc>
          <w:tcPr>
            <w:tcW w:w="220" w:type="dxa"/>
            <w:vAlign w:val="bottom"/>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789,991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115,068</w:t>
            </w:r>
          </w:p>
        </w:tc>
      </w:tr>
      <w:tr>
        <w:trPr>
          <w:trHeight w:val="220"/>
        </w:trPr>
        <w:tc>
          <w:tcPr>
            <w:tcW w:w="2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Pr>
          <w:p>
            <w:pPr>
              <w:spacing w:after="0"/>
              <w:rPr>
                <w:sz w:val="19"/>
                <w:szCs w:val="19"/>
                <w:color w:val="auto"/>
              </w:rPr>
            </w:pPr>
          </w:p>
        </w:tc>
        <w:tc>
          <w:tcPr>
            <w:tcW w:w="152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(183,765)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(68,254)</w:t>
            </w:r>
          </w:p>
        </w:tc>
      </w:tr>
      <w:tr>
        <w:trPr>
          <w:trHeight w:val="220"/>
        </w:trPr>
        <w:tc>
          <w:tcPr>
            <w:tcW w:w="220" w:type="dxa"/>
            <w:vAlign w:val="bottom"/>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(706,944)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150,137</w:t>
            </w:r>
          </w:p>
        </w:tc>
      </w:tr>
      <w:tr>
        <w:trPr>
          <w:trHeight w:val="213"/>
        </w:trPr>
        <w:tc>
          <w:tcPr>
            <w:tcW w:w="2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(100,718)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196,951</w:t>
            </w:r>
          </w:p>
        </w:tc>
      </w:tr>
      <w:tr>
        <w:trPr>
          <w:trHeight w:val="20"/>
        </w:trPr>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right="240" w:firstLine="389"/>
        <w:spacing w:after="0" w:line="273" w:lineRule="auto"/>
        <w:rPr>
          <w:sz w:val="20"/>
          <w:szCs w:val="20"/>
          <w:color w:val="auto"/>
        </w:rPr>
      </w:pPr>
      <w:r>
        <w:rPr>
          <w:rFonts w:ascii="Times New Roman" w:cs="Times New Roman" w:eastAsia="Times New Roman" w:hAnsi="Times New Roman"/>
          <w:sz w:val="17"/>
          <w:szCs w:val="17"/>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w:t>
      </w:r>
    </w:p>
    <w:p>
      <w:pPr>
        <w:spacing w:after="0" w:line="59" w:lineRule="exact"/>
        <w:rPr>
          <w:sz w:val="20"/>
          <w:szCs w:val="20"/>
          <w:color w:val="auto"/>
        </w:rPr>
      </w:pPr>
    </w:p>
    <w:p>
      <w:pPr>
        <w:ind w:right="140" w:firstLine="389"/>
        <w:spacing w:after="0" w:line="260" w:lineRule="auto"/>
        <w:rPr>
          <w:sz w:val="20"/>
          <w:szCs w:val="20"/>
          <w:color w:val="auto"/>
        </w:rPr>
      </w:pPr>
      <w:r>
        <w:rPr>
          <w:rFonts w:ascii="Times New Roman" w:cs="Times New Roman" w:eastAsia="Times New Roman" w:hAnsi="Times New Roman"/>
          <w:sz w:val="17"/>
          <w:szCs w:val="17"/>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Credit Agreement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7" w:lineRule="exact"/>
        <w:rPr>
          <w:sz w:val="20"/>
          <w:szCs w:val="20"/>
          <w:color w:val="auto"/>
        </w:rPr>
      </w:pPr>
    </w:p>
    <w:p>
      <w:pPr>
        <w:ind w:left="620" w:hanging="305"/>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expenses, including salaries;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working capital requirements to fund both organic and inorganic growth of our business;</w:t>
      </w:r>
    </w:p>
    <w:p>
      <w:pPr>
        <w:spacing w:after="0" w:line="63" w:lineRule="exact"/>
        <w:rPr>
          <w:rFonts w:ascii="Times New Roman" w:cs="Times New Roman" w:eastAsia="Times New Roman" w:hAnsi="Times New Roman"/>
          <w:sz w:val="17"/>
          <w:szCs w:val="17"/>
          <w:color w:val="auto"/>
        </w:rPr>
      </w:pPr>
    </w:p>
    <w:p>
      <w:pPr>
        <w:ind w:left="620" w:right="560" w:hanging="305"/>
        <w:spacing w:after="0" w:line="286"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which primarily relate to the purchase of computers, business systems, furniture and leasehold improvements to support our operations;</w:t>
      </w:r>
    </w:p>
    <w:p>
      <w:pPr>
        <w:ind w:left="620" w:hanging="305"/>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ongoing maintenance around all financial management systems;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commitments and other discretionary investments;</w:t>
      </w:r>
    </w:p>
    <w:p>
      <w:pPr>
        <w:spacing w:after="0" w:line="63" w:lineRule="exact"/>
        <w:rPr>
          <w:rFonts w:ascii="Times New Roman" w:cs="Times New Roman" w:eastAsia="Times New Roman" w:hAnsi="Times New Roman"/>
          <w:sz w:val="17"/>
          <w:szCs w:val="17"/>
          <w:color w:val="auto"/>
        </w:rPr>
      </w:pPr>
    </w:p>
    <w:p>
      <w:pPr>
        <w:ind w:left="620" w:right="80" w:hanging="305"/>
        <w:spacing w:after="0" w:line="286"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service requirements for borrowings under our Credit Agreement and interest payments for the Senior Notes due 2028, Senior Notes due 2029 and Senior Notes due 2033; and</w:t>
      </w:r>
    </w:p>
    <w:p>
      <w:pPr>
        <w:ind w:left="620" w:hanging="305"/>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taxes to be paid.</w:t>
      </w:r>
    </w:p>
    <w:p>
      <w:pPr>
        <w:spacing w:after="0" w:line="116" w:lineRule="exact"/>
        <w:rPr>
          <w:sz w:val="20"/>
          <w:szCs w:val="20"/>
          <w:color w:val="auto"/>
        </w:rPr>
      </w:pPr>
    </w:p>
    <w:p>
      <w:pPr>
        <w:ind w:firstLine="389"/>
        <w:spacing w:after="0" w:line="273" w:lineRule="auto"/>
        <w:rPr>
          <w:sz w:val="20"/>
          <w:szCs w:val="20"/>
          <w:color w:val="auto"/>
        </w:rPr>
      </w:pPr>
      <w:r>
        <w:rPr>
          <w:rFonts w:ascii="Times New Roman" w:cs="Times New Roman" w:eastAsia="Times New Roman" w:hAnsi="Times New Roman"/>
          <w:sz w:val="17"/>
          <w:szCs w:val="17"/>
          <w:color w:val="auto"/>
        </w:rPr>
        <w:t>Our ability to fund our operating needs depends, in part, on our ability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59" w:lineRule="exact"/>
        <w:rPr>
          <w:sz w:val="20"/>
          <w:szCs w:val="20"/>
          <w:color w:val="auto"/>
        </w:rPr>
      </w:pPr>
    </w:p>
    <w:p>
      <w:pPr>
        <w:ind w:right="60" w:firstLine="389"/>
        <w:spacing w:after="0" w:line="273" w:lineRule="auto"/>
        <w:rPr>
          <w:sz w:val="20"/>
          <w:szCs w:val="20"/>
          <w:color w:val="auto"/>
        </w:rPr>
      </w:pPr>
      <w:r>
        <w:rPr>
          <w:rFonts w:ascii="Times New Roman" w:cs="Times New Roman" w:eastAsia="Times New Roman" w:hAnsi="Times New Roman"/>
          <w:sz w:val="17"/>
          <w:szCs w:val="17"/>
          <w:color w:val="auto"/>
        </w:rPr>
        <w:t>On June 7, 2024, the Company completed the acquisition of PAR Government Systems Corporation (“PGSC”), a wholly owned subsidiary of PAR Technology Corporation, for approximately $98.7 million, net of post-closing adjustments and incurred transaction costs as part of the acquisition. See Note 5, “Acquisition, Goodwill and Intangible Assets,” to our condensed consolidated financial statements for additional information related to the acquisition of PGSC.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20" w:lineRule="exact"/>
        <w:rPr>
          <w:sz w:val="20"/>
          <w:szCs w:val="20"/>
          <w:color w:val="auto"/>
        </w:rPr>
      </w:pPr>
    </w:p>
    <w:p>
      <w:pPr>
        <w:ind w:right="40" w:firstLine="389"/>
        <w:spacing w:after="0" w:line="262" w:lineRule="auto"/>
        <w:rPr>
          <w:sz w:val="20"/>
          <w:szCs w:val="20"/>
          <w:color w:val="auto"/>
        </w:rPr>
      </w:pPr>
      <w:r>
        <w:rPr>
          <w:rFonts w:ascii="Times New Roman" w:cs="Times New Roman" w:eastAsia="Times New Roman" w:hAnsi="Times New Roman"/>
          <w:sz w:val="17"/>
          <w:szCs w:val="17"/>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firstLine="389"/>
        <w:spacing w:after="0" w:line="260" w:lineRule="auto"/>
        <w:rPr>
          <w:sz w:val="20"/>
          <w:szCs w:val="20"/>
          <w:color w:val="auto"/>
        </w:rPr>
      </w:pPr>
      <w:r>
        <w:rPr>
          <w:rFonts w:ascii="Times New Roman" w:cs="Times New Roman" w:eastAsia="Times New Roman" w:hAnsi="Times New Roman"/>
          <w:sz w:val="17"/>
          <w:szCs w:val="17"/>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Cash Flow</w:t>
      </w:r>
    </w:p>
    <w:p>
      <w:pPr>
        <w:spacing w:after="0" w:line="21" w:lineRule="exact"/>
        <w:rPr>
          <w:sz w:val="20"/>
          <w:szCs w:val="20"/>
          <w:color w:val="auto"/>
        </w:rPr>
      </w:pPr>
    </w:p>
    <w:p>
      <w:pPr>
        <w:ind w:right="40" w:firstLine="389"/>
        <w:spacing w:after="0" w:line="238" w:lineRule="auto"/>
        <w:rPr>
          <w:sz w:val="20"/>
          <w:szCs w:val="20"/>
          <w:color w:val="auto"/>
        </w:rPr>
      </w:pPr>
      <w:r>
        <w:rPr>
          <w:rFonts w:ascii="Times New Roman" w:cs="Times New Roman" w:eastAsia="Times New Roman" w:hAnsi="Times New Roman"/>
          <w:sz w:val="17"/>
          <w:szCs w:val="17"/>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including any potential impact of the U.S. government’s failure to raise the debt ceiling, may also affect our business as customers and suppliers may decide to downsize, defer, or cancel contracts, which could negatively affect our operating cash flows. Net cash provided by operations was $790.0 million for the nine months ended December 31, 2024 compared to $115.1 million of net cash used in operations in the prior year period. Net cash provided by operating activities was primarily driven by overall revenue growth. In addition, fiscal 2024 reflects a $377.5 million outflow related to the Company’s fiscal 2024 settlement as described in Note 20, “Commitments and Contingencies to the consolidated financial statements contained within the Annual Report on Form 10-K for the fiscal year ended March 31, 2024, whereas fiscal 2025 reflects $115.3 million in insurance recoveries from claims related to that settlement.</w:t>
      </w:r>
    </w:p>
    <w:p>
      <w:pPr>
        <w:spacing w:after="0" w:line="89" w:lineRule="exact"/>
        <w:rPr>
          <w:sz w:val="20"/>
          <w:szCs w:val="20"/>
          <w:color w:val="auto"/>
        </w:rPr>
      </w:pPr>
    </w:p>
    <w:p>
      <w:pPr>
        <w:ind w:right="40" w:firstLine="428"/>
        <w:spacing w:after="0" w:line="260" w:lineRule="auto"/>
        <w:rPr>
          <w:sz w:val="20"/>
          <w:szCs w:val="20"/>
          <w:color w:val="auto"/>
        </w:rPr>
      </w:pPr>
      <w:r>
        <w:rPr>
          <w:rFonts w:ascii="Times New Roman" w:cs="Times New Roman" w:eastAsia="Times New Roman" w:hAnsi="Times New Roman"/>
          <w:sz w:val="17"/>
          <w:szCs w:val="17"/>
          <w:color w:val="auto"/>
        </w:rPr>
        <w:t>Beginning in fiscal 2023, the Tax Cuts and Jobs Act of 2017 eliminated the option to deduct research and development expenditures immediately in the year incurred and requires taxpayers to amortize such expenditures over five years for U.S. based research and development. This provision negatively impacted our fiscal 2024 cash from operations, but had an offsetting impact on the deferred tax asset. The Company expects a similar impact in fiscal 2025, although the impact to cash and deferred taxes is expected to be smaller than in fiscal 2024. Prospectively, the future impact of this provision will depend on if and when this provision is deferred, modified, or repealed by Congress, including if retroactively, any guidance issued by the Treasury Department regarding the identification of appropriate costs for capitalization, and the amount of future research and development expenses paid or incurred (among other factors). While the largest impact was to fiscal 2023 cash from operations, the impact will continue over the five year amortization period, but will decrease over the period and is expected to be less significant in year six.</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Cash Flow</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Net cash used in investing activities was $183.8 million in the nine months ended December 31, 2024 compared to $68.3 million in the prior year period.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in investing cash used over the prior year was primarily due to the Company's acquisition of PGSC.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Cash Flow</w:t>
      </w:r>
    </w:p>
    <w:p>
      <w:pPr>
        <w:spacing w:after="0" w:line="118" w:lineRule="exact"/>
        <w:rPr>
          <w:sz w:val="20"/>
          <w:szCs w:val="20"/>
          <w:color w:val="auto"/>
        </w:rPr>
      </w:pPr>
    </w:p>
    <w:p>
      <w:pPr>
        <w:ind w:firstLine="389"/>
        <w:spacing w:after="0" w:line="267" w:lineRule="auto"/>
        <w:rPr>
          <w:sz w:val="20"/>
          <w:szCs w:val="20"/>
          <w:color w:val="auto"/>
        </w:rPr>
      </w:pPr>
      <w:r>
        <w:rPr>
          <w:rFonts w:ascii="Times New Roman" w:cs="Times New Roman" w:eastAsia="Times New Roman" w:hAnsi="Times New Roman"/>
          <w:sz w:val="17"/>
          <w:szCs w:val="17"/>
          <w:color w:val="auto"/>
        </w:rPr>
        <w:t>Net cash used in financing activities was $706.9 million in the nine months ended December 31, 2024 compared to net cash provided by financing activities of $150.1 million in the prior year period. The increase in financing cash used year over year was primarily due to net proceeds of $636.2 million associated with the Company’s issuance of its 5.95% Senior Notes due 2033 in the prior year, not present this year, as well as an increase of $193.5 million in share repurchases year over year.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 and Share Repurchases</w:t>
      </w:r>
    </w:p>
    <w:p>
      <w:pPr>
        <w:spacing w:after="0" w:line="120" w:lineRule="exact"/>
        <w:rPr>
          <w:sz w:val="20"/>
          <w:szCs w:val="20"/>
          <w:color w:val="auto"/>
        </w:rPr>
      </w:pPr>
    </w:p>
    <w:p>
      <w:pPr>
        <w:ind w:right="320" w:firstLine="389"/>
        <w:spacing w:after="0" w:line="292" w:lineRule="auto"/>
        <w:rPr>
          <w:sz w:val="20"/>
          <w:szCs w:val="20"/>
          <w:color w:val="auto"/>
        </w:rPr>
      </w:pPr>
      <w:r>
        <w:rPr>
          <w:rFonts w:ascii="Times New Roman" w:cs="Times New Roman" w:eastAsia="Times New Roman" w:hAnsi="Times New Roman"/>
          <w:sz w:val="17"/>
          <w:szCs w:val="17"/>
          <w:color w:val="auto"/>
        </w:rPr>
        <w:t>On January 31, 2025, the Company announced a regular quarterly cash dividend in the amount of $0.55 per share. The quarterly dividend is payable on March 4, 2025 to stockholders of record on February 14, 2025.</w:t>
      </w:r>
    </w:p>
    <w:p>
      <w:pPr>
        <w:spacing w:after="0" w:line="43" w:lineRule="exact"/>
        <w:rPr>
          <w:sz w:val="20"/>
          <w:szCs w:val="20"/>
          <w:color w:val="auto"/>
        </w:rPr>
      </w:pPr>
    </w:p>
    <w:p>
      <w:pPr>
        <w:ind w:right="40" w:firstLine="389"/>
        <w:spacing w:after="0" w:line="273" w:lineRule="auto"/>
        <w:rPr>
          <w:sz w:val="20"/>
          <w:szCs w:val="20"/>
          <w:color w:val="auto"/>
        </w:rPr>
      </w:pPr>
      <w:r>
        <w:rPr>
          <w:rFonts w:ascii="Times New Roman" w:cs="Times New Roman" w:eastAsia="Times New Roman" w:hAnsi="Times New Roman"/>
          <w:sz w:val="17"/>
          <w:szCs w:val="17"/>
          <w:color w:val="auto"/>
        </w:rPr>
        <w:t>During the three and nine months ended December 31, 2024, quarterly cash dividends of $0.51 and $1.53 per share, respectively, were declared and paid totaling $65.5 million and $198.4 million, respectively. During the three and nine months ended December 31, 2023, quarterly cash dividends of $0.47 and $1.41 per share, respectively, were declared and paid totaling $61.7 million and $186.8 million, respectively.</w:t>
      </w:r>
    </w:p>
    <w:p>
      <w:pPr>
        <w:spacing w:after="0" w:line="59" w:lineRule="exact"/>
        <w:rPr>
          <w:sz w:val="20"/>
          <w:szCs w:val="20"/>
          <w:color w:val="auto"/>
        </w:rPr>
      </w:pPr>
    </w:p>
    <w:p>
      <w:pPr>
        <w:ind w:right="60" w:firstLine="389"/>
        <w:spacing w:after="0" w:line="252" w:lineRule="auto"/>
        <w:rPr>
          <w:sz w:val="20"/>
          <w:szCs w:val="20"/>
          <w:color w:val="auto"/>
        </w:rPr>
      </w:pPr>
      <w:r>
        <w:rPr>
          <w:rFonts w:ascii="Times New Roman" w:cs="Times New Roman" w:eastAsia="Times New Roman" w:hAnsi="Times New Roman"/>
          <w:sz w:val="17"/>
          <w:szCs w:val="17"/>
          <w:color w:val="auto"/>
        </w:rPr>
        <w:t>On December 12, 2011, the Board of Directors initially approved a share repurchase program, which was subsequently increased from time to time. On January 28, 2025 the Board of Directors increased the program by $500.0 million to $3,585.0 million, resulting in a remaining availability of $994.7 million for share repurchases under the program as of such date. The Company may repurchase shares pursuant to the program by means of open market repurchases, directly negotiated repurchases or through agents acting pursuant to negotiated repurchase agreements. During the first nine months of fiscal 2025, the Company purchased 3.0 million shares of the Company's Class A Common Stock for an aggregate of $453.5 million. As of December 31, 2024, the Company had approximately $554.7 million remaining under the repurchase program.</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firstLine="389"/>
        <w:spacing w:after="0" w:line="273" w:lineRule="auto"/>
        <w:rPr>
          <w:sz w:val="20"/>
          <w:szCs w:val="20"/>
          <w:color w:val="auto"/>
        </w:rPr>
      </w:pPr>
      <w:r>
        <w:rPr>
          <w:rFonts w:ascii="Times New Roman" w:cs="Times New Roman" w:eastAsia="Times New Roman" w:hAnsi="Times New Roman"/>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20" w:lineRule="exact"/>
        <w:rPr>
          <w:sz w:val="20"/>
          <w:szCs w:val="20"/>
          <w:color w:val="auto"/>
        </w:rPr>
      </w:pPr>
    </w:p>
    <w:p>
      <w:pPr>
        <w:ind w:right="20" w:firstLine="389"/>
        <w:spacing w:after="0" w:line="248" w:lineRule="auto"/>
        <w:rPr>
          <w:sz w:val="20"/>
          <w:szCs w:val="20"/>
          <w:color w:val="auto"/>
        </w:rPr>
      </w:pPr>
      <w:r>
        <w:rPr>
          <w:rFonts w:ascii="Times New Roman" w:cs="Times New Roman" w:eastAsia="Times New Roman" w:hAnsi="Times New Roman"/>
          <w:sz w:val="17"/>
          <w:szCs w:val="17"/>
          <w:color w:val="auto"/>
        </w:rPr>
        <w:t>Booz Allen Hamilton Inc. (“Booz Allen Hamilton”), Booz Allen Hamilton Investor Corporation (“Investor”), and certain wholly owned subsidiaries of Booz Allen Hamilton are parties to a Credit Agreement dated as of July 31, 2012, as amended (the “Credit Agreement”), with certain institutional lenders and Bank of America, N.A., as Administrative Agent, Collateral Agent and Issuing Lender. As of December 31, 2024, the Credit Agreement provided Booz Allen Hamilton with a $1,546.9 million Term Loan A (“Term Loan A”) and a $1.0 billion revolving credit facility (the “Revolving Credit Facility”), with a sub-limit for letters of credit of $200.0 million. As of December 31, 2024, the maturity date of Term Loan A and the Revolving Commitments is September 7, 2027. Voluntary prepayments of Term Loan A and the Revolving Loans are permitted at any time, in minimum principal amounts, without premium or penalty. Booz Allen Hamilton’s obligations and the guarantors’ guarantees under the Credit Agreement were secured by a first priority lien on substantially all of the assets (including capital stock of subsidiaries) of Booz Allen Hamilton, Investor and the subsidiary guarantors, subject to certain exceptions set forth in the Credit Agreement and related documentation; such security was released in connection with Booz Allen Hamilton obtaining investment grade ratings from both Moody's and S&amp;P. On September 7, 2022 (the “Ninth Amendment Effective Date”), the previously outstanding Term Loan B loans under the Credit Agreement were prepaid in full.</w:t>
      </w:r>
    </w:p>
    <w:p>
      <w:pPr>
        <w:spacing w:after="0" w:line="67" w:lineRule="exact"/>
        <w:rPr>
          <w:sz w:val="20"/>
          <w:szCs w:val="20"/>
          <w:color w:val="auto"/>
        </w:rPr>
      </w:pPr>
    </w:p>
    <w:p>
      <w:pPr>
        <w:ind w:right="60" w:firstLine="389"/>
        <w:spacing w:after="0" w:line="248" w:lineRule="auto"/>
        <w:rPr>
          <w:sz w:val="20"/>
          <w:szCs w:val="20"/>
          <w:color w:val="auto"/>
        </w:rPr>
      </w:pPr>
      <w:r>
        <w:rPr>
          <w:rFonts w:ascii="Times New Roman" w:cs="Times New Roman" w:eastAsia="Times New Roman" w:hAnsi="Times New Roman"/>
          <w:sz w:val="17"/>
          <w:szCs w:val="17"/>
          <w:color w:val="auto"/>
        </w:rPr>
        <w:t>On July 27, 2023 (the “Tenth Amendment Effective Date”), Booz Allen Hamilton entered into a Tenth Amendment (the “Amendment”) to the Credit Agreement (as amended prior to the Tenth Amendment Effective Date, the “Existing Credit Agreement” and, as amended by the Amendment, the “Amended Credit Agreement”) with Bank of America, N.A., as administrative agent (in such capacity, the “Administrative Agent”), and the lenders and other financial institutions party thereto, in order to make permanent certain changes to the Existing Credit Agreement in connection with Booz Allen Hamilton obtaining investment grade ratings from both Moody's and S&amp;P and prepaying the Term Loan B loans in full and to make certain additional changes in connection therewith, including, among other things, (i) removing the requirements for the obligations under the Amended Credit Agreement to be secured, (ii) removing the requirement for any subsidiary or other affiliate of Booz Allen Hamilton (other than the Company) to provide any guarantee of the obligations under the Amended Credit Agreement and (iii) removing or modifying certain covenants applicable to Booz Allen Hamilton. Pursuant to the Amendment, all guarantees in respect of the Existing Credit Agreement have been released. The Amendment did not impact any of the terms of the Credit Agreement related to amortization or payments.</w:t>
      </w:r>
    </w:p>
    <w:p>
      <w:pPr>
        <w:spacing w:after="0" w:line="282" w:lineRule="exact"/>
        <w:rPr>
          <w:sz w:val="20"/>
          <w:szCs w:val="20"/>
          <w:color w:val="auto"/>
        </w:rPr>
      </w:pPr>
    </w:p>
    <w:p>
      <w:pPr>
        <w:ind w:right="100" w:firstLine="389"/>
        <w:spacing w:after="0" w:line="256" w:lineRule="auto"/>
        <w:rPr>
          <w:sz w:val="20"/>
          <w:szCs w:val="20"/>
          <w:color w:val="auto"/>
        </w:rPr>
      </w:pPr>
      <w:r>
        <w:rPr>
          <w:rFonts w:ascii="Times New Roman" w:cs="Times New Roman" w:eastAsia="Times New Roman" w:hAnsi="Times New Roman"/>
          <w:sz w:val="17"/>
          <w:szCs w:val="17"/>
          <w:color w:val="auto"/>
        </w:rPr>
        <w:t>On the Tenth Amendment Effective Date in connection with the Amendment, the Company entered into a Guarantee Agreement (the “Guarantee Agreement”) in favor of the Administrative Agent, pursuant to which the Company guarantees on an unsecured basis the obligations of Booz Allen Hamilton under the Amended Credit Agreement subject to certain conditions. Pursuant to the Amended Credit Agreement Booz Allen Hamilton has the option, though not any obligation, to join one or more of its domestic subsidiaries as a guarantor under the Guarantee Agreement.</w:t>
      </w:r>
    </w:p>
    <w:p>
      <w:pPr>
        <w:spacing w:after="0" w:line="61" w:lineRule="exact"/>
        <w:rPr>
          <w:sz w:val="20"/>
          <w:szCs w:val="20"/>
          <w:color w:val="auto"/>
        </w:rPr>
      </w:pPr>
    </w:p>
    <w:p>
      <w:pPr>
        <w:ind w:right="20" w:firstLine="389"/>
        <w:spacing w:after="0" w:line="252" w:lineRule="auto"/>
        <w:rPr>
          <w:sz w:val="20"/>
          <w:szCs w:val="20"/>
          <w:color w:val="auto"/>
        </w:rPr>
      </w:pPr>
      <w:r>
        <w:rPr>
          <w:rFonts w:ascii="Times New Roman" w:cs="Times New Roman" w:eastAsia="Times New Roman" w:hAnsi="Times New Roman"/>
          <w:sz w:val="17"/>
          <w:szCs w:val="17"/>
          <w:color w:val="auto"/>
        </w:rPr>
        <w:t>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Term Loan A and (ii) on the last business day of each full fiscal quarter that begins after the two year anniversary of the Ninth Amendment Effective Date but before the five year anniversary of the Ninth Amendment Effective Date, 1.25% of the stated principal amount of Term Loan A. The remaining balance of Term Loan A will be payable upon maturity.</w:t>
      </w:r>
    </w:p>
    <w:p>
      <w:pPr>
        <w:spacing w:after="0" w:line="76" w:lineRule="exact"/>
        <w:rPr>
          <w:sz w:val="20"/>
          <w:szCs w:val="20"/>
          <w:color w:val="auto"/>
        </w:rPr>
      </w:pPr>
    </w:p>
    <w:p>
      <w:pPr>
        <w:ind w:firstLine="389"/>
        <w:spacing w:after="0" w:line="259" w:lineRule="auto"/>
        <w:rPr>
          <w:sz w:val="20"/>
          <w:szCs w:val="20"/>
          <w:color w:val="auto"/>
        </w:rPr>
      </w:pPr>
      <w:r>
        <w:rPr>
          <w:rFonts w:ascii="Times New Roman" w:cs="Times New Roman" w:eastAsia="Times New Roman" w:hAnsi="Times New Roman"/>
          <w:sz w:val="17"/>
          <w:szCs w:val="17"/>
          <w:color w:val="auto"/>
        </w:rPr>
        <w:t>The rate at which Term Loan A and the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Term Loan A and the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72" w:lineRule="exact"/>
        <w:rPr>
          <w:sz w:val="20"/>
          <w:szCs w:val="20"/>
          <w:color w:val="auto"/>
        </w:rPr>
      </w:pPr>
    </w:p>
    <w:p>
      <w:pPr>
        <w:ind w:right="20" w:firstLine="389"/>
        <w:spacing w:after="0" w:line="292" w:lineRule="auto"/>
        <w:rPr>
          <w:sz w:val="20"/>
          <w:szCs w:val="20"/>
          <w:color w:val="auto"/>
        </w:rPr>
      </w:pPr>
      <w:r>
        <w:rPr>
          <w:rFonts w:ascii="Times New Roman" w:cs="Times New Roman" w:eastAsia="Times New Roman" w:hAnsi="Times New Roman"/>
          <w:sz w:val="17"/>
          <w:szCs w:val="17"/>
          <w:color w:val="auto"/>
        </w:rPr>
        <w:t>The Company occasionally borrows under the Revolving Credit Facility for our working capital needs. There were no borrowings during the third quarter of fiscal 2025 and as of December 31, 2024 and March 31, 2024, respectively, there was no outstanding balance on the Revolving Credit Facility.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389"/>
        <w:spacing w:after="0" w:line="267" w:lineRule="auto"/>
        <w:rPr>
          <w:sz w:val="20"/>
          <w:szCs w:val="20"/>
          <w:color w:val="auto"/>
        </w:rPr>
      </w:pPr>
      <w:r>
        <w:rPr>
          <w:rFonts w:ascii="Times New Roman" w:cs="Times New Roman" w:eastAsia="Times New Roman" w:hAnsi="Times New Roman"/>
          <w:sz w:val="17"/>
          <w:szCs w:val="17"/>
          <w:color w:val="auto"/>
        </w:rPr>
        <w:t>Borrowings under Term Loan A, and if used, the Revolving Credit Facility, incur interest at a variable rate. As of December 31, 2024, Booz Allen Hamilton had interest rate swaps with an aggregate notional amount of $550.0 million. These instruments hedge the variability of cash outflows for interest payments on the Credit Agreement. The Company's objectives in using cash flow hedges are to reduce volatility due to interest rate movements and to add stability to interest expense. See Note 9, “Derivatives,” to our condensed consolidated financial statements for further information.</w:t>
      </w:r>
    </w:p>
    <w:p>
      <w:pPr>
        <w:spacing w:after="0" w:line="64" w:lineRule="exact"/>
        <w:rPr>
          <w:sz w:val="20"/>
          <w:szCs w:val="20"/>
          <w:color w:val="auto"/>
        </w:rPr>
      </w:pPr>
    </w:p>
    <w:p>
      <w:pPr>
        <w:ind w:right="80" w:firstLine="389"/>
        <w:spacing w:after="0" w:line="264"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customary affirmative and negative covenants. In connection with Booz Allen Hamilton obtaining investment grade ratings from both Moody's and S&amp;P, certain activities previously restricted by certain negative covenants are permitted subject to pro forma compliance with the financial covenants and no events of default having occurred or are continuing. In addition, Booz Allen Hamilton is required to meet certain financial covenants at each quarter end, specifically the consolidated net total leverage ratio. As of December 31, 2024 and March 31, 2024, Booz Allen Hamilton was in compliance with all financial covenants associated with its debt and debt-like instruments.</w:t>
      </w:r>
    </w:p>
    <w:p>
      <w:pPr>
        <w:spacing w:after="0" w:line="66" w:lineRule="exact"/>
        <w:rPr>
          <w:sz w:val="20"/>
          <w:szCs w:val="20"/>
          <w:color w:val="auto"/>
        </w:rPr>
      </w:pPr>
    </w:p>
    <w:p>
      <w:pPr>
        <w:ind w:right="100" w:firstLine="389"/>
        <w:spacing w:after="0" w:line="264" w:lineRule="auto"/>
        <w:rPr>
          <w:sz w:val="20"/>
          <w:szCs w:val="20"/>
          <w:color w:val="auto"/>
        </w:rPr>
      </w:pPr>
      <w:r>
        <w:rPr>
          <w:rFonts w:ascii="Times New Roman" w:cs="Times New Roman" w:eastAsia="Times New Roman" w:hAnsi="Times New Roman"/>
          <w:sz w:val="17"/>
          <w:szCs w:val="17"/>
          <w:color w:val="auto"/>
        </w:rPr>
        <w:t>As of December 31, 2024 and March 31, 2024, the Company was contingently liable under open standby letters of credit and bank guarantees issued by our banks in favor of third parties that totaled $4.5 million and $4.4 million, respectively. These letters of credit and bank guarantees primarily support insurance and bid and performance obligations. At December 31, 2024 and March 31, 2024, respectively, approximately $1.4 million and $1.3 million of these instruments reduced the available borrowings under the Revolving Credit Facility. The remainder is guaranteed under a separate $7.5 million facility of which $4.5 million and $4.4 million was available to the Company at December 31, 2024 and March 31, 2024,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material terms of the Company’s Senior Notes as of December 31, 2024:</w:t>
      </w:r>
    </w:p>
    <w:p>
      <w:pPr>
        <w:spacing w:after="0" w:line="100"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1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14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8"/>
        </w:trPr>
        <w:tc>
          <w:tcPr>
            <w:tcW w:w="1760" w:type="dxa"/>
            <w:vAlign w:val="bottom"/>
          </w:tcPr>
          <w:p>
            <w:pPr>
              <w:spacing w:after="0"/>
              <w:rPr>
                <w:sz w:val="19"/>
                <w:szCs w:val="19"/>
                <w:color w:val="auto"/>
              </w:rPr>
            </w:pPr>
          </w:p>
        </w:tc>
        <w:tc>
          <w:tcPr>
            <w:tcW w:w="18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Indenture Date</w:t>
            </w:r>
          </w:p>
        </w:tc>
        <w:tc>
          <w:tcPr>
            <w:tcW w:w="18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222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Interest Payable</w:t>
            </w:r>
          </w:p>
        </w:tc>
        <w:tc>
          <w:tcPr>
            <w:tcW w:w="160" w:type="dxa"/>
            <w:vAlign w:val="bottom"/>
          </w:tcPr>
          <w:p>
            <w:pPr>
              <w:spacing w:after="0"/>
              <w:rPr>
                <w:sz w:val="19"/>
                <w:szCs w:val="19"/>
                <w:color w:val="auto"/>
              </w:rPr>
            </w:pP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Issuance Costs</w:t>
            </w:r>
          </w:p>
        </w:tc>
      </w:tr>
      <w:tr>
        <w:trPr>
          <w:trHeight w:val="26"/>
        </w:trPr>
        <w:tc>
          <w:tcPr>
            <w:tcW w:w="17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1"/>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Notes due 2033</w:t>
            </w:r>
          </w:p>
        </w:tc>
        <w:tc>
          <w:tcPr>
            <w:tcW w:w="1820" w:type="dxa"/>
            <w:vAlign w:val="bottom"/>
            <w:tcBorders>
              <w:bottom w:val="single" w:sz="8" w:color="CCEEFF"/>
            </w:tcBorders>
            <w:shd w:val="clear" w:color="auto" w:fill="CCEEFF"/>
          </w:tcPr>
          <w:p>
            <w:pPr>
              <w:jc w:val="center"/>
              <w:ind w:left="454"/>
              <w:spacing w:after="0"/>
              <w:rPr>
                <w:sz w:val="20"/>
                <w:szCs w:val="20"/>
                <w:color w:val="auto"/>
              </w:rPr>
            </w:pPr>
            <w:r>
              <w:rPr>
                <w:rFonts w:ascii="Times New Roman" w:cs="Times New Roman" w:eastAsia="Times New Roman" w:hAnsi="Times New Roman"/>
                <w:sz w:val="17"/>
                <w:szCs w:val="17"/>
                <w:color w:val="auto"/>
                <w:w w:val="99"/>
              </w:rPr>
              <w:t>8/4/2023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5.950%</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8/4/2033</w:t>
            </w:r>
          </w:p>
        </w:tc>
        <w:tc>
          <w:tcPr>
            <w:tcW w:w="2220" w:type="dxa"/>
            <w:vAlign w:val="bottom"/>
            <w:tcBorders>
              <w:bottom w:val="single" w:sz="8" w:color="CCEEFF"/>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February and August 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12,400</w:t>
            </w:r>
          </w:p>
        </w:tc>
      </w:tr>
      <w:tr>
        <w:trPr>
          <w:trHeight w:val="272"/>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Senior Notes due 2029</w:t>
            </w:r>
          </w:p>
        </w:tc>
        <w:tc>
          <w:tcPr>
            <w:tcW w:w="182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6/17/2021</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7/1/2029</w:t>
            </w:r>
          </w:p>
        </w:tc>
        <w:tc>
          <w:tcPr>
            <w:tcW w:w="22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July and January 1</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w:t>
            </w:r>
          </w:p>
        </w:tc>
      </w:tr>
      <w:tr>
        <w:trPr>
          <w:trHeight w:val="26"/>
        </w:trPr>
        <w:tc>
          <w:tcPr>
            <w:tcW w:w="1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8"/>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Notes due 2028</w:t>
            </w:r>
          </w:p>
        </w:tc>
        <w:tc>
          <w:tcPr>
            <w:tcW w:w="1820" w:type="dxa"/>
            <w:vAlign w:val="bottom"/>
            <w:tcBorders>
              <w:bottom w:val="single" w:sz="8" w:color="CCEEFF"/>
            </w:tcBorders>
            <w:shd w:val="clear" w:color="auto" w:fill="CCEEFF"/>
          </w:tcPr>
          <w:p>
            <w:pPr>
              <w:jc w:val="center"/>
              <w:ind w:left="474"/>
              <w:spacing w:after="0"/>
              <w:rPr>
                <w:sz w:val="20"/>
                <w:szCs w:val="20"/>
                <w:color w:val="auto"/>
              </w:rPr>
            </w:pPr>
            <w:r>
              <w:rPr>
                <w:rFonts w:ascii="Times New Roman" w:cs="Times New Roman" w:eastAsia="Times New Roman" w:hAnsi="Times New Roman"/>
                <w:sz w:val="17"/>
                <w:szCs w:val="17"/>
                <w:color w:val="auto"/>
              </w:rPr>
              <w:t>8/24/2020</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3.875%</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9/1/2028</w:t>
            </w:r>
          </w:p>
        </w:tc>
        <w:tc>
          <w:tcPr>
            <w:tcW w:w="2220" w:type="dxa"/>
            <w:vAlign w:val="bottom"/>
            <w:tcBorders>
              <w:bottom w:val="single" w:sz="8" w:color="CCEEFF"/>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March and September 1</w:t>
            </w:r>
          </w:p>
        </w:tc>
        <w:tc>
          <w:tcPr>
            <w:tcW w:w="1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9,200</w:t>
            </w:r>
          </w:p>
        </w:tc>
      </w:tr>
      <w:tr>
        <w:trPr>
          <w:trHeight w:val="219"/>
        </w:trPr>
        <w:tc>
          <w:tcPr>
            <w:tcW w:w="1760" w:type="dxa"/>
            <w:vAlign w:val="bottom"/>
          </w:tcPr>
          <w:p>
            <w:pPr>
              <w:spacing w:after="0"/>
              <w:rPr>
                <w:sz w:val="19"/>
                <w:szCs w:val="19"/>
                <w:color w:val="auto"/>
              </w:rPr>
            </w:pPr>
          </w:p>
        </w:tc>
        <w:tc>
          <w:tcPr>
            <w:tcW w:w="1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1,850,000</w:t>
            </w:r>
          </w:p>
        </w:tc>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28,100</w:t>
            </w:r>
          </w:p>
        </w:tc>
      </w:tr>
      <w:tr>
        <w:trPr>
          <w:trHeight w:val="20"/>
        </w:trPr>
        <w:tc>
          <w:tcPr>
            <w:tcW w:w="1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200" w:firstLine="389"/>
        <w:spacing w:after="0" w:line="267" w:lineRule="auto"/>
        <w:rPr>
          <w:sz w:val="20"/>
          <w:szCs w:val="20"/>
          <w:color w:val="auto"/>
        </w:rPr>
      </w:pPr>
      <w:r>
        <w:rPr>
          <w:rFonts w:ascii="Times New Roman" w:cs="Times New Roman" w:eastAsia="Times New Roman" w:hAnsi="Times New Roman"/>
          <w:sz w:val="17"/>
          <w:szCs w:val="17"/>
          <w:color w:val="auto"/>
        </w:rPr>
        <w:t>Interest is payable semi-annually in cash in arrears, with the principal due at maturity. Issuance Costs were recorded as an offset against the carrying value of respective debt and are being amortized to interest expense over the term of the respective debt. For further information on the Senior Notes, including terms, conditions, restrictions and redemption options, see Note 10, “Debt,” of the Company’s consolidated financial statements included in the fiscal 2024 Annual Report on Form 10-K.</w:t>
      </w:r>
    </w:p>
    <w:p>
      <w:pPr>
        <w:spacing w:after="0" w:line="64" w:lineRule="exact"/>
        <w:rPr>
          <w:sz w:val="20"/>
          <w:szCs w:val="20"/>
          <w:color w:val="auto"/>
        </w:rPr>
      </w:pPr>
    </w:p>
    <w:p>
      <w:pPr>
        <w:ind w:right="40" w:firstLine="389"/>
        <w:spacing w:after="0" w:line="267" w:lineRule="auto"/>
        <w:rPr>
          <w:sz w:val="20"/>
          <w:szCs w:val="20"/>
          <w:color w:val="auto"/>
        </w:rPr>
      </w:pPr>
      <w:r>
        <w:rPr>
          <w:rFonts w:ascii="Times New Roman" w:cs="Times New Roman" w:eastAsia="Times New Roman" w:hAnsi="Times New Roman"/>
          <w:sz w:val="17"/>
          <w:szCs w:val="17"/>
          <w:color w:val="auto"/>
        </w:rPr>
        <w:t>All Senior Notes’ indentures contain certain covenants, events of default and other customary provisions. In connection with the Senior Notes obtaining investment grade ratings from Moody's and S&amp;P, in January 2023, certain negative covenants in the indentures governing the Senior Notes 2028 and Senior Notes 2029 were suspended, and the related guarantees were released. The Senior Notes due 2033 are fully and unconditionally guaranteed on an unsecured and unsubordinated basis by Booz Allen Hamilton Holding Corporation, pursuant to the relevant indenture.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Summarized Financial Information</w:t>
      </w:r>
    </w:p>
    <w:p>
      <w:pPr>
        <w:spacing w:after="0" w:line="118" w:lineRule="exact"/>
        <w:rPr>
          <w:sz w:val="20"/>
          <w:szCs w:val="20"/>
          <w:color w:val="auto"/>
        </w:rPr>
      </w:pPr>
    </w:p>
    <w:p>
      <w:pPr>
        <w:ind w:right="80" w:firstLine="389"/>
        <w:spacing w:after="0" w:line="273" w:lineRule="auto"/>
        <w:rPr>
          <w:sz w:val="20"/>
          <w:szCs w:val="20"/>
          <w:color w:val="auto"/>
        </w:rPr>
      </w:pPr>
      <w:r>
        <w:rPr>
          <w:rFonts w:ascii="Times New Roman" w:cs="Times New Roman" w:eastAsia="Times New Roman" w:hAnsi="Times New Roman"/>
          <w:sz w:val="17"/>
          <w:szCs w:val="17"/>
          <w:color w:val="auto"/>
        </w:rPr>
        <w:t>The Senior Notes due 2033 were issued by Booz Allen Hamilton pursuant to the Base Indenture, among Booz Allen Hamilton, the Company and U.S. Bank Trust Company, National Association, as trustee, as supplemented by the Supplemental Indenture. The Senior Notes due 2033 are fully and unconditionally guaranteed on an unsecured and unsubordinated basis by the Company pursuant to the Indenture.</w:t>
      </w:r>
    </w:p>
    <w:p>
      <w:pPr>
        <w:spacing w:after="0" w:line="59" w:lineRule="exact"/>
        <w:rPr>
          <w:sz w:val="20"/>
          <w:szCs w:val="20"/>
          <w:color w:val="auto"/>
        </w:rPr>
      </w:pPr>
    </w:p>
    <w:p>
      <w:pPr>
        <w:ind w:right="80" w:firstLine="389"/>
        <w:spacing w:after="0" w:line="264" w:lineRule="auto"/>
        <w:rPr>
          <w:sz w:val="20"/>
          <w:szCs w:val="20"/>
          <w:color w:val="auto"/>
        </w:rPr>
      </w:pPr>
      <w:r>
        <w:rPr>
          <w:rFonts w:ascii="Times New Roman" w:cs="Times New Roman" w:eastAsia="Times New Roman" w:hAnsi="Times New Roman"/>
          <w:sz w:val="17"/>
          <w:szCs w:val="17"/>
          <w:color w:val="auto"/>
        </w:rPr>
        <w:t>The tables below present the summarized financial information as combined for the Company and Booz Allen Hamilton as of March 31, 2024 and as of and for the nine months ended December 31, 2024, after the elimination of intercompany transactions and balances between the Company and Booz Allen Hamilton and excluding the subsidiaries of the Company that are not issuers or guarantors of the Senior Notes due 2033, including earnings from and investments in these entities. The summarized financial information is provided in accordance with the reporting requirements of Rule 13-01 under Regulation S-X and is not intended to present our financial position or results of operations in accordance with GAAP.</w:t>
      </w: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5"/>
        </w:trPr>
        <w:tc>
          <w:tcPr>
            <w:tcW w:w="1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914"/>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Statements of Financial Condition</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4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21"/>
                <w:szCs w:val="21"/>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80" w:type="dxa"/>
            <w:vAlign w:val="bottom"/>
          </w:tcPr>
          <w:p>
            <w:pPr>
              <w:spacing w:after="0"/>
              <w:rPr>
                <w:sz w:val="21"/>
                <w:szCs w:val="21"/>
                <w:color w:val="auto"/>
              </w:rPr>
            </w:pP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March 31, 2024</w:t>
            </w:r>
          </w:p>
        </w:tc>
      </w:tr>
      <w:tr>
        <w:trPr>
          <w:trHeight w:val="213"/>
        </w:trPr>
        <w:tc>
          <w:tcPr>
            <w:tcW w:w="6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Intercompany receivables from non-guarantor subsidiaries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62,012</w:t>
            </w:r>
          </w:p>
        </w:tc>
      </w:tr>
      <w:tr>
        <w:trPr>
          <w:trHeight w:val="22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current assets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2,746,398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2,618,239</w:t>
            </w:r>
          </w:p>
        </w:tc>
      </w:tr>
      <w:tr>
        <w:trPr>
          <w:trHeight w:val="22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and intangible assets, net of accumulated amortization</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1,499,616</w:t>
            </w:r>
          </w:p>
        </w:tc>
      </w:tr>
      <w:tr>
        <w:trPr>
          <w:trHeight w:val="22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non-current assets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944,172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853,623</w:t>
            </w:r>
          </w:p>
        </w:tc>
      </w:tr>
      <w:tr>
        <w:trPr>
          <w:trHeight w:val="22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Intercompany payables to non-guarantor subsidiaries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13,408</w:t>
            </w:r>
          </w:p>
        </w:tc>
      </w:tr>
      <w:tr>
        <w:trPr>
          <w:trHeight w:val="22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current liabilities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1,797,834</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1,641,369</w:t>
            </w:r>
          </w:p>
        </w:tc>
      </w:tr>
      <w:tr>
        <w:trPr>
          <w:trHeight w:val="22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3,291,215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3,349,941</w:t>
            </w:r>
          </w:p>
        </w:tc>
      </w:tr>
      <w:tr>
        <w:trPr>
          <w:trHeight w:val="22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non-current liabilities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488,158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457,290</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Operations</w:t>
            </w: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40" w:type="dxa"/>
            <w:vAlign w:val="bottom"/>
          </w:tcPr>
          <w:p>
            <w:pPr>
              <w:spacing w:after="0"/>
              <w:rPr>
                <w:sz w:val="16"/>
                <w:szCs w:val="16"/>
                <w:color w:val="auto"/>
              </w:rPr>
            </w:pPr>
          </w:p>
        </w:tc>
        <w:tc>
          <w:tcPr>
            <w:tcW w:w="2060" w:type="dxa"/>
            <w:vAlign w:val="bottom"/>
          </w:tcPr>
          <w:p>
            <w:pPr>
              <w:jc w:val="right"/>
              <w:ind w:right="354"/>
              <w:spacing w:after="0" w:line="194" w:lineRule="exact"/>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33"/>
        </w:trPr>
        <w:tc>
          <w:tcPr>
            <w:tcW w:w="8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21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8,394,800</w:t>
            </w:r>
          </w:p>
        </w:tc>
        <w:tc>
          <w:tcPr>
            <w:tcW w:w="0" w:type="dxa"/>
            <w:vAlign w:val="bottom"/>
          </w:tcPr>
          <w:p>
            <w:pPr>
              <w:spacing w:after="0"/>
              <w:rPr>
                <w:sz w:val="1"/>
                <w:szCs w:val="1"/>
                <w:color w:val="auto"/>
              </w:rPr>
            </w:pPr>
          </w:p>
        </w:tc>
      </w:tr>
      <w:tr>
        <w:trPr>
          <w:trHeight w:val="220"/>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from non-guarantor subsidiaries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465,267</w:t>
            </w:r>
          </w:p>
        </w:tc>
        <w:tc>
          <w:tcPr>
            <w:tcW w:w="0" w:type="dxa"/>
            <w:vAlign w:val="bottom"/>
          </w:tcPr>
          <w:p>
            <w:pPr>
              <w:spacing w:after="0"/>
              <w:rPr>
                <w:sz w:val="1"/>
                <w:szCs w:val="1"/>
                <w:color w:val="auto"/>
              </w:rPr>
            </w:pPr>
          </w:p>
        </w:tc>
      </w:tr>
      <w:tr>
        <w:trPr>
          <w:trHeight w:val="22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622,102</w:t>
            </w:r>
          </w:p>
        </w:tc>
        <w:tc>
          <w:tcPr>
            <w:tcW w:w="0" w:type="dxa"/>
            <w:vAlign w:val="bottom"/>
          </w:tcPr>
          <w:p>
            <w:pPr>
              <w:spacing w:after="0"/>
              <w:rPr>
                <w:sz w:val="1"/>
                <w:szCs w:val="1"/>
                <w:color w:val="auto"/>
              </w:rPr>
            </w:pPr>
          </w:p>
        </w:tc>
      </w:tr>
      <w:tr>
        <w:trPr>
          <w:trHeight w:val="220"/>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from non-guarantor subsidiaries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438,564</w:t>
            </w:r>
          </w:p>
        </w:tc>
        <w:tc>
          <w:tcPr>
            <w:tcW w:w="0" w:type="dxa"/>
            <w:vAlign w:val="bottom"/>
          </w:tcPr>
          <w:p>
            <w:pPr>
              <w:spacing w:after="0"/>
              <w:rPr>
                <w:sz w:val="1"/>
                <w:szCs w:val="1"/>
                <w:color w:val="auto"/>
              </w:rPr>
            </w:pPr>
          </w:p>
        </w:tc>
      </w:tr>
      <w:tr>
        <w:trPr>
          <w:trHeight w:val="22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709,201</w:t>
            </w:r>
          </w:p>
        </w:tc>
        <w:tc>
          <w:tcPr>
            <w:tcW w:w="0" w:type="dxa"/>
            <w:vAlign w:val="bottom"/>
          </w:tcPr>
          <w:p>
            <w:pPr>
              <w:spacing w:after="0"/>
              <w:rPr>
                <w:sz w:val="1"/>
                <w:szCs w:val="1"/>
                <w:color w:val="auto"/>
              </w:rPr>
            </w:pPr>
          </w:p>
        </w:tc>
      </w:tr>
      <w:tr>
        <w:trPr>
          <w:trHeight w:val="226"/>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the Obligor Group</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709,201</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Structure and Resources</w:t>
      </w:r>
    </w:p>
    <w:p>
      <w:pPr>
        <w:spacing w:after="0" w:line="66" w:lineRule="exact"/>
        <w:rPr>
          <w:sz w:val="20"/>
          <w:szCs w:val="20"/>
          <w:color w:val="auto"/>
        </w:rPr>
      </w:pPr>
    </w:p>
    <w:p>
      <w:pPr>
        <w:ind w:firstLine="389"/>
        <w:spacing w:after="0" w:line="267" w:lineRule="auto"/>
        <w:rPr>
          <w:sz w:val="20"/>
          <w:szCs w:val="20"/>
          <w:color w:val="auto"/>
        </w:rPr>
      </w:pPr>
      <w:r>
        <w:rPr>
          <w:rFonts w:ascii="Times New Roman" w:cs="Times New Roman" w:eastAsia="Times New Roman" w:hAnsi="Times New Roman"/>
          <w:sz w:val="17"/>
          <w:szCs w:val="17"/>
          <w:color w:val="auto"/>
        </w:rPr>
        <w:t>Our stockholders’ equity amounted to $1,209.9 million as of December 31, 2024, an increase of $163.3, compared to stockholders’ equity of $1,046.6 million as of March 31, 2024. The increase was primarily due to net income of $742.3 million and stock-based compensation expense of $70.8 million during the nine months ended December 31, 2024, partially offset by $474.5 million in treasury stock resulting from the repurchase of shares of our Class A Common Stock, and $198.9 million in quarterly dividend payments for the nine months ended December 31,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p>
      <w:pPr>
        <w:spacing w:after="0" w:line="66" w:lineRule="exact"/>
        <w:rPr>
          <w:sz w:val="20"/>
          <w:szCs w:val="20"/>
          <w:color w:val="auto"/>
        </w:rPr>
      </w:pPr>
    </w:p>
    <w:p>
      <w:pPr>
        <w:ind w:right="60" w:firstLine="389"/>
        <w:spacing w:after="0" w:line="267" w:lineRule="auto"/>
        <w:rPr>
          <w:sz w:val="20"/>
          <w:szCs w:val="20"/>
          <w:color w:val="auto"/>
        </w:rPr>
      </w:pPr>
      <w:r>
        <w:rPr>
          <w:rFonts w:ascii="Times New Roman" w:cs="Times New Roman" w:eastAsia="Times New Roman" w:hAnsi="Times New Roman"/>
          <w:sz w:val="17"/>
          <w:szCs w:val="17"/>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the nine months ended December 31, 2024 and 2023 were $73.4 million and $50.5 million, respectively. The increase is primarily driven by an increase in leasehold improvements and secure space updates to our leased facilities in the current period.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66" w:lineRule="exact"/>
        <w:rPr>
          <w:sz w:val="20"/>
          <w:szCs w:val="20"/>
          <w:color w:val="auto"/>
        </w:rPr>
      </w:pPr>
    </w:p>
    <w:p>
      <w:pPr>
        <w:ind w:right="60" w:firstLine="389"/>
        <w:spacing w:after="0" w:line="292" w:lineRule="auto"/>
        <w:rPr>
          <w:sz w:val="20"/>
          <w:szCs w:val="20"/>
          <w:color w:val="auto"/>
        </w:rPr>
      </w:pPr>
      <w:r>
        <w:rPr>
          <w:rFonts w:ascii="Times New Roman" w:cs="Times New Roman" w:eastAsia="Times New Roman" w:hAnsi="Times New Roman"/>
          <w:sz w:val="17"/>
          <w:szCs w:val="17"/>
          <w:color w:val="auto"/>
        </w:rPr>
        <w:t>We are subject to a number of reviews, investigations, claims, lawsuits, and other uncertainties related to our business. For a discussion of these items, refer to Note 15, “Commitments and Contingencies,” to our condensed consolidated financial statements.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 Looking Statements</w:t>
      </w:r>
    </w:p>
    <w:p>
      <w:pPr>
        <w:spacing w:after="0" w:line="66" w:lineRule="exact"/>
        <w:rPr>
          <w:sz w:val="20"/>
          <w:szCs w:val="20"/>
          <w:color w:val="auto"/>
        </w:rPr>
      </w:pPr>
    </w:p>
    <w:p>
      <w:pPr>
        <w:ind w:right="20" w:firstLine="389"/>
        <w:spacing w:after="0" w:line="260" w:lineRule="auto"/>
        <w:rPr>
          <w:sz w:val="20"/>
          <w:szCs w:val="20"/>
          <w:color w:val="auto"/>
        </w:rPr>
      </w:pPr>
      <w:r>
        <w:rPr>
          <w:rFonts w:ascii="Times New Roman" w:cs="Times New Roman" w:eastAsia="Times New Roman" w:hAnsi="Times New Roman"/>
          <w:sz w:val="17"/>
          <w:szCs w:val="17"/>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22" w:lineRule="exact"/>
        <w:rPr>
          <w:sz w:val="20"/>
          <w:szCs w:val="20"/>
          <w:color w:val="auto"/>
        </w:rPr>
      </w:pPr>
    </w:p>
    <w:p>
      <w:pPr>
        <w:ind w:left="620" w:right="100" w:hanging="305"/>
        <w:spacing w:after="0" w:line="286"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issue that compromises our relationships with the U.S. government or damages our professional reputation, including negative publicity concerning government contractors in general or us in particular;</w:t>
      </w:r>
    </w:p>
    <w:p>
      <w:pPr>
        <w:ind w:left="620" w:right="40" w:hanging="305"/>
        <w:spacing w:after="0" w:line="292"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U.S. administration transitions;</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20" w:right="220" w:hanging="305"/>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by Congress and other U.S. government bodies to reduce U.S. government spending and address budgetary constraints and the U.S. deficit, as well as associated uncertainty around the timing, extent, nature and effect of such efforts;</w:t>
      </w: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delayed long-term funding of our contracts, including uncertainty relating to funding the U.S. government and increasing the debt ceiling;</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shutdowns as a result of the failure by elected officials to fund the government;</w:t>
      </w:r>
    </w:p>
    <w:p>
      <w:pPr>
        <w:spacing w:after="0" w:line="63" w:lineRule="exact"/>
        <w:rPr>
          <w:rFonts w:ascii="Times New Roman" w:cs="Times New Roman" w:eastAsia="Times New Roman" w:hAnsi="Times New Roman"/>
          <w:sz w:val="17"/>
          <w:szCs w:val="17"/>
          <w:color w:val="auto"/>
        </w:rPr>
      </w:pPr>
    </w:p>
    <w:p>
      <w:pPr>
        <w:ind w:left="620" w:right="120" w:hanging="305"/>
        <w:spacing w:after="0" w:line="285" w:lineRule="auto"/>
        <w:tabs>
          <w:tab w:leader="none" w:pos="616"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w:t>failure to comply with numerous laws and regulations, including but not limited to, the Federal Acquisition Regulation (“FAR”), the False Claims Act, the Defense Federal Acquisition Regulation Supplement (“DFARS”), and FAR Cost Accounting Standards and Cost Principles;</w:t>
      </w:r>
    </w:p>
    <w:p>
      <w:pPr>
        <w:spacing w:after="0" w:line="1" w:lineRule="exact"/>
        <w:rPr>
          <w:rFonts w:ascii="Arial" w:cs="Arial" w:eastAsia="Arial" w:hAnsi="Arial"/>
          <w:sz w:val="17"/>
          <w:szCs w:val="17"/>
          <w:color w:val="auto"/>
        </w:rPr>
      </w:pPr>
    </w:p>
    <w:p>
      <w:pPr>
        <w:ind w:left="620" w:right="440" w:hanging="305"/>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disease outbreaks, pandemics, or widespread health epidemics including disruptions to our workforce and the impact on government spending and demand for our solutions;</w:t>
      </w:r>
    </w:p>
    <w:p>
      <w:pPr>
        <w:ind w:left="620" w:right="240" w:hanging="305"/>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effectively in the competitive bidding process and delays or losses of contract awards caused by competitors' protests of major contract awards received by us;</w:t>
      </w:r>
    </w:p>
    <w:p>
      <w:pPr>
        <w:ind w:left="620" w:right="720" w:hanging="305"/>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purchasing patterns under U.S. government General Services Administration Multiple Award schedule contracts, or General Services Administration (“GSA”) schedules, blanket purchase agreements, and indefinite delivery/indefinite quantity (“IDIQ”) contracts;</w:t>
      </w: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GSA schedules or our position as prime contractor on government-wide acquisition contract vehicles (“GWACs”);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mix of our contracts and our ability to accurately estimate or otherwise recover expenses, time, and resources for our contracts;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estimates used in recognizing revenue;</w:t>
      </w:r>
    </w:p>
    <w:p>
      <w:pPr>
        <w:spacing w:after="0" w:line="63" w:lineRule="exact"/>
        <w:rPr>
          <w:rFonts w:ascii="Times New Roman" w:cs="Times New Roman" w:eastAsia="Times New Roman" w:hAnsi="Times New Roman"/>
          <w:sz w:val="17"/>
          <w:szCs w:val="17"/>
          <w:color w:val="auto"/>
        </w:rPr>
      </w:pPr>
    </w:p>
    <w:p>
      <w:pPr>
        <w:ind w:left="620" w:hanging="305"/>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full value of and replenish our backlog, generate revenue under certain of our contracts, and the timing of our receipt of revenue under contracts included in backlog;</w:t>
      </w:r>
    </w:p>
    <w:p>
      <w:pPr>
        <w:ind w:left="620" w:right="140" w:hanging="305"/>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system or service failures and security breaches, including, but not limited to, those resulting from external or internal threats, including cyber attacks on our network and internal systems;</w:t>
      </w: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operations of financial management systems;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attract, train, or retain employees with the requisite skills and experience;</w:t>
      </w:r>
    </w:p>
    <w:p>
      <w:pPr>
        <w:spacing w:after="0" w:line="63" w:lineRule="exact"/>
        <w:rPr>
          <w:rFonts w:ascii="Times New Roman" w:cs="Times New Roman" w:eastAsia="Times New Roman" w:hAnsi="Times New Roman"/>
          <w:sz w:val="17"/>
          <w:szCs w:val="17"/>
          <w:color w:val="auto"/>
        </w:rPr>
      </w:pPr>
    </w:p>
    <w:p>
      <w:pPr>
        <w:ind w:left="620" w:right="300" w:hanging="305"/>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timely hire, assimilate and effectively utilize our employees, ensure that employees obtain and maintain necessary security clearances and/or effectively manage our cost structure;</w:t>
      </w: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inflation that could impact the cost of doing business and/or reduce customer buying power;</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members of senior management or failure to develop new leaders;</w:t>
      </w:r>
    </w:p>
    <w:p>
      <w:pPr>
        <w:spacing w:after="0" w:line="63" w:lineRule="exact"/>
        <w:rPr>
          <w:rFonts w:ascii="Times New Roman" w:cs="Times New Roman" w:eastAsia="Times New Roman" w:hAnsi="Times New Roman"/>
          <w:sz w:val="17"/>
          <w:szCs w:val="17"/>
          <w:color w:val="auto"/>
        </w:rPr>
      </w:pPr>
    </w:p>
    <w:p>
      <w:pPr>
        <w:ind w:left="620" w:right="280" w:hanging="305"/>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misconduct or other improper activities from our employees, subcontractors, or suppliers, including the improper access, use or release of our or our clients’ sensitive or classified information;</w:t>
      </w: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other companies in our industry;</w:t>
      </w:r>
    </w:p>
    <w:p>
      <w:pPr>
        <w:spacing w:after="0" w:line="63" w:lineRule="exact"/>
        <w:rPr>
          <w:rFonts w:ascii="Times New Roman" w:cs="Times New Roman" w:eastAsia="Times New Roman" w:hAnsi="Times New Roman"/>
          <w:sz w:val="17"/>
          <w:szCs w:val="17"/>
          <w:color w:val="auto"/>
        </w:rPr>
      </w:pPr>
    </w:p>
    <w:p>
      <w:pPr>
        <w:ind w:left="620" w:right="140" w:hanging="305"/>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strong relationships with other contractors, or the failure of contractors with which we have entered into a sub- or prime- contractor relationship to meet their obligations to us or our clients;</w:t>
      </w:r>
    </w:p>
    <w:p>
      <w:pPr>
        <w:jc w:val="both"/>
        <w:ind w:left="620" w:right="220" w:hanging="305"/>
        <w:spacing w:after="0" w:line="273"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7"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special U.S. government laws and regulations relating to our international operations;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increased competition, new relationships, clients, capabilities, and service offerings in our U.S. and international businesses;</w:t>
      </w:r>
    </w:p>
    <w:p>
      <w:pPr>
        <w:spacing w:after="0" w:line="63" w:lineRule="exact"/>
        <w:rPr>
          <w:rFonts w:ascii="Times New Roman" w:cs="Times New Roman" w:eastAsia="Times New Roman" w:hAnsi="Times New Roman"/>
          <w:sz w:val="17"/>
          <w:szCs w:val="17"/>
          <w:color w:val="auto"/>
        </w:rPr>
      </w:pPr>
    </w:p>
    <w:p>
      <w:pPr>
        <w:ind w:left="620" w:right="380" w:hanging="305"/>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changes to our operating structure, capabilities, or strategy intended to address client needs, grow our business or respond to market developments;</w:t>
      </w: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by the U.S. government of new laws, rules, and regulations, such as those relating to organizational conflicts of interest issues or limits;</w:t>
      </w:r>
    </w:p>
    <w:p>
      <w:pPr>
        <w:spacing w:after="0" w:line="63" w:lineRule="exact"/>
        <w:rPr>
          <w:rFonts w:ascii="Times New Roman" w:cs="Times New Roman" w:eastAsia="Times New Roman" w:hAnsi="Times New Roman"/>
          <w:sz w:val="17"/>
          <w:szCs w:val="17"/>
          <w:color w:val="auto"/>
        </w:rPr>
      </w:pPr>
    </w:p>
    <w:p>
      <w:pPr>
        <w:ind w:left="620" w:right="380" w:hanging="305"/>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 possible recession and volatility or instability of the global financial system, including the failures of financial institutions and the resulting impact on counterparties and business conditions generally;</w:t>
      </w:r>
    </w:p>
    <w:p>
      <w:pPr>
        <w:ind w:left="620" w:hanging="305"/>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 deterioration of economic conditions or weakening in credit or capital markets;</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20" w:hanging="305"/>
        <w:spacing w:after="0" w:line="273"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spacing w:after="0" w:line="7"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additional tax liabilities, including as a result of changes in tax laws or management judgments involving complex tax matters;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in the government contracting environment;</w:t>
      </w:r>
    </w:p>
    <w:p>
      <w:pPr>
        <w:spacing w:after="0" w:line="63" w:lineRule="exact"/>
        <w:rPr>
          <w:rFonts w:ascii="Times New Roman" w:cs="Times New Roman" w:eastAsia="Times New Roman" w:hAnsi="Times New Roman"/>
          <w:sz w:val="17"/>
          <w:szCs w:val="17"/>
          <w:color w:val="auto"/>
        </w:rPr>
      </w:pPr>
    </w:p>
    <w:p>
      <w:pPr>
        <w:ind w:left="620" w:right="400" w:hanging="305"/>
        <w:spacing w:after="0" w:line="273"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spacing w:after="0" w:line="7" w:lineRule="exact"/>
        <w:rPr>
          <w:rFonts w:ascii="Times New Roman" w:cs="Times New Roman" w:eastAsia="Times New Roman" w:hAnsi="Times New Roman"/>
          <w:sz w:val="17"/>
          <w:szCs w:val="17"/>
          <w:color w:val="auto"/>
        </w:rPr>
      </w:pPr>
    </w:p>
    <w:p>
      <w:pPr>
        <w:ind w:left="620" w:right="260" w:hanging="305"/>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insourcing by various U.S. government agencies due to changes in the definition of “inherently governmental” work, including proposals to limit contractor access to sensitive or classified information and work assignments;</w:t>
      </w: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our addressable markets and the amount of U.S. government spending on private contractors;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indebtedness and credit facilities which contain financial and operating covenants;</w:t>
      </w:r>
    </w:p>
    <w:p>
      <w:pPr>
        <w:spacing w:after="0" w:line="63" w:lineRule="exact"/>
        <w:rPr>
          <w:rFonts w:ascii="Times New Roman" w:cs="Times New Roman" w:eastAsia="Times New Roman" w:hAnsi="Times New Roman"/>
          <w:sz w:val="17"/>
          <w:szCs w:val="17"/>
          <w:color w:val="auto"/>
        </w:rPr>
      </w:pPr>
    </w:p>
    <w:p>
      <w:pPr>
        <w:ind w:left="620" w:right="500" w:hanging="305"/>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changes in accounting rules and regulations, or interpretations thereof, that may affect the way we recognize and report our financial results, including changes in accounting rules governing recognition of revenue;</w:t>
      </w: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ESG-related risks and climate change generally on our and our clients' businesses and operations; and</w:t>
      </w:r>
    </w:p>
    <w:p>
      <w:pPr>
        <w:spacing w:after="0" w:line="63" w:lineRule="exact"/>
        <w:rPr>
          <w:rFonts w:ascii="Times New Roman" w:cs="Times New Roman" w:eastAsia="Times New Roman" w:hAnsi="Times New Roman"/>
          <w:sz w:val="17"/>
          <w:szCs w:val="17"/>
          <w:color w:val="auto"/>
        </w:rPr>
      </w:pPr>
    </w:p>
    <w:p>
      <w:pPr>
        <w:ind w:left="620" w:right="260" w:hanging="305"/>
        <w:spacing w:after="0" w:line="291" w:lineRule="auto"/>
        <w:tabs>
          <w:tab w:leader="none" w:pos="616"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7"/>
          <w:szCs w:val="17"/>
          <w:color w:val="auto"/>
        </w:rPr>
        <w:t>other risks and factors listed under “Item 1A. Risk Factors” and elsewhere in this Quarterly Report, as well as those listed under “Risk Factors” in our Annual Report on Form 10-K for the year ended March 31, 2024.</w:t>
      </w:r>
    </w:p>
    <w:p>
      <w:pPr>
        <w:spacing w:after="0" w:line="44" w:lineRule="exact"/>
        <w:rPr>
          <w:sz w:val="20"/>
          <w:szCs w:val="20"/>
          <w:color w:val="auto"/>
        </w:rPr>
      </w:pPr>
    </w:p>
    <w:p>
      <w:pPr>
        <w:ind w:right="400" w:firstLine="389"/>
        <w:spacing w:after="0" w:line="273" w:lineRule="auto"/>
        <w:rPr>
          <w:sz w:val="20"/>
          <w:szCs w:val="20"/>
          <w:color w:val="auto"/>
        </w:rPr>
      </w:pPr>
      <w:r>
        <w:rPr>
          <w:rFonts w:ascii="Times New Roman" w:cs="Times New Roman" w:eastAsia="Times New Roman" w:hAnsi="Times New Roman"/>
          <w:sz w:val="17"/>
          <w:szCs w:val="17"/>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5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8" w:lineRule="exact"/>
        <w:rPr>
          <w:sz w:val="20"/>
          <w:szCs w:val="20"/>
          <w:color w:val="auto"/>
        </w:rPr>
      </w:pPr>
    </w:p>
    <w:p>
      <w:pPr>
        <w:jc w:val="both"/>
        <w:ind w:right="80" w:firstLine="389"/>
        <w:spacing w:after="0" w:line="273" w:lineRule="auto"/>
        <w:rPr>
          <w:sz w:val="20"/>
          <w:szCs w:val="20"/>
          <w:color w:val="auto"/>
        </w:rPr>
      </w:pPr>
      <w:r>
        <w:rPr>
          <w:rFonts w:ascii="Times New Roman" w:cs="Times New Roman" w:eastAsia="Times New Roman" w:hAnsi="Times New Roman"/>
          <w:sz w:val="17"/>
          <w:szCs w:val="17"/>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2024 filed with the Securities and Exchange Commission on May 24, 2024.</w:t>
      </w:r>
    </w:p>
    <w:p>
      <w:pPr>
        <w:spacing w:after="0" w:line="1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66" w:lineRule="exact"/>
        <w:rPr>
          <w:sz w:val="20"/>
          <w:szCs w:val="20"/>
          <w:color w:val="auto"/>
        </w:rPr>
      </w:pPr>
    </w:p>
    <w:p>
      <w:pPr>
        <w:ind w:firstLine="389"/>
        <w:spacing w:after="0" w:line="267" w:lineRule="auto"/>
        <w:rPr>
          <w:sz w:val="20"/>
          <w:szCs w:val="20"/>
          <w:color w:val="auto"/>
        </w:rPr>
      </w:pPr>
      <w:r>
        <w:rPr>
          <w:rFonts w:ascii="Times New Roman" w:cs="Times New Roman" w:eastAsia="Times New Roman" w:hAnsi="Times New Roman"/>
          <w:sz w:val="17"/>
          <w:szCs w:val="17"/>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the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66" w:lineRule="exact"/>
        <w:rPr>
          <w:sz w:val="20"/>
          <w:szCs w:val="20"/>
          <w:color w:val="auto"/>
        </w:rPr>
      </w:pPr>
    </w:p>
    <w:p>
      <w:pPr>
        <w:ind w:right="260" w:firstLine="389"/>
        <w:spacing w:after="0" w:line="29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6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05" w:lineRule="exact"/>
        <w:rPr>
          <w:sz w:val="20"/>
          <w:szCs w:val="20"/>
          <w:color w:val="auto"/>
        </w:rPr>
      </w:pPr>
    </w:p>
    <w:p>
      <w:pPr>
        <w:ind w:right="480" w:firstLine="389"/>
        <w:spacing w:after="0" w:line="276" w:lineRule="auto"/>
        <w:rPr>
          <w:sz w:val="20"/>
          <w:szCs w:val="20"/>
          <w:color w:val="auto"/>
        </w:rPr>
      </w:pPr>
      <w:r>
        <w:rPr>
          <w:rFonts w:ascii="Times New Roman" w:cs="Times New Roman" w:eastAsia="Times New Roman" w:hAnsi="Times New Roman"/>
          <w:sz w:val="17"/>
          <w:szCs w:val="17"/>
          <w:color w:val="auto"/>
        </w:rPr>
        <w:t>Disclosure concerning legal proceedings can be found in Part I, Item 1. “Financial Statements, Notes to Unaudited Condensed Consolidated Financial Statements, Note 15, Commitments and Contingencies” under the caption, “Litigation,” which is incorporated here by this reference.</w:t>
      </w:r>
    </w:p>
    <w:p>
      <w:pPr>
        <w:spacing w:after="0" w:line="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18" w:lineRule="exact"/>
        <w:rPr>
          <w:sz w:val="20"/>
          <w:szCs w:val="20"/>
          <w:color w:val="auto"/>
        </w:rPr>
      </w:pPr>
    </w:p>
    <w:p>
      <w:pPr>
        <w:ind w:firstLine="389"/>
        <w:spacing w:after="0" w:line="292" w:lineRule="auto"/>
        <w:rPr>
          <w:sz w:val="20"/>
          <w:szCs w:val="20"/>
          <w:color w:val="auto"/>
        </w:rPr>
      </w:pPr>
      <w:r>
        <w:rPr>
          <w:rFonts w:ascii="Times New Roman" w:cs="Times New Roman" w:eastAsia="Times New Roman" w:hAnsi="Times New Roman"/>
          <w:sz w:val="17"/>
          <w:szCs w:val="17"/>
          <w:color w:val="auto"/>
        </w:rPr>
        <w:t>There have been no material changes during the period covered by this Quarterly Report on Form 10-Q to the risk factors disclosed in Part I, Item 1A, of our Annual Report on Form 10-K for the fiscal year ended March 31, 2024 filed with the Securities and Exchange Commission on May 24, 2024.</w:t>
      </w:r>
    </w:p>
    <w:p>
      <w:pPr>
        <w:spacing w:after="0" w:line="4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shows the share repurchase activity for each of the three months in the quarter ended December 31,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 Dollar</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Value of Shares that</w:t>
            </w: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0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Average Price Paid per</w:t>
            </w: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Purchased as Part of</w:t>
            </w:r>
          </w:p>
        </w:tc>
        <w:tc>
          <w:tcPr>
            <w:tcW w:w="12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May Yet Be Purchased</w:t>
            </w:r>
          </w:p>
        </w:tc>
        <w:tc>
          <w:tcPr>
            <w:tcW w:w="0" w:type="dxa"/>
            <w:vAlign w:val="bottom"/>
          </w:tcPr>
          <w:p>
            <w:pPr>
              <w:spacing w:after="0"/>
              <w:rPr>
                <w:sz w:val="1"/>
                <w:szCs w:val="1"/>
                <w:color w:val="auto"/>
              </w:rPr>
            </w:pPr>
          </w:p>
        </w:tc>
      </w:tr>
      <w:tr>
        <w:trPr>
          <w:trHeight w:val="182"/>
        </w:trPr>
        <w:tc>
          <w:tcPr>
            <w:tcW w:w="372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Publicly Announced</w:t>
            </w:r>
          </w:p>
        </w:tc>
        <w:tc>
          <w:tcPr>
            <w:tcW w:w="120" w:type="dxa"/>
            <w:vAlign w:val="bottom"/>
          </w:tcPr>
          <w:p>
            <w:pPr>
              <w:spacing w:after="0"/>
              <w:rPr>
                <w:sz w:val="15"/>
                <w:szCs w:val="15"/>
                <w:color w:val="auto"/>
              </w:rPr>
            </w:pP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Under the Plans or</w:t>
            </w:r>
          </w:p>
        </w:tc>
        <w:tc>
          <w:tcPr>
            <w:tcW w:w="0" w:type="dxa"/>
            <w:vAlign w:val="bottom"/>
          </w:tcPr>
          <w:p>
            <w:pPr>
              <w:spacing w:after="0"/>
              <w:rPr>
                <w:sz w:val="1"/>
                <w:szCs w:val="1"/>
                <w:color w:val="auto"/>
              </w:rPr>
            </w:pPr>
          </w:p>
        </w:tc>
      </w:tr>
      <w:tr>
        <w:trPr>
          <w:trHeight w:val="220"/>
        </w:trPr>
        <w:tc>
          <w:tcPr>
            <w:tcW w:w="3720" w:type="dxa"/>
            <w:vAlign w:val="bottom"/>
            <w:gridSpan w:val="2"/>
            <w:vMerge w:val="continue"/>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100" w:type="dxa"/>
            <w:vAlign w:val="bottom"/>
          </w:tcPr>
          <w:p>
            <w:pPr>
              <w:spacing w:after="0"/>
              <w:rPr>
                <w:sz w:val="19"/>
                <w:szCs w:val="19"/>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Plans or Programs</w:t>
            </w:r>
          </w:p>
        </w:tc>
        <w:tc>
          <w:tcPr>
            <w:tcW w:w="120" w:type="dxa"/>
            <w:vAlign w:val="bottom"/>
          </w:tcPr>
          <w:p>
            <w:pPr>
              <w:spacing w:after="0"/>
              <w:rPr>
                <w:sz w:val="19"/>
                <w:szCs w:val="19"/>
                <w:color w:val="auto"/>
              </w:rPr>
            </w:pPr>
          </w:p>
        </w:tc>
        <w:tc>
          <w:tcPr>
            <w:tcW w:w="1800" w:type="dxa"/>
            <w:vAlign w:val="bottom"/>
          </w:tcPr>
          <w:p>
            <w:pPr>
              <w:jc w:val="center"/>
              <w:spacing w:after="0" w:line="221" w:lineRule="exact"/>
              <w:rPr>
                <w:sz w:val="20"/>
                <w:szCs w:val="20"/>
                <w:color w:val="auto"/>
              </w:rPr>
            </w:pPr>
            <w:r>
              <w:rPr>
                <w:rFonts w:ascii="Times New Roman" w:cs="Times New Roman" w:eastAsia="Times New Roman" w:hAnsi="Times New Roman"/>
                <w:sz w:val="17"/>
                <w:szCs w:val="17"/>
                <w:b w:val="1"/>
                <w:bCs w:val="1"/>
                <w:color w:val="auto"/>
                <w:w w:val="94"/>
              </w:rPr>
              <w:t xml:space="preserve">Programs </w:t>
            </w:r>
            <w:r>
              <w:rPr>
                <w:rFonts w:ascii="Times New Roman" w:cs="Times New Roman" w:eastAsia="Times New Roman" w:hAnsi="Times New Roman"/>
                <w:sz w:val="22"/>
                <w:szCs w:val="22"/>
                <w:color w:val="auto"/>
                <w:w w:val="94"/>
                <w:vertAlign w:val="superscript"/>
              </w:rPr>
              <w:t>(1)</w:t>
            </w:r>
          </w:p>
        </w:tc>
        <w:tc>
          <w:tcPr>
            <w:tcW w:w="0" w:type="dxa"/>
            <w:vAlign w:val="bottom"/>
          </w:tcPr>
          <w:p>
            <w:pPr>
              <w:spacing w:after="0"/>
              <w:rPr>
                <w:sz w:val="1"/>
                <w:szCs w:val="1"/>
                <w:color w:val="auto"/>
              </w:rPr>
            </w:pPr>
          </w:p>
        </w:tc>
      </w:tr>
      <w:tr>
        <w:trPr>
          <w:trHeight w:val="213"/>
        </w:trPr>
        <w:tc>
          <w:tcPr>
            <w:tcW w:w="362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October 2024</w:t>
            </w:r>
          </w:p>
        </w:tc>
        <w:tc>
          <w:tcPr>
            <w:tcW w:w="100" w:type="dxa"/>
            <w:vAlign w:val="bottom"/>
            <w:tcBorders>
              <w:top w:val="single" w:sz="8" w:color="BFE4FF"/>
            </w:tcBorders>
            <w:shd w:val="clear" w:color="auto" w:fill="BFE4FF"/>
          </w:tcPr>
          <w:p>
            <w:pPr>
              <w:spacing w:after="0"/>
              <w:rPr>
                <w:sz w:val="18"/>
                <w:szCs w:val="18"/>
                <w:color w:val="auto"/>
              </w:rPr>
            </w:pPr>
          </w:p>
        </w:tc>
        <w:tc>
          <w:tcPr>
            <w:tcW w:w="17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155,039</w:t>
            </w:r>
          </w:p>
        </w:tc>
        <w:tc>
          <w:tcPr>
            <w:tcW w:w="100" w:type="dxa"/>
            <w:vAlign w:val="bottom"/>
            <w:tcBorders>
              <w:top w:val="single" w:sz="8" w:color="BFE4FF"/>
            </w:tcBorders>
            <w:shd w:val="clear" w:color="auto" w:fill="BFE4FF"/>
          </w:tcPr>
          <w:p>
            <w:pPr>
              <w:spacing w:after="0"/>
              <w:rPr>
                <w:sz w:val="18"/>
                <w:szCs w:val="18"/>
                <w:color w:val="auto"/>
              </w:rPr>
            </w:pPr>
          </w:p>
        </w:tc>
        <w:tc>
          <w:tcPr>
            <w:tcW w:w="174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$161.25</w:t>
            </w:r>
          </w:p>
        </w:tc>
        <w:tc>
          <w:tcPr>
            <w:tcW w:w="120" w:type="dxa"/>
            <w:vAlign w:val="bottom"/>
            <w:tcBorders>
              <w:top w:val="single" w:sz="8" w:color="BFE4FF"/>
            </w:tcBorders>
            <w:shd w:val="clear" w:color="auto" w:fill="BFE4FF"/>
          </w:tcPr>
          <w:p>
            <w:pPr>
              <w:spacing w:after="0"/>
              <w:rPr>
                <w:sz w:val="18"/>
                <w:szCs w:val="18"/>
                <w:color w:val="auto"/>
              </w:rPr>
            </w:pPr>
          </w:p>
        </w:tc>
        <w:tc>
          <w:tcPr>
            <w:tcW w:w="18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155,039</w:t>
            </w:r>
          </w:p>
        </w:tc>
        <w:tc>
          <w:tcPr>
            <w:tcW w:w="120" w:type="dxa"/>
            <w:vAlign w:val="bottom"/>
            <w:tcBorders>
              <w:top w:val="single" w:sz="8" w:color="BFE4FF"/>
            </w:tcBorders>
            <w:shd w:val="clear" w:color="auto" w:fill="BFE4FF"/>
          </w:tcPr>
          <w:p>
            <w:pPr>
              <w:spacing w:after="0"/>
              <w:rPr>
                <w:sz w:val="18"/>
                <w:szCs w:val="18"/>
                <w:color w:val="auto"/>
              </w:rPr>
            </w:pPr>
          </w:p>
        </w:tc>
        <w:tc>
          <w:tcPr>
            <w:tcW w:w="18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$674,708</w:t>
            </w:r>
          </w:p>
        </w:tc>
        <w:tc>
          <w:tcPr>
            <w:tcW w:w="0" w:type="dxa"/>
            <w:vAlign w:val="bottom"/>
          </w:tcPr>
          <w:p>
            <w:pPr>
              <w:spacing w:after="0"/>
              <w:rPr>
                <w:sz w:val="1"/>
                <w:szCs w:val="1"/>
                <w:color w:val="auto"/>
              </w:rPr>
            </w:pPr>
          </w:p>
        </w:tc>
      </w:tr>
      <w:tr>
        <w:trPr>
          <w:trHeight w:val="22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2024</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361,598</w:t>
            </w:r>
          </w:p>
        </w:tc>
        <w:tc>
          <w:tcPr>
            <w:tcW w:w="184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$165.93</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361,598</w:t>
            </w:r>
          </w:p>
        </w:tc>
        <w:tc>
          <w:tcPr>
            <w:tcW w:w="192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$614,709</w:t>
            </w:r>
          </w:p>
        </w:tc>
        <w:tc>
          <w:tcPr>
            <w:tcW w:w="0" w:type="dxa"/>
            <w:vAlign w:val="bottom"/>
          </w:tcPr>
          <w:p>
            <w:pPr>
              <w:spacing w:after="0"/>
              <w:rPr>
                <w:sz w:val="1"/>
                <w:szCs w:val="1"/>
                <w:color w:val="auto"/>
              </w:rPr>
            </w:pPr>
          </w:p>
        </w:tc>
      </w:tr>
      <w:tr>
        <w:trPr>
          <w:trHeight w:val="220"/>
        </w:trPr>
        <w:tc>
          <w:tcPr>
            <w:tcW w:w="37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December 2024</w:t>
            </w:r>
          </w:p>
        </w:tc>
        <w:tc>
          <w:tcPr>
            <w:tcW w:w="17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402,584</w:t>
            </w:r>
          </w:p>
        </w:tc>
        <w:tc>
          <w:tcPr>
            <w:tcW w:w="1840" w:type="dxa"/>
            <w:vAlign w:val="bottom"/>
            <w:gridSpan w:val="2"/>
            <w:shd w:val="clear" w:color="auto" w:fill="BFE4FF"/>
          </w:tcPr>
          <w:p>
            <w:pPr>
              <w:jc w:val="center"/>
              <w:ind w:left="34"/>
              <w:spacing w:after="0"/>
              <w:rPr>
                <w:sz w:val="20"/>
                <w:szCs w:val="20"/>
                <w:color w:val="auto"/>
              </w:rPr>
            </w:pPr>
            <w:r>
              <w:rPr>
                <w:rFonts w:ascii="Times New Roman" w:cs="Times New Roman" w:eastAsia="Times New Roman" w:hAnsi="Times New Roman"/>
                <w:sz w:val="17"/>
                <w:szCs w:val="17"/>
                <w:color w:val="auto"/>
              </w:rPr>
              <w:t>$149.04</w:t>
            </w:r>
          </w:p>
        </w:tc>
        <w:tc>
          <w:tcPr>
            <w:tcW w:w="120" w:type="dxa"/>
            <w:vAlign w:val="bottom"/>
            <w:shd w:val="clear" w:color="auto" w:fill="BFE4FF"/>
          </w:tcPr>
          <w:p>
            <w:pPr>
              <w:spacing w:after="0"/>
              <w:rPr>
                <w:sz w:val="19"/>
                <w:szCs w:val="19"/>
                <w:color w:val="auto"/>
              </w:rPr>
            </w:pPr>
          </w:p>
        </w:tc>
        <w:tc>
          <w:tcPr>
            <w:tcW w:w="18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402,584</w:t>
            </w:r>
          </w:p>
        </w:tc>
        <w:tc>
          <w:tcPr>
            <w:tcW w:w="1920" w:type="dxa"/>
            <w:vAlign w:val="bottom"/>
            <w:gridSpan w:val="2"/>
            <w:shd w:val="clear" w:color="auto" w:fill="BFE4FF"/>
          </w:tcPr>
          <w:p>
            <w:pPr>
              <w:jc w:val="center"/>
              <w:ind w:left="34"/>
              <w:spacing w:after="0"/>
              <w:rPr>
                <w:sz w:val="20"/>
                <w:szCs w:val="20"/>
                <w:color w:val="auto"/>
              </w:rPr>
            </w:pPr>
            <w:r>
              <w:rPr>
                <w:rFonts w:ascii="Times New Roman" w:cs="Times New Roman" w:eastAsia="Times New Roman" w:hAnsi="Times New Roman"/>
                <w:sz w:val="17"/>
                <w:szCs w:val="17"/>
                <w:color w:val="auto"/>
              </w:rPr>
              <w:t>$554,709</w:t>
            </w:r>
          </w:p>
        </w:tc>
        <w:tc>
          <w:tcPr>
            <w:tcW w:w="0" w:type="dxa"/>
            <w:vAlign w:val="bottom"/>
          </w:tcPr>
          <w:p>
            <w:pPr>
              <w:spacing w:after="0"/>
              <w:rPr>
                <w:sz w:val="1"/>
                <w:szCs w:val="1"/>
                <w:color w:val="auto"/>
              </w:rPr>
            </w:pPr>
          </w:p>
        </w:tc>
      </w:tr>
      <w:tr>
        <w:trPr>
          <w:trHeight w:val="213"/>
        </w:trPr>
        <w:tc>
          <w:tcPr>
            <w:tcW w:w="37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919,221</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919,221</w:t>
            </w: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620" w:right="140" w:hanging="150"/>
        <w:spacing w:after="0" w:line="266" w:lineRule="auto"/>
        <w:tabs>
          <w:tab w:leader="none" w:pos="623"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12, 2011, the Board of Directors initially approved a share repurchase program, which was subsequently increased from time to time. On January 28, 2025, the Board of Directors increased the program by $500.0 million to $3,585.0 million, resulting in a remaining availability of</w:t>
      </w:r>
    </w:p>
    <w:p>
      <w:pPr>
        <w:ind w:left="620" w:right="60"/>
        <w:spacing w:after="0" w:line="259"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7"/>
          <w:szCs w:val="17"/>
          <w:color w:val="auto"/>
        </w:rPr>
        <w:t>$994.7 million for share repurchases under the program as of such date.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The above table does not factor in any increases to the share repurchase program subsequent to December 31, 2024.</w:t>
      </w:r>
    </w:p>
    <w:p>
      <w:pPr>
        <w:spacing w:after="0" w:line="6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1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Appointment of Chief Accounting Officer</w:t>
      </w:r>
    </w:p>
    <w:p>
      <w:pPr>
        <w:spacing w:after="0" w:line="79" w:lineRule="exact"/>
        <w:rPr>
          <w:sz w:val="20"/>
          <w:szCs w:val="20"/>
          <w:color w:val="auto"/>
        </w:rPr>
      </w:pPr>
    </w:p>
    <w:p>
      <w:pPr>
        <w:ind w:right="200" w:firstLine="389"/>
        <w:spacing w:after="0" w:line="276" w:lineRule="auto"/>
        <w:rPr>
          <w:sz w:val="20"/>
          <w:szCs w:val="20"/>
          <w:color w:val="auto"/>
        </w:rPr>
      </w:pPr>
      <w:r>
        <w:rPr>
          <w:rFonts w:ascii="Times New Roman" w:cs="Times New Roman" w:eastAsia="Times New Roman" w:hAnsi="Times New Roman"/>
          <w:sz w:val="17"/>
          <w:szCs w:val="17"/>
          <w:color w:val="auto"/>
        </w:rPr>
        <w:t>On January 28, 2025, Dennis Metzfield, Vice President and Controller of the Company, was promoted to Chief Accounting Officer (Principal Accounting Officer) of the Company, effective February 1, 2025.</w:t>
      </w:r>
    </w:p>
    <w:p>
      <w:pPr>
        <w:spacing w:after="0" w:line="43" w:lineRule="exact"/>
        <w:rPr>
          <w:sz w:val="20"/>
          <w:szCs w:val="20"/>
          <w:color w:val="auto"/>
        </w:rPr>
      </w:pPr>
    </w:p>
    <w:p>
      <w:pPr>
        <w:ind w:firstLine="389"/>
        <w:spacing w:after="0" w:line="241" w:lineRule="auto"/>
        <w:rPr>
          <w:sz w:val="20"/>
          <w:szCs w:val="20"/>
          <w:color w:val="auto"/>
        </w:rPr>
      </w:pPr>
      <w:r>
        <w:rPr>
          <w:rFonts w:ascii="Times New Roman" w:cs="Times New Roman" w:eastAsia="Times New Roman" w:hAnsi="Times New Roman"/>
          <w:sz w:val="17"/>
          <w:szCs w:val="17"/>
          <w:color w:val="auto"/>
        </w:rPr>
        <w:t>Mr. Metzfield, age 45, joined the Company in November 2024 as Vice President and Controller. Prior to joining the Company, Mr. Metzfield spent 7 years at Huntington Ingalls Industries (NYSE: HII), where he most recently served as the Corporate Assistant Controller. Prior to joining Huntington Ingalls Industries, Mr. Metzfield served as a Senior Manager in Deloitte’s accounting advisory practice. Mr. Metzfield holds a B.A. in economics from Hampden-Sydney College and a Master of Accounting from William and Mary. There were no material changes to Mr. Metzfield’s compensation arrangements relating to this change. Mr. Metzfield has no family relationships with any of our directors or executive officers. There are no relationships between the Company or its subsidiaries, on one hand, and Mr. Metzfield, on the other hand, that would require disclosure pursuant to Item 404(a) of Regulation S-K, and there are no arrangements or understanding between Mr. Metzfield and any other person pursuant to which he was appointed as Chief Accounting Officer (Principal Accounting Officer) of the Company.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340" w:firstLine="389"/>
        <w:spacing w:after="0" w:line="276" w:lineRule="auto"/>
        <w:rPr>
          <w:sz w:val="20"/>
          <w:szCs w:val="20"/>
          <w:color w:val="auto"/>
        </w:rPr>
      </w:pPr>
      <w:r>
        <w:rPr>
          <w:rFonts w:ascii="Times New Roman" w:cs="Times New Roman" w:eastAsia="Times New Roman" w:hAnsi="Times New Roman"/>
          <w:sz w:val="17"/>
          <w:szCs w:val="17"/>
          <w:color w:val="auto"/>
        </w:rPr>
        <w:t>In connection with and effective as of Mr. Metzfield’s appointment as Chief Accounting Officer, Matthew A. Calderone, the Company’s Executive Vice President and Chief Financial Officer, will no longer serve as principal accounting officer. Mr. Calderone will continue to serve as principal financial officer.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of Trading Arrangements</w:t>
      </w:r>
    </w:p>
    <w:p>
      <w:pPr>
        <w:spacing w:after="0" w:line="79" w:lineRule="exact"/>
        <w:rPr>
          <w:sz w:val="20"/>
          <w:szCs w:val="20"/>
          <w:color w:val="auto"/>
        </w:rPr>
      </w:pPr>
    </w:p>
    <w:p>
      <w:pPr>
        <w:ind w:right="40" w:firstLine="389"/>
        <w:spacing w:after="0" w:line="257" w:lineRule="auto"/>
        <w:rPr>
          <w:sz w:val="20"/>
          <w:szCs w:val="20"/>
          <w:color w:val="auto"/>
        </w:rPr>
      </w:pPr>
      <w:r>
        <w:rPr>
          <w:rFonts w:ascii="Times New Roman" w:cs="Times New Roman" w:eastAsia="Times New Roman" w:hAnsi="Times New Roman"/>
          <w:sz w:val="17"/>
          <w:szCs w:val="17"/>
          <w:color w:val="auto"/>
        </w:rPr>
        <w:t>Item 408(a) of Regulation S-K requires the Company to disclose whether any director or officer of the Company has adopted or terminated (i) any trading arrangement that is intended to satisfy the affirmative defense conditions of Rule 10b5-1(c) (a “Rule 10b5-1 trading arrangement”); and/or (ii) any written trading arrangement that meets the requirements of a “non-Rule 10b5-1 trading arrangement” as defined in Item 408(c) of Regulation S-K.</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quarter ended December 31, 2024, the following activity occurred requiring disclosure under Item 408(a) of Regulation S-K:</w:t>
      </w:r>
    </w:p>
    <w:p>
      <w:pPr>
        <w:spacing w:after="0" w:line="103" w:lineRule="exact"/>
        <w:rPr>
          <w:sz w:val="20"/>
          <w:szCs w:val="20"/>
          <w:color w:val="auto"/>
        </w:rPr>
      </w:pPr>
    </w:p>
    <w:p>
      <w:pPr>
        <w:ind w:right="20" w:firstLine="389"/>
        <w:spacing w:after="0" w:line="257" w:lineRule="auto"/>
        <w:rPr>
          <w:sz w:val="20"/>
          <w:szCs w:val="20"/>
          <w:color w:val="auto"/>
        </w:rPr>
      </w:pPr>
      <w:r>
        <w:rPr>
          <w:rFonts w:ascii="Times New Roman" w:cs="Times New Roman" w:eastAsia="Times New Roman" w:hAnsi="Times New Roman"/>
          <w:sz w:val="17"/>
          <w:szCs w:val="17"/>
          <w:color w:val="auto"/>
        </w:rPr>
        <w:t>Kristine M. Anderson, our Chief Operating Officer, adopted a new Rule 10b5-1 trading arrangement on October 31, 2024 that will terminate on November 7, 2025. Under the trading arrangement, up to an aggregate of 16,029 shares of common stock issuable upon the exercise of options are available to be sold by the broker upon reaching pricing targets defined in the trading arrangement.</w:t>
      </w:r>
    </w:p>
    <w:p>
      <w:pPr>
        <w:spacing w:after="0" w:line="59" w:lineRule="exact"/>
        <w:rPr>
          <w:sz w:val="20"/>
          <w:szCs w:val="20"/>
          <w:color w:val="auto"/>
        </w:rPr>
      </w:pPr>
    </w:p>
    <w:p>
      <w:pPr>
        <w:jc w:val="both"/>
        <w:ind w:right="80" w:firstLine="389"/>
        <w:spacing w:after="0" w:line="249" w:lineRule="auto"/>
        <w:rPr>
          <w:sz w:val="20"/>
          <w:szCs w:val="20"/>
          <w:color w:val="auto"/>
        </w:rPr>
      </w:pPr>
      <w:r>
        <w:rPr>
          <w:rFonts w:ascii="Times New Roman" w:cs="Times New Roman" w:eastAsia="Times New Roman" w:hAnsi="Times New Roman"/>
          <w:sz w:val="17"/>
          <w:szCs w:val="17"/>
          <w:color w:val="auto"/>
        </w:rPr>
        <w:t>Horacio D. Rozanski, our Chairman and Chief Executive Officer, adopted a new Rule 10b5-1 trading arrangement on November 7, 2024 that will terminate on November 7, 2025. Under the trading arrangement, up to an aggregate of 74,891 shares of common stock are available to be sold by the broker upon reaching pricing targets defined in the trading arrangement.</w:t>
      </w:r>
    </w:p>
    <w:p>
      <w:pPr>
        <w:spacing w:after="0" w:line="66" w:lineRule="exact"/>
        <w:rPr>
          <w:sz w:val="20"/>
          <w:szCs w:val="20"/>
          <w:color w:val="auto"/>
        </w:rPr>
      </w:pPr>
    </w:p>
    <w:p>
      <w:pPr>
        <w:ind w:right="40" w:firstLine="389"/>
        <w:spacing w:after="0" w:line="257" w:lineRule="auto"/>
        <w:rPr>
          <w:sz w:val="20"/>
          <w:szCs w:val="20"/>
          <w:color w:val="auto"/>
        </w:rPr>
      </w:pPr>
      <w:r>
        <w:rPr>
          <w:rFonts w:ascii="Times New Roman" w:cs="Times New Roman" w:eastAsia="Times New Roman" w:hAnsi="Times New Roman"/>
          <w:sz w:val="17"/>
          <w:szCs w:val="17"/>
          <w:color w:val="auto"/>
        </w:rPr>
        <w:t>Thomas Pfeifer, an Executive Vice President and President of the Company's National Security sector, adopted a new Rule 10b5-1 trading arrangement on December 2, 2024 that will terminate on November 21, 2025. Under the trading arrangement, up to an aggregate of 16,090 shares of common stock issuable upon the exercise of options are available to be sold by the broker upon reaching pricing targets defined in the trading arrangement.</w:t>
      </w:r>
    </w:p>
    <w:p>
      <w:pPr>
        <w:spacing w:after="0" w:line="59" w:lineRule="exact"/>
        <w:rPr>
          <w:sz w:val="20"/>
          <w:szCs w:val="20"/>
          <w:color w:val="auto"/>
        </w:rPr>
      </w:pPr>
    </w:p>
    <w:p>
      <w:pPr>
        <w:jc w:val="both"/>
        <w:ind w:right="40" w:firstLine="389"/>
        <w:spacing w:after="0" w:line="257" w:lineRule="auto"/>
        <w:rPr>
          <w:sz w:val="20"/>
          <w:szCs w:val="20"/>
          <w:color w:val="auto"/>
        </w:rPr>
      </w:pPr>
      <w:r>
        <w:rPr>
          <w:rFonts w:ascii="Times New Roman" w:cs="Times New Roman" w:eastAsia="Times New Roman" w:hAnsi="Times New Roman"/>
          <w:sz w:val="17"/>
          <w:szCs w:val="17"/>
          <w:color w:val="auto"/>
        </w:rPr>
        <w:t>Richard Crowe, an Executive Vice President and President of the Company's Civil sector, adopted a new Rule 10b5-1 trading arrangement on December 16, 2024 that will terminate on December 5, 2025. Under the trading arrangement, up to an aggregate of 6,666 shares of common stock are available to be sold by the broker upon reaching pricing targets defined in the trading arrangement.</w:t>
      </w:r>
    </w:p>
    <w:p>
      <w:pPr>
        <w:spacing w:after="0" w:line="1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Exhibit</w:t>
      </w:r>
    </w:p>
    <w:p>
      <w:pPr>
        <w:ind w:left="140"/>
        <w:spacing w:after="0"/>
        <w:tabs>
          <w:tab w:leader="none" w:pos="940" w:val="left"/>
        </w:tabs>
        <w:rPr>
          <w:sz w:val="20"/>
          <w:szCs w:val="20"/>
          <w:color w:val="auto"/>
        </w:rPr>
      </w:pPr>
      <w:r>
        <w:rPr>
          <w:rFonts w:ascii="Times New Roman" w:cs="Times New Roman" w:eastAsia="Times New Roman" w:hAnsi="Times New Roman"/>
          <w:sz w:val="17"/>
          <w:szCs w:val="17"/>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380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50" w:lineRule="exact"/>
        <w:rPr>
          <w:sz w:val="20"/>
          <w:szCs w:val="20"/>
          <w:color w:val="auto"/>
        </w:rPr>
      </w:pPr>
    </w:p>
    <w:p>
      <w:pPr>
        <w:ind w:left="960" w:right="260" w:hanging="939"/>
        <w:spacing w:after="0" w:line="244" w:lineRule="auto"/>
        <w:tabs>
          <w:tab w:leader="none" w:pos="960" w:val="left"/>
        </w:tabs>
        <w:numPr>
          <w:ilvl w:val="0"/>
          <w:numId w:val="29"/>
        </w:numPr>
        <w:rPr>
          <w:rFonts w:ascii="Times New Roman" w:cs="Times New Roman" w:eastAsia="Times New Roman" w:hAnsi="Times New Roman"/>
          <w:sz w:val="17"/>
          <w:szCs w:val="17"/>
          <w:u w:val="single" w:color="auto"/>
          <w:color w:val="0000FF"/>
        </w:rPr>
      </w:pPr>
      <w:hyperlink r:id="rId100">
        <w:r>
          <w:rPr>
            <w:rFonts w:ascii="Times New Roman" w:cs="Times New Roman" w:eastAsia="Times New Roman" w:hAnsi="Times New Roman"/>
            <w:sz w:val="17"/>
            <w:szCs w:val="17"/>
            <w:u w:val="single" w:color="auto"/>
            <w:color w:val="0000FF"/>
          </w:rPr>
          <w:t>List of Guarantors and Subsidiary Issuers of Guaranteed Securities (Incorporated by reference to Exhibit 22 to the Company’s Annual Report for</w:t>
        </w:r>
      </w:hyperlink>
      <w:r>
        <w:rPr>
          <w:rFonts w:ascii="Times New Roman" w:cs="Times New Roman" w:eastAsia="Times New Roman" w:hAnsi="Times New Roman"/>
          <w:sz w:val="17"/>
          <w:szCs w:val="17"/>
          <w:u w:val="single" w:color="auto"/>
          <w:color w:val="0000FF"/>
        </w:rPr>
        <w:t xml:space="preserve"> </w:t>
      </w:r>
      <w:hyperlink r:id="rId100">
        <w:r>
          <w:rPr>
            <w:rFonts w:ascii="Times New Roman" w:cs="Times New Roman" w:eastAsia="Times New Roman" w:hAnsi="Times New Roman"/>
            <w:sz w:val="17"/>
            <w:szCs w:val="17"/>
            <w:u w:val="single" w:color="auto"/>
            <w:color w:val="0000FF"/>
          </w:rPr>
          <w:t>the fiscal year ended March 31, 2024 on Form 10-K (File No. 001-34972))</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2540</wp:posOffset>
            </wp:positionH>
            <wp:positionV relativeFrom="paragraph">
              <wp:posOffset>-248285</wp:posOffset>
            </wp:positionV>
            <wp:extent cx="7138035" cy="255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8035" cy="2552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960" w:type="dxa"/>
            <w:vAlign w:val="bottom"/>
          </w:tcPr>
          <w:p>
            <w:pPr>
              <w:jc w:val="right"/>
              <w:ind w:right="554"/>
              <w:spacing w:after="0" w:line="191" w:lineRule="exact"/>
              <w:rPr>
                <w:sz w:val="20"/>
                <w:szCs w:val="20"/>
                <w:color w:val="auto"/>
              </w:rPr>
            </w:pPr>
            <w:r>
              <w:rPr>
                <w:rFonts w:ascii="Times New Roman" w:cs="Times New Roman" w:eastAsia="Times New Roman" w:hAnsi="Times New Roman"/>
                <w:sz w:val="17"/>
                <w:szCs w:val="17"/>
                <w:color w:val="auto"/>
              </w:rPr>
              <w:t>31.1</w:t>
            </w:r>
          </w:p>
        </w:tc>
        <w:tc>
          <w:tcPr>
            <w:tcW w:w="10280" w:type="dxa"/>
            <w:vAlign w:val="bottom"/>
            <w:gridSpan w:val="6"/>
          </w:tcPr>
          <w:p>
            <w:pPr>
              <w:spacing w:after="0" w:line="191" w:lineRule="exact"/>
              <w:rPr>
                <w:sz w:val="20"/>
                <w:szCs w:val="20"/>
                <w:color w:val="auto"/>
              </w:rPr>
            </w:pPr>
            <w:r>
              <w:rPr>
                <w:rFonts w:ascii="Times New Roman" w:cs="Times New Roman" w:eastAsia="Times New Roman" w:hAnsi="Times New Roman"/>
                <w:sz w:val="17"/>
                <w:szCs w:val="17"/>
                <w:color w:val="0000FF"/>
              </w:rPr>
              <w:t>Rule 13a-14(a)/15d-14(a) Certification of the Chief Executive Officer*</w:t>
            </w:r>
          </w:p>
        </w:tc>
      </w:tr>
      <w:tr>
        <w:trPr>
          <w:trHeight w:val="210"/>
        </w:trPr>
        <w:tc>
          <w:tcPr>
            <w:tcW w:w="960" w:type="dxa"/>
            <w:vAlign w:val="bottom"/>
            <w:tcBorders>
              <w:bottom w:val="single" w:sz="8" w:color="CCEEFF"/>
            </w:tcBorders>
            <w:shd w:val="clear" w:color="auto" w:fill="CCEEFF"/>
          </w:tcPr>
          <w:p>
            <w:pPr>
              <w:jc w:val="right"/>
              <w:ind w:right="554"/>
              <w:spacing w:after="0" w:line="191" w:lineRule="exact"/>
              <w:rPr>
                <w:sz w:val="20"/>
                <w:szCs w:val="20"/>
                <w:color w:val="auto"/>
              </w:rPr>
            </w:pPr>
            <w:r>
              <w:rPr>
                <w:rFonts w:ascii="Times New Roman" w:cs="Times New Roman" w:eastAsia="Times New Roman" w:hAnsi="Times New Roman"/>
                <w:sz w:val="17"/>
                <w:szCs w:val="17"/>
                <w:color w:val="auto"/>
              </w:rPr>
              <w:t>31.2</w:t>
            </w:r>
          </w:p>
        </w:tc>
        <w:tc>
          <w:tcPr>
            <w:tcW w:w="4880" w:type="dxa"/>
            <w:vAlign w:val="bottom"/>
            <w:tcBorders>
              <w:top w:val="single" w:sz="8" w:color="0000FF"/>
              <w:bottom w:val="single" w:sz="8" w:color="0000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0000FF"/>
              </w:rPr>
              <w:t>Rule 13a-14(a)/15d-14(a) Certification of the Chief Financial Officer*</w:t>
            </w: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5360" w:type="dxa"/>
            <w:vAlign w:val="bottom"/>
            <w:tcBorders>
              <w:bottom w:val="single" w:sz="8" w:color="CCEEFF"/>
            </w:tcBorders>
            <w:gridSpan w:val="3"/>
            <w:shd w:val="clear" w:color="auto" w:fill="CCEEFF"/>
          </w:tcPr>
          <w:p>
            <w:pPr>
              <w:spacing w:after="0"/>
              <w:rPr>
                <w:sz w:val="18"/>
                <w:szCs w:val="18"/>
                <w:color w:val="auto"/>
              </w:rPr>
            </w:pPr>
          </w:p>
        </w:tc>
      </w:tr>
      <w:tr>
        <w:trPr>
          <w:trHeight w:val="182"/>
        </w:trPr>
        <w:tc>
          <w:tcPr>
            <w:tcW w:w="960" w:type="dxa"/>
            <w:vAlign w:val="bottom"/>
          </w:tcPr>
          <w:p>
            <w:pPr>
              <w:jc w:val="right"/>
              <w:ind w:right="554"/>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10280" w:type="dxa"/>
            <w:vAlign w:val="bottom"/>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Executive Officer required by Rule 13a-14(b) or Rule 15d-14(b) and Section 1350 of Chapter 63 of Title 18 of the United</w:t>
            </w:r>
          </w:p>
        </w:tc>
      </w:tr>
      <w:tr>
        <w:trPr>
          <w:trHeight w:val="149"/>
        </w:trPr>
        <w:tc>
          <w:tcPr>
            <w:tcW w:w="960" w:type="dxa"/>
            <w:vAlign w:val="bottom"/>
          </w:tcPr>
          <w:p>
            <w:pPr>
              <w:spacing w:after="0"/>
              <w:rPr>
                <w:sz w:val="12"/>
                <w:szCs w:val="12"/>
                <w:color w:val="auto"/>
              </w:rPr>
            </w:pPr>
          </w:p>
        </w:tc>
        <w:tc>
          <w:tcPr>
            <w:tcW w:w="10200" w:type="dxa"/>
            <w:vAlign w:val="bottom"/>
            <w:tcBorders>
              <w:top w:val="single" w:sz="8" w:color="0000FF"/>
            </w:tcBorders>
            <w:gridSpan w:val="5"/>
          </w:tcPr>
          <w:p>
            <w:pPr>
              <w:spacing w:after="0" w:line="149" w:lineRule="exact"/>
              <w:rPr>
                <w:sz w:val="20"/>
                <w:szCs w:val="20"/>
                <w:color w:val="auto"/>
              </w:rPr>
            </w:pPr>
            <w:r>
              <w:rPr>
                <w:rFonts w:ascii="Times New Roman" w:cs="Times New Roman" w:eastAsia="Times New Roman" w:hAnsi="Times New Roman"/>
                <w:sz w:val="17"/>
                <w:szCs w:val="17"/>
                <w:color w:val="0000FF"/>
              </w:rPr>
              <w:t>States Code (18 U.S.C. 1350)*</w:t>
            </w:r>
          </w:p>
        </w:tc>
        <w:tc>
          <w:tcPr>
            <w:tcW w:w="80" w:type="dxa"/>
            <w:vAlign w:val="bottom"/>
          </w:tcPr>
          <w:p>
            <w:pPr>
              <w:spacing w:after="0"/>
              <w:rPr>
                <w:sz w:val="12"/>
                <w:szCs w:val="12"/>
                <w:color w:val="auto"/>
              </w:rPr>
            </w:pPr>
          </w:p>
        </w:tc>
      </w:tr>
      <w:tr>
        <w:trPr>
          <w:trHeight w:val="32"/>
        </w:trPr>
        <w:tc>
          <w:tcPr>
            <w:tcW w:w="960" w:type="dxa"/>
            <w:vAlign w:val="bottom"/>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960" w:type="dxa"/>
            <w:vAlign w:val="bottom"/>
            <w:shd w:val="clear" w:color="auto" w:fill="CCEEFF"/>
          </w:tcPr>
          <w:p>
            <w:pPr>
              <w:jc w:val="right"/>
              <w:ind w:right="554"/>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10280" w:type="dxa"/>
            <w:vAlign w:val="bottom"/>
            <w:gridSpan w:val="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Financial Officer required by Rule 13a-14(b) or Rule 15d-14(b) and Section 1350 of Chapter 63 of Title 18 of the United</w:t>
            </w:r>
          </w:p>
        </w:tc>
      </w:tr>
      <w:tr>
        <w:trPr>
          <w:trHeight w:val="149"/>
        </w:trPr>
        <w:tc>
          <w:tcPr>
            <w:tcW w:w="960" w:type="dxa"/>
            <w:vAlign w:val="bottom"/>
            <w:tcBorders>
              <w:top w:val="single" w:sz="8" w:color="CCEEFF"/>
            </w:tcBorders>
            <w:shd w:val="clear" w:color="auto" w:fill="CCEEFF"/>
          </w:tcPr>
          <w:p>
            <w:pPr>
              <w:spacing w:after="0"/>
              <w:rPr>
                <w:sz w:val="12"/>
                <w:szCs w:val="12"/>
                <w:color w:val="auto"/>
              </w:rPr>
            </w:pPr>
          </w:p>
        </w:tc>
        <w:tc>
          <w:tcPr>
            <w:tcW w:w="10160" w:type="dxa"/>
            <w:vAlign w:val="bottom"/>
            <w:tcBorders>
              <w:top w:val="single" w:sz="8" w:color="0000FF"/>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States Code (18 U.S.C. 1350)*</w:t>
            </w:r>
          </w:p>
        </w:tc>
        <w:tc>
          <w:tcPr>
            <w:tcW w:w="120" w:type="dxa"/>
            <w:vAlign w:val="bottom"/>
            <w:tcBorders>
              <w:top w:val="single" w:sz="8" w:color="CCEEFF"/>
            </w:tcBorders>
            <w:gridSpan w:val="2"/>
            <w:shd w:val="clear" w:color="auto" w:fill="CCEEFF"/>
          </w:tcPr>
          <w:p>
            <w:pPr>
              <w:spacing w:after="0"/>
              <w:rPr>
                <w:sz w:val="12"/>
                <w:szCs w:val="12"/>
                <w:color w:val="auto"/>
              </w:rPr>
            </w:pPr>
          </w:p>
        </w:tc>
      </w:tr>
      <w:tr>
        <w:trPr>
          <w:trHeight w:val="32"/>
        </w:trPr>
        <w:tc>
          <w:tcPr>
            <w:tcW w:w="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ind w:left="960" w:right="20" w:hanging="939"/>
        <w:spacing w:after="0" w:line="222" w:lineRule="auto"/>
        <w:tabs>
          <w:tab w:leader="none" w:pos="9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Booz Allen Hamilton Holding Corporation’s Quarterly Report on Form 10-Q for the three and nine months ended December 31, 2024 formatted in Inline XBRL (eXtensible Business Reporting Language): (i) Condensed Consolidated Balance Sheets at December 31, 2024 and March 31, 2024; (ii) Condensed Consolidated Statements of Operations for the three and nine months ended December 31, 2024 and 2023; (iii) Condensed Consolidated Statements of Comprehensive Income for the three and nine months ended December 31, 2024 and 2023; (iv) Condensed Consolidated Statements of Cash Flows for the nine months ended December 31, 2024 and 2023; and (v) Notes to Condensed Consolidated Financial Statements.</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39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20"/>
        <w:spacing w:after="0"/>
        <w:tabs>
          <w:tab w:leader="none" w:pos="94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9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64" w:lineRule="exact"/>
        <w:rPr>
          <w:rFonts w:ascii="Times New Roman" w:cs="Times New Roman" w:eastAsia="Times New Roman" w:hAnsi="Times New Roman"/>
          <w:sz w:val="17"/>
          <w:szCs w:val="17"/>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electronically herewith.</w:t>
      </w:r>
    </w:p>
    <w:p>
      <w:pPr>
        <w:spacing w:after="0" w:line="200" w:lineRule="exact"/>
        <w:rPr>
          <w:rFonts w:ascii="Times New Roman" w:cs="Times New Roman" w:eastAsia="Times New Roman" w:hAnsi="Times New Roman"/>
          <w:sz w:val="17"/>
          <w:szCs w:val="17"/>
          <w:color w:val="auto"/>
        </w:rPr>
      </w:pPr>
    </w:p>
    <w:p>
      <w:pPr>
        <w:spacing w:after="0" w:line="344"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firstLine="389"/>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82"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7"/>
          <w:szCs w:val="17"/>
          <w:u w:val="single" w:color="auto"/>
          <w:color w:val="auto"/>
        </w:rPr>
        <w:t>Booz Allen Hamilton Holding Corporation</w:t>
      </w:r>
    </w:p>
    <w:p>
      <w:pPr>
        <w:spacing w:after="0" w:line="31"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7"/>
          <w:szCs w:val="17"/>
          <w:color w:val="auto"/>
        </w:rPr>
        <w:t>Registrant</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4800" w:val="left"/>
          <w:tab w:leader="none" w:pos="5260" w:val="left"/>
        </w:tabs>
        <w:rPr>
          <w:sz w:val="20"/>
          <w:szCs w:val="20"/>
          <w:color w:val="auto"/>
        </w:rPr>
      </w:pPr>
      <w:r>
        <w:rPr>
          <w:rFonts w:ascii="Times New Roman" w:cs="Times New Roman" w:eastAsia="Times New Roman" w:hAnsi="Times New Roman"/>
          <w:sz w:val="17"/>
          <w:szCs w:val="17"/>
          <w:color w:val="auto"/>
        </w:rPr>
        <w:t>Date: January 31, 2025</w:t>
      </w:r>
      <w:r>
        <w:rPr>
          <w:sz w:val="20"/>
          <w:szCs w:val="20"/>
          <w:color w:val="auto"/>
        </w:rPr>
        <w:tab/>
      </w:r>
      <w:r>
        <w:rPr>
          <w:rFonts w:ascii="Times New Roman" w:cs="Times New Roman" w:eastAsia="Times New Roman" w:hAnsi="Times New Roman"/>
          <w:sz w:val="17"/>
          <w:szCs w:val="17"/>
          <w:color w:val="auto"/>
        </w:rPr>
        <w:t>By:</w:t>
        <w:tab/>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19050</wp:posOffset>
            </wp:positionV>
            <wp:extent cx="37871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787140" cy="8255"/>
                    </a:xfrm>
                    <a:prstGeom prst="rect">
                      <a:avLst/>
                    </a:prstGeom>
                    <a:noFill/>
                  </pic:spPr>
                </pic:pic>
              </a:graphicData>
            </a:graphic>
          </wp:anchor>
        </w:drawing>
      </w:r>
    </w:p>
    <w:p>
      <w:pPr>
        <w:spacing w:after="0" w:line="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Matthew A. Calderone</w:t>
      </w:r>
    </w:p>
    <w:p>
      <w:pPr>
        <w:ind w:left="5280"/>
        <w:spacing w:after="0" w:line="222" w:lineRule="auto"/>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00"/>
          </w:cols>
          <w:pgMar w:left="320" w:top="121" w:right="3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 PURSUANT TO RULE 13A-14(A) OF THE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 AS AMENDED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Horacio D. Rozanski, certify that:</w:t>
      </w:r>
    </w:p>
    <w:p>
      <w:pPr>
        <w:spacing w:after="0" w:line="168" w:lineRule="exact"/>
        <w:rPr>
          <w:sz w:val="20"/>
          <w:szCs w:val="20"/>
          <w:color w:val="auto"/>
        </w:rPr>
      </w:pPr>
    </w:p>
    <w:p>
      <w:pPr>
        <w:ind w:left="180" w:hanging="176"/>
        <w:spacing w:after="0"/>
        <w:tabs>
          <w:tab w:leader="none" w:pos="1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Booz Allen Hamilton Holding Corporation.</w:t>
      </w:r>
    </w:p>
    <w:p>
      <w:pPr>
        <w:spacing w:after="0" w:line="167"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right="180" w:firstLine="4"/>
        <w:spacing w:after="0" w:line="273" w:lineRule="auto"/>
        <w:tabs>
          <w:tab w:leader="none" w:pos="17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ind w:right="140" w:firstLine="4"/>
        <w:spacing w:after="0" w:line="273" w:lineRule="auto"/>
        <w:tabs>
          <w:tab w:leader="none" w:pos="2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7"/>
          <w:szCs w:val="17"/>
          <w:color w:val="auto"/>
        </w:rPr>
      </w:pPr>
    </w:p>
    <w:p>
      <w:pPr>
        <w:ind w:right="200" w:firstLine="4"/>
        <w:spacing w:after="0" w:line="273" w:lineRule="auto"/>
        <w:tabs>
          <w:tab w:leader="none" w:pos="24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7"/>
          <w:szCs w:val="17"/>
          <w:color w:val="auto"/>
        </w:rPr>
      </w:pPr>
    </w:p>
    <w:p>
      <w:pPr>
        <w:ind w:right="320" w:firstLine="4"/>
        <w:spacing w:after="0" w:line="292" w:lineRule="auto"/>
        <w:tabs>
          <w:tab w:leader="none" w:pos="2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w:t>
      </w:r>
    </w:p>
    <w:p>
      <w:pPr>
        <w:spacing w:after="0" w:line="30" w:lineRule="exact"/>
        <w:rPr>
          <w:rFonts w:ascii="Times New Roman" w:cs="Times New Roman" w:eastAsia="Times New Roman" w:hAnsi="Times New Roman"/>
          <w:sz w:val="17"/>
          <w:szCs w:val="17"/>
          <w:color w:val="auto"/>
        </w:rPr>
      </w:pPr>
    </w:p>
    <w:p>
      <w:pPr>
        <w:ind w:right="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fourth fiscal quarter in the case of an annual report) that has materially affected, or is reasonably likely to materially affect, the registrant's internal control over financial reporting.</w:t>
      </w:r>
    </w:p>
    <w:p>
      <w:pPr>
        <w:spacing w:after="0" w:line="114" w:lineRule="exact"/>
        <w:rPr>
          <w:sz w:val="20"/>
          <w:szCs w:val="20"/>
          <w:color w:val="auto"/>
        </w:rPr>
      </w:pPr>
    </w:p>
    <w:p>
      <w:pPr>
        <w:ind w:right="120" w:firstLine="4"/>
        <w:spacing w:after="0" w:line="292" w:lineRule="auto"/>
        <w:tabs>
          <w:tab w:leader="none" w:pos="17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5" w:lineRule="exact"/>
        <w:rPr>
          <w:sz w:val="20"/>
          <w:szCs w:val="20"/>
          <w:color w:val="auto"/>
        </w:rPr>
      </w:pPr>
    </w:p>
    <w:p>
      <w:pPr>
        <w:ind w:right="480" w:firstLine="4"/>
        <w:spacing w:after="0" w:line="292" w:lineRule="auto"/>
        <w:tabs>
          <w:tab w:leader="none" w:pos="2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right="80" w:firstLine="4"/>
        <w:spacing w:after="0" w:line="292" w:lineRule="auto"/>
        <w:tabs>
          <w:tab w:leader="none" w:pos="24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20"/>
        <w:spacing w:after="0"/>
        <w:tabs>
          <w:tab w:leader="none" w:pos="6960" w:val="left"/>
          <w:tab w:leader="none" w:pos="7420" w:val="left"/>
        </w:tabs>
        <w:rPr>
          <w:sz w:val="20"/>
          <w:szCs w:val="20"/>
          <w:color w:val="auto"/>
        </w:rPr>
      </w:pPr>
      <w:r>
        <w:rPr>
          <w:rFonts w:ascii="Times New Roman" w:cs="Times New Roman" w:eastAsia="Times New Roman" w:hAnsi="Times New Roman"/>
          <w:sz w:val="17"/>
          <w:szCs w:val="17"/>
          <w:color w:val="auto"/>
        </w:rPr>
        <w:t>Date: January 31, 2025</w:t>
      </w:r>
      <w:r>
        <w:rPr>
          <w:sz w:val="20"/>
          <w:szCs w:val="20"/>
          <w:color w:val="auto"/>
        </w:rPr>
        <w:tab/>
      </w:r>
      <w:r>
        <w:rPr>
          <w:rFonts w:ascii="Times New Roman" w:cs="Times New Roman" w:eastAsia="Times New Roman" w:hAnsi="Times New Roman"/>
          <w:sz w:val="17"/>
          <w:szCs w:val="17"/>
          <w:color w:val="auto"/>
        </w:rPr>
        <w:t>By:</w:t>
        <w:tab/>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19050</wp:posOffset>
            </wp:positionV>
            <wp:extent cx="24123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Horacio D. Rozanski</w:t>
      </w:r>
    </w:p>
    <w:p>
      <w:pPr>
        <w:ind w:left="7440"/>
        <w:spacing w:after="0" w:line="222" w:lineRule="auto"/>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858"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FINANCIAL OFFICER PURSUANT TO RULE 13A-14(A) OF THE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 AS AMENDED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Matthew A. Calderone, certify that:</w:t>
      </w:r>
    </w:p>
    <w:p>
      <w:pPr>
        <w:spacing w:after="0" w:line="168" w:lineRule="exact"/>
        <w:rPr>
          <w:sz w:val="20"/>
          <w:szCs w:val="20"/>
          <w:color w:val="auto"/>
        </w:rPr>
      </w:pPr>
    </w:p>
    <w:p>
      <w:pPr>
        <w:ind w:left="180" w:hanging="176"/>
        <w:spacing w:after="0"/>
        <w:tabs>
          <w:tab w:leader="none" w:pos="1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Booz Allen Hamilton Holding Corporation.</w:t>
      </w:r>
    </w:p>
    <w:p>
      <w:pPr>
        <w:spacing w:after="0" w:line="167"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right="180" w:firstLine="4"/>
        <w:spacing w:after="0" w:line="273" w:lineRule="auto"/>
        <w:tabs>
          <w:tab w:leader="none" w:pos="17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ind w:right="140" w:firstLine="4"/>
        <w:spacing w:after="0" w:line="273" w:lineRule="auto"/>
        <w:tabs>
          <w:tab w:leader="none" w:pos="2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7"/>
          <w:szCs w:val="17"/>
          <w:color w:val="auto"/>
        </w:rPr>
      </w:pPr>
    </w:p>
    <w:p>
      <w:pPr>
        <w:ind w:right="200" w:firstLine="4"/>
        <w:spacing w:after="0" w:line="273" w:lineRule="auto"/>
        <w:tabs>
          <w:tab w:leader="none" w:pos="24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7"/>
          <w:szCs w:val="17"/>
          <w:color w:val="auto"/>
        </w:rPr>
      </w:pPr>
    </w:p>
    <w:p>
      <w:pPr>
        <w:ind w:right="320" w:firstLine="4"/>
        <w:spacing w:after="0" w:line="292" w:lineRule="auto"/>
        <w:tabs>
          <w:tab w:leader="none" w:pos="2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w:t>
      </w:r>
    </w:p>
    <w:p>
      <w:pPr>
        <w:spacing w:after="0" w:line="30" w:lineRule="exact"/>
        <w:rPr>
          <w:rFonts w:ascii="Times New Roman" w:cs="Times New Roman" w:eastAsia="Times New Roman" w:hAnsi="Times New Roman"/>
          <w:sz w:val="17"/>
          <w:szCs w:val="17"/>
          <w:color w:val="auto"/>
        </w:rPr>
      </w:pPr>
    </w:p>
    <w:p>
      <w:pPr>
        <w:ind w:right="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fourth fiscal quarter in the case of an annual report) that has materially affected, or is reasonably likely to materially affect, the registrant's internal control over financial reporting.</w:t>
      </w:r>
    </w:p>
    <w:p>
      <w:pPr>
        <w:spacing w:after="0" w:line="114" w:lineRule="exact"/>
        <w:rPr>
          <w:sz w:val="20"/>
          <w:szCs w:val="20"/>
          <w:color w:val="auto"/>
        </w:rPr>
      </w:pPr>
    </w:p>
    <w:p>
      <w:pPr>
        <w:ind w:right="120" w:firstLine="4"/>
        <w:spacing w:after="0" w:line="292" w:lineRule="auto"/>
        <w:tabs>
          <w:tab w:leader="none" w:pos="17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5" w:lineRule="exact"/>
        <w:rPr>
          <w:sz w:val="20"/>
          <w:szCs w:val="20"/>
          <w:color w:val="auto"/>
        </w:rPr>
      </w:pPr>
    </w:p>
    <w:p>
      <w:pPr>
        <w:ind w:right="480" w:firstLine="4"/>
        <w:spacing w:after="0" w:line="292" w:lineRule="auto"/>
        <w:tabs>
          <w:tab w:leader="none" w:pos="2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right="80" w:firstLine="4"/>
        <w:spacing w:after="0" w:line="292" w:lineRule="auto"/>
        <w:tabs>
          <w:tab w:leader="none" w:pos="24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20"/>
        <w:spacing w:after="0"/>
        <w:tabs>
          <w:tab w:leader="none" w:pos="5600" w:val="left"/>
          <w:tab w:leader="none" w:pos="6060" w:val="left"/>
        </w:tabs>
        <w:rPr>
          <w:sz w:val="20"/>
          <w:szCs w:val="20"/>
          <w:color w:val="auto"/>
        </w:rPr>
      </w:pPr>
      <w:r>
        <w:rPr>
          <w:rFonts w:ascii="Times New Roman" w:cs="Times New Roman" w:eastAsia="Times New Roman" w:hAnsi="Times New Roman"/>
          <w:sz w:val="17"/>
          <w:szCs w:val="17"/>
          <w:color w:val="auto"/>
        </w:rPr>
        <w:t>Date: January 31, 2025</w:t>
      </w:r>
      <w:r>
        <w:rPr>
          <w:sz w:val="20"/>
          <w:szCs w:val="20"/>
          <w:color w:val="auto"/>
        </w:rPr>
        <w:tab/>
      </w:r>
      <w:r>
        <w:rPr>
          <w:rFonts w:ascii="Times New Roman" w:cs="Times New Roman" w:eastAsia="Times New Roman" w:hAnsi="Times New Roman"/>
          <w:sz w:val="17"/>
          <w:szCs w:val="17"/>
          <w:color w:val="auto"/>
        </w:rPr>
        <w:t>By:</w:t>
        <w:tab/>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19050</wp:posOffset>
            </wp:positionV>
            <wp:extent cx="32683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26834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Matthew A. Calderone</w:t>
      </w:r>
    </w:p>
    <w:p>
      <w:pPr>
        <w:ind w:left="6080"/>
        <w:spacing w:after="0" w:line="222" w:lineRule="auto"/>
        <w:rPr>
          <w:sz w:val="20"/>
          <w:szCs w:val="20"/>
          <w:color w:val="auto"/>
        </w:rPr>
      </w:pPr>
      <w:r>
        <w:rPr>
          <w:rFonts w:ascii="Times New Roman" w:cs="Times New Roman" w:eastAsia="Times New Roman" w:hAnsi="Times New Roman"/>
          <w:sz w:val="17"/>
          <w:szCs w:val="17"/>
          <w:color w:val="auto"/>
        </w:rPr>
        <w:t>Executive Vice President and Chief Financial Officer (Principal Financial</w:t>
      </w:r>
    </w:p>
    <w:p>
      <w:pPr>
        <w:spacing w:after="0" w:line="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Officer)</w:t>
      </w:r>
    </w:p>
    <w:p>
      <w:pPr>
        <w:sectPr>
          <w:pgSz w:w="11900" w:h="16838" w:orient="portrait"/>
          <w:cols w:equalWidth="0" w:num="1">
            <w:col w:w="11240"/>
          </w:cols>
          <w:pgMar w:left="320" w:top="858"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 connection with the report on Form 10-Q of Booz Allen Hamilton Holding Corporation (the “Company”) for the fiscal quarter ended December 31, 2024,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11" w:lineRule="exact"/>
        <w:rPr>
          <w:sz w:val="20"/>
          <w:szCs w:val="20"/>
          <w:color w:val="auto"/>
        </w:rPr>
      </w:pPr>
    </w:p>
    <w:p>
      <w:pPr>
        <w:ind w:left="240" w:hanging="236"/>
        <w:spacing w:after="0"/>
        <w:tabs>
          <w:tab w:leader="none" w:pos="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w:t>
      </w:r>
    </w:p>
    <w:p>
      <w:pPr>
        <w:spacing w:after="0" w:line="167"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23" w:lineRule="exact"/>
        <w:rPr>
          <w:sz w:val="20"/>
          <w:szCs w:val="20"/>
          <w:color w:val="auto"/>
        </w:rPr>
      </w:pPr>
    </w:p>
    <w:p>
      <w:pPr>
        <w:ind w:left="20"/>
        <w:spacing w:after="0"/>
        <w:tabs>
          <w:tab w:leader="none" w:pos="6400" w:val="left"/>
        </w:tabs>
        <w:rPr>
          <w:sz w:val="20"/>
          <w:szCs w:val="20"/>
          <w:color w:val="auto"/>
        </w:rPr>
      </w:pPr>
      <w:r>
        <w:rPr>
          <w:rFonts w:ascii="Times New Roman" w:cs="Times New Roman" w:eastAsia="Times New Roman" w:hAnsi="Times New Roman"/>
          <w:sz w:val="17"/>
          <w:szCs w:val="17"/>
          <w:color w:val="auto"/>
        </w:rPr>
        <w:t>Date: January 31, 2025</w:t>
      </w:r>
      <w:r>
        <w:rPr>
          <w:sz w:val="20"/>
          <w:szCs w:val="20"/>
          <w:color w:val="auto"/>
        </w:rPr>
        <w:tab/>
      </w:r>
      <w:r>
        <w:rPr>
          <w:rFonts w:ascii="Times New Roman" w:cs="Times New Roman" w:eastAsia="Times New Roman" w:hAnsi="Times New Roman"/>
          <w:sz w:val="17"/>
          <w:szCs w:val="17"/>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4242435</wp:posOffset>
            </wp:positionH>
            <wp:positionV relativeFrom="paragraph">
              <wp:posOffset>19050</wp:posOffset>
            </wp:positionV>
            <wp:extent cx="28816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spacing w:after="0" w:line="1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Horacio D. Rozanski</w:t>
      </w:r>
    </w:p>
    <w:p>
      <w:pPr>
        <w:ind w:left="6700"/>
        <w:spacing w:after="0" w:line="222" w:lineRule="auto"/>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85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 connection with the report on Form 10-Q of Booz Allen Hamilton Holding Corporation (the “Company”) for the fiscal quarter ended December 31, 2024,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111" w:lineRule="exact"/>
        <w:rPr>
          <w:sz w:val="20"/>
          <w:szCs w:val="20"/>
          <w:color w:val="auto"/>
        </w:rPr>
      </w:pPr>
    </w:p>
    <w:p>
      <w:pPr>
        <w:ind w:left="240" w:hanging="236"/>
        <w:spacing w:after="0"/>
        <w:tabs>
          <w:tab w:leader="none" w:pos="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w:t>
      </w:r>
    </w:p>
    <w:p>
      <w:pPr>
        <w:spacing w:after="0" w:line="167"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23"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7"/>
          <w:szCs w:val="17"/>
          <w:color w:val="auto"/>
        </w:rPr>
        <w:t>Date: January 31, 2025</w:t>
      </w:r>
      <w:r>
        <w:rPr>
          <w:sz w:val="20"/>
          <w:szCs w:val="20"/>
          <w:color w:val="auto"/>
        </w:rPr>
        <w:tab/>
      </w:r>
      <w:r>
        <w:rPr>
          <w:rFonts w:ascii="Times New Roman" w:cs="Times New Roman" w:eastAsia="Times New Roman" w:hAnsi="Times New Roman"/>
          <w:sz w:val="17"/>
          <w:szCs w:val="17"/>
          <w:color w:val="auto"/>
        </w:rPr>
        <w:t>By: /s/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19050</wp:posOffset>
            </wp:positionV>
            <wp:extent cx="33921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spacing w:after="0" w:line="1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Matthew A. Calderone</w:t>
      </w:r>
    </w:p>
    <w:p>
      <w:pPr>
        <w:ind w:left="5880"/>
        <w:spacing w:after="0" w:line="222" w:lineRule="auto"/>
        <w:rPr>
          <w:sz w:val="20"/>
          <w:szCs w:val="20"/>
          <w:color w:val="auto"/>
        </w:rPr>
      </w:pPr>
      <w:r>
        <w:rPr>
          <w:rFonts w:ascii="Times New Roman" w:cs="Times New Roman" w:eastAsia="Times New Roman" w:hAnsi="Times New Roman"/>
          <w:sz w:val="17"/>
          <w:szCs w:val="17"/>
          <w:color w:val="auto"/>
        </w:rPr>
        <w:t>Executive Vice President and Chief Financial Officer (Principal Financial</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Officer)</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3"/>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lvl w:ilvl="1">
      <w:lvlJc w:val="left"/>
      <w:lvlText w:val="(%2)"/>
      <w:numFmt w:val="decimal"/>
      <w:start w:val="1"/>
    </w:lvl>
  </w:abstractNum>
  <w:abstractNum w:abstractNumId="6">
    <w:nsid w:val="6763845E"/>
    <w:multiLevelType w:val="hybridMultilevel"/>
    <w:lvl w:ilvl="0">
      <w:lvlJc w:val="left"/>
      <w:lvlText w:val="%1."/>
      <w:numFmt w:val="decimal"/>
      <w:start w:val="9"/>
    </w:lvl>
    <w:lvl w:ilvl="1">
      <w:lvlJc w:val="left"/>
      <w:lvlText w:val="%2"/>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lvl w:ilvl="1">
      <w:lvlJc w:val="left"/>
      <w:lvlText w:val="(%2)"/>
      <w:numFmt w:val="decimal"/>
      <w:start w:val="3"/>
    </w:lvl>
  </w:abstractNum>
  <w:abstractNum w:abstractNumId="10">
    <w:nsid w:val="4353D0CD"/>
    <w:multiLevelType w:val="hybridMultilevel"/>
    <w:lvl w:ilvl="0">
      <w:lvlJc w:val="left"/>
      <w:lvlText w:val="%1."/>
      <w:numFmt w:val="decimal"/>
      <w:start w:val="13"/>
    </w:lvl>
    <w:lvl w:ilvl="1">
      <w:lvlJc w:val="left"/>
      <w:lvlText w:val="%2"/>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Roman"/>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22"/>
    </w:lvl>
  </w:abstractNum>
  <w:abstractNum w:abstractNumId="29">
    <w:nsid w:val="5577F8E1"/>
    <w:multiLevelType w:val="hybridMultilevel"/>
    <w:lvl w:ilvl="0">
      <w:lvlJc w:val="left"/>
      <w:lvlText w:val="%1"/>
      <w:numFmt w:val="decimal"/>
      <w:start w:val="10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5"/>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00" Type="http://schemas.openxmlformats.org/officeDocument/2006/relationships/hyperlink" Target="https://www.sec.gov/Archives/edgar/data/1443646/000144364624000075/bah-202403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2025-01-31T05:53:17Z</dcterms:created>
  <dcterms:modified xsi:type="dcterms:W3CDTF">2025-01-31T05:53:17Z</dcterms:modified>
</cp:coreProperties>
</file>