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306705</wp:posOffset>
            </wp:positionH>
            <wp:positionV relativeFrom="page">
              <wp:posOffset>540385</wp:posOffset>
            </wp:positionV>
            <wp:extent cx="6935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5470" cy="8255"/>
                    </a:xfrm>
                    <a:prstGeom prst="rect">
                      <a:avLst/>
                    </a:prstGeom>
                    <a:noFill/>
                  </pic:spPr>
                </pic:pic>
              </a:graphicData>
            </a:graphic>
          </wp:anchor>
        </w:drawing>
        <w:drawing>
          <wp:anchor simplePos="0" relativeHeight="251657728" behindDoc="1" locked="0" layoutInCell="0" allowOverlap="1">
            <wp:simplePos x="0" y="0"/>
            <wp:positionH relativeFrom="page">
              <wp:posOffset>306705</wp:posOffset>
            </wp:positionH>
            <wp:positionV relativeFrom="page">
              <wp:posOffset>565150</wp:posOffset>
            </wp:positionV>
            <wp:extent cx="6935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547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5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7"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w:t>
      </w:r>
    </w:p>
    <w:p>
      <w:pPr>
        <w:spacing w:after="0"/>
        <w:rPr>
          <w:sz w:val="20"/>
          <w:szCs w:val="20"/>
          <w:color w:val="auto"/>
        </w:rPr>
      </w:pPr>
      <w:r>
        <w:rPr>
          <w:rFonts w:ascii="Times New Roman" w:cs="Times New Roman" w:eastAsia="Times New Roman" w:hAnsi="Times New Roman"/>
          <w:sz w:val="14"/>
          <w:szCs w:val="14"/>
          <w:color w:val="auto"/>
        </w:rPr>
        <w:t>(Mark One)</w:t>
      </w:r>
    </w:p>
    <w:p>
      <w:pPr>
        <w:sectPr>
          <w:pgSz w:w="11900" w:h="16838" w:orient="portrait"/>
          <w:cols w:equalWidth="0" w:num="1">
            <w:col w:w="11240"/>
          </w:cols>
          <w:pgMar w:left="320" w:top="961" w:right="3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ind w:right="120"/>
        <w:spacing w:after="0" w:line="247" w:lineRule="auto"/>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5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2022</w:t>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1" w:lineRule="exact"/>
        <w:rPr>
          <w:sz w:val="24"/>
          <w:szCs w:val="24"/>
          <w:color w:val="auto"/>
        </w:rPr>
      </w:pPr>
    </w:p>
    <w:p>
      <w:pPr>
        <w:sectPr>
          <w:pgSz w:w="11900" w:h="16838" w:orient="portrait"/>
          <w:cols w:equalWidth="0" w:num="2">
            <w:col w:w="180" w:space="680"/>
            <w:col w:w="10380"/>
          </w:cols>
          <w:pgMar w:left="320" w:top="961" w:right="339" w:bottom="1440" w:gutter="0" w:footer="0" w:header="0"/>
          <w:type w:val="continuous"/>
        </w:sectPr>
      </w:pPr>
    </w:p>
    <w:p>
      <w:pPr>
        <w:ind w:left="860" w:hanging="837"/>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1"/>
          <w:szCs w:val="21"/>
          <w:b w:val="1"/>
          <w:bCs w:val="1"/>
          <w:color w:val="auto"/>
        </w:rPr>
        <w:t>1934</w:t>
      </w:r>
    </w:p>
    <w:p>
      <w:pPr>
        <w:spacing w:after="0" w:line="84" w:lineRule="exact"/>
        <w:rPr>
          <w:sz w:val="24"/>
          <w:szCs w:val="24"/>
          <w:color w:val="auto"/>
        </w:rPr>
      </w:pPr>
    </w:p>
    <w:p>
      <w:pPr>
        <w:ind w:left="384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001-34972</w:t>
      </w:r>
    </w:p>
    <w:p>
      <w:pPr>
        <w:spacing w:after="0" w:line="22"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Booz Allen Hamilton Holding Corporation</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w:t>
      </w:r>
    </w:p>
    <w:p>
      <w:pPr>
        <w:spacing w:after="0" w:line="118" w:lineRule="exact"/>
        <w:rPr>
          <w:sz w:val="24"/>
          <w:szCs w:val="24"/>
          <w:color w:val="auto"/>
        </w:rPr>
      </w:pPr>
    </w:p>
    <w:p>
      <w:pPr>
        <w:ind w:left="1780"/>
        <w:spacing w:after="0"/>
        <w:tabs>
          <w:tab w:leader="none" w:pos="894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26-2634160</w:t>
      </w:r>
    </w:p>
    <w:p>
      <w:pPr>
        <w:spacing w:after="0" w:line="1" w:lineRule="exact"/>
        <w:rPr>
          <w:sz w:val="24"/>
          <w:szCs w:val="24"/>
          <w:color w:val="auto"/>
        </w:rPr>
      </w:pPr>
    </w:p>
    <w:p>
      <w:pPr>
        <w:ind w:left="1260"/>
        <w:spacing w:after="0"/>
        <w:tabs>
          <w:tab w:leader="none" w:pos="884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220"/>
        <w:spacing w:after="0"/>
        <w:tabs>
          <w:tab w:leader="none" w:pos="880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75" w:lineRule="exact"/>
        <w:rPr>
          <w:sz w:val="24"/>
          <w:szCs w:val="24"/>
          <w:color w:val="auto"/>
        </w:rPr>
      </w:pPr>
    </w:p>
    <w:p>
      <w:pPr>
        <w:ind w:left="300"/>
        <w:spacing w:after="0"/>
        <w:tabs>
          <w:tab w:leader="none" w:pos="2500" w:val="left"/>
          <w:tab w:leader="none" w:pos="3480" w:val="left"/>
          <w:tab w:leader="none" w:pos="9140" w:val="left"/>
        </w:tabs>
        <w:rPr>
          <w:sz w:val="20"/>
          <w:szCs w:val="20"/>
          <w:color w:val="auto"/>
        </w:rPr>
      </w:pPr>
      <w:r>
        <w:rPr>
          <w:rFonts w:ascii="Times New Roman" w:cs="Times New Roman" w:eastAsia="Times New Roman" w:hAnsi="Times New Roman"/>
          <w:sz w:val="18"/>
          <w:szCs w:val="18"/>
          <w:b w:val="1"/>
          <w:bCs w:val="1"/>
          <w:color w:val="auto"/>
        </w:rPr>
        <w:t>8283 Greensboro Drive,</w:t>
      </w:r>
      <w:r>
        <w:rPr>
          <w:sz w:val="20"/>
          <w:szCs w:val="20"/>
          <w:color w:val="auto"/>
        </w:rPr>
        <w:tab/>
      </w:r>
      <w:r>
        <w:rPr>
          <w:rFonts w:ascii="Times New Roman" w:cs="Times New Roman" w:eastAsia="Times New Roman" w:hAnsi="Times New Roman"/>
          <w:sz w:val="18"/>
          <w:szCs w:val="18"/>
          <w:b w:val="1"/>
          <w:bCs w:val="1"/>
          <w:color w:val="auto"/>
        </w:rPr>
        <w:t>McLean,</w:t>
      </w:r>
      <w:r>
        <w:rPr>
          <w:sz w:val="20"/>
          <w:szCs w:val="20"/>
          <w:color w:val="auto"/>
        </w:rPr>
        <w:tab/>
      </w:r>
      <w:r>
        <w:rPr>
          <w:rFonts w:ascii="Times New Roman" w:cs="Times New Roman" w:eastAsia="Times New Roman" w:hAnsi="Times New Roman"/>
          <w:sz w:val="18"/>
          <w:szCs w:val="18"/>
          <w:b w:val="1"/>
          <w:bCs w:val="1"/>
          <w:color w:val="auto"/>
        </w:rPr>
        <w:t>Virginia</w:t>
      </w:r>
      <w:r>
        <w:rPr>
          <w:sz w:val="20"/>
          <w:szCs w:val="20"/>
          <w:color w:val="auto"/>
        </w:rPr>
        <w:tab/>
      </w:r>
      <w:r>
        <w:rPr>
          <w:rFonts w:ascii="Times New Roman" w:cs="Times New Roman" w:eastAsia="Times New Roman" w:hAnsi="Times New Roman"/>
          <w:sz w:val="16"/>
          <w:szCs w:val="16"/>
          <w:b w:val="1"/>
          <w:bCs w:val="1"/>
          <w:color w:val="auto"/>
        </w:rPr>
        <w:t>22102</w:t>
      </w:r>
    </w:p>
    <w:p>
      <w:pPr>
        <w:spacing w:after="0" w:line="23" w:lineRule="exact"/>
        <w:rPr>
          <w:sz w:val="24"/>
          <w:szCs w:val="24"/>
          <w:color w:val="auto"/>
        </w:rPr>
      </w:pPr>
    </w:p>
    <w:p>
      <w:pPr>
        <w:ind w:left="980"/>
        <w:spacing w:after="0"/>
        <w:tabs>
          <w:tab w:leader="none" w:pos="902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(703) 902-5000</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79" w:lineRule="exact"/>
        <w:rPr>
          <w:sz w:val="24"/>
          <w:szCs w:val="24"/>
          <w:color w:val="auto"/>
        </w:rPr>
      </w:pPr>
    </w:p>
    <w:tbl>
      <w:tblPr>
        <w:tblLayout w:type="fixed"/>
        <w:tblInd w:w="180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tcPr>
          <w:p>
            <w:pPr>
              <w:spacing w:after="0"/>
              <w:rPr>
                <w:sz w:val="13"/>
                <w:szCs w:val="13"/>
                <w:color w:val="auto"/>
              </w:rPr>
            </w:pPr>
          </w:p>
        </w:tc>
        <w:tc>
          <w:tcPr>
            <w:tcW w:w="208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r>
        <w:trPr>
          <w:trHeight w:val="256"/>
        </w:trPr>
        <w:tc>
          <w:tcPr>
            <w:tcW w:w="322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7"/>
              </w:rPr>
              <w:t>Class A Common Stock</w:t>
            </w:r>
          </w:p>
        </w:tc>
        <w:tc>
          <w:tcPr>
            <w:tcW w:w="208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w w:val="99"/>
              </w:rPr>
              <w:t>BAH</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New York Stock Exchange</w:t>
            </w:r>
          </w:p>
        </w:tc>
      </w:tr>
    </w:tbl>
    <w:p>
      <w:pPr>
        <w:spacing w:after="0" w:line="88" w:lineRule="exact"/>
        <w:rPr>
          <w:sz w:val="24"/>
          <w:szCs w:val="24"/>
          <w:color w:val="auto"/>
        </w:rPr>
      </w:pPr>
    </w:p>
    <w:p>
      <w:pPr>
        <w:jc w:val="both"/>
        <w:ind w:right="4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9" w:lineRule="exact"/>
        <w:rPr>
          <w:sz w:val="24"/>
          <w:szCs w:val="24"/>
          <w:color w:val="auto"/>
        </w:rPr>
      </w:pPr>
    </w:p>
    <w:p>
      <w:pPr>
        <w:ind w:right="64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341"/>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2"/>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5"/>
        </w:trPr>
        <w:tc>
          <w:tcPr>
            <w:tcW w:w="218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50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1" w:lineRule="exact"/>
        <w:rPr>
          <w:sz w:val="24"/>
          <w:szCs w:val="24"/>
          <w:color w:val="auto"/>
        </w:rPr>
      </w:pPr>
    </w:p>
    <w:p>
      <w:pPr>
        <w:jc w:val="both"/>
        <w:ind w:right="26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2080"/>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tbl>
      <w:tblPr>
        <w:tblLayout w:type="fixed"/>
        <w:tblInd w:w="0" w:type="dxa"/>
        <w:tblCellMar>
          <w:top w:w="0" w:type="dxa"/>
          <w:left w:w="0" w:type="dxa"/>
          <w:bottom w:w="0" w:type="dxa"/>
          <w:right w:w="0" w:type="dxa"/>
        </w:tblCellMar>
      </w:tblPr>
      <w:tr>
        <w:trPr>
          <w:trHeight w:val="199"/>
        </w:trPr>
        <w:tc>
          <w:tcPr>
            <w:tcW w:w="8680" w:type="dxa"/>
            <w:vAlign w:val="bottom"/>
          </w:tcPr>
          <w:p>
            <w:pPr>
              <w:spacing w:after="0"/>
              <w:rPr>
                <w:sz w:val="17"/>
                <w:szCs w:val="17"/>
                <w:color w:val="auto"/>
              </w:rPr>
            </w:pPr>
          </w:p>
        </w:tc>
        <w:tc>
          <w:tcPr>
            <w:tcW w:w="2560" w:type="dxa"/>
            <w:vAlign w:val="bottom"/>
            <w:gridSpan w:val="2"/>
          </w:tcPr>
          <w:p>
            <w:pPr>
              <w:jc w:val="center"/>
              <w:ind w:right="360"/>
              <w:spacing w:after="0" w:line="199" w:lineRule="exact"/>
              <w:rPr>
                <w:sz w:val="20"/>
                <w:szCs w:val="20"/>
                <w:color w:val="auto"/>
              </w:rPr>
            </w:pPr>
            <w:r>
              <w:rPr>
                <w:rFonts w:ascii="Times New Roman" w:cs="Times New Roman" w:eastAsia="Times New Roman" w:hAnsi="Times New Roman"/>
                <w:sz w:val="18"/>
                <w:szCs w:val="18"/>
                <w:b w:val="1"/>
                <w:bCs w:val="1"/>
                <w:color w:val="auto"/>
                <w:w w:val="96"/>
              </w:rPr>
              <w:t>Shares Outstanding</w:t>
            </w:r>
          </w:p>
        </w:tc>
      </w:tr>
      <w:tr>
        <w:trPr>
          <w:trHeight w:val="234"/>
        </w:trPr>
        <w:tc>
          <w:tcPr>
            <w:tcW w:w="8680" w:type="dxa"/>
            <w:vAlign w:val="bottom"/>
          </w:tcPr>
          <w:p>
            <w:pPr>
              <w:spacing w:after="0"/>
              <w:rPr>
                <w:sz w:val="20"/>
                <w:szCs w:val="20"/>
                <w:color w:val="auto"/>
              </w:rPr>
            </w:pPr>
          </w:p>
        </w:tc>
        <w:tc>
          <w:tcPr>
            <w:tcW w:w="2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as of 1/24/2023</w:t>
            </w:r>
          </w:p>
        </w:tc>
      </w:tr>
      <w:tr>
        <w:trPr>
          <w:trHeight w:val="220"/>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132,275,873</w:t>
            </w:r>
          </w:p>
        </w:tc>
        <w:tc>
          <w:tcPr>
            <w:tcW w:w="360" w:type="dxa"/>
            <w:vAlign w:val="bottom"/>
          </w:tcPr>
          <w:p>
            <w:pPr>
              <w:spacing w:after="0"/>
              <w:rPr>
                <w:sz w:val="19"/>
                <w:szCs w:val="19"/>
                <w:color w:val="auto"/>
              </w:rPr>
            </w:pPr>
          </w:p>
        </w:tc>
      </w:tr>
      <w:tr>
        <w:trPr>
          <w:trHeight w:val="756"/>
        </w:trPr>
        <w:tc>
          <w:tcPr>
            <w:tcW w:w="86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5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25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7980" w:type="dxa"/>
            <w:vAlign w:val="bottom"/>
            <w:gridSpan w:val="10"/>
            <w:vMerge w:val="restart"/>
          </w:tcPr>
          <w:p>
            <w:pPr>
              <w:spacing w:after="0"/>
              <w:rPr>
                <w:sz w:val="24"/>
                <w:szCs w:val="24"/>
                <w:color w:val="auto"/>
              </w:rPr>
            </w:pPr>
          </w:p>
        </w:tc>
        <w:tc>
          <w:tcPr>
            <w:tcW w:w="7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7980" w:type="dxa"/>
            <w:vAlign w:val="bottom"/>
            <w:gridSpan w:val="10"/>
            <w:vMerge w:val="continue"/>
          </w:tcPr>
          <w:p>
            <w:pPr>
              <w:spacing w:after="0"/>
              <w:rPr>
                <w:sz w:val="14"/>
                <w:szCs w:val="14"/>
                <w:color w:val="auto"/>
              </w:rPr>
            </w:pPr>
          </w:p>
        </w:tc>
        <w:tc>
          <w:tcPr>
            <w:tcW w:w="720" w:type="dxa"/>
            <w:vAlign w:val="bottom"/>
            <w:tcBorders>
              <w:top w:val="single" w:sz="8" w:color="auto"/>
            </w:tcBorders>
            <w:gridSpan w:val="4"/>
          </w:tcPr>
          <w:p>
            <w:pPr>
              <w:jc w:val="right"/>
              <w:ind w:right="20"/>
              <w:spacing w:after="0" w:line="152" w:lineRule="exact"/>
              <w:rPr>
                <w:sz w:val="20"/>
                <w:szCs w:val="20"/>
                <w:color w:val="auto"/>
              </w:rPr>
            </w:pPr>
            <w:r>
              <w:rPr>
                <w:rFonts w:ascii="Times New Roman" w:cs="Times New Roman" w:eastAsia="Times New Roman" w:hAnsi="Times New Roman"/>
                <w:sz w:val="16"/>
                <w:szCs w:val="16"/>
                <w:b w:val="1"/>
                <w:bCs w:val="1"/>
                <w:color w:val="0000FF"/>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56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20" w:type="dxa"/>
            <w:vAlign w:val="bottom"/>
            <w:gridSpan w:val="2"/>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9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2</w:t>
            </w:r>
          </w:p>
        </w:tc>
        <w:tc>
          <w:tcPr>
            <w:tcW w:w="6660" w:type="dxa"/>
            <w:vAlign w:val="bottom"/>
            <w:tcBorders>
              <w:bottom w:val="single" w:sz="8" w:color="0000FF"/>
            </w:tcBorders>
            <w:gridSpan w:val="13"/>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7"/>
              </w:rPr>
              <w:t>Management's Discussion and Analysis of Financial Condition and Results of Operations</w:t>
            </w:r>
          </w:p>
        </w:tc>
        <w:tc>
          <w:tcPr>
            <w:tcW w:w="2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3</w:t>
            </w:r>
          </w:p>
        </w:tc>
        <w:tc>
          <w:tcPr>
            <w:tcW w:w="892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72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b w:val="1"/>
                <w:bCs w:val="1"/>
                <w:color w:val="0000FF"/>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4</w:t>
            </w:r>
          </w:p>
        </w:tc>
        <w:tc>
          <w:tcPr>
            <w:tcW w:w="1860" w:type="dxa"/>
            <w:vAlign w:val="bottom"/>
            <w:tcBorders>
              <w:top w:val="single" w:sz="8" w:color="0000FF"/>
              <w:bottom w:val="single" w:sz="8" w:color="0000FF"/>
            </w:tcBorders>
            <w:gridSpan w:val="9"/>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5"/>
              </w:rPr>
              <w:t>Controls and Procedures</w:t>
            </w:r>
          </w:p>
        </w:tc>
        <w:tc>
          <w:tcPr>
            <w:tcW w:w="2680" w:type="dxa"/>
            <w:vAlign w:val="bottom"/>
            <w:tcBorders>
              <w:top w:val="single" w:sz="8" w:color="0000FF"/>
            </w:tcBorders>
            <w:gridSpan w:val="3"/>
          </w:tcPr>
          <w:p>
            <w:pPr>
              <w:spacing w:after="0"/>
              <w:rPr>
                <w:sz w:val="17"/>
                <w:szCs w:val="17"/>
                <w:color w:val="auto"/>
              </w:rPr>
            </w:pPr>
          </w:p>
        </w:tc>
        <w:tc>
          <w:tcPr>
            <w:tcW w:w="43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140" w:type="dxa"/>
            <w:vAlign w:val="bottom"/>
            <w:tcBorders>
              <w:bottom w:val="single" w:sz="8" w:color="0000FF"/>
            </w:tcBorders>
            <w:gridSpan w:val="2"/>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5"/>
              </w:rPr>
              <w:t>PART II. Other Information</w:t>
            </w:r>
          </w:p>
        </w:tc>
        <w:tc>
          <w:tcPr>
            <w:tcW w:w="834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1</w:t>
            </w:r>
          </w:p>
        </w:tc>
        <w:tc>
          <w:tcPr>
            <w:tcW w:w="892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Legal Proceedings</w:t>
            </w:r>
          </w:p>
        </w:tc>
        <w:tc>
          <w:tcPr>
            <w:tcW w:w="72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b w:val="1"/>
                <w:bCs w:val="1"/>
                <w:color w:val="0000FF"/>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1A</w:t>
            </w:r>
          </w:p>
        </w:tc>
        <w:tc>
          <w:tcPr>
            <w:tcW w:w="1360" w:type="dxa"/>
            <w:vAlign w:val="bottom"/>
            <w:tcBorders>
              <w:top w:val="single" w:sz="8" w:color="0000FF"/>
            </w:tcBorders>
            <w:gridSpan w:val="5"/>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Risk Factors</w:t>
            </w:r>
          </w:p>
        </w:tc>
        <w:tc>
          <w:tcPr>
            <w:tcW w:w="756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42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2</w:t>
            </w:r>
          </w:p>
        </w:tc>
        <w:tc>
          <w:tcPr>
            <w:tcW w:w="892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72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b w:val="1"/>
                <w:bCs w:val="1"/>
                <w:color w:val="0000FF"/>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3</w:t>
            </w:r>
          </w:p>
        </w:tc>
        <w:tc>
          <w:tcPr>
            <w:tcW w:w="2380" w:type="dxa"/>
            <w:vAlign w:val="bottom"/>
            <w:tcBorders>
              <w:top w:val="single" w:sz="8" w:color="0000FF"/>
              <w:bottom w:val="single" w:sz="8" w:color="0000FF"/>
            </w:tcBorders>
            <w:gridSpan w:val="10"/>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6"/>
              </w:rPr>
              <w:t>Defaults Upon Senior Securities</w:t>
            </w:r>
          </w:p>
        </w:tc>
        <w:tc>
          <w:tcPr>
            <w:tcW w:w="2060" w:type="dxa"/>
            <w:vAlign w:val="bottom"/>
            <w:tcBorders>
              <w:top w:val="single" w:sz="8" w:color="0000FF"/>
            </w:tcBorders>
          </w:tcPr>
          <w:p>
            <w:pPr>
              <w:spacing w:after="0"/>
              <w:rPr>
                <w:sz w:val="17"/>
                <w:szCs w:val="17"/>
                <w:color w:val="auto"/>
              </w:rPr>
            </w:pPr>
          </w:p>
        </w:tc>
        <w:tc>
          <w:tcPr>
            <w:tcW w:w="44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42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4</w:t>
            </w:r>
          </w:p>
        </w:tc>
        <w:tc>
          <w:tcPr>
            <w:tcW w:w="892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72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b w:val="1"/>
                <w:bCs w:val="1"/>
                <w:color w:val="0000FF"/>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5</w:t>
            </w:r>
          </w:p>
        </w:tc>
        <w:tc>
          <w:tcPr>
            <w:tcW w:w="1780" w:type="dxa"/>
            <w:vAlign w:val="bottom"/>
            <w:tcBorders>
              <w:top w:val="single" w:sz="8" w:color="0000FF"/>
            </w:tcBorders>
            <w:gridSpan w:val="8"/>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714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42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ITEM 6</w:t>
            </w:r>
          </w:p>
        </w:tc>
        <w:tc>
          <w:tcPr>
            <w:tcW w:w="1400" w:type="dxa"/>
            <w:vAlign w:val="bottom"/>
            <w:tcBorders>
              <w:top w:val="single" w:sz="8" w:color="0000FF"/>
            </w:tcBorders>
            <w:gridSpan w:val="6"/>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Exhibits</w:t>
            </w:r>
          </w:p>
        </w:tc>
        <w:tc>
          <w:tcPr>
            <w:tcW w:w="752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7"/>
        </w:trPr>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1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769"/>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7"/>
        </w:trPr>
        <w:tc>
          <w:tcPr>
            <w:tcW w:w="91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Item 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Financial Statements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40" w:type="dxa"/>
            <w:vAlign w:val="bottom"/>
            <w:gridSpan w:val="18"/>
          </w:tcPr>
          <w:p>
            <w:pPr>
              <w:ind w:left="180"/>
              <w:spacing w:after="0"/>
              <w:rPr>
                <w:sz w:val="20"/>
                <w:szCs w:val="20"/>
                <w:color w:val="auto"/>
              </w:rPr>
            </w:pPr>
            <w:r>
              <w:rPr>
                <w:rFonts w:ascii="Times New Roman" w:cs="Times New Roman" w:eastAsia="Times New Roman" w:hAnsi="Times New Roman"/>
                <w:sz w:val="18"/>
                <w:szCs w:val="18"/>
                <w:b w:val="1"/>
                <w:bCs w:val="1"/>
                <w:color w:val="auto"/>
              </w:rPr>
              <w:t>INDEX TO THE UNAUDITED CONDENSED CONSOLIDATED FINANCIAL STATEMENTS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21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8"/>
        </w:trPr>
        <w:tc>
          <w:tcPr>
            <w:tcW w:w="20" w:type="dxa"/>
            <w:vAlign w:val="bottom"/>
          </w:tcPr>
          <w:p>
            <w:pPr>
              <w:spacing w:after="0"/>
              <w:rPr>
                <w:sz w:val="15"/>
                <w:szCs w:val="15"/>
                <w:color w:val="auto"/>
              </w:rPr>
            </w:pPr>
          </w:p>
        </w:tc>
        <w:tc>
          <w:tcPr>
            <w:tcW w:w="3020" w:type="dxa"/>
            <w:vAlign w:val="bottom"/>
            <w:gridSpan w:val="13"/>
          </w:tcPr>
          <w:p>
            <w:pPr>
              <w:spacing w:after="0" w:line="178" w:lineRule="exact"/>
              <w:rPr>
                <w:sz w:val="20"/>
                <w:szCs w:val="20"/>
                <w:color w:val="auto"/>
              </w:rPr>
            </w:pPr>
            <w:r>
              <w:rPr>
                <w:rFonts w:ascii="Times New Roman" w:cs="Times New Roman" w:eastAsia="Times New Roman" w:hAnsi="Times New Roman"/>
                <w:sz w:val="18"/>
                <w:szCs w:val="18"/>
                <w:b w:val="1"/>
                <w:bCs w:val="1"/>
                <w:color w:val="0000FF"/>
                <w:w w:val="96"/>
              </w:rPr>
              <w:t>Condensed Consolidated Balance Sheets</w:t>
            </w:r>
          </w:p>
        </w:tc>
        <w:tc>
          <w:tcPr>
            <w:tcW w:w="6060" w:type="dxa"/>
            <w:vAlign w:val="bottom"/>
            <w:gridSpan w:val="11"/>
          </w:tcPr>
          <w:p>
            <w:pPr>
              <w:spacing w:after="0"/>
              <w:rPr>
                <w:sz w:val="15"/>
                <w:szCs w:val="15"/>
                <w:color w:val="auto"/>
              </w:rPr>
            </w:pPr>
          </w:p>
        </w:tc>
        <w:tc>
          <w:tcPr>
            <w:tcW w:w="680" w:type="dxa"/>
            <w:vAlign w:val="bottom"/>
            <w:tcBorders>
              <w:top w:val="single" w:sz="8" w:color="auto"/>
            </w:tcBorders>
            <w:gridSpan w:val="3"/>
          </w:tcPr>
          <w:p>
            <w:pPr>
              <w:jc w:val="center"/>
              <w:ind w:left="432"/>
              <w:spacing w:after="0" w:line="178" w:lineRule="exact"/>
              <w:rPr>
                <w:sz w:val="20"/>
                <w:szCs w:val="20"/>
                <w:color w:val="auto"/>
              </w:rPr>
            </w:pPr>
            <w:r>
              <w:rPr>
                <w:rFonts w:ascii="Times New Roman" w:cs="Times New Roman" w:eastAsia="Times New Roman" w:hAnsi="Times New Roman"/>
                <w:sz w:val="18"/>
                <w:szCs w:val="18"/>
                <w:b w:val="1"/>
                <w:bCs w:val="1"/>
                <w:color w:val="0000FF"/>
                <w:w w:val="88"/>
              </w:rPr>
              <w:t>1</w:t>
            </w:r>
          </w:p>
        </w:tc>
        <w:tc>
          <w:tcPr>
            <w:tcW w:w="520" w:type="dxa"/>
            <w:vAlign w:val="bottom"/>
            <w:tcBorders>
              <w:top w:val="single" w:sz="8" w:color="auto"/>
            </w:tcBorders>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080" w:type="dxa"/>
            <w:vAlign w:val="bottom"/>
            <w:gridSpan w:val="24"/>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Condensed Consolidated Statements of Operations</w:t>
            </w: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2</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080" w:type="dxa"/>
            <w:vAlign w:val="bottom"/>
            <w:gridSpan w:val="24"/>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Condensed Consolidated Statements of Comprehensive Income</w:t>
            </w: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3</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gridSpan w:val="22"/>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Condensed Consolidated Statements of Cash Flows</w:t>
            </w:r>
          </w:p>
        </w:tc>
        <w:tc>
          <w:tcPr>
            <w:tcW w:w="4360" w:type="dxa"/>
            <w:vAlign w:val="bottom"/>
            <w:gridSpan w:val="2"/>
          </w:tcPr>
          <w:p>
            <w:pPr>
              <w:spacing w:after="0"/>
              <w:rPr>
                <w:sz w:val="17"/>
                <w:szCs w:val="17"/>
                <w:color w:val="auto"/>
              </w:rPr>
            </w:pP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4</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54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7"/>
              </w:rPr>
              <w:t>Condensed Consolidated Statements of Stockholders' Equity</w:t>
            </w:r>
          </w:p>
        </w:tc>
        <w:tc>
          <w:tcPr>
            <w:tcW w:w="4540" w:type="dxa"/>
            <w:vAlign w:val="bottom"/>
            <w:gridSpan w:val="3"/>
          </w:tcPr>
          <w:p>
            <w:pPr>
              <w:spacing w:after="0"/>
              <w:rPr>
                <w:sz w:val="17"/>
                <w:szCs w:val="17"/>
                <w:color w:val="auto"/>
              </w:rPr>
            </w:pP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5</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080" w:type="dxa"/>
            <w:vAlign w:val="bottom"/>
            <w:gridSpan w:val="24"/>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Notes to Unaudited Condensed Consolidated Financial Statements</w:t>
            </w: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7</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80" w:type="dxa"/>
            <w:vAlign w:val="bottom"/>
            <w:gridSpan w:val="2"/>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0000FF"/>
              </w:rPr>
              <w:t>1.</w:t>
            </w:r>
          </w:p>
        </w:tc>
        <w:tc>
          <w:tcPr>
            <w:tcW w:w="4480" w:type="dxa"/>
            <w:vAlign w:val="bottom"/>
            <w:gridSpan w:val="21"/>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0000FF"/>
              </w:rPr>
              <w:t>Business Overview</w:t>
            </w:r>
          </w:p>
        </w:tc>
        <w:tc>
          <w:tcPr>
            <w:tcW w:w="4120" w:type="dxa"/>
            <w:vAlign w:val="bottom"/>
          </w:tcPr>
          <w:p>
            <w:pPr>
              <w:spacing w:after="0"/>
              <w:rPr>
                <w:sz w:val="17"/>
                <w:szCs w:val="17"/>
                <w:color w:val="auto"/>
              </w:rPr>
            </w:pP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7</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500" w:type="dxa"/>
            <w:vAlign w:val="bottom"/>
            <w:gridSpan w:val="3"/>
          </w:tcPr>
          <w:p>
            <w:pPr>
              <w:ind w:left="340"/>
              <w:spacing w:after="0" w:line="204" w:lineRule="exact"/>
              <w:rPr>
                <w:sz w:val="20"/>
                <w:szCs w:val="20"/>
                <w:color w:val="auto"/>
              </w:rPr>
            </w:pPr>
            <w:r>
              <w:rPr>
                <w:rFonts w:ascii="Times New Roman" w:cs="Times New Roman" w:eastAsia="Times New Roman" w:hAnsi="Times New Roman"/>
                <w:sz w:val="18"/>
                <w:szCs w:val="18"/>
                <w:b w:val="1"/>
                <w:bCs w:val="1"/>
                <w:color w:val="0000FF"/>
              </w:rPr>
              <w:t>2.</w:t>
            </w:r>
          </w:p>
        </w:tc>
        <w:tc>
          <w:tcPr>
            <w:tcW w:w="8600" w:type="dxa"/>
            <w:vAlign w:val="bottom"/>
            <w:gridSpan w:val="22"/>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0000FF"/>
              </w:rPr>
              <w:t>Basis of Presentation</w:t>
            </w: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7</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500" w:type="dxa"/>
            <w:vAlign w:val="bottom"/>
            <w:gridSpan w:val="3"/>
          </w:tcPr>
          <w:p>
            <w:pPr>
              <w:ind w:left="340"/>
              <w:spacing w:after="0" w:line="204" w:lineRule="exact"/>
              <w:rPr>
                <w:sz w:val="20"/>
                <w:szCs w:val="20"/>
                <w:color w:val="auto"/>
              </w:rPr>
            </w:pPr>
            <w:r>
              <w:rPr>
                <w:rFonts w:ascii="Times New Roman" w:cs="Times New Roman" w:eastAsia="Times New Roman" w:hAnsi="Times New Roman"/>
                <w:sz w:val="18"/>
                <w:szCs w:val="18"/>
                <w:b w:val="1"/>
                <w:bCs w:val="1"/>
                <w:color w:val="0000FF"/>
              </w:rPr>
              <w:t>3.</w:t>
            </w:r>
          </w:p>
        </w:tc>
        <w:tc>
          <w:tcPr>
            <w:tcW w:w="8600" w:type="dxa"/>
            <w:vAlign w:val="bottom"/>
            <w:gridSpan w:val="22"/>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0000FF"/>
              </w:rPr>
              <w:t>Revenue</w:t>
            </w: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8</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500" w:type="dxa"/>
            <w:vAlign w:val="bottom"/>
            <w:gridSpan w:val="3"/>
          </w:tcPr>
          <w:p>
            <w:pPr>
              <w:ind w:left="340"/>
              <w:spacing w:after="0" w:line="204" w:lineRule="exact"/>
              <w:rPr>
                <w:sz w:val="20"/>
                <w:szCs w:val="20"/>
                <w:color w:val="auto"/>
              </w:rPr>
            </w:pPr>
            <w:r>
              <w:rPr>
                <w:rFonts w:ascii="Times New Roman" w:cs="Times New Roman" w:eastAsia="Times New Roman" w:hAnsi="Times New Roman"/>
                <w:sz w:val="18"/>
                <w:szCs w:val="18"/>
                <w:b w:val="1"/>
                <w:bCs w:val="1"/>
                <w:color w:val="0000FF"/>
              </w:rPr>
              <w:t>4.</w:t>
            </w:r>
          </w:p>
        </w:tc>
        <w:tc>
          <w:tcPr>
            <w:tcW w:w="8600" w:type="dxa"/>
            <w:vAlign w:val="bottom"/>
            <w:gridSpan w:val="22"/>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0000FF"/>
              </w:rPr>
              <w:t>Earnings Per Share</w:t>
            </w:r>
          </w:p>
        </w:tc>
        <w:tc>
          <w:tcPr>
            <w:tcW w:w="120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9"/>
              </w:rPr>
              <w:t>10</w:t>
            </w: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500" w:type="dxa"/>
            <w:vAlign w:val="bottom"/>
            <w:gridSpan w:val="3"/>
          </w:tcPr>
          <w:p>
            <w:pPr>
              <w:ind w:left="340"/>
              <w:spacing w:after="0" w:line="204" w:lineRule="exact"/>
              <w:rPr>
                <w:sz w:val="20"/>
                <w:szCs w:val="20"/>
                <w:color w:val="auto"/>
              </w:rPr>
            </w:pPr>
            <w:r>
              <w:rPr>
                <w:rFonts w:ascii="Times New Roman" w:cs="Times New Roman" w:eastAsia="Times New Roman" w:hAnsi="Times New Roman"/>
                <w:sz w:val="18"/>
                <w:szCs w:val="18"/>
                <w:b w:val="1"/>
                <w:bCs w:val="1"/>
                <w:color w:val="0000FF"/>
              </w:rPr>
              <w:t>5.</w:t>
            </w:r>
          </w:p>
        </w:tc>
        <w:tc>
          <w:tcPr>
            <w:tcW w:w="8600" w:type="dxa"/>
            <w:vAlign w:val="bottom"/>
            <w:gridSpan w:val="22"/>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0000FF"/>
              </w:rPr>
              <w:t>Acquisitions, Divestitures and Goodwill</w:t>
            </w:r>
          </w:p>
        </w:tc>
        <w:tc>
          <w:tcPr>
            <w:tcW w:w="680" w:type="dxa"/>
            <w:vAlign w:val="bottom"/>
            <w:gridSpan w:val="3"/>
          </w:tcPr>
          <w:p>
            <w:pPr>
              <w:jc w:val="center"/>
              <w:ind w:left="432"/>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11</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500" w:type="dxa"/>
            <w:vAlign w:val="bottom"/>
            <w:gridSpan w:val="3"/>
          </w:tcPr>
          <w:p>
            <w:pPr>
              <w:ind w:left="340"/>
              <w:spacing w:after="0" w:line="204" w:lineRule="exact"/>
              <w:rPr>
                <w:sz w:val="20"/>
                <w:szCs w:val="20"/>
                <w:color w:val="auto"/>
              </w:rPr>
            </w:pPr>
            <w:r>
              <w:rPr>
                <w:rFonts w:ascii="Times New Roman" w:cs="Times New Roman" w:eastAsia="Times New Roman" w:hAnsi="Times New Roman"/>
                <w:sz w:val="18"/>
                <w:szCs w:val="18"/>
                <w:b w:val="1"/>
                <w:bCs w:val="1"/>
                <w:color w:val="0000FF"/>
              </w:rPr>
              <w:t>6.</w:t>
            </w:r>
          </w:p>
        </w:tc>
        <w:tc>
          <w:tcPr>
            <w:tcW w:w="8600" w:type="dxa"/>
            <w:vAlign w:val="bottom"/>
            <w:gridSpan w:val="22"/>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0000FF"/>
              </w:rPr>
              <w:t>Accounts Payable and Other Accrued Expenses</w:t>
            </w:r>
          </w:p>
        </w:tc>
        <w:tc>
          <w:tcPr>
            <w:tcW w:w="120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9"/>
              </w:rPr>
              <w:t>13</w:t>
            </w:r>
          </w:p>
        </w:tc>
        <w:tc>
          <w:tcPr>
            <w:tcW w:w="94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500" w:type="dxa"/>
            <w:vAlign w:val="bottom"/>
            <w:gridSpan w:val="3"/>
          </w:tcPr>
          <w:p>
            <w:pPr>
              <w:ind w:left="340"/>
              <w:spacing w:after="0" w:line="204" w:lineRule="exact"/>
              <w:rPr>
                <w:sz w:val="20"/>
                <w:szCs w:val="20"/>
                <w:color w:val="auto"/>
              </w:rPr>
            </w:pPr>
            <w:r>
              <w:rPr>
                <w:rFonts w:ascii="Times New Roman" w:cs="Times New Roman" w:eastAsia="Times New Roman" w:hAnsi="Times New Roman"/>
                <w:sz w:val="18"/>
                <w:szCs w:val="18"/>
                <w:b w:val="1"/>
                <w:bCs w:val="1"/>
                <w:color w:val="0000FF"/>
              </w:rPr>
              <w:t>7.</w:t>
            </w:r>
          </w:p>
        </w:tc>
        <w:tc>
          <w:tcPr>
            <w:tcW w:w="8600" w:type="dxa"/>
            <w:vAlign w:val="bottom"/>
            <w:gridSpan w:val="22"/>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0000FF"/>
              </w:rPr>
              <w:t>Accrued Compensation and Benefits</w:t>
            </w:r>
          </w:p>
        </w:tc>
        <w:tc>
          <w:tcPr>
            <w:tcW w:w="120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9"/>
              </w:rPr>
              <w:t>13</w:t>
            </w:r>
          </w:p>
        </w:tc>
        <w:tc>
          <w:tcPr>
            <w:tcW w:w="94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500" w:type="dxa"/>
            <w:vAlign w:val="bottom"/>
            <w:gridSpan w:val="3"/>
          </w:tcPr>
          <w:p>
            <w:pPr>
              <w:ind w:left="340"/>
              <w:spacing w:after="0" w:line="204" w:lineRule="exact"/>
              <w:rPr>
                <w:sz w:val="20"/>
                <w:szCs w:val="20"/>
                <w:color w:val="auto"/>
              </w:rPr>
            </w:pPr>
            <w:r>
              <w:rPr>
                <w:rFonts w:ascii="Times New Roman" w:cs="Times New Roman" w:eastAsia="Times New Roman" w:hAnsi="Times New Roman"/>
                <w:sz w:val="18"/>
                <w:szCs w:val="18"/>
                <w:b w:val="1"/>
                <w:bCs w:val="1"/>
                <w:color w:val="0000FF"/>
              </w:rPr>
              <w:t>8.</w:t>
            </w:r>
          </w:p>
        </w:tc>
        <w:tc>
          <w:tcPr>
            <w:tcW w:w="8600" w:type="dxa"/>
            <w:vAlign w:val="bottom"/>
            <w:gridSpan w:val="22"/>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0000FF"/>
              </w:rPr>
              <w:t>Debt</w:t>
            </w:r>
          </w:p>
        </w:tc>
        <w:tc>
          <w:tcPr>
            <w:tcW w:w="120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9"/>
              </w:rPr>
              <w:t>13</w:t>
            </w:r>
          </w:p>
        </w:tc>
        <w:tc>
          <w:tcPr>
            <w:tcW w:w="94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500" w:type="dxa"/>
            <w:vAlign w:val="bottom"/>
            <w:gridSpan w:val="3"/>
          </w:tcPr>
          <w:p>
            <w:pPr>
              <w:ind w:left="340"/>
              <w:spacing w:after="0" w:line="204" w:lineRule="exact"/>
              <w:rPr>
                <w:sz w:val="20"/>
                <w:szCs w:val="20"/>
                <w:color w:val="auto"/>
              </w:rPr>
            </w:pPr>
            <w:r>
              <w:rPr>
                <w:rFonts w:ascii="Times New Roman" w:cs="Times New Roman" w:eastAsia="Times New Roman" w:hAnsi="Times New Roman"/>
                <w:sz w:val="18"/>
                <w:szCs w:val="18"/>
                <w:b w:val="1"/>
                <w:bCs w:val="1"/>
                <w:color w:val="0000FF"/>
              </w:rPr>
              <w:t>9.</w:t>
            </w:r>
          </w:p>
        </w:tc>
        <w:tc>
          <w:tcPr>
            <w:tcW w:w="8600" w:type="dxa"/>
            <w:vAlign w:val="bottom"/>
            <w:gridSpan w:val="22"/>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0000FF"/>
              </w:rPr>
              <w:t>Derivatives</w:t>
            </w:r>
          </w:p>
        </w:tc>
        <w:tc>
          <w:tcPr>
            <w:tcW w:w="120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9"/>
              </w:rPr>
              <w:t>16</w:t>
            </w: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60" w:type="dxa"/>
            <w:vAlign w:val="bottom"/>
            <w:gridSpan w:val="23"/>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10. Income Taxes</w:t>
            </w:r>
          </w:p>
        </w:tc>
        <w:tc>
          <w:tcPr>
            <w:tcW w:w="120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9"/>
              </w:rPr>
              <w:t>17</w:t>
            </w: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60" w:type="dxa"/>
            <w:vAlign w:val="bottom"/>
            <w:gridSpan w:val="23"/>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11. Employee Benefit Plans</w:t>
            </w:r>
          </w:p>
        </w:tc>
        <w:tc>
          <w:tcPr>
            <w:tcW w:w="120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9"/>
              </w:rPr>
              <w:t>17</w:t>
            </w: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9"/>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60" w:type="dxa"/>
            <w:vAlign w:val="bottom"/>
            <w:gridSpan w:val="23"/>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12. Accumulated Other Comprehensive Income (Loss</w:t>
            </w:r>
            <w:r>
              <w:rPr>
                <w:rFonts w:ascii="Times New Roman" w:cs="Times New Roman" w:eastAsia="Times New Roman" w:hAnsi="Times New Roman"/>
                <w:sz w:val="18"/>
                <w:szCs w:val="18"/>
                <w:b w:val="1"/>
                <w:bCs w:val="1"/>
                <w:color w:val="000000"/>
              </w:rPr>
              <w:t>)</w:t>
            </w:r>
          </w:p>
        </w:tc>
        <w:tc>
          <w:tcPr>
            <w:tcW w:w="120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9"/>
              </w:rPr>
              <w:t>18</w:t>
            </w:r>
          </w:p>
        </w:tc>
        <w:tc>
          <w:tcPr>
            <w:tcW w:w="9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00" w:type="dxa"/>
            <w:vAlign w:val="bottom"/>
            <w:tcBorders>
              <w:top w:val="single" w:sz="8" w:color="0000FF"/>
              <w:bottom w:val="single" w:sz="8" w:color="0000FF"/>
            </w:tcBorders>
            <w:gridSpan w:val="11"/>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6"/>
              </w:rPr>
              <w:t>13. Stock Based Compensation</w:t>
            </w:r>
          </w:p>
        </w:tc>
        <w:tc>
          <w:tcPr>
            <w:tcW w:w="1700" w:type="dxa"/>
            <w:vAlign w:val="bottom"/>
            <w:tcBorders>
              <w:top w:val="single" w:sz="8" w:color="0000FF"/>
            </w:tcBorders>
            <w:gridSpan w:val="8"/>
          </w:tcPr>
          <w:p>
            <w:pPr>
              <w:spacing w:after="0"/>
              <w:rPr>
                <w:sz w:val="17"/>
                <w:szCs w:val="17"/>
                <w:color w:val="auto"/>
              </w:rPr>
            </w:pPr>
          </w:p>
        </w:tc>
        <w:tc>
          <w:tcPr>
            <w:tcW w:w="476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0000FF"/>
                <w:w w:val="74"/>
              </w:rPr>
              <w:t>18</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tcBorders>
              <w:bottom w:val="single" w:sz="8" w:color="0000FF"/>
            </w:tcBorders>
            <w:gridSpan w:val="10"/>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6"/>
              </w:rPr>
              <w:t>14. Fair Value Measurements</w:t>
            </w:r>
          </w:p>
        </w:tc>
        <w:tc>
          <w:tcPr>
            <w:tcW w:w="656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0000FF"/>
                <w:w w:val="74"/>
              </w:rPr>
              <w:t>19</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60" w:type="dxa"/>
            <w:vAlign w:val="bottom"/>
            <w:gridSpan w:val="23"/>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15. Commitments and Contingencies</w:t>
            </w:r>
          </w:p>
        </w:tc>
        <w:tc>
          <w:tcPr>
            <w:tcW w:w="1200" w:type="dxa"/>
            <w:vAlign w:val="bottom"/>
            <w:gridSpan w:val="4"/>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9"/>
              </w:rPr>
              <w:t>20</w:t>
            </w:r>
          </w:p>
        </w:tc>
        <w:tc>
          <w:tcPr>
            <w:tcW w:w="940" w:type="dxa"/>
            <w:vAlign w:val="bottom"/>
          </w:tcPr>
          <w:p>
            <w:pPr>
              <w:spacing w:after="0"/>
              <w:rPr>
                <w:sz w:val="17"/>
                <w:szCs w:val="17"/>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5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7"/>
                <w:szCs w:val="17"/>
                <w:color w:val="auto"/>
              </w:rPr>
            </w:pPr>
          </w:p>
        </w:tc>
        <w:tc>
          <w:tcPr>
            <w:tcW w:w="11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8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5"/>
        </w:trPr>
        <w:tc>
          <w:tcPr>
            <w:tcW w:w="8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80" w:type="dxa"/>
            <w:vAlign w:val="bottom"/>
          </w:tcPr>
          <w:p>
            <w:pPr>
              <w:spacing w:after="0"/>
              <w:rPr>
                <w:sz w:val="17"/>
                <w:szCs w:val="17"/>
                <w:color w:val="auto"/>
              </w:rPr>
            </w:pPr>
          </w:p>
        </w:tc>
        <w:tc>
          <w:tcPr>
            <w:tcW w:w="13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6"/>
              </w:rPr>
              <w:t>(Unaudited)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370,939</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695,910</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1,807,776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1,622,989</w:t>
            </w:r>
          </w:p>
        </w:tc>
        <w:tc>
          <w:tcPr>
            <w:tcW w:w="0" w:type="dxa"/>
            <w:vAlign w:val="bottom"/>
          </w:tcPr>
          <w:p>
            <w:pPr>
              <w:spacing w:after="0"/>
              <w:rPr>
                <w:sz w:val="1"/>
                <w:szCs w:val="1"/>
                <w:color w:val="auto"/>
              </w:rPr>
            </w:pPr>
          </w:p>
        </w:tc>
      </w:tr>
      <w:tr>
        <w:trPr>
          <w:trHeight w:val="224"/>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106,651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126,777</w:t>
            </w: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2,285,366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2,445,676</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202,229</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227,231</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646,682</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2,337,584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2,021,931</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32,328</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280,633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449,498</w:t>
            </w:r>
          </w:p>
        </w:tc>
        <w:tc>
          <w:tcPr>
            <w:tcW w:w="0" w:type="dxa"/>
            <w:vAlign w:val="bottom"/>
          </w:tcPr>
          <w:p>
            <w:pPr>
              <w:spacing w:after="0"/>
              <w:rPr>
                <w:sz w:val="1"/>
                <w:szCs w:val="1"/>
                <w:color w:val="auto"/>
              </w:rPr>
            </w:pPr>
          </w:p>
        </w:tc>
      </w:tr>
      <w:tr>
        <w:trPr>
          <w:trHeight w:val="217"/>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6,345,729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6,025,575</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7"/>
              </w:rPr>
              <w:t>LIABILITIES AND STOCKHOLDERS’ EQUITY</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68,379</w:t>
            </w:r>
          </w:p>
        </w:tc>
        <w:tc>
          <w:tcPr>
            <w:tcW w:w="0" w:type="dxa"/>
            <w:vAlign w:val="bottom"/>
          </w:tcPr>
          <w:p>
            <w:pPr>
              <w:spacing w:after="0"/>
              <w:rPr>
                <w:sz w:val="1"/>
                <w:szCs w:val="1"/>
                <w:color w:val="auto"/>
              </w:rPr>
            </w:pPr>
          </w:p>
        </w:tc>
      </w:tr>
      <w:tr>
        <w:trPr>
          <w:trHeight w:val="224"/>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986,580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902,616</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438,634</w:t>
            </w:r>
          </w:p>
        </w:tc>
        <w:tc>
          <w:tcPr>
            <w:tcW w:w="0" w:type="dxa"/>
            <w:vAlign w:val="bottom"/>
          </w:tcPr>
          <w:p>
            <w:pPr>
              <w:spacing w:after="0"/>
              <w:rPr>
                <w:sz w:val="1"/>
                <w:szCs w:val="1"/>
                <w:color w:val="auto"/>
              </w:rPr>
            </w:pPr>
          </w:p>
        </w:tc>
      </w:tr>
      <w:tr>
        <w:trPr>
          <w:trHeight w:val="224"/>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52,334</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71,991</w:t>
            </w:r>
          </w:p>
        </w:tc>
        <w:tc>
          <w:tcPr>
            <w:tcW w:w="0" w:type="dxa"/>
            <w:vAlign w:val="bottom"/>
          </w:tcPr>
          <w:p>
            <w:pPr>
              <w:spacing w:after="0"/>
              <w:rPr>
                <w:sz w:val="1"/>
                <w:szCs w:val="1"/>
                <w:color w:val="auto"/>
              </w:rPr>
            </w:pPr>
          </w:p>
        </w:tc>
      </w:tr>
      <w:tr>
        <w:trPr>
          <w:trHeight w:val="217"/>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1,582,719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1,533,954</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2,780,461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2,731,693</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247,070</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reserves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79,176</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239,602</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151,828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147,359</w:t>
            </w:r>
          </w:p>
        </w:tc>
        <w:tc>
          <w:tcPr>
            <w:tcW w:w="0" w:type="dxa"/>
            <w:vAlign w:val="bottom"/>
          </w:tcPr>
          <w:p>
            <w:pPr>
              <w:spacing w:after="0"/>
              <w:rPr>
                <w:sz w:val="1"/>
                <w:szCs w:val="1"/>
                <w:color w:val="auto"/>
              </w:rPr>
            </w:pPr>
          </w:p>
        </w:tc>
      </w:tr>
      <w:tr>
        <w:trPr>
          <w:trHeight w:val="217"/>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5,140,050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4,978,854</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24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Common stock, Class A - $0.01 par value - authorized, 600,000,000 shares; issued, 165,262,848 shares at</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4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December 31, 2022 and 164,372,545 shares at March 31, 2022; outstanding, 132,355,835 shares at</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2022 and 132,584,348 shares at March 31, 2022</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24"/>
        </w:trPr>
        <w:tc>
          <w:tcPr>
            <w:tcW w:w="8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Treasury stock, at cost — 32,907,013 shares at December 31, 2022 and 31,788,197 shares at March 31, 2022</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(1,733,690)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(1,635,454)</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656,222</w:t>
            </w:r>
          </w:p>
        </w:tc>
        <w:tc>
          <w:tcPr>
            <w:tcW w:w="0" w:type="dxa"/>
            <w:vAlign w:val="bottom"/>
          </w:tcPr>
          <w:p>
            <w:pPr>
              <w:spacing w:after="0"/>
              <w:rPr>
                <w:sz w:val="1"/>
                <w:szCs w:val="1"/>
                <w:color w:val="auto"/>
              </w:rPr>
            </w:pPr>
          </w:p>
        </w:tc>
      </w:tr>
      <w:tr>
        <w:trPr>
          <w:trHeight w:val="224"/>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2,182,615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2,015,071</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0" w:type="dxa"/>
            <w:vAlign w:val="bottom"/>
          </w:tcPr>
          <w:p>
            <w:pPr>
              <w:spacing w:after="0"/>
              <w:rPr>
                <w:sz w:val="1"/>
                <w:szCs w:val="1"/>
                <w:color w:val="auto"/>
              </w:rPr>
            </w:pPr>
          </w:p>
        </w:tc>
      </w:tr>
      <w:tr>
        <w:trPr>
          <w:trHeight w:val="217"/>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Booz Allen stockholders' equity</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1,205,679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1,046,070</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7"/>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1,205,679</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1,046,721</w:t>
            </w:r>
          </w:p>
        </w:tc>
        <w:tc>
          <w:tcPr>
            <w:tcW w:w="0" w:type="dxa"/>
            <w:vAlign w:val="bottom"/>
          </w:tcPr>
          <w:p>
            <w:pPr>
              <w:spacing w:after="0"/>
              <w:rPr>
                <w:sz w:val="1"/>
                <w:szCs w:val="1"/>
                <w:color w:val="auto"/>
              </w:rPr>
            </w:pPr>
          </w:p>
        </w:tc>
      </w:tr>
      <w:tr>
        <w:trPr>
          <w:trHeight w:val="249"/>
        </w:trPr>
        <w:tc>
          <w:tcPr>
            <w:tcW w:w="8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6,345,729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6,025,575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31"/>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0"/>
                <w:szCs w:val="20"/>
                <w:color w:val="auto"/>
              </w:rPr>
            </w:pPr>
          </w:p>
        </w:tc>
        <w:tc>
          <w:tcPr>
            <w:tcW w:w="2840" w:type="dxa"/>
            <w:vAlign w:val="bottom"/>
            <w:gridSpan w:val="4"/>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8"/>
              </w:rPr>
              <w:t>Nine Months Ended December 31,</w:t>
            </w:r>
          </w:p>
        </w:tc>
        <w:tc>
          <w:tcPr>
            <w:tcW w:w="0" w:type="dxa"/>
            <w:vAlign w:val="bottom"/>
          </w:tcPr>
          <w:p>
            <w:pPr>
              <w:spacing w:after="0"/>
              <w:rPr>
                <w:sz w:val="1"/>
                <w:szCs w:val="1"/>
                <w:color w:val="auto"/>
              </w:rPr>
            </w:pPr>
          </w:p>
        </w:tc>
      </w:tr>
      <w:tr>
        <w:trPr>
          <w:trHeight w:val="217"/>
        </w:trPr>
        <w:tc>
          <w:tcPr>
            <w:tcW w:w="49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2,277,074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2,030,520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6,825,650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6,125,624</w:t>
            </w:r>
          </w:p>
        </w:tc>
        <w:tc>
          <w:tcPr>
            <w:tcW w:w="0" w:type="dxa"/>
            <w:vAlign w:val="bottom"/>
          </w:tcPr>
          <w:p>
            <w:pPr>
              <w:spacing w:after="0"/>
              <w:rPr>
                <w:sz w:val="1"/>
                <w:szCs w:val="1"/>
                <w:color w:val="auto"/>
              </w:rPr>
            </w:pPr>
          </w:p>
        </w:tc>
      </w:tr>
      <w:tr>
        <w:trPr>
          <w:trHeight w:val="22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3,175,897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2,840,044</w:t>
            </w:r>
          </w:p>
        </w:tc>
        <w:tc>
          <w:tcPr>
            <w:tcW w:w="0" w:type="dxa"/>
            <w:vAlign w:val="bottom"/>
          </w:tcPr>
          <w:p>
            <w:pPr>
              <w:spacing w:after="0"/>
              <w:rPr>
                <w:sz w:val="1"/>
                <w:szCs w:val="1"/>
                <w:color w:val="auto"/>
              </w:rPr>
            </w:pPr>
          </w:p>
        </w:tc>
      </w:tr>
      <w:tr>
        <w:trPr>
          <w:trHeight w:val="224"/>
        </w:trPr>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Billable expenses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1,817,215</w:t>
            </w:r>
          </w:p>
        </w:tc>
        <w:tc>
          <w:tcPr>
            <w:tcW w:w="0" w:type="dxa"/>
            <w:vAlign w:val="bottom"/>
          </w:tcPr>
          <w:p>
            <w:pPr>
              <w:spacing w:after="0"/>
              <w:rPr>
                <w:sz w:val="1"/>
                <w:szCs w:val="1"/>
                <w:color w:val="auto"/>
              </w:rPr>
            </w:pPr>
          </w:p>
        </w:tc>
      </w:tr>
      <w:tr>
        <w:trPr>
          <w:trHeight w:val="224"/>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826,606</w:t>
            </w:r>
          </w:p>
        </w:tc>
        <w:tc>
          <w:tcPr>
            <w:tcW w:w="0" w:type="dxa"/>
            <w:vAlign w:val="bottom"/>
          </w:tcPr>
          <w:p>
            <w:pPr>
              <w:spacing w:after="0"/>
              <w:rPr>
                <w:sz w:val="1"/>
                <w:szCs w:val="1"/>
                <w:color w:val="auto"/>
              </w:rPr>
            </w:pPr>
          </w:p>
        </w:tc>
      </w:tr>
      <w:tr>
        <w:trPr>
          <w:trHeight w:val="224"/>
        </w:trPr>
        <w:tc>
          <w:tcPr>
            <w:tcW w:w="49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104,923</w:t>
            </w: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2,218,434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1,853,308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6,335,894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5,588,788</w:t>
            </w:r>
          </w:p>
        </w:tc>
        <w:tc>
          <w:tcPr>
            <w:tcW w:w="0" w:type="dxa"/>
            <w:vAlign w:val="bottom"/>
          </w:tcPr>
          <w:p>
            <w:pPr>
              <w:spacing w:after="0"/>
              <w:rPr>
                <w:sz w:val="1"/>
                <w:szCs w:val="1"/>
                <w:color w:val="auto"/>
              </w:rPr>
            </w:pPr>
          </w:p>
        </w:tc>
      </w:tr>
      <w:tr>
        <w:trPr>
          <w:trHeight w:val="21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536,836</w:t>
            </w:r>
          </w:p>
        </w:tc>
        <w:tc>
          <w:tcPr>
            <w:tcW w:w="0" w:type="dxa"/>
            <w:vAlign w:val="bottom"/>
          </w:tcPr>
          <w:p>
            <w:pPr>
              <w:spacing w:after="0"/>
              <w:rPr>
                <w:sz w:val="1"/>
                <w:szCs w:val="1"/>
                <w:color w:val="auto"/>
              </w:rPr>
            </w:pPr>
          </w:p>
        </w:tc>
      </w:tr>
      <w:tr>
        <w:trPr>
          <w:trHeight w:val="22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(69,201)</w:t>
            </w:r>
          </w:p>
        </w:tc>
        <w:tc>
          <w:tcPr>
            <w:tcW w:w="0" w:type="dxa"/>
            <w:vAlign w:val="bottom"/>
          </w:tcPr>
          <w:p>
            <w:pPr>
              <w:spacing w:after="0"/>
              <w:rPr>
                <w:sz w:val="1"/>
                <w:szCs w:val="1"/>
                <w:color w:val="auto"/>
              </w:rPr>
            </w:pPr>
          </w:p>
        </w:tc>
      </w:tr>
      <w:tr>
        <w:trPr>
          <w:trHeight w:val="224"/>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479,351</w:t>
            </w:r>
          </w:p>
        </w:tc>
        <w:tc>
          <w:tcPr>
            <w:tcW w:w="0" w:type="dxa"/>
            <w:vAlign w:val="bottom"/>
          </w:tcPr>
          <w:p>
            <w:pPr>
              <w:spacing w:after="0"/>
              <w:rPr>
                <w:sz w:val="1"/>
                <w:szCs w:val="1"/>
                <w:color w:val="auto"/>
              </w:rPr>
            </w:pPr>
          </w:p>
        </w:tc>
      </w:tr>
      <w:tr>
        <w:trPr>
          <w:trHeight w:val="224"/>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103,569</w:t>
            </w: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375,782</w:t>
            </w:r>
          </w:p>
        </w:tc>
        <w:tc>
          <w:tcPr>
            <w:tcW w:w="0" w:type="dxa"/>
            <w:vAlign w:val="bottom"/>
          </w:tcPr>
          <w:p>
            <w:pPr>
              <w:spacing w:after="0"/>
              <w:rPr>
                <w:sz w:val="1"/>
                <w:szCs w:val="1"/>
                <w:color w:val="auto"/>
              </w:rPr>
            </w:pPr>
          </w:p>
        </w:tc>
      </w:tr>
      <w:tr>
        <w:trPr>
          <w:trHeight w:val="224"/>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2"/>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375,867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Earnings per common share (Note 4):</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7"/>
              </w:rPr>
              <w:t>Three Months Ended December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4"/>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7"/>
              </w:rPr>
              <w:t>Nine Months Ended December 31,</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375,782</w:t>
            </w:r>
          </w:p>
        </w:tc>
        <w:tc>
          <w:tcPr>
            <w:tcW w:w="0" w:type="dxa"/>
            <w:vAlign w:val="bottom"/>
          </w:tcPr>
          <w:p>
            <w:pPr>
              <w:spacing w:after="0"/>
              <w:rPr>
                <w:sz w:val="1"/>
                <w:szCs w:val="1"/>
                <w:color w:val="auto"/>
              </w:rPr>
            </w:pPr>
          </w:p>
        </w:tc>
      </w:tr>
      <w:tr>
        <w:trPr>
          <w:trHeight w:val="22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unrealized gain on derivatives designated as cash flow hedges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12,658</w:t>
            </w:r>
          </w:p>
        </w:tc>
        <w:tc>
          <w:tcPr>
            <w:tcW w:w="0" w:type="dxa"/>
            <w:vAlign w:val="bottom"/>
          </w:tcPr>
          <w:p>
            <w:pPr>
              <w:spacing w:after="0"/>
              <w:rPr>
                <w:sz w:val="1"/>
                <w:szCs w:val="1"/>
                <w:color w:val="auto"/>
              </w:rPr>
            </w:pPr>
          </w:p>
        </w:tc>
      </w:tr>
      <w:tr>
        <w:trPr>
          <w:trHeight w:val="224"/>
        </w:trPr>
        <w:tc>
          <w:tcPr>
            <w:tcW w:w="5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postretirement plan costs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0" w:type="dxa"/>
            <w:vAlign w:val="bottom"/>
          </w:tcPr>
          <w:p>
            <w:pPr>
              <w:spacing w:after="0"/>
              <w:rPr>
                <w:sz w:val="1"/>
                <w:szCs w:val="1"/>
                <w:color w:val="auto"/>
              </w:rPr>
            </w:pPr>
          </w:p>
        </w:tc>
      </w:tr>
      <w:tr>
        <w:trPr>
          <w:trHeight w:val="217"/>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388,499</w:t>
            </w:r>
          </w:p>
        </w:tc>
        <w:tc>
          <w:tcPr>
            <w:tcW w:w="0" w:type="dxa"/>
            <w:vAlign w:val="bottom"/>
          </w:tcPr>
          <w:p>
            <w:pPr>
              <w:spacing w:after="0"/>
              <w:rPr>
                <w:sz w:val="1"/>
                <w:szCs w:val="1"/>
                <w:color w:val="auto"/>
              </w:rPr>
            </w:pPr>
          </w:p>
        </w:tc>
      </w:tr>
      <w:tr>
        <w:trPr>
          <w:trHeight w:val="224"/>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7"/>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 attributable to common stockholders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30,935</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135,876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353,707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388,584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160" w:type="dxa"/>
            <w:vAlign w:val="bottom"/>
          </w:tcPr>
          <w:p>
            <w:pPr>
              <w:jc w:val="center"/>
              <w:ind w:left="2913"/>
              <w:spacing w:after="0"/>
              <w:rPr>
                <w:sz w:val="20"/>
                <w:szCs w:val="20"/>
                <w:color w:val="auto"/>
              </w:rPr>
            </w:pPr>
            <w:r>
              <w:rPr>
                <w:rFonts w:ascii="Times New Roman" w:cs="Times New Roman" w:eastAsia="Times New Roman" w:hAnsi="Times New Roman"/>
                <w:sz w:val="18"/>
                <w:szCs w:val="18"/>
                <w:b w:val="1"/>
                <w:bCs w:val="1"/>
                <w:color w:val="auto"/>
                <w:w w:val="96"/>
              </w:rPr>
              <w:t>BOOZ ALLEN HAMILTON HOLDING CORPORATION</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320" w:type="dxa"/>
            <w:vAlign w:val="bottom"/>
            <w:gridSpan w:val="2"/>
          </w:tcPr>
          <w:p>
            <w:pPr>
              <w:jc w:val="center"/>
              <w:ind w:left="2773"/>
              <w:spacing w:after="0"/>
              <w:rPr>
                <w:sz w:val="20"/>
                <w:szCs w:val="20"/>
                <w:color w:val="auto"/>
              </w:rPr>
            </w:pPr>
            <w:r>
              <w:rPr>
                <w:rFonts w:ascii="Times New Roman" w:cs="Times New Roman" w:eastAsia="Times New Roman" w:hAnsi="Times New Roman"/>
                <w:sz w:val="18"/>
                <w:szCs w:val="18"/>
                <w:b w:val="1"/>
                <w:bCs w:val="1"/>
                <w:color w:val="auto"/>
                <w:w w:val="96"/>
              </w:rPr>
              <w:t>CONDENSED CONSOLIDATED STATEMENTS OF CASH FLOWS</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60" w:type="dxa"/>
            <w:vAlign w:val="bottom"/>
          </w:tcPr>
          <w:p>
            <w:pPr>
              <w:jc w:val="center"/>
              <w:ind w:left="2933"/>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8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9"/>
              </w:rPr>
              <w:t>Nine Months Ended December 31,</w:t>
            </w:r>
          </w:p>
        </w:tc>
        <w:tc>
          <w:tcPr>
            <w:tcW w:w="0" w:type="dxa"/>
            <w:vAlign w:val="bottom"/>
          </w:tcPr>
          <w:p>
            <w:pPr>
              <w:spacing w:after="0"/>
              <w:rPr>
                <w:sz w:val="1"/>
                <w:szCs w:val="1"/>
                <w:color w:val="auto"/>
              </w:rPr>
            </w:pPr>
          </w:p>
        </w:tc>
      </w:tr>
      <w:tr>
        <w:trPr>
          <w:trHeight w:val="217"/>
        </w:trPr>
        <w:tc>
          <w:tcPr>
            <w:tcW w:w="8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4"/>
        </w:trPr>
        <w:tc>
          <w:tcPr>
            <w:tcW w:w="81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339,563</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375,782</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104,923</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Noncash lease expense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41,718</w:t>
            </w:r>
          </w:p>
        </w:tc>
        <w:tc>
          <w:tcPr>
            <w:tcW w:w="0" w:type="dxa"/>
            <w:vAlign w:val="bottom"/>
          </w:tcPr>
          <w:p>
            <w:pPr>
              <w:spacing w:after="0"/>
              <w:rPr>
                <w:sz w:val="1"/>
                <w:szCs w:val="1"/>
                <w:color w:val="auto"/>
              </w:rPr>
            </w:pP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45,187</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0" w:type="dxa"/>
            <w:vAlign w:val="bottom"/>
          </w:tcPr>
          <w:p>
            <w:pPr>
              <w:spacing w:after="0"/>
              <w:rPr>
                <w:sz w:val="1"/>
                <w:szCs w:val="1"/>
                <w:color w:val="auto"/>
              </w:rPr>
            </w:pP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Gain on dispositions, and other</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0" w:type="dxa"/>
            <w:vAlign w:val="bottom"/>
          </w:tcPr>
          <w:p>
            <w:pPr>
              <w:spacing w:after="0"/>
              <w:rPr>
                <w:sz w:val="1"/>
                <w:szCs w:val="1"/>
                <w:color w:val="auto"/>
              </w:rPr>
            </w:pP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Gain associated with equity method investment activities</w:t>
            </w: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(12,761)</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(150,156)</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Deferred income taxes and income taxes receivable / payable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38,453</w:t>
            </w:r>
          </w:p>
        </w:tc>
        <w:tc>
          <w:tcPr>
            <w:tcW w:w="0" w:type="dxa"/>
            <w:vAlign w:val="bottom"/>
          </w:tcPr>
          <w:p>
            <w:pPr>
              <w:spacing w:after="0"/>
              <w:rPr>
                <w:sz w:val="1"/>
                <w:szCs w:val="1"/>
                <w:color w:val="auto"/>
              </w:rPr>
            </w:pP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Prepaid expenses and other current and long-term assets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0" w:type="dxa"/>
            <w:vAlign w:val="bottom"/>
          </w:tcPr>
          <w:p>
            <w:pPr>
              <w:spacing w:after="0"/>
              <w:rPr>
                <w:sz w:val="1"/>
                <w:szCs w:val="1"/>
                <w:color w:val="auto"/>
              </w:rPr>
            </w:pP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88,529</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current and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(27,614)</w:t>
            </w:r>
          </w:p>
        </w:tc>
        <w:tc>
          <w:tcPr>
            <w:tcW w:w="0" w:type="dxa"/>
            <w:vAlign w:val="bottom"/>
          </w:tcPr>
          <w:p>
            <w:pPr>
              <w:spacing w:after="0"/>
              <w:rPr>
                <w:sz w:val="1"/>
                <w:szCs w:val="1"/>
                <w:color w:val="auto"/>
              </w:rPr>
            </w:pPr>
          </w:p>
        </w:tc>
      </w:tr>
      <w:tr>
        <w:trPr>
          <w:trHeight w:val="217"/>
        </w:trPr>
        <w:tc>
          <w:tcPr>
            <w:tcW w:w="81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481,151</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Purchases of property, equipment, and software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(51,608)</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Payments for business acquisitions, net of cash acquired</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(780,213)</w:t>
            </w:r>
          </w:p>
        </w:tc>
        <w:tc>
          <w:tcPr>
            <w:tcW w:w="0" w:type="dxa"/>
            <w:vAlign w:val="bottom"/>
          </w:tcPr>
          <w:p>
            <w:pPr>
              <w:spacing w:after="0"/>
              <w:rPr>
                <w:sz w:val="1"/>
                <w:szCs w:val="1"/>
                <w:color w:val="auto"/>
              </w:rPr>
            </w:pP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Payments for cost method investments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Proceeds from sale of businesses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7"/>
        </w:trPr>
        <w:tc>
          <w:tcPr>
            <w:tcW w:w="8160" w:type="dxa"/>
            <w:vAlign w:val="bottom"/>
            <w:tcBorders>
              <w:top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(440,058)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(835,248)</w:t>
            </w:r>
          </w:p>
        </w:tc>
        <w:tc>
          <w:tcPr>
            <w:tcW w:w="0" w:type="dxa"/>
            <w:vAlign w:val="bottom"/>
          </w:tcPr>
          <w:p>
            <w:pPr>
              <w:spacing w:after="0"/>
              <w:rPr>
                <w:sz w:val="1"/>
                <w:szCs w:val="1"/>
                <w:color w:val="auto"/>
              </w:rPr>
            </w:pPr>
          </w:p>
        </w:tc>
      </w:tr>
      <w:tr>
        <w:trPr>
          <w:trHeight w:val="224"/>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0" w:type="dxa"/>
            <w:vAlign w:val="bottom"/>
          </w:tcPr>
          <w:p>
            <w:pPr>
              <w:spacing w:after="0"/>
              <w:rPr>
                <w:sz w:val="1"/>
                <w:szCs w:val="1"/>
                <w:color w:val="auto"/>
              </w:rPr>
            </w:pP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Stock option exercises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(315,148)</w:t>
            </w:r>
          </w:p>
        </w:tc>
        <w:tc>
          <w:tcPr>
            <w:tcW w:w="0" w:type="dxa"/>
            <w:vAlign w:val="bottom"/>
          </w:tcPr>
          <w:p>
            <w:pPr>
              <w:spacing w:after="0"/>
              <w:rPr>
                <w:sz w:val="1"/>
                <w:szCs w:val="1"/>
                <w:color w:val="auto"/>
              </w:rPr>
            </w:pP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Cash dividends paid</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(151,664)</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Repayments on revolving credit facility, term loans, and Senior Notes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(95,162)</w:t>
            </w:r>
          </w:p>
        </w:tc>
        <w:tc>
          <w:tcPr>
            <w:tcW w:w="0" w:type="dxa"/>
            <w:vAlign w:val="bottom"/>
          </w:tcPr>
          <w:p>
            <w:pPr>
              <w:spacing w:after="0"/>
              <w:rPr>
                <w:sz w:val="1"/>
                <w:szCs w:val="1"/>
                <w:color w:val="auto"/>
              </w:rPr>
            </w:pPr>
          </w:p>
        </w:tc>
      </w:tr>
      <w:tr>
        <w:trPr>
          <w:trHeight w:val="224"/>
        </w:trPr>
        <w:tc>
          <w:tcPr>
            <w:tcW w:w="8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proceeds from debt issuance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487,027</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7"/>
        </w:trPr>
        <w:tc>
          <w:tcPr>
            <w:tcW w:w="81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(250,587)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(348,246)</w:t>
            </w:r>
          </w:p>
        </w:tc>
        <w:tc>
          <w:tcPr>
            <w:tcW w:w="0" w:type="dxa"/>
            <w:vAlign w:val="bottom"/>
          </w:tcPr>
          <w:p>
            <w:pPr>
              <w:spacing w:after="0"/>
              <w:rPr>
                <w:sz w:val="1"/>
                <w:szCs w:val="1"/>
                <w:color w:val="auto"/>
              </w:rPr>
            </w:pPr>
          </w:p>
        </w:tc>
      </w:tr>
      <w:tr>
        <w:trPr>
          <w:trHeight w:val="224"/>
        </w:trPr>
        <w:tc>
          <w:tcPr>
            <w:tcW w:w="8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695,910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990,955</w:t>
            </w:r>
          </w:p>
        </w:tc>
        <w:tc>
          <w:tcPr>
            <w:tcW w:w="0" w:type="dxa"/>
            <w:vAlign w:val="bottom"/>
          </w:tcPr>
          <w:p>
            <w:pPr>
              <w:spacing w:after="0"/>
              <w:rPr>
                <w:sz w:val="1"/>
                <w:szCs w:val="1"/>
                <w:color w:val="auto"/>
              </w:rPr>
            </w:pPr>
          </w:p>
        </w:tc>
      </w:tr>
      <w:tr>
        <w:trPr>
          <w:trHeight w:val="242"/>
        </w:trPr>
        <w:tc>
          <w:tcPr>
            <w:tcW w:w="8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642,709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paid during the period for:</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67,782</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34,185</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62,142</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jc w:val="center"/>
        <w:ind w:right="-39"/>
        <w:spacing w:after="0" w:line="213"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(Amounts in thousands, except share</w:t>
            </w:r>
          </w:p>
        </w:tc>
        <w:tc>
          <w:tcPr>
            <w:tcW w:w="1580" w:type="dxa"/>
            <w:vAlign w:val="bottom"/>
            <w:gridSpan w:val="5"/>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920" w:type="dxa"/>
            <w:vAlign w:val="bottom"/>
            <w:vMerge w:val="continue"/>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1880" w:type="dxa"/>
            <w:vAlign w:val="bottom"/>
            <w:gridSpan w:val="4"/>
            <w:vMerge w:val="continue"/>
          </w:tcPr>
          <w:p>
            <w:pPr>
              <w:spacing w:after="0"/>
              <w:rPr>
                <w:sz w:val="8"/>
                <w:szCs w:val="8"/>
                <w:color w:val="auto"/>
              </w:rPr>
            </w:pPr>
          </w:p>
        </w:tc>
        <w:tc>
          <w:tcPr>
            <w:tcW w:w="840" w:type="dxa"/>
            <w:vAlign w:val="bottom"/>
            <w:gridSpan w:val="3"/>
            <w:vMerge w:val="restart"/>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center"/>
              <w:ind w:right="200"/>
              <w:spacing w:after="0" w:line="138" w:lineRule="exact"/>
              <w:rPr>
                <w:sz w:val="20"/>
                <w:szCs w:val="20"/>
                <w:color w:val="auto"/>
              </w:rPr>
            </w:pPr>
            <w:r>
              <w:rPr>
                <w:rFonts w:ascii="Times New Roman" w:cs="Times New Roman" w:eastAsia="Times New Roman" w:hAnsi="Times New Roman"/>
                <w:sz w:val="15"/>
                <w:szCs w:val="15"/>
                <w:b w:val="1"/>
                <w:bCs w:val="1"/>
                <w:color w:val="auto"/>
              </w:rPr>
              <w:t>Other</w:t>
            </w:r>
          </w:p>
        </w:tc>
        <w:tc>
          <w:tcPr>
            <w:tcW w:w="100" w:type="dxa"/>
            <w:vAlign w:val="bottom"/>
          </w:tcPr>
          <w:p>
            <w:pPr>
              <w:spacing w:after="0"/>
              <w:rPr>
                <w:sz w:val="8"/>
                <w:szCs w:val="8"/>
                <w:color w:val="auto"/>
              </w:rPr>
            </w:pPr>
          </w:p>
        </w:tc>
        <w:tc>
          <w:tcPr>
            <w:tcW w:w="780" w:type="dxa"/>
            <w:vAlign w:val="bottom"/>
            <w:gridSpan w:val="2"/>
            <w:vMerge w:val="restart"/>
          </w:tcPr>
          <w:p>
            <w:pPr>
              <w:jc w:val="center"/>
              <w:ind w:right="200"/>
              <w:spacing w:after="0" w:line="138" w:lineRule="exact"/>
              <w:rPr>
                <w:sz w:val="20"/>
                <w:szCs w:val="20"/>
                <w:color w:val="auto"/>
              </w:rPr>
            </w:pPr>
            <w:r>
              <w:rPr>
                <w:rFonts w:ascii="Times New Roman" w:cs="Times New Roman" w:eastAsia="Times New Roman" w:hAnsi="Times New Roman"/>
                <w:sz w:val="15"/>
                <w:szCs w:val="15"/>
                <w:b w:val="1"/>
                <w:bCs w:val="1"/>
                <w:color w:val="auto"/>
              </w:rPr>
              <w:t>Non-</w:t>
            </w:r>
          </w:p>
        </w:tc>
        <w:tc>
          <w:tcPr>
            <w:tcW w:w="180" w:type="dxa"/>
            <w:vAlign w:val="bottom"/>
          </w:tcPr>
          <w:p>
            <w:pPr>
              <w:spacing w:after="0"/>
              <w:rPr>
                <w:sz w:val="8"/>
                <w:szCs w:val="8"/>
                <w:color w:val="auto"/>
              </w:rPr>
            </w:pPr>
          </w:p>
        </w:tc>
        <w:tc>
          <w:tcPr>
            <w:tcW w:w="800" w:type="dxa"/>
            <w:vAlign w:val="bottom"/>
            <w:vMerge w:val="restart"/>
          </w:tcPr>
          <w:p>
            <w:pPr>
              <w:jc w:val="right"/>
              <w:ind w:right="241"/>
              <w:spacing w:after="0" w:line="138"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46"/>
        </w:trPr>
        <w:tc>
          <w:tcPr>
            <w:tcW w:w="2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data)</w:t>
            </w: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920" w:type="dxa"/>
            <w:vAlign w:val="bottom"/>
            <w:vMerge w:val="continue"/>
          </w:tcPr>
          <w:p>
            <w:pPr>
              <w:spacing w:after="0"/>
              <w:rPr>
                <w:sz w:val="13"/>
                <w:szCs w:val="13"/>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3"/>
                <w:szCs w:val="13"/>
                <w:color w:val="auto"/>
              </w:rPr>
            </w:pPr>
          </w:p>
        </w:tc>
        <w:tc>
          <w:tcPr>
            <w:tcW w:w="7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Paid-In</w:t>
            </w:r>
          </w:p>
        </w:tc>
        <w:tc>
          <w:tcPr>
            <w:tcW w:w="880" w:type="dxa"/>
            <w:vAlign w:val="bottom"/>
            <w:gridSpan w:val="2"/>
            <w:vMerge w:val="continue"/>
          </w:tcPr>
          <w:p>
            <w:pPr>
              <w:spacing w:after="0"/>
              <w:rPr>
                <w:sz w:val="13"/>
                <w:szCs w:val="13"/>
                <w:color w:val="auto"/>
              </w:rPr>
            </w:pPr>
          </w:p>
        </w:tc>
        <w:tc>
          <w:tcPr>
            <w:tcW w:w="118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8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9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80" w:type="dxa"/>
            <w:vAlign w:val="bottom"/>
          </w:tcPr>
          <w:p>
            <w:pPr>
              <w:spacing w:after="0"/>
              <w:rPr>
                <w:sz w:val="18"/>
                <w:szCs w:val="18"/>
                <w:color w:val="auto"/>
              </w:rPr>
            </w:pPr>
          </w:p>
        </w:tc>
        <w:tc>
          <w:tcPr>
            <w:tcW w:w="80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5"/>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165,110,617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1,651</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(32,795,658)</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(1,722,881)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706,620</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2,208,952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22,141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2,052</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1,218,535</w:t>
            </w:r>
          </w:p>
        </w:tc>
        <w:tc>
          <w:tcPr>
            <w:tcW w:w="0" w:type="dxa"/>
            <w:vAlign w:val="bottom"/>
          </w:tcPr>
          <w:p>
            <w:pPr>
              <w:spacing w:after="0"/>
              <w:rPr>
                <w:sz w:val="1"/>
                <w:szCs w:val="1"/>
                <w:color w:val="auto"/>
              </w:rPr>
            </w:pPr>
          </w:p>
        </w:tc>
      </w:tr>
      <w:tr>
        <w:trPr>
          <w:trHeight w:val="202"/>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5,951</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5,951</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options 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0" w:type="dxa"/>
            <w:vAlign w:val="bottom"/>
          </w:tcPr>
          <w:p>
            <w:pPr>
              <w:spacing w:after="0"/>
              <w:rPr>
                <w:sz w:val="1"/>
                <w:szCs w:val="1"/>
                <w:color w:val="auto"/>
              </w:rPr>
            </w:pPr>
          </w:p>
        </w:tc>
      </w:tr>
      <w:tr>
        <w:trPr>
          <w:trHeight w:val="209"/>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(111,355)</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(10,809)</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30,689</w:t>
            </w:r>
          </w:p>
        </w:tc>
        <w:tc>
          <w:tcPr>
            <w:tcW w:w="0" w:type="dxa"/>
            <w:vAlign w:val="bottom"/>
          </w:tcPr>
          <w:p>
            <w:pPr>
              <w:spacing w:after="0"/>
              <w:rPr>
                <w:sz w:val="1"/>
                <w:szCs w:val="1"/>
                <w:color w:val="auto"/>
              </w:rPr>
            </w:pPr>
          </w:p>
        </w:tc>
      </w:tr>
      <w:tr>
        <w:trPr>
          <w:trHeight w:val="209"/>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60"/>
        </w:trPr>
        <w:tc>
          <w:tcPr>
            <w:tcW w:w="2920" w:type="dxa"/>
            <w:vAlign w:val="bottom"/>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auto"/>
              </w:rPr>
              <w:t>Dividends declared of $0.43 per share of</w:t>
            </w: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(57,334)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(57,334)</w:t>
            </w:r>
          </w:p>
        </w:tc>
        <w:tc>
          <w:tcPr>
            <w:tcW w:w="0" w:type="dxa"/>
            <w:vAlign w:val="bottom"/>
          </w:tcPr>
          <w:p>
            <w:pPr>
              <w:spacing w:after="0"/>
              <w:rPr>
                <w:sz w:val="1"/>
                <w:szCs w:val="1"/>
                <w:color w:val="auto"/>
              </w:rPr>
            </w:pPr>
          </w:p>
        </w:tc>
      </w:tr>
      <w:tr>
        <w:trPr>
          <w:trHeight w:val="211"/>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w:t>
            </w: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18,890</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18,890</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Contribution to non-controlling interest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292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De-consolidation of non-controlling</w:t>
            </w: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0" w:type="dxa"/>
            <w:vAlign w:val="bottom"/>
          </w:tcPr>
          <w:p>
            <w:pPr>
              <w:spacing w:after="0"/>
              <w:rPr>
                <w:sz w:val="1"/>
                <w:szCs w:val="1"/>
                <w:color w:val="auto"/>
              </w:rPr>
            </w:pPr>
          </w:p>
        </w:tc>
      </w:tr>
      <w:tr>
        <w:trPr>
          <w:trHeight w:val="209"/>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165,262,848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1,653</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(32,907,013)</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$(1,733,690)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733,022</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$2,182,615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22,079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1,205,679</w:t>
            </w:r>
          </w:p>
        </w:tc>
        <w:tc>
          <w:tcPr>
            <w:tcW w:w="0" w:type="dxa"/>
            <w:vAlign w:val="bottom"/>
          </w:tcPr>
          <w:p>
            <w:pPr>
              <w:spacing w:after="0"/>
              <w:rPr>
                <w:sz w:val="1"/>
                <w:szCs w:val="1"/>
                <w:color w:val="auto"/>
              </w:rPr>
            </w:pPr>
          </w:p>
        </w:tc>
      </w:tr>
      <w:tr>
        <w:trPr>
          <w:trHeight w:val="211"/>
        </w:trPr>
        <w:tc>
          <w:tcPr>
            <w:tcW w:w="29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164,372,545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1,646</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(31,788,197)</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(1,635,454)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656,222</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2,015,071</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8,585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651</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1,046,721</w:t>
            </w:r>
          </w:p>
        </w:tc>
        <w:tc>
          <w:tcPr>
            <w:tcW w:w="0" w:type="dxa"/>
            <w:vAlign w:val="bottom"/>
          </w:tcPr>
          <w:p>
            <w:pPr>
              <w:spacing w:after="0"/>
              <w:rPr>
                <w:sz w:val="1"/>
                <w:szCs w:val="1"/>
                <w:color w:val="auto"/>
              </w:rPr>
            </w:pPr>
          </w:p>
        </w:tc>
      </w:tr>
      <w:tr>
        <w:trPr>
          <w:trHeight w:val="202"/>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17,999</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18,003</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options 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10,705</w:t>
            </w:r>
          </w:p>
        </w:tc>
        <w:tc>
          <w:tcPr>
            <w:tcW w:w="0" w:type="dxa"/>
            <w:vAlign w:val="bottom"/>
          </w:tcPr>
          <w:p>
            <w:pPr>
              <w:spacing w:after="0"/>
              <w:rPr>
                <w:sz w:val="1"/>
                <w:szCs w:val="1"/>
                <w:color w:val="auto"/>
              </w:rPr>
            </w:pPr>
          </w:p>
        </w:tc>
      </w:tr>
      <w:tr>
        <w:trPr>
          <w:trHeight w:val="209"/>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 of common stock (1)</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(1,118,816)</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(98,236)</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340,213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339,563</w:t>
            </w:r>
          </w:p>
        </w:tc>
        <w:tc>
          <w:tcPr>
            <w:tcW w:w="0" w:type="dxa"/>
            <w:vAlign w:val="bottom"/>
          </w:tcPr>
          <w:p>
            <w:pPr>
              <w:spacing w:after="0"/>
              <w:rPr>
                <w:sz w:val="1"/>
                <w:szCs w:val="1"/>
                <w:color w:val="auto"/>
              </w:rPr>
            </w:pPr>
          </w:p>
        </w:tc>
      </w:tr>
      <w:tr>
        <w:trPr>
          <w:trHeight w:val="209"/>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13,494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13,494</w:t>
            </w:r>
          </w:p>
        </w:tc>
        <w:tc>
          <w:tcPr>
            <w:tcW w:w="0" w:type="dxa"/>
            <w:vAlign w:val="bottom"/>
          </w:tcPr>
          <w:p>
            <w:pPr>
              <w:spacing w:after="0"/>
              <w:rPr>
                <w:sz w:val="1"/>
                <w:szCs w:val="1"/>
                <w:color w:val="auto"/>
              </w:rPr>
            </w:pPr>
          </w:p>
        </w:tc>
      </w:tr>
      <w:tr>
        <w:trPr>
          <w:trHeight w:val="160"/>
        </w:trPr>
        <w:tc>
          <w:tcPr>
            <w:tcW w:w="2920" w:type="dxa"/>
            <w:vAlign w:val="bottom"/>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auto"/>
              </w:rPr>
              <w:t>Dividends declared of $1.29 per share of</w:t>
            </w: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(172,669)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(172,669)</w:t>
            </w:r>
          </w:p>
        </w:tc>
        <w:tc>
          <w:tcPr>
            <w:tcW w:w="0" w:type="dxa"/>
            <w:vAlign w:val="bottom"/>
          </w:tcPr>
          <w:p>
            <w:pPr>
              <w:spacing w:after="0"/>
              <w:rPr>
                <w:sz w:val="1"/>
                <w:szCs w:val="1"/>
                <w:color w:val="auto"/>
              </w:rPr>
            </w:pPr>
          </w:p>
        </w:tc>
      </w:tr>
      <w:tr>
        <w:trPr>
          <w:trHeight w:val="211"/>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w:t>
            </w: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50,992</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50,992</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Contribution to non-controlling interest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2,893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292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De-consolidation of non-controlling</w:t>
            </w: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0" w:type="dxa"/>
            <w:vAlign w:val="bottom"/>
          </w:tcPr>
          <w:p>
            <w:pPr>
              <w:spacing w:after="0"/>
              <w:rPr>
                <w:sz w:val="1"/>
                <w:szCs w:val="1"/>
                <w:color w:val="auto"/>
              </w:rPr>
            </w:pPr>
          </w:p>
        </w:tc>
      </w:tr>
      <w:tr>
        <w:trPr>
          <w:trHeight w:val="209"/>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165,262,848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1,653</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(32,907,013)</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(1,733,690)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733,022</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2,182,615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22,079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1,205,679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right="60" w:firstLine="163"/>
        <w:spacing w:after="0" w:line="256" w:lineRule="auto"/>
        <w:tabs>
          <w:tab w:leader="none" w:pos="40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December 31, 2022, the Company purchased 1.0 million shares of the Company’s Class A Common Stock in a series of open market transactions for $86.4 million. Additionally, the Company repurchased shares for $11.8 million during the nine months ended December 31, 2022 to cover the minimum statutory withholding taxes on restricted stock units that vested on various dates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jc w:val="center"/>
        <w:ind w:right="-19"/>
        <w:spacing w:after="0" w:line="213"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60" w:type="dxa"/>
        <w:tblCellMar>
          <w:top w:w="0" w:type="dxa"/>
          <w:left w:w="0" w:type="dxa"/>
          <w:bottom w:w="0" w:type="dxa"/>
          <w:right w:w="0" w:type="dxa"/>
        </w:tblCellMar>
      </w:tblPr>
      <w:tr>
        <w:trPr>
          <w:trHeight w:val="160"/>
        </w:trPr>
        <w:tc>
          <w:tcPr>
            <w:tcW w:w="2900" w:type="dxa"/>
            <w:vAlign w:val="bottom"/>
          </w:tcPr>
          <w:p>
            <w:pPr>
              <w:spacing w:after="0"/>
              <w:rPr>
                <w:sz w:val="13"/>
                <w:szCs w:val="13"/>
                <w:color w:val="auto"/>
              </w:rPr>
            </w:pPr>
          </w:p>
        </w:tc>
        <w:tc>
          <w:tcPr>
            <w:tcW w:w="104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Class A</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4"/>
          </w:tcPr>
          <w:p>
            <w:pPr>
              <w:ind w:left="600"/>
              <w:spacing w:after="0" w:line="160" w:lineRule="exact"/>
              <w:rPr>
                <w:sz w:val="20"/>
                <w:szCs w:val="20"/>
                <w:color w:val="auto"/>
              </w:rPr>
            </w:pPr>
            <w:r>
              <w:rPr>
                <w:rFonts w:ascii="Times New Roman" w:cs="Times New Roman" w:eastAsia="Times New Roman" w:hAnsi="Times New Roman"/>
                <w:sz w:val="16"/>
                <w:szCs w:val="16"/>
                <w:b w:val="1"/>
                <w:bCs w:val="1"/>
                <w:color w:val="auto"/>
              </w:rPr>
              <w:t>Treasury</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(Amounts in thousands, except share</w:t>
            </w:r>
          </w:p>
        </w:tc>
        <w:tc>
          <w:tcPr>
            <w:tcW w:w="1500" w:type="dxa"/>
            <w:vAlign w:val="bottom"/>
            <w:gridSpan w:val="4"/>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4"/>
                <w:szCs w:val="4"/>
                <w:color w:val="auto"/>
              </w:rPr>
            </w:pPr>
          </w:p>
        </w:tc>
        <w:tc>
          <w:tcPr>
            <w:tcW w:w="1800" w:type="dxa"/>
            <w:vAlign w:val="bottom"/>
            <w:gridSpan w:val="3"/>
            <w:vMerge w:val="restart"/>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vMerge w:val="restart"/>
          </w:tcPr>
          <w:p>
            <w:pPr>
              <w:spacing w:after="0"/>
              <w:rPr>
                <w:sz w:val="4"/>
                <w:szCs w:val="4"/>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4"/>
                <w:szCs w:val="4"/>
                <w:color w:val="auto"/>
              </w:rPr>
            </w:pPr>
          </w:p>
        </w:tc>
        <w:tc>
          <w:tcPr>
            <w:tcW w:w="800" w:type="dxa"/>
            <w:vAlign w:val="bottom"/>
            <w:vMerge w:val="restart"/>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3"/>
        </w:trPr>
        <w:tc>
          <w:tcPr>
            <w:tcW w:w="2900" w:type="dxa"/>
            <w:vAlign w:val="bottom"/>
            <w:vMerge w:val="continue"/>
          </w:tcPr>
          <w:p>
            <w:pPr>
              <w:spacing w:after="0"/>
              <w:rPr>
                <w:sz w:val="13"/>
                <w:szCs w:val="13"/>
                <w:color w:val="auto"/>
              </w:rPr>
            </w:pPr>
          </w:p>
        </w:tc>
        <w:tc>
          <w:tcPr>
            <w:tcW w:w="150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80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60"/>
              <w:spacing w:after="0" w:line="138" w:lineRule="exact"/>
              <w:rPr>
                <w:sz w:val="20"/>
                <w:szCs w:val="20"/>
                <w:color w:val="auto"/>
              </w:rPr>
            </w:pPr>
            <w:r>
              <w:rPr>
                <w:rFonts w:ascii="Times New Roman" w:cs="Times New Roman" w:eastAsia="Times New Roman" w:hAnsi="Times New Roman"/>
                <w:sz w:val="15"/>
                <w:szCs w:val="15"/>
                <w:b w:val="1"/>
                <w:bCs w:val="1"/>
                <w:color w:val="auto"/>
              </w:rPr>
              <w:t>Other</w:t>
            </w:r>
          </w:p>
        </w:tc>
        <w:tc>
          <w:tcPr>
            <w:tcW w:w="1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900" w:type="dxa"/>
            <w:vAlign w:val="bottom"/>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data)</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1"/>
                <w:szCs w:val="11"/>
                <w:color w:val="auto"/>
              </w:rPr>
            </w:pPr>
          </w:p>
        </w:tc>
        <w:tc>
          <w:tcPr>
            <w:tcW w:w="72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Paid-In</w:t>
            </w:r>
          </w:p>
        </w:tc>
        <w:tc>
          <w:tcPr>
            <w:tcW w:w="90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16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90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98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660" w:type="dxa"/>
            <w:vAlign w:val="bottom"/>
            <w:gridSpan w:val="3"/>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2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80" w:type="dxa"/>
            <w:vAlign w:val="bottom"/>
          </w:tcPr>
          <w:p>
            <w:pPr>
              <w:spacing w:after="0"/>
              <w:rPr>
                <w:sz w:val="18"/>
                <w:szCs w:val="18"/>
                <w:color w:val="auto"/>
              </w:rPr>
            </w:pPr>
          </w:p>
        </w:tc>
        <w:tc>
          <w:tcPr>
            <w:tcW w:w="80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5"/>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163,627,651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(29,302,541)</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(1,433,136)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600,930</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1,902,667</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1,048,098</w:t>
            </w:r>
          </w:p>
        </w:tc>
        <w:tc>
          <w:tcPr>
            <w:tcW w:w="0" w:type="dxa"/>
            <w:vAlign w:val="bottom"/>
          </w:tcPr>
          <w:p>
            <w:pPr>
              <w:spacing w:after="0"/>
              <w:rPr>
                <w:sz w:val="1"/>
                <w:szCs w:val="1"/>
                <w:color w:val="auto"/>
              </w:rPr>
            </w:pPr>
          </w:p>
        </w:tc>
      </w:tr>
      <w:tr>
        <w:trPr>
          <w:trHeight w:val="202"/>
        </w:trPr>
        <w:tc>
          <w:tcPr>
            <w:tcW w:w="2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w:t>
            </w:r>
          </w:p>
        </w:tc>
        <w:tc>
          <w:tcPr>
            <w:tcW w:w="8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5,714</w:t>
            </w:r>
          </w:p>
        </w:tc>
        <w:tc>
          <w:tcPr>
            <w:tcW w:w="0" w:type="dxa"/>
            <w:vAlign w:val="bottom"/>
          </w:tcPr>
          <w:p>
            <w:pPr>
              <w:spacing w:after="0"/>
              <w:rPr>
                <w:sz w:val="1"/>
                <w:szCs w:val="1"/>
                <w:color w:val="auto"/>
              </w:rPr>
            </w:pPr>
          </w:p>
        </w:tc>
      </w:tr>
      <w:tr>
        <w:trPr>
          <w:trHeight w:val="212"/>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options 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r>
        <w:trPr>
          <w:trHeight w:val="209"/>
        </w:trPr>
        <w:tc>
          <w:tcPr>
            <w:tcW w:w="2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(992,133)</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(82,767)</w:t>
            </w:r>
          </w:p>
        </w:tc>
        <w:tc>
          <w:tcPr>
            <w:tcW w:w="0" w:type="dxa"/>
            <w:vAlign w:val="bottom"/>
          </w:tcPr>
          <w:p>
            <w:pPr>
              <w:spacing w:after="0"/>
              <w:rPr>
                <w:sz w:val="1"/>
                <w:szCs w:val="1"/>
                <w:color w:val="auto"/>
              </w:rPr>
            </w:pPr>
          </w:p>
        </w:tc>
      </w:tr>
      <w:tr>
        <w:trPr>
          <w:trHeight w:val="160"/>
        </w:trPr>
        <w:tc>
          <w:tcPr>
            <w:tcW w:w="290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Recognition of liability related to future</w:t>
            </w: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 vesting</w:t>
            </w: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128,931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128,846</w:t>
            </w:r>
          </w:p>
        </w:tc>
        <w:tc>
          <w:tcPr>
            <w:tcW w:w="0" w:type="dxa"/>
            <w:vAlign w:val="bottom"/>
          </w:tcPr>
          <w:p>
            <w:pPr>
              <w:spacing w:after="0"/>
              <w:rPr>
                <w:sz w:val="1"/>
                <w:szCs w:val="1"/>
                <w:color w:val="auto"/>
              </w:rPr>
            </w:pPr>
          </w:p>
        </w:tc>
      </w:tr>
      <w:tr>
        <w:trPr>
          <w:trHeight w:val="212"/>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6,945</w:t>
            </w:r>
          </w:p>
        </w:tc>
        <w:tc>
          <w:tcPr>
            <w:tcW w:w="0" w:type="dxa"/>
            <w:vAlign w:val="bottom"/>
          </w:tcPr>
          <w:p>
            <w:pPr>
              <w:spacing w:after="0"/>
              <w:rPr>
                <w:sz w:val="1"/>
                <w:szCs w:val="1"/>
                <w:color w:val="auto"/>
              </w:rPr>
            </w:pPr>
          </w:p>
        </w:tc>
      </w:tr>
      <w:tr>
        <w:trPr>
          <w:trHeight w:val="158"/>
        </w:trPr>
        <w:tc>
          <w:tcPr>
            <w:tcW w:w="290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Dividends paid of $0.37 per share of</w:t>
            </w: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(49,883)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(49,883)</w:t>
            </w:r>
          </w:p>
        </w:tc>
        <w:tc>
          <w:tcPr>
            <w:tcW w:w="0" w:type="dxa"/>
            <w:vAlign w:val="bottom"/>
          </w:tcPr>
          <w:p>
            <w:pPr>
              <w:spacing w:after="0"/>
              <w:rPr>
                <w:sz w:val="1"/>
                <w:szCs w:val="1"/>
                <w:color w:val="auto"/>
              </w:rPr>
            </w:pPr>
          </w:p>
        </w:tc>
      </w:tr>
      <w:tr>
        <w:trPr>
          <w:trHeight w:val="209"/>
        </w:trPr>
        <w:tc>
          <w:tcPr>
            <w:tcW w:w="2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16,759</w:t>
            </w:r>
          </w:p>
        </w:tc>
        <w:tc>
          <w:tcPr>
            <w:tcW w:w="0" w:type="dxa"/>
            <w:vAlign w:val="bottom"/>
          </w:tcPr>
          <w:p>
            <w:pPr>
              <w:spacing w:after="0"/>
              <w:rPr>
                <w:sz w:val="1"/>
                <w:szCs w:val="1"/>
                <w:color w:val="auto"/>
              </w:rPr>
            </w:pPr>
          </w:p>
        </w:tc>
      </w:tr>
      <w:tr>
        <w:trPr>
          <w:trHeight w:val="209"/>
        </w:trPr>
        <w:tc>
          <w:tcPr>
            <w:tcW w:w="2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Contribution to non-controlling interest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30,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163,721,966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(30,294,674)</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(1,515,903)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620,632</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1,981,715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1,074,254</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162,950,606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(26,704,577)</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(1,216,163)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557,957</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1,757,524</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1,071,176</w:t>
            </w:r>
          </w:p>
        </w:tc>
        <w:tc>
          <w:tcPr>
            <w:tcW w:w="0" w:type="dxa"/>
            <w:vAlign w:val="bottom"/>
          </w:tcPr>
          <w:p>
            <w:pPr>
              <w:spacing w:after="0"/>
              <w:rPr>
                <w:sz w:val="1"/>
                <w:szCs w:val="1"/>
                <w:color w:val="auto"/>
              </w:rPr>
            </w:pPr>
          </w:p>
        </w:tc>
      </w:tr>
      <w:tr>
        <w:trPr>
          <w:trHeight w:val="202"/>
        </w:trPr>
        <w:tc>
          <w:tcPr>
            <w:tcW w:w="2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637,766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16,030</w:t>
            </w:r>
          </w:p>
        </w:tc>
        <w:tc>
          <w:tcPr>
            <w:tcW w:w="8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16,037</w:t>
            </w:r>
          </w:p>
        </w:tc>
        <w:tc>
          <w:tcPr>
            <w:tcW w:w="0" w:type="dxa"/>
            <w:vAlign w:val="bottom"/>
          </w:tcPr>
          <w:p>
            <w:pPr>
              <w:spacing w:after="0"/>
              <w:rPr>
                <w:sz w:val="1"/>
                <w:szCs w:val="1"/>
                <w:color w:val="auto"/>
              </w:rPr>
            </w:pPr>
          </w:p>
        </w:tc>
      </w:tr>
      <w:tr>
        <w:trPr>
          <w:trHeight w:val="212"/>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options 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3,558</w:t>
            </w:r>
          </w:p>
        </w:tc>
        <w:tc>
          <w:tcPr>
            <w:tcW w:w="0" w:type="dxa"/>
            <w:vAlign w:val="bottom"/>
          </w:tcPr>
          <w:p>
            <w:pPr>
              <w:spacing w:after="0"/>
              <w:rPr>
                <w:sz w:val="1"/>
                <w:szCs w:val="1"/>
                <w:color w:val="auto"/>
              </w:rPr>
            </w:pPr>
          </w:p>
        </w:tc>
      </w:tr>
      <w:tr>
        <w:trPr>
          <w:trHeight w:val="209"/>
        </w:trPr>
        <w:tc>
          <w:tcPr>
            <w:tcW w:w="2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stock (2)</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(3,590,097)</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(299,740)</w:t>
            </w:r>
          </w:p>
        </w:tc>
        <w:tc>
          <w:tcPr>
            <w:tcW w:w="0" w:type="dxa"/>
            <w:vAlign w:val="bottom"/>
          </w:tcPr>
          <w:p>
            <w:pPr>
              <w:spacing w:after="0"/>
              <w:rPr>
                <w:sz w:val="1"/>
                <w:szCs w:val="1"/>
                <w:color w:val="auto"/>
              </w:rPr>
            </w:pPr>
          </w:p>
        </w:tc>
      </w:tr>
      <w:tr>
        <w:trPr>
          <w:trHeight w:val="160"/>
        </w:trPr>
        <w:tc>
          <w:tcPr>
            <w:tcW w:w="290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Recognition of liability related to future</w:t>
            </w: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1,213</w:t>
            </w:r>
          </w:p>
        </w:tc>
        <w:tc>
          <w:tcPr>
            <w:tcW w:w="0" w:type="dxa"/>
            <w:vAlign w:val="bottom"/>
          </w:tcPr>
          <w:p>
            <w:pPr>
              <w:spacing w:after="0"/>
              <w:rPr>
                <w:sz w:val="1"/>
                <w:szCs w:val="1"/>
                <w:color w:val="auto"/>
              </w:rPr>
            </w:pPr>
          </w:p>
        </w:tc>
      </w:tr>
      <w:tr>
        <w:trPr>
          <w:trHeight w:val="211"/>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 vesting</w:t>
            </w: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375,867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375,782</w:t>
            </w:r>
          </w:p>
        </w:tc>
        <w:tc>
          <w:tcPr>
            <w:tcW w:w="0" w:type="dxa"/>
            <w:vAlign w:val="bottom"/>
          </w:tcPr>
          <w:p>
            <w:pPr>
              <w:spacing w:after="0"/>
              <w:rPr>
                <w:sz w:val="1"/>
                <w:szCs w:val="1"/>
                <w:color w:val="auto"/>
              </w:rPr>
            </w:pPr>
          </w:p>
        </w:tc>
      </w:tr>
      <w:tr>
        <w:trPr>
          <w:trHeight w:val="212"/>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12,717</w:t>
            </w:r>
          </w:p>
        </w:tc>
        <w:tc>
          <w:tcPr>
            <w:tcW w:w="0" w:type="dxa"/>
            <w:vAlign w:val="bottom"/>
          </w:tcPr>
          <w:p>
            <w:pPr>
              <w:spacing w:after="0"/>
              <w:rPr>
                <w:sz w:val="1"/>
                <w:szCs w:val="1"/>
                <w:color w:val="auto"/>
              </w:rPr>
            </w:pPr>
          </w:p>
        </w:tc>
      </w:tr>
      <w:tr>
        <w:trPr>
          <w:trHeight w:val="158"/>
        </w:trPr>
        <w:tc>
          <w:tcPr>
            <w:tcW w:w="290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Dividends declared of $1.11 per share of</w:t>
            </w: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(151,676)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(151,676)</w:t>
            </w:r>
          </w:p>
        </w:tc>
        <w:tc>
          <w:tcPr>
            <w:tcW w:w="0" w:type="dxa"/>
            <w:vAlign w:val="bottom"/>
          </w:tcPr>
          <w:p>
            <w:pPr>
              <w:spacing w:after="0"/>
              <w:rPr>
                <w:sz w:val="1"/>
                <w:szCs w:val="1"/>
                <w:color w:val="auto"/>
              </w:rPr>
            </w:pPr>
          </w:p>
        </w:tc>
      </w:tr>
      <w:tr>
        <w:trPr>
          <w:trHeight w:val="209"/>
        </w:trPr>
        <w:tc>
          <w:tcPr>
            <w:tcW w:w="2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45,187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45,187</w:t>
            </w:r>
          </w:p>
        </w:tc>
        <w:tc>
          <w:tcPr>
            <w:tcW w:w="0" w:type="dxa"/>
            <w:vAlign w:val="bottom"/>
          </w:tcPr>
          <w:p>
            <w:pPr>
              <w:spacing w:after="0"/>
              <w:rPr>
                <w:sz w:val="1"/>
                <w:szCs w:val="1"/>
                <w:color w:val="auto"/>
              </w:rPr>
            </w:pPr>
          </w:p>
        </w:tc>
      </w:tr>
      <w:tr>
        <w:trPr>
          <w:trHeight w:val="209"/>
        </w:trPr>
        <w:tc>
          <w:tcPr>
            <w:tcW w:w="2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Contribution to non-controlling interest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30,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163,721,966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(30,294,674)</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(1,515,903)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620,632</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1,981,715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1,074,254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firstLine="163"/>
        <w:spacing w:after="0" w:line="256" w:lineRule="auto"/>
        <w:tabs>
          <w:tab w:leader="none" w:pos="4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December 31, 2021, the Company purchased 3.4 million shares of the Company’s Class A Common Stock in a series of open market transactions for $286.3 million. Additionally, the Company repurchased shares for $13.4 million during the nine months ended December 31, 2021 to cover the minimum statutory withholding taxes on restricted stock units that vested on various dates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0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Overview</w:t>
      </w:r>
    </w:p>
    <w:p>
      <w:pPr>
        <w:spacing w:after="0" w:line="111" w:lineRule="exact"/>
        <w:rPr>
          <w:sz w:val="20"/>
          <w:szCs w:val="20"/>
          <w:color w:val="auto"/>
        </w:rPr>
      </w:pPr>
    </w:p>
    <w:p>
      <w:pPr>
        <w:ind w:right="60" w:firstLine="395"/>
        <w:spacing w:after="0" w:line="293" w:lineRule="auto"/>
        <w:rPr>
          <w:sz w:val="20"/>
          <w:szCs w:val="20"/>
          <w:color w:val="auto"/>
        </w:rPr>
      </w:pPr>
      <w:r>
        <w:rPr>
          <w:rFonts w:ascii="Times New Roman" w:cs="Times New Roman" w:eastAsia="Times New Roman" w:hAnsi="Times New Roman"/>
          <w:sz w:val="16"/>
          <w:szCs w:val="16"/>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services to U.S. and international governments, major corporations, and not-for-profit organizations. The Company reports operating results and financial data in one reportable segment. The Company is headquartered in McLean, Virginia, with approximately 31,100 employees as of December 31,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11"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or GAAP, and pursuant to the rules and regulations of the U.S. Securities and Exchange Commission, or SEC, and should be read in conjunction with the information contained in the Company's Annual Report on Form 10-K for the year ended March 31, 2022.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periods presented have been included. The Company’s fiscal year ends on March 31 and unless otherwise noted, references to fiscal year or fiscal are for fiscal years ended March 31. The results of operations for the nine months ended December 31, 2022 are not necessarily indicative of results to be expected for the full fiscal year.</w:t>
      </w:r>
    </w:p>
    <w:p>
      <w:pPr>
        <w:spacing w:after="0" w:line="85"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condensed consolidated financial statements and notes of the Company include its subsidiaries, and other entities over which the Company has a controlling financial interest or where the Company is a primary beneficiary. The Company uses the equity method to account for investments in entities that it does not control if it is otherwise able to exert significant influence over the entities' operating and financial policies. Equity investments in entities over which the Company does not have the ability to exercise significant influence and whose securities do not have a readily determinable fair value are carried at cost or cost net of other-than-temporary impairments.</w:t>
      </w:r>
    </w:p>
    <w:p>
      <w:pPr>
        <w:spacing w:after="0" w:line="80" w:lineRule="exact"/>
        <w:rPr>
          <w:sz w:val="20"/>
          <w:szCs w:val="20"/>
          <w:color w:val="auto"/>
        </w:rPr>
      </w:pPr>
    </w:p>
    <w:p>
      <w:pPr>
        <w:ind w:right="20" w:firstLine="395"/>
        <w:spacing w:after="0" w:line="268" w:lineRule="auto"/>
        <w:rPr>
          <w:sz w:val="20"/>
          <w:szCs w:val="20"/>
          <w:color w:val="auto"/>
        </w:rPr>
      </w:pPr>
      <w:r>
        <w:rPr>
          <w:rFonts w:ascii="Times New Roman" w:cs="Times New Roman" w:eastAsia="Times New Roman" w:hAnsi="Times New Roman"/>
          <w:sz w:val="18"/>
          <w:szCs w:val="18"/>
          <w:color w:val="auto"/>
        </w:rPr>
        <w:t>Certain amounts reported in the Company's prior fiscal year condensed consolidated financial statements have been reclassified to conform to the current fiscal year presentation.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113"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the provision for claimed indirect costs, valuation and lives of tangible and intangible assets, impairment of long-lived assets, accrued liabilities, revenue recognition, including the accrual of indirect costs, bonus and other incentive compensation, stock-based compensation, reserves for uncertain tax positions and valuation allowances on deferred tax assets, provisions for income taxes, postretirement obligations, collectability of receivables, and loss accruals for litigation. Actual results experienced by the Company may differ materially from management's estimates.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3" w:lineRule="exact"/>
        <w:rPr>
          <w:sz w:val="20"/>
          <w:szCs w:val="20"/>
          <w:color w:val="auto"/>
        </w:rPr>
      </w:pPr>
    </w:p>
    <w:p>
      <w:pPr>
        <w:ind w:firstLine="395"/>
        <w:spacing w:after="0" w:line="280" w:lineRule="auto"/>
        <w:rPr>
          <w:sz w:val="20"/>
          <w:szCs w:val="20"/>
          <w:color w:val="auto"/>
        </w:rPr>
      </w:pPr>
      <w:r>
        <w:rPr>
          <w:rFonts w:ascii="Times New Roman" w:cs="Times New Roman" w:eastAsia="Times New Roman" w:hAnsi="Times New Roman"/>
          <w:sz w:val="16"/>
          <w:szCs w:val="16"/>
          <w:color w:val="auto"/>
        </w:rPr>
        <w:t>In March 2020, the FASB issued ASU 2020-04, Reference Rate Reform (“Topic 848”): Facilitation of the Effects of Reference Rate Reform on Financial Reporting. The guidance is intended to provide relief for entities impacted by reference rate reform. Topic 848 contains provisions and optional accounting expedients designed to simplify requirements around the designation of hedging relationships, probability assessments of hedged forecasted transactions, and accounting for modifications of contracts that refer to LIBOR or other rates affected by reference rate reform. The guidance is elective and is effective on the date of issuance. Topic 848 is applied prospectively to contract modifications and as of the effective date for existing and new eligible hedging relationships. The Company has elected to apply the hedge accounting practical expedient related to the probability of hedged future LIBOR indexed cash flows and continues its quantitative method of assessing subsequent hedge effectiveness in the fourth quarter of fiscal 2020. Further, during the second quarter of fiscal year 2023, the Company transitioned its term loans from LIBOR-indexed interest payments to Term SOFR-indexed interest payments in connection with the Ninth Amendment of the Credit Agreement. For its interest rate swaps designated as cash flow hedges, the Company elected to apply certain of the accounting expedients to assume that the reference rates upon which hedged forecasted transactions will be based on match the LIBOR-indexed rates used in the Company's interest rate swaps consistent with past presentation. The Company continues to evaluate the impact of Topic 848 and may apply other elections, as applicable. The adoption of this guidance did not have a material impact on the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13" w:lineRule="exact"/>
        <w:rPr>
          <w:sz w:val="20"/>
          <w:szCs w:val="20"/>
          <w:color w:val="auto"/>
        </w:rPr>
      </w:pPr>
    </w:p>
    <w:p>
      <w:pPr>
        <w:ind w:right="280" w:firstLine="632"/>
        <w:spacing w:after="0" w:line="268" w:lineRule="auto"/>
        <w:rPr>
          <w:sz w:val="20"/>
          <w:szCs w:val="20"/>
          <w:color w:val="auto"/>
        </w:rPr>
      </w:pPr>
      <w:r>
        <w:rPr>
          <w:rFonts w:ascii="Times New Roman" w:cs="Times New Roman" w:eastAsia="Times New Roman" w:hAnsi="Times New Roman"/>
          <w:sz w:val="18"/>
          <w:szCs w:val="18"/>
          <w:color w:val="auto"/>
        </w:rPr>
        <w:t>Accounting and reporting pronouncements effective after December 31, 2022 and issued through the filing date are not expected to have a material impact on the Company's condensed consolidated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11"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The Company's revenues from contracts with customers (clients) are derived from offerings that include consulting, analytics, digital solutions, engineering, mission,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 contracts, time-and-materials contracts, and fixed-price contracts.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13"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We recognize revenue for many of our contracts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the completion of our performance obligations is subjective and requires management to make assumptions about future activity and cost drivers under the contract. Changes in these estimates can occur for a variety of reasons and, if significant, may impact the revenue and profitability of the Company’s contracts. Changes in estimates related to contracts accounted for under the EAC process are recognized on a cumulative catch-up basis in the period when such changes are determinable and reasonably estimable. If the estimate of contract profitability indicates an anticipated loss on a contract, the Company recognizes the total loss at the time it is identified. For each of the three and nine months ended December 31, 2022 and 2021, the aggregate impact of adjustments in contract estimates was not material.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13" w:lineRule="exact"/>
        <w:rPr>
          <w:sz w:val="20"/>
          <w:szCs w:val="20"/>
          <w:color w:val="auto"/>
        </w:rPr>
      </w:pPr>
    </w:p>
    <w:p>
      <w:pPr>
        <w:ind w:right="460" w:firstLine="395"/>
        <w:spacing w:after="0" w:line="256"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contract type, customer, as well as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Contract Type: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generate revenue under the following three basic types of contracts:</w:t>
      </w:r>
    </w:p>
    <w:p>
      <w:pPr>
        <w:spacing w:after="0" w:line="109" w:lineRule="exact"/>
        <w:rPr>
          <w:sz w:val="20"/>
          <w:szCs w:val="20"/>
          <w:color w:val="auto"/>
        </w:rPr>
      </w:pPr>
    </w:p>
    <w:p>
      <w:pPr>
        <w:ind w:left="640" w:right="40" w:hanging="240"/>
        <w:spacing w:after="0" w:line="268"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64" w:lineRule="exact"/>
        <w:rPr>
          <w:rFonts w:ascii="Times New Roman" w:cs="Times New Roman" w:eastAsia="Times New Roman" w:hAnsi="Times New Roman"/>
          <w:sz w:val="18"/>
          <w:szCs w:val="18"/>
          <w:color w:val="auto"/>
        </w:rPr>
      </w:pPr>
    </w:p>
    <w:p>
      <w:pPr>
        <w:ind w:left="640" w:right="200" w:hanging="240"/>
        <w:spacing w:after="0" w:line="256"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74" w:lineRule="exact"/>
        <w:rPr>
          <w:rFonts w:ascii="Times New Roman" w:cs="Times New Roman" w:eastAsia="Times New Roman" w:hAnsi="Times New Roman"/>
          <w:sz w:val="18"/>
          <w:szCs w:val="18"/>
          <w:color w:val="auto"/>
        </w:rPr>
      </w:pPr>
    </w:p>
    <w:p>
      <w:pPr>
        <w:ind w:left="640" w:right="160" w:hanging="240"/>
        <w:spacing w:after="0" w:line="256"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presents the total revenue for each type of contract: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5"/>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7"/>
        </w:trPr>
        <w:tc>
          <w:tcPr>
            <w:tcW w:w="40" w:type="dxa"/>
            <w:vAlign w:val="bottom"/>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4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Cost-reimbursable</w:t>
            </w: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1,211,589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1,079,893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3,603,824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3,322,507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20" w:type="dxa"/>
            <w:vAlign w:val="bottom"/>
          </w:tcPr>
          <w:p>
            <w:pPr>
              <w:spacing w:after="0"/>
              <w:rPr>
                <w:sz w:val="18"/>
                <w:szCs w:val="18"/>
                <w:color w:val="auto"/>
              </w:rPr>
            </w:pPr>
          </w:p>
        </w:tc>
      </w:tr>
      <w:tr>
        <w:trPr>
          <w:trHeight w:val="224"/>
        </w:trPr>
        <w:tc>
          <w:tcPr>
            <w:tcW w:w="4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Time-and-materials</w:t>
            </w:r>
          </w:p>
        </w:tc>
        <w:tc>
          <w:tcPr>
            <w:tcW w:w="46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572,491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484,718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1,682,831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1,482,431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w:t>
            </w:r>
          </w:p>
        </w:tc>
        <w:tc>
          <w:tcPr>
            <w:tcW w:w="4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492,994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465,909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1,538,995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1,320,686</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Pr>
          <w:p>
            <w:pPr>
              <w:spacing w:after="0"/>
              <w:rPr>
                <w:sz w:val="19"/>
                <w:szCs w:val="19"/>
                <w:color w:val="auto"/>
              </w:rPr>
            </w:pPr>
          </w:p>
        </w:tc>
      </w:tr>
      <w:tr>
        <w:trPr>
          <w:trHeight w:val="217"/>
        </w:trPr>
        <w:tc>
          <w:tcPr>
            <w:tcW w:w="4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2,277,074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2,030,520</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6,825,650</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6,125,624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4"/>
        </w:trPr>
        <w:tc>
          <w:tcPr>
            <w:tcW w:w="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 by Customer Type:</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90"/>
        </w:trPr>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680" w:type="dxa"/>
            <w:vAlign w:val="bottom"/>
            <w:tcBorders>
              <w:bottom w:val="single" w:sz="8" w:color="auto"/>
            </w:tcBorders>
          </w:tcPr>
          <w:p>
            <w:pPr>
              <w:spacing w:after="0"/>
              <w:rPr>
                <w:sz w:val="24"/>
                <w:szCs w:val="24"/>
                <w:color w:val="auto"/>
              </w:rPr>
            </w:pPr>
          </w:p>
        </w:tc>
      </w:tr>
      <w:tr>
        <w:trPr>
          <w:trHeight w:val="217"/>
        </w:trPr>
        <w:tc>
          <w:tcPr>
            <w:tcW w:w="140" w:type="dxa"/>
            <w:vAlign w:val="bottom"/>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Borders>
              <w:bottom w:val="single" w:sz="8" w:color="auto"/>
            </w:tcBorders>
          </w:tcPr>
          <w:p>
            <w:pPr>
              <w:spacing w:after="0"/>
              <w:rPr>
                <w:sz w:val="18"/>
                <w:szCs w:val="18"/>
                <w:color w:val="auto"/>
              </w:rPr>
            </w:pPr>
          </w:p>
        </w:tc>
      </w:tr>
      <w:tr>
        <w:trPr>
          <w:trHeight w:val="204"/>
        </w:trPr>
        <w:tc>
          <w:tcPr>
            <w:tcW w:w="140" w:type="dxa"/>
            <w:vAlign w:val="bottom"/>
          </w:tcPr>
          <w:p>
            <w:pPr>
              <w:spacing w:after="0"/>
              <w:rPr>
                <w:sz w:val="17"/>
                <w:szCs w:val="17"/>
                <w:color w:val="auto"/>
              </w:rPr>
            </w:pPr>
          </w:p>
        </w:tc>
        <w:tc>
          <w:tcPr>
            <w:tcW w:w="23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24"/>
        </w:trPr>
        <w:tc>
          <w:tcPr>
            <w:tcW w:w="140" w:type="dxa"/>
            <w:vAlign w:val="bottom"/>
          </w:tcPr>
          <w:p>
            <w:pPr>
              <w:spacing w:after="0"/>
              <w:rPr>
                <w:sz w:val="19"/>
                <w:szCs w:val="19"/>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Defense Clients</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1,043,535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946,141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3,082,634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6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2,916,210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24"/>
        </w:trPr>
        <w:tc>
          <w:tcPr>
            <w:tcW w:w="140" w:type="dxa"/>
            <w:vAlign w:val="bottom"/>
          </w:tcPr>
          <w:p>
            <w:pPr>
              <w:spacing w:after="0"/>
              <w:rPr>
                <w:sz w:val="19"/>
                <w:szCs w:val="19"/>
                <w:color w:val="auto"/>
              </w:rPr>
            </w:pPr>
          </w:p>
        </w:tc>
        <w:tc>
          <w:tcPr>
            <w:tcW w:w="2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Intelligence Clients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419,227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369,345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1,260,653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1,144,933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4"/>
        </w:trPr>
        <w:tc>
          <w:tcPr>
            <w:tcW w:w="140" w:type="dxa"/>
            <w:vAlign w:val="bottom"/>
          </w:tcPr>
          <w:p>
            <w:pPr>
              <w:spacing w:after="0"/>
              <w:rPr>
                <w:sz w:val="19"/>
                <w:szCs w:val="19"/>
                <w:color w:val="auto"/>
              </w:rPr>
            </w:pPr>
          </w:p>
        </w:tc>
        <w:tc>
          <w:tcPr>
            <w:tcW w:w="2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Civil Clients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758,473</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651,050</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2,299,969</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1,905,984</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17"/>
        </w:trPr>
        <w:tc>
          <w:tcPr>
            <w:tcW w:w="140" w:type="dxa"/>
            <w:vAlign w:val="bottom"/>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U.S. government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2,221,235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1,966,536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6,643,256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5,967,127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24"/>
        </w:trPr>
        <w:tc>
          <w:tcPr>
            <w:tcW w:w="140" w:type="dxa"/>
            <w:vAlign w:val="bottom"/>
          </w:tcPr>
          <w:p>
            <w:pPr>
              <w:spacing w:after="0"/>
              <w:rPr>
                <w:sz w:val="19"/>
                <w:szCs w:val="19"/>
                <w:color w:val="auto"/>
              </w:rPr>
            </w:pPr>
          </w:p>
        </w:tc>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Global Commercial Clients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55,839</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63,984</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182,394</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158,497</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2"/>
        </w:trPr>
        <w:tc>
          <w:tcPr>
            <w:tcW w:w="140" w:type="dxa"/>
            <w:vAlign w:val="bottom"/>
          </w:tcPr>
          <w:p>
            <w:pPr>
              <w:spacing w:after="0"/>
              <w:rPr>
                <w:sz w:val="20"/>
                <w:szCs w:val="20"/>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2,277,074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2,030,520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6,825,650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6,125,624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40" w:type="dxa"/>
            <w:vAlign w:val="bottom"/>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160" w:firstLine="240"/>
        <w:spacing w:after="0" w:line="290" w:lineRule="auto"/>
        <w:tabs>
          <w:tab w:leader="none" w:pos="558"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Certain contracts were reassigned between the various verticals of our U.S. government business shown in the table above to better align our operations to the customers we serve within each market. Prior year revenue by customer type has been recast to reflect the changes.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Whether the Company Acts as a Prime Contractor or a Subcontractor:</w:t>
      </w:r>
    </w:p>
    <w:p>
      <w:pPr>
        <w:spacing w:after="0" w:line="83" w:lineRule="exact"/>
        <w:rPr>
          <w:sz w:val="20"/>
          <w:szCs w:val="20"/>
          <w:color w:val="auto"/>
        </w:rPr>
      </w:pPr>
    </w:p>
    <w:tbl>
      <w:tblPr>
        <w:tblLayout w:type="fixed"/>
        <w:tblInd w:w="260" w:type="dxa"/>
        <w:tblCellMar>
          <w:top w:w="0" w:type="dxa"/>
          <w:left w:w="0" w:type="dxa"/>
          <w:bottom w:w="0" w:type="dxa"/>
          <w:right w:w="0" w:type="dxa"/>
        </w:tblCellMar>
      </w:tblPr>
      <w:tr>
        <w:trPr>
          <w:trHeight w:val="231"/>
        </w:trPr>
        <w:tc>
          <w:tcPr>
            <w:tcW w:w="1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5"/>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700" w:type="dxa"/>
            <w:vAlign w:val="bottom"/>
            <w:tcBorders>
              <w:bottom w:val="single" w:sz="8" w:color="auto"/>
            </w:tcBorders>
          </w:tcPr>
          <w:p>
            <w:pPr>
              <w:spacing w:after="0"/>
              <w:rPr>
                <w:sz w:val="20"/>
                <w:szCs w:val="20"/>
                <w:color w:val="auto"/>
              </w:rPr>
            </w:pPr>
          </w:p>
        </w:tc>
      </w:tr>
      <w:tr>
        <w:trPr>
          <w:trHeight w:val="217"/>
        </w:trPr>
        <w:tc>
          <w:tcPr>
            <w:tcW w:w="18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Borders>
              <w:bottom w:val="single" w:sz="8" w:color="auto"/>
            </w:tcBorders>
          </w:tcPr>
          <w:p>
            <w:pPr>
              <w:spacing w:after="0"/>
              <w:rPr>
                <w:sz w:val="18"/>
                <w:szCs w:val="18"/>
                <w:color w:val="auto"/>
              </w:rPr>
            </w:pPr>
          </w:p>
        </w:tc>
      </w:tr>
      <w:tr>
        <w:trPr>
          <w:trHeight w:val="217"/>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Contractor</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2,151,265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1,913,657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6,461,935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5,753,596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4"/>
        </w:trPr>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Subcontractor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125,809</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116,863</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363,715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372,028</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2"/>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2,277,074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2,030,520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6,825,650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6,125,624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13" w:lineRule="exact"/>
        <w:rPr>
          <w:sz w:val="20"/>
          <w:szCs w:val="20"/>
          <w:color w:val="auto"/>
        </w:rPr>
      </w:pPr>
    </w:p>
    <w:p>
      <w:pPr>
        <w:ind w:right="180" w:firstLine="395"/>
        <w:spacing w:after="0" w:line="303" w:lineRule="auto"/>
        <w:rPr>
          <w:sz w:val="20"/>
          <w:szCs w:val="20"/>
          <w:color w:val="auto"/>
        </w:rPr>
      </w:pPr>
      <w:r>
        <w:rPr>
          <w:rFonts w:ascii="Times New Roman" w:cs="Times New Roman" w:eastAsia="Times New Roman" w:hAnsi="Times New Roman"/>
          <w:sz w:val="16"/>
          <w:szCs w:val="16"/>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which the Company does not expect to recognize as revenue.</w:t>
      </w:r>
    </w:p>
    <w:p>
      <w:pPr>
        <w:spacing w:after="0" w:line="40" w:lineRule="exact"/>
        <w:rPr>
          <w:sz w:val="20"/>
          <w:szCs w:val="20"/>
          <w:color w:val="auto"/>
        </w:rPr>
      </w:pPr>
    </w:p>
    <w:p>
      <w:pPr>
        <w:ind w:right="320"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2022 and March 31, 2022, the Company had $8.1 billion and $7.4 billion of remaining performance obligations, respectively. We expect to recognize approximately 70% of the remaining performance obligations at December 31, 2022 as revenue over the next 12 months, and approximately 85% over the next 24 months. The remainder is expected to be recognized thereafter.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3"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 contracts are typically billed to the customer at periodic intervals (e.g., monthly or weekly) as indicated by the terms of the contract. Disparities between the timing of revenue recognition and customer billings and cash collections result in net contract assets or liabilities being recognized at the end of each reporting period.</w:t>
      </w:r>
    </w:p>
    <w:p>
      <w:pPr>
        <w:spacing w:after="0" w:line="80"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Contract assets primarily consist of unbilled receivables typically resulting from revenue recognized exceeding the amount billed to the customer and right to payment is not just subject to the passage of time. Unbilled amounts represent revenues for which billings have not been presented to customers. These amounts are generally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Contract liabilities primarily consist of advance payments, billings in excess of costs incurred and deferred revenue. Contract assets and liabilities are reported on a net contract basis at the end of each reporting period. The Company maintains an allowance for credit losses to provide for an estimate of uncollectible receivables. Provision for credit losses recognized was not material for the three and nine months ended December 31, 2022 and 2021.</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8" w:lineRule="exact"/>
        <w:rPr>
          <w:sz w:val="20"/>
          <w:szCs w:val="20"/>
          <w:color w:val="auto"/>
        </w:rPr>
      </w:pPr>
    </w:p>
    <w:p>
      <w:pPr>
        <w:ind w:right="340" w:firstLine="395"/>
        <w:spacing w:after="0" w:line="265" w:lineRule="auto"/>
        <w:rPr>
          <w:sz w:val="20"/>
          <w:szCs w:val="20"/>
          <w:color w:val="auto"/>
        </w:rPr>
      </w:pPr>
      <w:r>
        <w:rPr>
          <w:rFonts w:ascii="Times New Roman" w:cs="Times New Roman" w:eastAsia="Times New Roman" w:hAnsi="Times New Roman"/>
          <w:sz w:val="18"/>
          <w:szCs w:val="18"/>
          <w:color w:val="auto"/>
        </w:rPr>
        <w:t>The following table summarizes the contract assets and liabilities, and accounts receivable, net of allowance recognized on the Company’s condensed consolidated balance sheets:</w:t>
      </w:r>
    </w:p>
    <w:tbl>
      <w:tblPr>
        <w:tblLayout w:type="fixed"/>
        <w:tblInd w:w="0" w:type="dxa"/>
        <w:tblCellMar>
          <w:top w:w="0" w:type="dxa"/>
          <w:left w:w="0" w:type="dxa"/>
          <w:bottom w:w="0" w:type="dxa"/>
          <w:right w:w="0" w:type="dxa"/>
        </w:tblCellMar>
      </w:tblPr>
      <w:tr>
        <w:trPr>
          <w:trHeight w:val="180"/>
        </w:trPr>
        <w:tc>
          <w:tcPr>
            <w:tcW w:w="7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5"/>
                <w:szCs w:val="15"/>
                <w:color w:val="auto"/>
              </w:rPr>
            </w:pPr>
          </w:p>
        </w:tc>
        <w:tc>
          <w:tcPr>
            <w:tcW w:w="1320" w:type="dxa"/>
            <w:vAlign w:val="bottom"/>
          </w:tcPr>
          <w:p>
            <w:pPr>
              <w:jc w:val="right"/>
              <w:ind w:right="312"/>
              <w:spacing w:after="0" w:line="180"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34"/>
        </w:trPr>
        <w:tc>
          <w:tcPr>
            <w:tcW w:w="74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4"/>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receivable–billed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624,317</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465,322</w:t>
            </w:r>
          </w:p>
        </w:tc>
      </w:tr>
      <w:tr>
        <w:trPr>
          <w:trHeight w:val="224"/>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receivable–unbilled (contract 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1,183,522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1,157,667</w:t>
            </w:r>
          </w:p>
        </w:tc>
      </w:tr>
      <w:tr>
        <w:trPr>
          <w:trHeight w:val="224"/>
        </w:trPr>
        <w:tc>
          <w:tcPr>
            <w:tcW w:w="7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1,807,776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1,622,989</w:t>
            </w:r>
          </w:p>
        </w:tc>
      </w:tr>
      <w:tr>
        <w:trPr>
          <w:trHeight w:val="22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receivable–unbilled (contract assets)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64,339</w:t>
            </w:r>
          </w:p>
        </w:tc>
      </w:tr>
      <w:tr>
        <w:trPr>
          <w:trHeight w:val="217"/>
        </w:trPr>
        <w:tc>
          <w:tcPr>
            <w:tcW w:w="7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1,866,721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1,687,328</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0"/>
        </w:trPr>
        <w:tc>
          <w:tcPr>
            <w:tcW w:w="74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28"/>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Advance payments, billings in excess of costs incurred and deferred revenue (contract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21,619</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26,747</w:t>
            </w:r>
          </w:p>
        </w:tc>
      </w:tr>
    </w:tbl>
    <w:p>
      <w:pPr>
        <w:spacing w:after="0" w:line="122"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Changes in contract assets and contract liabilities are primarily due to the timing difference between the Company’s performance of services and payments from customers. For the three months ended December 31, 2022 and 2021, we recognized revenue of $4.2 million and $0.1 million, respectively, and for the nine months ended December 31, 2022 and 2021, we recognized revenue of $24.2 million and $14.3 million, respectively, related to our contract liabilities on April 1, 2022 and 2021,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111" w:lineRule="exact"/>
        <w:rPr>
          <w:sz w:val="20"/>
          <w:szCs w:val="20"/>
          <w:color w:val="auto"/>
        </w:rPr>
      </w:pPr>
    </w:p>
    <w:p>
      <w:pPr>
        <w:ind w:right="20" w:firstLine="395"/>
        <w:spacing w:after="0" w:line="303" w:lineRule="auto"/>
        <w:rPr>
          <w:sz w:val="20"/>
          <w:szCs w:val="20"/>
          <w:color w:val="auto"/>
        </w:rPr>
      </w:pPr>
      <w:r>
        <w:rPr>
          <w:rFonts w:ascii="Times New Roman" w:cs="Times New Roman" w:eastAsia="Times New Roman" w:hAnsi="Times New Roman"/>
          <w:sz w:val="16"/>
          <w:szCs w:val="16"/>
          <w:color w:val="auto"/>
        </w:rPr>
        <w:t>The Company computes basic and diluted earnings per share amounts based on net income attributable to common stockholders for the periods presented. The Company uses the weighted-average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40"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were paid in the first, second, and third quarters of fiscal 2023 and 2022.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120" w:type="dxa"/>
            <w:vAlign w:val="bottom"/>
          </w:tcPr>
          <w:p>
            <w:pPr>
              <w:spacing w:after="0"/>
              <w:rPr>
                <w:sz w:val="18"/>
                <w:szCs w:val="18"/>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54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5400" w:type="dxa"/>
            <w:vAlign w:val="bottom"/>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 xml:space="preserve">Earnings for basic computations </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337,607</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w w:val="99"/>
              </w:rPr>
              <w:t>Weighted-average common shares outstanding for basic computations</w:t>
            </w:r>
          </w:p>
        </w:tc>
        <w:tc>
          <w:tcPr>
            <w:tcW w:w="3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132,224,802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133,587,858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132,286,243</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134,629,367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5400" w:type="dxa"/>
            <w:vAlign w:val="bottom"/>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 xml:space="preserve">Earnings for diluted computations </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337,612</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Dilutive stock options and restricted stock</w:t>
            </w:r>
          </w:p>
        </w:tc>
        <w:tc>
          <w:tcPr>
            <w:tcW w:w="3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535,075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674,392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545,326</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Weighted-average common shares outstanding for diluted computations</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132,759,877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134,262,250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132,831,569</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135,314,226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54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Earnings per common share</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4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2.54</w:t>
            </w:r>
          </w:p>
        </w:tc>
        <w:tc>
          <w:tcPr>
            <w:tcW w:w="280" w:type="dxa"/>
            <w:vAlign w:val="bottom"/>
            <w:tcBorders>
              <w:top w:val="single" w:sz="8" w:color="auto"/>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1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20" w:type="dxa"/>
            <w:vAlign w:val="bottom"/>
            <w:tcBorders>
              <w:bottom w:val="single" w:sz="8" w:color="9A9A9A"/>
            </w:tcBorders>
          </w:tcPr>
          <w:p>
            <w:pPr>
              <w:spacing w:after="0"/>
              <w:rPr>
                <w:sz w:val="9"/>
                <w:szCs w:val="9"/>
                <w:color w:val="auto"/>
              </w:rPr>
            </w:pPr>
          </w:p>
        </w:tc>
        <w:tc>
          <w:tcPr>
            <w:tcW w:w="54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4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50" w:lineRule="exact"/>
        <w:rPr>
          <w:sz w:val="20"/>
          <w:szCs w:val="20"/>
          <w:color w:val="auto"/>
        </w:rPr>
      </w:pPr>
    </w:p>
    <w:p>
      <w:pPr>
        <w:ind w:left="240" w:firstLine="2"/>
        <w:spacing w:after="0" w:line="252" w:lineRule="auto"/>
        <w:tabs>
          <w:tab w:leader="none" w:pos="416" w:val="left"/>
        </w:tabs>
        <w:numPr>
          <w:ilvl w:val="1"/>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During the three months ended December 31, 2022 and 2021, approximately 1.1 million and 1.0 million participating securities were paid dividends totaling $0.5 million and $0.4 million, respectively. During the nine months ended December 31, 2022 and 2021, approximately 1.0 million and 0.9 million participating securities were paid dividends totaling $1.3 million and $1.0 million, respectively. There were undistributed earnings of $— million and $0.6 million for the three months ended December 31, 2022 and 2021, respectively, allocated to the participating class of securities in both basic and diluted EPS. There were undistributed earnings of $1.3 million and $1.5 million for the nine months ended December 31, 2022 and 2021, respectively, allocated to the participating class of securities in both basic and diluted EPS. The allocated undistributed earnings and the dividends paid comprise the difference between net income presented on the condensed consolidated statements of operations and earnings for basic and diluted computations for the three and nine months ended December 31, 2022 and 2021. The impact of any anti-dilutive options excluded from the calculation of EPS was not material.</w:t>
      </w:r>
    </w:p>
    <w:p>
      <w:pPr>
        <w:spacing w:after="0" w:line="259" w:lineRule="exact"/>
        <w:rPr>
          <w:rFonts w:ascii="Times New Roman" w:cs="Times New Roman" w:eastAsia="Times New Roman" w:hAnsi="Times New Roman"/>
          <w:sz w:val="22"/>
          <w:szCs w:val="22"/>
          <w:color w:val="auto"/>
          <w:vertAlign w:val="superscript"/>
        </w:rPr>
      </w:pPr>
    </w:p>
    <w:p>
      <w:pPr>
        <w:ind w:left="180" w:hanging="175"/>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Divestiture and Goodwill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w:t>
      </w:r>
    </w:p>
    <w:p>
      <w:pPr>
        <w:spacing w:after="0" w:line="113" w:lineRule="exact"/>
        <w:rPr>
          <w:sz w:val="20"/>
          <w:szCs w:val="20"/>
          <w:color w:val="auto"/>
        </w:rPr>
      </w:pPr>
    </w:p>
    <w:p>
      <w:pPr>
        <w:ind w:right="540" w:firstLine="395"/>
        <w:spacing w:after="0" w:line="252" w:lineRule="auto"/>
        <w:rPr>
          <w:sz w:val="20"/>
          <w:szCs w:val="20"/>
          <w:color w:val="auto"/>
        </w:rPr>
      </w:pPr>
      <w:r>
        <w:rPr>
          <w:rFonts w:ascii="Times New Roman" w:cs="Times New Roman" w:eastAsia="Times New Roman" w:hAnsi="Times New Roman"/>
          <w:sz w:val="18"/>
          <w:szCs w:val="18"/>
          <w:color w:val="auto"/>
        </w:rPr>
        <w:t>On October 14, 2022, the Company completed the acquisition of EverWatch Corp. (“EverWatch”), a leading provider of advanced solutions to the defense and intelligence communities for approximately $444.8 million, net of post-closing adjustments and transaction costs incurred as part of the acquisition. The acquisition was funded with cash on hand. As a result of the transaction, EverWatch became a wholly owned subsidiary of Booz Allen Hamilton Inc.</w:t>
      </w:r>
    </w:p>
    <w:p>
      <w:pPr>
        <w:spacing w:after="0" w:line="78" w:lineRule="exact"/>
        <w:rPr>
          <w:sz w:val="20"/>
          <w:szCs w:val="20"/>
          <w:color w:val="auto"/>
        </w:rPr>
      </w:pPr>
    </w:p>
    <w:p>
      <w:pPr>
        <w:jc w:val="both"/>
        <w:ind w:right="40" w:firstLine="395"/>
        <w:spacing w:after="0" w:line="256" w:lineRule="auto"/>
        <w:rPr>
          <w:sz w:val="20"/>
          <w:szCs w:val="20"/>
          <w:color w:val="auto"/>
        </w:rPr>
      </w:pPr>
      <w:r>
        <w:rPr>
          <w:rFonts w:ascii="Times New Roman" w:cs="Times New Roman" w:eastAsia="Times New Roman" w:hAnsi="Times New Roman"/>
          <w:sz w:val="18"/>
          <w:szCs w:val="18"/>
          <w:color w:val="auto"/>
        </w:rPr>
        <w:t>Under the terms of the purchase agreement, the Company has 120 days after closing to provide proposed post-closing working capital adjustments to the sellers which are subject to dispute. The final purchase price allocations will be completed after the underlying information has been finalized and agreed upon by the sellers and the Company.</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consideration and the preliminary allocation of the purchase price paid for EverWatch:</w:t>
      </w:r>
    </w:p>
    <w:p>
      <w:pPr>
        <w:spacing w:after="0" w:line="285" w:lineRule="exact"/>
        <w:rPr>
          <w:sz w:val="20"/>
          <w:szCs w:val="20"/>
          <w:color w:val="auto"/>
        </w:rPr>
      </w:pPr>
    </w:p>
    <w:tbl>
      <w:tblPr>
        <w:tblLayout w:type="fixed"/>
        <w:tblInd w:w="640" w:type="dxa"/>
        <w:tblCellMar>
          <w:top w:w="0" w:type="dxa"/>
          <w:left w:w="0" w:type="dxa"/>
          <w:bottom w:w="0" w:type="dxa"/>
          <w:right w:w="0" w:type="dxa"/>
        </w:tblCellMar>
      </w:tblPr>
      <w:tr>
        <w:trPr>
          <w:trHeight w:val="224"/>
        </w:trPr>
        <w:tc>
          <w:tcPr>
            <w:tcW w:w="7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Cash consideration (gross of cash acquired)</w:t>
            </w:r>
          </w:p>
        </w:tc>
        <w:tc>
          <w:tcPr>
            <w:tcW w:w="500" w:type="dxa"/>
            <w:vAlign w:val="bottom"/>
            <w:shd w:val="clear" w:color="auto" w:fill="BFE4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444,847</w:t>
            </w:r>
          </w:p>
        </w:tc>
      </w:tr>
      <w:tr>
        <w:trPr>
          <w:trHeight w:val="250"/>
        </w:trPr>
        <w:tc>
          <w:tcPr>
            <w:tcW w:w="7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4"/>
        </w:trPr>
        <w:tc>
          <w:tcPr>
            <w:tcW w:w="7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Purchase price allocation:</w:t>
            </w:r>
          </w:p>
        </w:tc>
        <w:tc>
          <w:tcPr>
            <w:tcW w:w="50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r>
      <w:tr>
        <w:trPr>
          <w:trHeight w:val="224"/>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w:t>
            </w:r>
          </w:p>
        </w:tc>
      </w:tr>
      <w:tr>
        <w:trPr>
          <w:trHeight w:val="224"/>
        </w:trPr>
        <w:tc>
          <w:tcPr>
            <w:tcW w:w="7320" w:type="dxa"/>
            <w:vAlign w:val="bottom"/>
            <w:shd w:val="clear" w:color="auto" w:fill="BFE4FF"/>
          </w:tcPr>
          <w:p>
            <w:pPr>
              <w:ind w:left="220"/>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27,305</w:t>
            </w:r>
          </w:p>
        </w:tc>
      </w:tr>
      <w:tr>
        <w:trPr>
          <w:trHeight w:val="224"/>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w:t>
            </w:r>
          </w:p>
        </w:tc>
      </w:tr>
      <w:tr>
        <w:trPr>
          <w:trHeight w:val="224"/>
        </w:trPr>
        <w:tc>
          <w:tcPr>
            <w:tcW w:w="7320" w:type="dxa"/>
            <w:vAlign w:val="bottom"/>
            <w:shd w:val="clear" w:color="auto" w:fill="BFE4FF"/>
          </w:tcPr>
          <w:p>
            <w:pPr>
              <w:ind w:left="220"/>
              <w:spacing w:after="0"/>
              <w:rPr>
                <w:sz w:val="20"/>
                <w:szCs w:val="20"/>
                <w:color w:val="auto"/>
              </w:rPr>
            </w:pPr>
            <w:r>
              <w:rPr>
                <w:rFonts w:ascii="Times New Roman" w:cs="Times New Roman" w:eastAsia="Times New Roman" w:hAnsi="Times New Roman"/>
                <w:sz w:val="18"/>
                <w:szCs w:val="18"/>
                <w:color w:val="auto"/>
              </w:rPr>
              <w:t>Other long-term assets</w:t>
            </w:r>
          </w:p>
        </w:tc>
        <w:tc>
          <w:tcPr>
            <w:tcW w:w="50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4,119</w:t>
            </w:r>
          </w:p>
        </w:tc>
      </w:tr>
      <w:tr>
        <w:trPr>
          <w:trHeight w:val="224"/>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125,100</w:t>
            </w:r>
          </w:p>
        </w:tc>
      </w:tr>
      <w:tr>
        <w:trPr>
          <w:trHeight w:val="224"/>
        </w:trPr>
        <w:tc>
          <w:tcPr>
            <w:tcW w:w="7320" w:type="dxa"/>
            <w:vAlign w:val="bottom"/>
            <w:shd w:val="clear" w:color="auto" w:fill="BFE4FF"/>
          </w:tcPr>
          <w:p>
            <w:pPr>
              <w:ind w:left="2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0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(29,525)</w:t>
            </w:r>
          </w:p>
        </w:tc>
      </w:tr>
      <w:tr>
        <w:trPr>
          <w:trHeight w:val="224"/>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(11,625)</w:t>
            </w:r>
          </w:p>
        </w:tc>
      </w:tr>
      <w:tr>
        <w:trPr>
          <w:trHeight w:val="224"/>
        </w:trPr>
        <w:tc>
          <w:tcPr>
            <w:tcW w:w="7320" w:type="dxa"/>
            <w:vAlign w:val="bottom"/>
            <w:shd w:val="clear" w:color="auto" w:fill="BFE4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short-term</w:t>
            </w:r>
          </w:p>
        </w:tc>
        <w:tc>
          <w:tcPr>
            <w:tcW w:w="50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24"/>
        </w:trPr>
        <w:tc>
          <w:tcPr>
            <w:tcW w:w="7320" w:type="dxa"/>
            <w:vAlign w:val="bottom"/>
            <w:tcBorders>
              <w:bottom w:val="single" w:sz="8" w:color="BFE4FF"/>
            </w:tcBorders>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w:t>
            </w:r>
          </w:p>
        </w:tc>
      </w:tr>
      <w:tr>
        <w:trPr>
          <w:trHeight w:val="217"/>
        </w:trPr>
        <w:tc>
          <w:tcPr>
            <w:tcW w:w="7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Total fair value of identifiable net assets acquired</w:t>
            </w:r>
          </w:p>
        </w:tc>
        <w:tc>
          <w:tcPr>
            <w:tcW w:w="500" w:type="dxa"/>
            <w:vAlign w:val="bottom"/>
            <w:shd w:val="clear" w:color="auto" w:fill="BFE4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120,153</w:t>
            </w:r>
          </w:p>
        </w:tc>
      </w:tr>
      <w:tr>
        <w:trPr>
          <w:trHeight w:val="250"/>
        </w:trPr>
        <w:tc>
          <w:tcPr>
            <w:tcW w:w="7320" w:type="dxa"/>
            <w:vAlign w:val="bottom"/>
            <w:tcBorders>
              <w:bottom w:val="single" w:sz="8" w:color="BFE4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42"/>
        </w:trPr>
        <w:tc>
          <w:tcPr>
            <w:tcW w:w="732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auto"/>
            </w:tcBorders>
            <w:shd w:val="clear" w:color="auto" w:fill="BFE4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b w:val="1"/>
                <w:bCs w:val="1"/>
                <w:color w:val="auto"/>
              </w:rPr>
              <w:t>324,694</w:t>
            </w:r>
          </w:p>
        </w:tc>
      </w:tr>
      <w:tr>
        <w:trPr>
          <w:trHeight w:val="20"/>
        </w:trPr>
        <w:tc>
          <w:tcPr>
            <w:tcW w:w="7320" w:type="dxa"/>
            <w:vAlign w:val="bottom"/>
            <w:tcBorders>
              <w:top w:val="single" w:sz="8" w:color="BFE4FF"/>
            </w:tcBorders>
          </w:tcPr>
          <w:p>
            <w:pPr>
              <w:spacing w:after="0" w:line="20" w:lineRule="exact"/>
              <w:rPr>
                <w:sz w:val="1"/>
                <w:szCs w:val="1"/>
                <w:color w:val="auto"/>
              </w:rPr>
            </w:pPr>
          </w:p>
        </w:tc>
        <w:tc>
          <w:tcPr>
            <w:tcW w:w="500" w:type="dxa"/>
            <w:vAlign w:val="bottom"/>
            <w:tcBorders>
              <w:top w:val="single" w:sz="8" w:color="BFE4FF"/>
              <w:bottom w:val="single" w:sz="8" w:color="auto"/>
            </w:tcBorders>
          </w:tcPr>
          <w:p>
            <w:pPr>
              <w:spacing w:after="0" w:line="20" w:lineRule="exact"/>
              <w:rPr>
                <w:sz w:val="1"/>
                <w:szCs w:val="1"/>
                <w:color w:val="auto"/>
              </w:rPr>
            </w:pPr>
          </w:p>
        </w:tc>
        <w:tc>
          <w:tcPr>
            <w:tcW w:w="1040" w:type="dxa"/>
            <w:vAlign w:val="bottom"/>
            <w:tcBorders>
              <w:top w:val="single" w:sz="8" w:color="BFE4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180" w:firstLine="632"/>
        <w:spacing w:after="0" w:line="303" w:lineRule="auto"/>
        <w:rPr>
          <w:sz w:val="20"/>
          <w:szCs w:val="20"/>
          <w:color w:val="auto"/>
        </w:rPr>
      </w:pPr>
      <w:r>
        <w:rPr>
          <w:rFonts w:ascii="Times New Roman" w:cs="Times New Roman" w:eastAsia="Times New Roman" w:hAnsi="Times New Roman"/>
          <w:sz w:val="16"/>
          <w:szCs w:val="16"/>
          <w:color w:val="auto"/>
        </w:rPr>
        <w:t>The acquisition is accounted for under the acquisition method of accounting, which requires the total acquisition consideration to be allocated to the assets acquired and liabilities assumed based on an estimate of the acquisition date fair value, with the difference reflected in goodwill. The preliminary goodwill of $324.7 million is primarily attributable to EverWatch's specialized workforce and the expected synergies between the Company and EverWatch.</w:t>
      </w:r>
    </w:p>
    <w:p>
      <w:pPr>
        <w:spacing w:after="0" w:line="27" w:lineRule="exact"/>
        <w:rPr>
          <w:sz w:val="20"/>
          <w:szCs w:val="20"/>
          <w:color w:val="auto"/>
        </w:rPr>
      </w:pPr>
    </w:p>
    <w:p>
      <w:pPr>
        <w:ind w:right="40" w:firstLine="632"/>
        <w:spacing w:after="0" w:line="237" w:lineRule="auto"/>
        <w:rPr>
          <w:sz w:val="20"/>
          <w:szCs w:val="20"/>
          <w:color w:val="auto"/>
        </w:rPr>
      </w:pPr>
      <w:r>
        <w:rPr>
          <w:rFonts w:ascii="Times New Roman" w:cs="Times New Roman" w:eastAsia="Times New Roman" w:hAnsi="Times New Roman"/>
          <w:sz w:val="18"/>
          <w:szCs w:val="18"/>
          <w:color w:val="auto"/>
        </w:rPr>
        <w:t>The Company preliminarily recognized $125.1 million of intangible assets which consists of contract assets and backlog, and will be valued using the excess earnings method discounted cash flow approach, incorporating Level 3 inputs as described under the fair value hierarchy of Topic 820. These unobservable inputs will reflect the Company's own judgment about which assumptions market participants would use in pricing an asset on a non-recurring basis. The intangible assets are expected to be amortized over the estimated useful life of 17 years.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6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8" w:lineRule="exact"/>
        <w:rPr>
          <w:sz w:val="20"/>
          <w:szCs w:val="20"/>
          <w:color w:val="auto"/>
        </w:rPr>
      </w:pPr>
    </w:p>
    <w:p>
      <w:pPr>
        <w:ind w:right="580" w:firstLine="632"/>
        <w:spacing w:after="0" w:line="254" w:lineRule="auto"/>
        <w:rPr>
          <w:sz w:val="20"/>
          <w:szCs w:val="20"/>
          <w:color w:val="auto"/>
        </w:rPr>
      </w:pPr>
      <w:r>
        <w:rPr>
          <w:rFonts w:ascii="Times New Roman" w:cs="Times New Roman" w:eastAsia="Times New Roman" w:hAnsi="Times New Roman"/>
          <w:sz w:val="18"/>
          <w:szCs w:val="18"/>
          <w:color w:val="auto"/>
        </w:rPr>
        <w:t>The valuation of assets acquired and liabilities assumed are preliminary and based on valuation estimates and assumptions. The accounting for business combinations requires estimates and judgments regarding expectations of</w:t>
      </w:r>
    </w:p>
    <w:p>
      <w:pPr>
        <w:spacing w:after="0" w:line="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future cash flows of the acquired business, and the allocations of those cash flows to identifiable tangible and intangible assets. The estimates, assumptions and discount rate underlying the preliminary valuations are subject to collection of information necessary to complete the valuations (specifically related to projected financial information) within the measurement period, which is up to one year from the acquisition date. Although the Company does not currently expect material changes to the initial value of net assets acquired, the Company continues to evaluate assumptions related to the valuation of the assets acquired and liabilities assumed. Any adjustments to our estimates of purchase price allocation will be made in the periods in which the adjustments are determined, and the cumulative effect of such adjustments will be calculated as if the adjustments had been completed as of the acquisition dates.</w:t>
      </w:r>
    </w:p>
    <w:p>
      <w:pPr>
        <w:spacing w:after="0" w:line="88" w:lineRule="exact"/>
        <w:rPr>
          <w:sz w:val="20"/>
          <w:szCs w:val="20"/>
          <w:color w:val="auto"/>
        </w:rPr>
      </w:pPr>
    </w:p>
    <w:p>
      <w:pPr>
        <w:ind w:right="200" w:firstLine="632"/>
        <w:spacing w:after="0" w:line="268" w:lineRule="auto"/>
        <w:rPr>
          <w:sz w:val="20"/>
          <w:szCs w:val="20"/>
          <w:color w:val="auto"/>
        </w:rPr>
      </w:pPr>
      <w:r>
        <w:rPr>
          <w:rFonts w:ascii="Times New Roman" w:cs="Times New Roman" w:eastAsia="Times New Roman" w:hAnsi="Times New Roman"/>
          <w:sz w:val="18"/>
          <w:szCs w:val="18"/>
          <w:color w:val="auto"/>
        </w:rPr>
        <w:t>Pro forma results of operations for this acquisition are not presented because the acquisition is not material to the Company's consolidated results of operations.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Middle East and North Africa Management Consulting Business</w:t>
      </w:r>
    </w:p>
    <w:p>
      <w:pPr>
        <w:spacing w:after="0" w:line="11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On September 1, 2022, the Company completed the divestiture of its management consulting business serving the Middle East and North Africa (“MENA”) region to Oliver Wyman, a global management consulting firm and a business of Marsh McLennan. The divestiture was substantially comprised of the contracts associated with the MENA business, the assets and liabilities associated with those contracts, and the workforce that provides services under those contracts.</w:t>
      </w:r>
    </w:p>
    <w:p>
      <w:pPr>
        <w:spacing w:after="0" w:line="78" w:lineRule="exact"/>
        <w:rPr>
          <w:sz w:val="20"/>
          <w:szCs w:val="20"/>
          <w:color w:val="auto"/>
        </w:rPr>
      </w:pPr>
    </w:p>
    <w:p>
      <w:pPr>
        <w:jc w:val="both"/>
        <w:ind w:right="220" w:firstLine="395"/>
        <w:spacing w:after="0" w:line="256" w:lineRule="auto"/>
        <w:rPr>
          <w:sz w:val="20"/>
          <w:szCs w:val="20"/>
          <w:color w:val="auto"/>
        </w:rPr>
      </w:pPr>
      <w:r>
        <w:rPr>
          <w:rFonts w:ascii="Times New Roman" w:cs="Times New Roman" w:eastAsia="Times New Roman" w:hAnsi="Times New Roman"/>
          <w:sz w:val="18"/>
          <w:szCs w:val="18"/>
          <w:color w:val="auto"/>
        </w:rPr>
        <w:t>As a result of this transaction, during the second quarter the Company de-recognized the assets and liabilities associated with the MENA business and recognized a pre-tax gain of $31.2 million, which is reflected in other income, net, on the condensed consolidated statement of operations. The consideration for the sale of the business is subject to customary working capital adjustments, which may impact the amount of gain recognized.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Managed Threat Services Business</w:t>
      </w:r>
    </w:p>
    <w:p>
      <w:pPr>
        <w:spacing w:after="0" w:line="111"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On December 5, 2022, the Company completed the divestiture of its commercial Managed Threat Services (“MTS”) business to Security On-Demand. The divestiture was substantially comprised of the contracts associated with the MTS business, the assets and liabilities associated with those contracts, and the workforce that provides services under those contracts.</w:t>
      </w:r>
    </w:p>
    <w:p>
      <w:pPr>
        <w:spacing w:after="0" w:line="75" w:lineRule="exact"/>
        <w:rPr>
          <w:sz w:val="20"/>
          <w:szCs w:val="20"/>
          <w:color w:val="auto"/>
        </w:rPr>
      </w:pPr>
    </w:p>
    <w:p>
      <w:pPr>
        <w:ind w:right="100" w:firstLine="395"/>
        <w:spacing w:after="0" w:line="303" w:lineRule="auto"/>
        <w:rPr>
          <w:sz w:val="20"/>
          <w:szCs w:val="20"/>
          <w:color w:val="auto"/>
        </w:rPr>
      </w:pPr>
      <w:r>
        <w:rPr>
          <w:rFonts w:ascii="Times New Roman" w:cs="Times New Roman" w:eastAsia="Times New Roman" w:hAnsi="Times New Roman"/>
          <w:sz w:val="16"/>
          <w:szCs w:val="16"/>
          <w:color w:val="auto"/>
        </w:rPr>
        <w:t>As a result of this transaction, during the third quarter the Company de-recognized the assets and liabilities associated with the MTS business and recognized a pre-tax gain of $4.6 million which is reflected in other income, net, on the condensed consolidated statement of operations. The consideration for the sale of the business is subject to customary working capital adjustments and contingent consideration, which may impact the amount of gain recognized.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Deconsolidation</w:t>
      </w:r>
    </w:p>
    <w:p>
      <w:pPr>
        <w:spacing w:after="0" w:line="113"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In December 2022, the Company forfeited certain participating rights of a consolidated artificial intelligence software platform business which has unrelated third-party interest holders and is classified as a variable interest entity (VIE). As a result of this transaction, the Company determined that it is not the primary beneficiary of the VIE and thus de-recognized the assets, liabilities and non-controlling interest of this business. The Company recorded the fair value of our retained equity investment of $7.6 million which is accounted for under the measurement alternative. The resulting pre-tax gain, calculated as the investment value less the net de-recognized balances, was $8.9 million and is reflected in other income, net, on the condensed consolidated statement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3"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As of December 31, 2022 and March 31, 2022, goodwill was $2,337.6 million and $2,021.9 million, respectively. The increase in the carrying amount of goodwill was attributable the Company's acquisition of EverWatch, and the $324.7 million goodwill acquired is expected to be non-deductible for tax purposes. The Company allocated approximately $7.0 million and $2.0 million of goodwill to the MENA business and the MTS business, respectively, as part of the divestitures noted above.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0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Accounts Payable and Other Accrued Expenses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16"/>
        </w:trPr>
        <w:tc>
          <w:tcPr>
            <w:tcW w:w="440" w:type="dxa"/>
            <w:vAlign w:val="bottom"/>
          </w:tcPr>
          <w:p>
            <w:pPr>
              <w:spacing w:after="0"/>
              <w:rPr>
                <w:sz w:val="24"/>
                <w:szCs w:val="24"/>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accrued expenses consisted of the following:</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1"/>
        </w:trPr>
        <w:tc>
          <w:tcPr>
            <w:tcW w:w="44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21"/>
                <w:szCs w:val="21"/>
                <w:color w:val="auto"/>
              </w:rPr>
            </w:pPr>
          </w:p>
        </w:tc>
        <w:tc>
          <w:tcPr>
            <w:tcW w:w="13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4"/>
        </w:trPr>
        <w:tc>
          <w:tcPr>
            <w:tcW w:w="440" w:type="dxa"/>
            <w:vAlign w:val="bottom"/>
          </w:tcPr>
          <w:p>
            <w:pPr>
              <w:spacing w:after="0"/>
              <w:rPr>
                <w:sz w:val="20"/>
                <w:szCs w:val="20"/>
                <w:color w:val="auto"/>
              </w:rPr>
            </w:pPr>
          </w:p>
        </w:tc>
        <w:tc>
          <w:tcPr>
            <w:tcW w:w="69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0"/>
        </w:trPr>
        <w:tc>
          <w:tcPr>
            <w:tcW w:w="440" w:type="dxa"/>
            <w:vAlign w:val="bottom"/>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Vendor payables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539,524</w:t>
            </w:r>
          </w:p>
        </w:tc>
      </w:tr>
      <w:tr>
        <w:trPr>
          <w:trHeight w:val="224"/>
        </w:trPr>
        <w:tc>
          <w:tcPr>
            <w:tcW w:w="440" w:type="dxa"/>
            <w:vAlign w:val="bottom"/>
          </w:tcPr>
          <w:p>
            <w:pPr>
              <w:spacing w:after="0"/>
              <w:rPr>
                <w:sz w:val="19"/>
                <w:szCs w:val="19"/>
                <w:color w:val="auto"/>
              </w:rPr>
            </w:pPr>
          </w:p>
        </w:tc>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363,092</w:t>
            </w:r>
          </w:p>
        </w:tc>
      </w:tr>
      <w:tr>
        <w:trPr>
          <w:trHeight w:val="242"/>
        </w:trPr>
        <w:tc>
          <w:tcPr>
            <w:tcW w:w="440" w:type="dxa"/>
            <w:vAlign w:val="bottom"/>
          </w:tcPr>
          <w:p>
            <w:pPr>
              <w:spacing w:after="0"/>
              <w:rPr>
                <w:sz w:val="20"/>
                <w:szCs w:val="20"/>
                <w:color w:val="auto"/>
              </w:rPr>
            </w:pPr>
          </w:p>
        </w:tc>
        <w:tc>
          <w:tcPr>
            <w:tcW w:w="6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accounts payable and other accrued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902,616</w:t>
            </w:r>
          </w:p>
        </w:tc>
      </w:tr>
      <w:tr>
        <w:trPr>
          <w:trHeight w:val="20"/>
        </w:trPr>
        <w:tc>
          <w:tcPr>
            <w:tcW w:w="440" w:type="dxa"/>
            <w:vAlign w:val="bottom"/>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60" w:firstLine="434"/>
        <w:spacing w:after="0" w:line="252" w:lineRule="auto"/>
        <w:rPr>
          <w:sz w:val="20"/>
          <w:szCs w:val="20"/>
          <w:color w:val="auto"/>
        </w:rPr>
      </w:pPr>
      <w:r>
        <w:rPr>
          <w:rFonts w:ascii="Times New Roman" w:cs="Times New Roman" w:eastAsia="Times New Roman" w:hAnsi="Times New Roman"/>
          <w:sz w:val="18"/>
          <w:szCs w:val="18"/>
          <w:color w:val="auto"/>
        </w:rPr>
        <w:t>Accrued expenses consisted primarily of the Company’s provision for claimed indirect costs (approximately $311.6 million and $290.4 million as of December 31, 2022 and March 31, 2022, respectively), and the reserve associated with the U.S. Department of Justice's investigation of the Company ($124.0 million as of December 31, 2022). See Note 15, “Commitments and Contingencies,” to the condensed consolidated financial statements for further discussion of this provision.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Accrued Compensation and Benefits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20" w:type="dxa"/>
            <w:vAlign w:val="bottom"/>
          </w:tcPr>
          <w:p>
            <w:pPr>
              <w:spacing w:after="0"/>
              <w:rPr>
                <w:sz w:val="24"/>
                <w:szCs w:val="24"/>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 consisted of the following:</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500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50,615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accrued compensation and benefits</w:t>
            </w: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430,135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522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20" w:type="dxa"/>
            <w:vAlign w:val="bottom"/>
          </w:tcPr>
          <w:p>
            <w:pPr>
              <w:spacing w:after="0"/>
              <w:rPr>
                <w:sz w:val="24"/>
                <w:szCs w:val="24"/>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consisted of the following:</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920" w:type="dxa"/>
            <w:vAlign w:val="bottom"/>
            <w:tcBorders>
              <w:bottom w:val="single" w:sz="8" w:color="auto"/>
            </w:tcBorders>
            <w:gridSpan w:val="5"/>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2"/>
                <w:szCs w:val="22"/>
                <w:color w:val="auto"/>
              </w:rPr>
            </w:pPr>
          </w:p>
        </w:tc>
        <w:tc>
          <w:tcPr>
            <w:tcW w:w="2920" w:type="dxa"/>
            <w:vAlign w:val="bottom"/>
            <w:tcBorders>
              <w:bottom w:val="single" w:sz="8" w:color="auto"/>
            </w:tcBorders>
            <w:gridSpan w:val="7"/>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8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40" w:type="dxa"/>
            <w:vAlign w:val="bottom"/>
          </w:tcPr>
          <w:p>
            <w:pPr>
              <w:spacing w:after="0"/>
              <w:rPr>
                <w:sz w:val="14"/>
                <w:szCs w:val="14"/>
                <w:color w:val="auto"/>
              </w:rPr>
            </w:pPr>
          </w:p>
        </w:tc>
        <w:tc>
          <w:tcPr>
            <w:tcW w:w="1200" w:type="dxa"/>
            <w:vAlign w:val="bottom"/>
            <w:gridSpan w:val="2"/>
          </w:tcPr>
          <w:p>
            <w:pPr>
              <w:jc w:val="right"/>
              <w:ind w:right="112"/>
              <w:spacing w:after="0" w:line="170"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14"/>
                <w:szCs w:val="14"/>
                <w:color w:val="auto"/>
              </w:rPr>
            </w:pPr>
          </w:p>
        </w:tc>
        <w:tc>
          <w:tcPr>
            <w:tcW w:w="1320" w:type="dxa"/>
            <w:vAlign w:val="bottom"/>
            <w:gridSpan w:val="2"/>
          </w:tcPr>
          <w:p>
            <w:pPr>
              <w:jc w:val="center"/>
              <w:ind w:left="52"/>
              <w:spacing w:after="0" w:line="170" w:lineRule="exact"/>
              <w:rPr>
                <w:sz w:val="20"/>
                <w:szCs w:val="20"/>
                <w:color w:val="auto"/>
              </w:rPr>
            </w:pPr>
            <w:r>
              <w:rPr>
                <w:rFonts w:ascii="Times New Roman" w:cs="Times New Roman" w:eastAsia="Times New Roman" w:hAnsi="Times New Roman"/>
                <w:sz w:val="18"/>
                <w:szCs w:val="18"/>
                <w:b w:val="1"/>
                <w:bCs w:val="1"/>
                <w:color w:val="auto"/>
                <w:w w:val="96"/>
              </w:rPr>
              <w:t>Interest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line="170"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231"/>
        </w:trPr>
        <w:tc>
          <w:tcPr>
            <w:tcW w:w="2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Pr>
          <w:p>
            <w:pPr>
              <w:spacing w:after="0"/>
              <w:rPr>
                <w:sz w:val="20"/>
                <w:szCs w:val="20"/>
                <w:color w:val="auto"/>
              </w:rPr>
            </w:pPr>
          </w:p>
        </w:tc>
        <w:tc>
          <w:tcPr>
            <w:tcW w:w="120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20"/>
                <w:szCs w:val="20"/>
                <w:color w:val="auto"/>
              </w:rPr>
            </w:pPr>
          </w:p>
        </w:tc>
        <w:tc>
          <w:tcPr>
            <w:tcW w:w="132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4"/>
              </w:rPr>
              <w:t>Rate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17"/>
        </w:trPr>
        <w:tc>
          <w:tcPr>
            <w:tcW w:w="5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Term Loan A</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1,639,688</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Existing Term Loan A Loans</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1,241,398</w:t>
            </w:r>
          </w:p>
        </w:tc>
        <w:tc>
          <w:tcPr>
            <w:tcW w:w="0" w:type="dxa"/>
            <w:vAlign w:val="bottom"/>
          </w:tcPr>
          <w:p>
            <w:pPr>
              <w:spacing w:after="0"/>
              <w:rPr>
                <w:sz w:val="1"/>
                <w:szCs w:val="1"/>
                <w:color w:val="auto"/>
              </w:rPr>
            </w:pPr>
          </w:p>
        </w:tc>
      </w:tr>
      <w:tr>
        <w:trPr>
          <w:trHeight w:val="224"/>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Term Loan B Loans</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380,321</w:t>
            </w:r>
          </w:p>
        </w:tc>
        <w:tc>
          <w:tcPr>
            <w:tcW w:w="0" w:type="dxa"/>
            <w:vAlign w:val="bottom"/>
          </w:tcPr>
          <w:p>
            <w:pPr>
              <w:spacing w:after="0"/>
              <w:rPr>
                <w:sz w:val="1"/>
                <w:szCs w:val="1"/>
                <w:color w:val="auto"/>
              </w:rPr>
            </w:pPr>
          </w:p>
        </w:tc>
      </w:tr>
      <w:tr>
        <w:trPr>
          <w:trHeight w:val="22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24"/>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4"/>
        </w:trPr>
        <w:tc>
          <w:tcPr>
            <w:tcW w:w="5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Unamortized debt issuance costs and discount on debt</w:t>
            </w: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(17,977)</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(21,647)</w:t>
            </w:r>
          </w:p>
        </w:tc>
        <w:tc>
          <w:tcPr>
            <w:tcW w:w="0" w:type="dxa"/>
            <w:vAlign w:val="bottom"/>
          </w:tcPr>
          <w:p>
            <w:pPr>
              <w:spacing w:after="0"/>
              <w:rPr>
                <w:sz w:val="1"/>
                <w:szCs w:val="1"/>
                <w:color w:val="auto"/>
              </w:rPr>
            </w:pPr>
          </w:p>
        </w:tc>
      </w:tr>
      <w:tr>
        <w:trPr>
          <w:trHeight w:val="217"/>
        </w:trPr>
        <w:tc>
          <w:tcPr>
            <w:tcW w:w="220" w:type="dxa"/>
            <w:vAlign w:val="bottom"/>
            <w:shd w:val="clear" w:color="auto" w:fill="CCEEFF"/>
          </w:tcPr>
          <w:p>
            <w:pPr>
              <w:spacing w:after="0"/>
              <w:rPr>
                <w:sz w:val="18"/>
                <w:szCs w:val="18"/>
                <w:color w:val="auto"/>
              </w:rPr>
            </w:pPr>
          </w:p>
        </w:tc>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2,821,711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2,800,072</w:t>
            </w:r>
          </w:p>
        </w:tc>
        <w:tc>
          <w:tcPr>
            <w:tcW w:w="0" w:type="dxa"/>
            <w:vAlign w:val="bottom"/>
          </w:tcPr>
          <w:p>
            <w:pPr>
              <w:spacing w:after="0"/>
              <w:rPr>
                <w:sz w:val="1"/>
                <w:szCs w:val="1"/>
                <w:color w:val="auto"/>
              </w:rPr>
            </w:pPr>
          </w:p>
        </w:tc>
      </w:tr>
      <w:tr>
        <w:trPr>
          <w:trHeight w:val="224"/>
        </w:trPr>
        <w:tc>
          <w:tcPr>
            <w:tcW w:w="220" w:type="dxa"/>
            <w:vAlign w:val="bottom"/>
            <w:tcBorders>
              <w:bottom w:val="single" w:sz="8" w:color="CCEEFF"/>
            </w:tcBorders>
          </w:tcPr>
          <w:p>
            <w:pPr>
              <w:spacing w:after="0"/>
              <w:rPr>
                <w:sz w:val="19"/>
                <w:szCs w:val="19"/>
                <w:color w:val="auto"/>
              </w:rPr>
            </w:pPr>
          </w:p>
        </w:tc>
        <w:tc>
          <w:tcPr>
            <w:tcW w:w="5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(68,379)</w:t>
            </w:r>
          </w:p>
        </w:tc>
        <w:tc>
          <w:tcPr>
            <w:tcW w:w="0" w:type="dxa"/>
            <w:vAlign w:val="bottom"/>
          </w:tcPr>
          <w:p>
            <w:pPr>
              <w:spacing w:after="0"/>
              <w:rPr>
                <w:sz w:val="1"/>
                <w:szCs w:val="1"/>
                <w:color w:val="auto"/>
              </w:rPr>
            </w:pPr>
          </w:p>
        </w:tc>
      </w:tr>
      <w:tr>
        <w:trPr>
          <w:trHeight w:val="242"/>
        </w:trPr>
        <w:tc>
          <w:tcPr>
            <w:tcW w:w="22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2,780,461</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2,731,693</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6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13"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On September 7, 2022 (the “Ninth Amendment Effective Date”), Booz Allen Hamilton Inc. (“Booz Allen Hamilton”), Booz Allen Hamilton Investor Corporation (“Investor”), and certain wholly owned subsidiaries of Booz Allen Hamilton, entered into the Ninth Amendment (the “Ninth Amendment”) to the Credit Agreement dated as of July 31, 2012, as amended (the “Existing Credit Agreement” and, as amended, the “Credit Agreement”), with certain institutional lenders and Bank of America, N.A., as Administrative Agent, Collateral Agent, Issuing Lender, Refinancing Revolver Lender, New Refinancing Tranche A Term Lender and 2022 Supplemental Tranche A Lender. As of December 31, 2022, the Credit Agreement provided Booz Allen Hamilton with a $1,639.7 million Term Loan A (“New Term Loan A”) and a $1,000.0 million revolving credit facility (the “Revolving Credit Facility”), with a sub-limit for letters of credit of $200.0 million (collectively, the “Secured Credit Facility”).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such security is expected to be released in connection with Booz Allen Hamilton obtaining investment grade ratings from both Moody's and S&amp;P.</w:t>
      </w:r>
    </w:p>
    <w:p>
      <w:pPr>
        <w:spacing w:after="0" w:line="89"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Pursuant to the Ninth Amendment, (i) $1,000.0 million of revolving commitments outstanding under the Existing Credit Agreement were refinanced by a new tranche of revolving commitments (the “New Revolving Commitments” and the revolving credit loans made thereunder, the “New Revolving Loans”) in an aggregate amount of $1,000.0 million, with a sublimit for letters of credit of $200.0 million and (ii) approximately $1,225.3 million of Term Loan A loans (the “Existing Term Loan A Loans”) and $379.3 million of Term Loan B loans (the “Existing Term Loan B Loans”) outstanding under the Existing Credit Agreement were refinanced by a new tranche of Term Loan A loans in an aggregate amount, along with additional new tranche A term loans advanced by certain lenders, totaling $1,650.0 million. The majority of the proceeds of the New Term Loan A were used to prepay in full all of the Existing Term Loan A Loans and Existing Term Loan B Loans.</w:t>
      </w:r>
    </w:p>
    <w:p>
      <w:pPr>
        <w:spacing w:after="0" w:line="82" w:lineRule="exact"/>
        <w:rPr>
          <w:sz w:val="20"/>
          <w:szCs w:val="20"/>
          <w:color w:val="auto"/>
        </w:rPr>
      </w:pPr>
    </w:p>
    <w:p>
      <w:pPr>
        <w:ind w:right="200" w:firstLine="395"/>
        <w:spacing w:after="0" w:line="332" w:lineRule="auto"/>
        <w:rPr>
          <w:sz w:val="20"/>
          <w:szCs w:val="20"/>
          <w:color w:val="auto"/>
        </w:rPr>
      </w:pPr>
      <w:r>
        <w:rPr>
          <w:rFonts w:ascii="Times New Roman" w:cs="Times New Roman" w:eastAsia="Times New Roman" w:hAnsi="Times New Roman"/>
          <w:sz w:val="16"/>
          <w:szCs w:val="16"/>
          <w:color w:val="auto"/>
        </w:rPr>
        <w:t>The Ninth Amendment extended the maturity of the New Term Loan A and the New Revolving Commitments to September 7, 2027. Voluntary prepayments of the New Term Loan A and the New Revolving Loans are permitted at any time, in minimum principal amounts, without premium or penalty.</w:t>
      </w:r>
    </w:p>
    <w:p>
      <w:pPr>
        <w:spacing w:after="0" w:line="17"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New Term Loan A will amortize in consecutive quarterly installments in an amount equal to (i) on the last business day of each full fiscal quarter that begins after the Ninth Amendment Effective Date but on or before the two year anniversary of the Ninth Amendment Effective Date, 0.625% of the stated principal amount of the New Term Loan A and (ii) on the last business day of each full fiscal quarter that begins after the two year anniversary of the Ninth Amendment Effective Date but before the five year anniversary of the Ninth Amendment Effective Date, 1.25% of the stated principal amount of the New Term Loan A. The remaining balance of the New Term Loan A will be payable upon maturity.</w:t>
      </w:r>
    </w:p>
    <w:p>
      <w:pPr>
        <w:spacing w:after="0" w:line="80"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The rate at which the New Term Loan A and the New Revolving Loans bear interest will be based either on Term SOFR (subject to a 0.10% adjustment and a floor of zero) for the applicable interest period or a base rate (equal to the highest of (i) the administrative agent’s prime corporate rate, (ii) the overnight federal funds rate plus 0.50% and (iii) three-month Term SOFR (subject to a 0.10% adjustment and a floor of zero) plus 1.00%), in each case plus an applicable margin, payable at the end of the applicable interest period and in any event at least quarterly. The applicable margin for the New Term Loan A and the New Revolving Loans ranges from 1.00% to 2.00% for Term SOFR loans and zero to 1.00% for base rate loans, in each case based on the lower of (i) the applicable rate per annum determined pursuant to a consolidated total net leverage ratio grid and (ii) the applicable rate per annum determined pursuant to a ratings grid. Unused New Revolving Commitments are subject to a quarterly fee ranging from 0.10% to 0.35% based on the lower of (i) the applicable fee rate per annum determined pursuant to a consolidated total net leverage ratio grid and (ii) the applicable fee rate per annum determined pursuant to a ratings grid. Booz Allen Hamilton has also agreed to pay customary letter of credit and agency fees.</w:t>
      </w:r>
    </w:p>
    <w:p>
      <w:pPr>
        <w:spacing w:after="0" w:line="83"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In connection with the Ninth Amendment, the Company accelerated the amortization of ratable portions of the Debt Issuance Costs, or DIC, and Original Issue Discount, or OID associated with the prior senior secured loan facilities of $3.4 million.These expenses are reflected in other expense, net in the condensed consolidated statement of operations for the three and nine months ended December 31, 2022. Additionally, the Company expensed third party debt issuance costs of $6.9 million that did not qualify for deferral, which are reflected in general and administrative costs in the condensed consolidated statement of operations for the three and nine months ended December 31, 2022.</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2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8"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 addition, Booz Allen Hamilton is required to meet a financial covenant at each quarter end based on a consolidated net total leverage ratio. As of December 31, 2022 and March 31, 2022, Booz Allen Hamilton was in compliance with all financial covenants associated with its debt and debt-like instruments. In connection with Booz Allen Hamilton obtaining investment grade ratings from both Moody's and S&amp;P, activities restricted by certain negative covenants are expected to be permitted subject to pro forma compliance with the financial covenants and no events of default having occurred and continuing.</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interest payments made on the Company’s term loans:</w:t>
      </w:r>
    </w:p>
    <w:p>
      <w:pPr>
        <w:spacing w:after="0" w:line="94" w:lineRule="exact"/>
        <w:rPr>
          <w:sz w:val="20"/>
          <w:szCs w:val="20"/>
          <w:color w:val="auto"/>
        </w:rPr>
      </w:pPr>
    </w:p>
    <w:tbl>
      <w:tblPr>
        <w:tblLayout w:type="fixed"/>
        <w:tblInd w:w="680" w:type="dxa"/>
        <w:tblCellMar>
          <w:top w:w="0" w:type="dxa"/>
          <w:left w:w="0" w:type="dxa"/>
          <w:bottom w:w="0" w:type="dxa"/>
          <w:right w:w="0" w:type="dxa"/>
        </w:tblCellMar>
      </w:tblPr>
      <w:tr>
        <w:trPr>
          <w:trHeight w:val="231"/>
        </w:trPr>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40" w:type="dxa"/>
            <w:vAlign w:val="bottom"/>
          </w:tcPr>
          <w:p>
            <w:pPr>
              <w:spacing w:after="0"/>
              <w:rPr>
                <w:sz w:val="20"/>
                <w:szCs w:val="20"/>
                <w:color w:val="auto"/>
              </w:rPr>
            </w:pPr>
          </w:p>
        </w:tc>
        <w:tc>
          <w:tcPr>
            <w:tcW w:w="2840" w:type="dxa"/>
            <w:vAlign w:val="bottom"/>
            <w:gridSpan w:val="4"/>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8"/>
              </w:rPr>
              <w:t>Nine Months Ended December 31,</w:t>
            </w:r>
          </w:p>
        </w:tc>
      </w:tr>
      <w:tr>
        <w:trPr>
          <w:trHeight w:val="217"/>
        </w:trPr>
        <w:tc>
          <w:tcPr>
            <w:tcW w:w="38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7"/>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Term Loan 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Term Loan A</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15,197</w:t>
            </w: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Term Loan B</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w:t>
            </w:r>
          </w:p>
        </w:tc>
      </w:tr>
      <w:tr>
        <w:trPr>
          <w:trHeight w:val="217"/>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24,845</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44,219</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20,598</w:t>
            </w:r>
          </w:p>
        </w:tc>
      </w:tr>
      <w:tr>
        <w:trPr>
          <w:trHeight w:val="20"/>
        </w:trPr>
        <w:tc>
          <w:tcPr>
            <w:tcW w:w="3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Borrowings under the New Term Loan A, and if used, the Revolving Credit Facility, incur interest at a variable rate. As of December 31, 2022, Booz Allen Hamilton had interest rate swaps with an aggregate notional amount of $550.0 million. These instruments hedge the variability of cash outflows for interest payments on the Term Loans and Revolving Credit Facility. The Company's objectives in using cash flow hedges are to reduce volatility due to interest rate movements and to add stability to interest expense (See Note 9, “Derivatives,” to our condensed consolidated financial statements).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13"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For information on the terms, conditions, and restrictions of the Company's 4.000% Senior Notes due July 1, 2029 (the “Senior Notes due 2029”) and 3.875% Senior Notes due 2028 (the “Senior Notes due 2028”, and, together with the Senior Notes due 2029, the “Senior Notes”), see Note 10, “Debt,” of the Company’s consolidated financial statements included in the fiscal 2022 Form 10-K.</w:t>
      </w:r>
    </w:p>
    <w:p>
      <w:pPr>
        <w:spacing w:after="0" w:line="75"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In connection with Booz Allen Hamilton obtaining investment grade ratings from both Moody's and S&amp;P, certain negative covenants in the indentures governing the Senior Notes were suspended, and guarantees of the Senior Notes were released.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Interest on debt and debt-like instruments consisted of the following:</w:t>
      </w:r>
    </w:p>
    <w:p>
      <w:pPr>
        <w:spacing w:after="0" w:line="132" w:lineRule="exact"/>
        <w:rPr>
          <w:sz w:val="20"/>
          <w:szCs w:val="20"/>
          <w:color w:val="auto"/>
        </w:rPr>
      </w:pPr>
    </w:p>
    <w:p>
      <w:pPr>
        <w:jc w:val="center"/>
        <w:ind w:left="5100"/>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Three Months Ended December</w:t>
      </w:r>
      <w:r>
        <w:rPr>
          <w:sz w:val="20"/>
          <w:szCs w:val="20"/>
          <w:color w:val="auto"/>
        </w:rPr>
        <w:tab/>
      </w:r>
      <w:r>
        <w:rPr>
          <w:rFonts w:ascii="Times New Roman" w:cs="Times New Roman" w:eastAsia="Times New Roman" w:hAnsi="Times New Roman"/>
          <w:sz w:val="16"/>
          <w:szCs w:val="16"/>
          <w:b w:val="1"/>
          <w:bCs w:val="1"/>
          <w:color w:val="auto"/>
        </w:rPr>
        <w:t>Nine Months Ended December</w:t>
      </w:r>
    </w:p>
    <w:p>
      <w:pPr>
        <w:ind w:left="6760"/>
        <w:spacing w:after="0"/>
        <w:tabs>
          <w:tab w:leader="none" w:pos="940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9525</wp:posOffset>
            </wp:positionV>
            <wp:extent cx="33172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21" w:lineRule="exact"/>
        <w:rPr>
          <w:sz w:val="20"/>
          <w:szCs w:val="20"/>
          <w:color w:val="auto"/>
        </w:rPr>
      </w:pPr>
    </w:p>
    <w:p>
      <w:pPr>
        <w:ind w:left="6040"/>
        <w:spacing w:after="0"/>
        <w:tabs>
          <w:tab w:leader="none" w:pos="734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15240</wp:posOffset>
            </wp:positionV>
            <wp:extent cx="6341745" cy="133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41745" cy="133985"/>
                    </a:xfrm>
                    <a:prstGeom prst="rect">
                      <a:avLst/>
                    </a:prstGeom>
                    <a:noFill/>
                  </pic:spPr>
                </pic:pic>
              </a:graphicData>
            </a:graphic>
          </wp:anchor>
        </w:drawing>
      </w:r>
    </w:p>
    <w:p>
      <w:pPr>
        <w:spacing w:after="0" w:line="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3" w:lineRule="exact"/>
        <w:rPr>
          <w:sz w:val="20"/>
          <w:szCs w:val="20"/>
          <w:color w:val="auto"/>
        </w:rPr>
      </w:pPr>
    </w:p>
    <w:p>
      <w:pPr>
        <w:sectPr>
          <w:pgSz w:w="11900" w:h="16838" w:orient="portrait"/>
          <w:cols w:equalWidth="0" w:num="2">
            <w:col w:w="7980" w:space="720"/>
            <w:col w:w="2480"/>
          </w:cols>
          <w:pgMar w:left="320" w:top="121" w:right="399" w:bottom="1440" w:gutter="0" w:footer="0" w:header="0"/>
          <w:type w:val="continuous"/>
        </w:sectPr>
      </w:pPr>
    </w:p>
    <w:tbl>
      <w:tblPr>
        <w:tblLayout w:type="fixed"/>
        <w:tblInd w:w="840" w:type="dxa"/>
        <w:tblCellMar>
          <w:top w:w="0" w:type="dxa"/>
          <w:left w:w="0" w:type="dxa"/>
          <w:bottom w:w="0" w:type="dxa"/>
          <w:right w:w="0" w:type="dxa"/>
        </w:tblCellMar>
      </w:tblPr>
      <w:tr>
        <w:trPr>
          <w:trHeight w:val="22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New Term Loan A Interest Expense</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8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39,210</w:t>
            </w:r>
          </w:p>
        </w:tc>
        <w:tc>
          <w:tcPr>
            <w:tcW w:w="8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Term Loan A Loans Interest Expense</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w:t>
            </w:r>
          </w:p>
        </w:tc>
      </w:tr>
      <w:tr>
        <w:trPr>
          <w:trHeight w:val="22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Existing Term Loan B Loans Interest Expense</w:t>
            </w: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w:t>
            </w:r>
          </w:p>
        </w:tc>
      </w:tr>
      <w:tr>
        <w:trPr>
          <w:trHeight w:val="22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Revolving Credit Facility</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Interest Expense</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31,121</w:t>
            </w:r>
          </w:p>
        </w:tc>
      </w:tr>
      <w:tr>
        <w:trPr>
          <w:trHeight w:val="171"/>
        </w:trPr>
        <w:tc>
          <w:tcPr>
            <w:tcW w:w="47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Amortization of Debt Issuance Cost (DIC) and Original Issue</w:t>
            </w: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7"/>
        </w:trPr>
        <w:tc>
          <w:tcPr>
            <w:tcW w:w="476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8"/>
                <w:szCs w:val="18"/>
                <w:color w:val="auto"/>
              </w:rPr>
              <w:t xml:space="preserve">Discount (OID) </w:t>
            </w:r>
            <w:r>
              <w:rPr>
                <w:rFonts w:ascii="Times New Roman" w:cs="Times New Roman" w:eastAsia="Times New Roman" w:hAnsi="Times New Roman"/>
                <w:sz w:val="22"/>
                <w:szCs w:val="22"/>
                <w:color w:val="auto"/>
                <w:vertAlign w:val="superscript"/>
              </w:rPr>
              <w:t>(1)</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w:t>
            </w:r>
          </w:p>
        </w:tc>
      </w:tr>
      <w:tr>
        <w:trPr>
          <w:trHeight w:val="22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Swap Expense</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w:t>
            </w:r>
          </w:p>
        </w:tc>
      </w:tr>
      <w:tr>
        <w:trPr>
          <w:trHeight w:val="22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17"/>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32,031</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85,028</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69,201</w:t>
            </w:r>
          </w:p>
        </w:tc>
      </w:tr>
      <w:tr>
        <w:trPr>
          <w:trHeight w:val="20"/>
        </w:trPr>
        <w:tc>
          <w:tcPr>
            <w:tcW w:w="4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160" w:right="200" w:firstLine="3"/>
        <w:spacing w:after="0" w:line="284" w:lineRule="auto"/>
        <w:tabs>
          <w:tab w:leader="none" w:pos="321"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DIC and OID on the Term Loans and senior notes are recorded as a reduction of long-term debt in the condensed consolidated balance sheet and are amortized ratably over the life of the related debt using the effective rate method. DIC on the Revolving Credit Facility is recorded as a long-term asset on the condensed consolidated balance sheet and amortized ratably over the term of the Revolving Credit Facility.</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28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Derivatives</w:t>
      </w:r>
    </w:p>
    <w:p>
      <w:pPr>
        <w:spacing w:after="0" w:line="111" w:lineRule="exact"/>
        <w:rPr>
          <w:sz w:val="20"/>
          <w:szCs w:val="20"/>
          <w:color w:val="auto"/>
        </w:rPr>
      </w:pPr>
    </w:p>
    <w:p>
      <w:pPr>
        <w:ind w:right="300" w:firstLine="395"/>
        <w:spacing w:after="0" w:line="252" w:lineRule="auto"/>
        <w:rPr>
          <w:sz w:val="20"/>
          <w:szCs w:val="20"/>
          <w:color w:val="auto"/>
        </w:rPr>
      </w:pPr>
      <w:r>
        <w:rPr>
          <w:rFonts w:ascii="Times New Roman" w:cs="Times New Roman" w:eastAsia="Times New Roman" w:hAnsi="Times New Roman"/>
          <w:sz w:val="18"/>
          <w:szCs w:val="18"/>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 The aggregate notional amount of all interest rate swap agreements was $550.0 million as of December 31, 2022. The swaps have staggered maturities, ranging from June 30, 2023 to June 30, 2025.</w:t>
      </w:r>
    </w:p>
    <w:p>
      <w:pPr>
        <w:spacing w:after="0" w:line="78"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 a portion of the variable rate debt into fixed interest rate debt.</w:t>
      </w:r>
    </w:p>
    <w:p>
      <w:pPr>
        <w:spacing w:after="0" w:line="75" w:lineRule="exact"/>
        <w:rPr>
          <w:sz w:val="20"/>
          <w:szCs w:val="20"/>
          <w:color w:val="auto"/>
        </w:rPr>
      </w:pPr>
    </w:p>
    <w:p>
      <w:pPr>
        <w:ind w:right="160" w:firstLine="395"/>
        <w:spacing w:after="0" w:line="286" w:lineRule="auto"/>
        <w:rPr>
          <w:sz w:val="20"/>
          <w:szCs w:val="20"/>
          <w:color w:val="auto"/>
        </w:rPr>
      </w:pPr>
      <w:r>
        <w:rPr>
          <w:rFonts w:ascii="Times New Roman" w:cs="Times New Roman" w:eastAsia="Times New Roman" w:hAnsi="Times New Roman"/>
          <w:sz w:val="16"/>
          <w:szCs w:val="16"/>
          <w:color w:val="auto"/>
        </w:rPr>
        <w:t>Derivative instruments are recorded in the condensed consolidated balance sheet on a gross basis at estimated fair value. As of December 31, 2022, $11.5 million and $6.5 million, were classified as other current assets and other long-term assets, respectively, on the condensed consolidated balance sheet. As</w:t>
      </w:r>
    </w:p>
    <w:p>
      <w:pPr>
        <w:ind w:right="820"/>
        <w:spacing w:after="0" w:line="248" w:lineRule="auto"/>
        <w:rPr>
          <w:sz w:val="20"/>
          <w:szCs w:val="20"/>
          <w:color w:val="auto"/>
        </w:rPr>
      </w:pPr>
      <w:r>
        <w:rPr>
          <w:rFonts w:ascii="Times New Roman" w:cs="Times New Roman" w:eastAsia="Times New Roman" w:hAnsi="Times New Roman"/>
          <w:sz w:val="18"/>
          <w:szCs w:val="18"/>
          <w:color w:val="auto"/>
        </w:rPr>
        <w:t>of March 31, 2022, $4.1 million, $4.3 million and $39 thousand were classified as other long-term assets, other current liabilities, and other long-term liabilities, respectively, on the condensed consolidated balance sheet.</w:t>
      </w:r>
    </w:p>
    <w:p>
      <w:pPr>
        <w:spacing w:after="0" w:line="81"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For interest rate swaps designated as cash flow hedges, the changes in the fair value of derivatives are recorded in Accumulated Other Comprehensive Income (Loss), or AOCI, net of taxes, and is subsequently reclassified into interest expense, net in the period that the hedged forecasted interest payments are made on the Company's variable-rate debt. The effect of derivative instruments on the accompanying condensed consolidated financial statements for the three and nine months ended December 31, 2022 and 2021 is as follows:</w:t>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2760" w:val="left"/>
        </w:tabs>
        <w:rPr>
          <w:sz w:val="20"/>
          <w:szCs w:val="20"/>
          <w:color w:val="auto"/>
        </w:rPr>
      </w:pPr>
      <w:r>
        <w:rPr>
          <w:rFonts w:ascii="Times New Roman" w:cs="Times New Roman" w:eastAsia="Times New Roman" w:hAnsi="Times New Roman"/>
          <w:sz w:val="18"/>
          <w:szCs w:val="18"/>
          <w:b w:val="1"/>
          <w:bCs w:val="1"/>
          <w:color w:val="auto"/>
        </w:rPr>
        <w:t>Derivatives in Cash Flow Hedging</w:t>
      </w:r>
      <w:r>
        <w:rPr>
          <w:sz w:val="20"/>
          <w:szCs w:val="20"/>
          <w:color w:val="auto"/>
        </w:rPr>
        <w:tab/>
      </w:r>
      <w:r>
        <w:rPr>
          <w:rFonts w:ascii="Times New Roman" w:cs="Times New Roman" w:eastAsia="Times New Roman" w:hAnsi="Times New Roman"/>
          <w:sz w:val="16"/>
          <w:szCs w:val="16"/>
          <w:b w:val="1"/>
          <w:bCs w:val="1"/>
          <w:color w:val="auto"/>
        </w:rPr>
        <w:t>Location of Gain or Loss Recognized</w:t>
      </w:r>
    </w:p>
    <w:p>
      <w:pPr>
        <w:ind w:left="20"/>
        <w:spacing w:after="0"/>
        <w:tabs>
          <w:tab w:leader="none" w:pos="3220" w:val="left"/>
        </w:tabs>
        <w:rPr>
          <w:sz w:val="20"/>
          <w:szCs w:val="20"/>
          <w:color w:val="auto"/>
        </w:rPr>
      </w:pPr>
      <w:r>
        <w:rPr>
          <w:rFonts w:ascii="Times New Roman" w:cs="Times New Roman" w:eastAsia="Times New Roman" w:hAnsi="Times New Roman"/>
          <w:sz w:val="18"/>
          <w:szCs w:val="18"/>
          <w:b w:val="1"/>
          <w:bCs w:val="1"/>
          <w:color w:val="auto"/>
        </w:rPr>
        <w:t>Relationships</w:t>
      </w:r>
      <w:r>
        <w:rPr>
          <w:sz w:val="20"/>
          <w:szCs w:val="20"/>
          <w:color w:val="auto"/>
        </w:rPr>
        <w:tab/>
      </w:r>
      <w:r>
        <w:rPr>
          <w:rFonts w:ascii="Times New Roman" w:cs="Times New Roman" w:eastAsia="Times New Roman" w:hAnsi="Times New Roman"/>
          <w:sz w:val="18"/>
          <w:szCs w:val="18"/>
          <w:b w:val="1"/>
          <w:bCs w:val="1"/>
          <w:color w:val="auto"/>
        </w:rPr>
        <w:t>in Income on Derivatives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576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763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Amount of Pre-Tax Gain or (Loss)</w:t>
            </w: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Amount of Pre-Tax Gain or (Loss)</w:t>
            </w:r>
          </w:p>
        </w:tc>
        <w:tc>
          <w:tcPr>
            <w:tcW w:w="0" w:type="dxa"/>
            <w:vAlign w:val="bottom"/>
          </w:tcPr>
          <w:p>
            <w:pPr>
              <w:spacing w:after="0"/>
              <w:rPr>
                <w:sz w:val="1"/>
                <w:szCs w:val="1"/>
                <w:color w:val="auto"/>
              </w:rPr>
            </w:pPr>
          </w:p>
        </w:tc>
      </w:tr>
      <w:tr>
        <w:trPr>
          <w:trHeight w:val="171"/>
        </w:trPr>
        <w:tc>
          <w:tcPr>
            <w:tcW w:w="2800" w:type="dxa"/>
            <w:vAlign w:val="bottom"/>
            <w:gridSpan w:val="2"/>
            <w:vMerge w:val="continue"/>
          </w:tcPr>
          <w:p>
            <w:pPr>
              <w:spacing w:after="0"/>
              <w:rPr>
                <w:sz w:val="14"/>
                <w:szCs w:val="14"/>
                <w:color w:val="auto"/>
              </w:rPr>
            </w:pPr>
          </w:p>
        </w:tc>
        <w:tc>
          <w:tcPr>
            <w:tcW w:w="282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7"/>
              </w:rPr>
              <w:t>Reclassified from AOCI into Income</w:t>
            </w:r>
          </w:p>
        </w:tc>
        <w:tc>
          <w:tcPr>
            <w:tcW w:w="0" w:type="dxa"/>
            <w:vAlign w:val="bottom"/>
          </w:tcPr>
          <w:p>
            <w:pPr>
              <w:spacing w:after="0"/>
              <w:rPr>
                <w:sz w:val="1"/>
                <w:szCs w:val="1"/>
                <w:color w:val="auto"/>
              </w:rPr>
            </w:pPr>
          </w:p>
        </w:tc>
      </w:tr>
      <w:tr>
        <w:trPr>
          <w:trHeight w:val="171"/>
        </w:trPr>
        <w:tc>
          <w:tcPr>
            <w:tcW w:w="2800" w:type="dxa"/>
            <w:vAlign w:val="bottom"/>
            <w:tcBorders>
              <w:bottom w:val="single" w:sz="8" w:color="auto"/>
            </w:tcBorders>
            <w:gridSpan w:val="2"/>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7"/>
              </w:rPr>
              <w:t>Recognized in AOCI on Derivatives</w:t>
            </w:r>
          </w:p>
        </w:tc>
        <w:tc>
          <w:tcPr>
            <w:tcW w:w="1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1048"/>
              <w:spacing w:after="0"/>
              <w:rPr>
                <w:sz w:val="20"/>
                <w:szCs w:val="20"/>
                <w:color w:val="auto"/>
              </w:rPr>
            </w:pP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229"/>
        </w:trPr>
        <w:tc>
          <w:tcPr>
            <w:tcW w:w="14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00" w:type="dxa"/>
            <w:vAlign w:val="bottom"/>
          </w:tcPr>
          <w:p>
            <w:pPr>
              <w:jc w:val="right"/>
              <w:ind w:right="448"/>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635</wp:posOffset>
            </wp:positionV>
            <wp:extent cx="7110730" cy="150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0730" cy="15049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5540" w:space="40"/>
            <w:col w:w="5760"/>
          </w:cols>
          <w:pgMar w:left="320" w:top="121" w:right="239" w:bottom="1440" w:gutter="0" w:footer="0" w:header="0"/>
          <w:type w:val="continuous"/>
        </w:sectPr>
      </w:pPr>
    </w:p>
    <w:p>
      <w:pPr>
        <w:ind w:left="20"/>
        <w:spacing w:after="0"/>
        <w:tabs>
          <w:tab w:leader="none" w:pos="3240" w:val="left"/>
          <w:tab w:leader="none" w:pos="5560" w:val="left"/>
          <w:tab w:leader="none" w:pos="6500" w:val="left"/>
          <w:tab w:leader="none" w:pos="7900" w:val="left"/>
          <w:tab w:leader="none" w:pos="9320" w:val="left"/>
          <w:tab w:leader="none" w:pos="10640" w:val="left"/>
        </w:tabs>
        <w:rPr>
          <w:sz w:val="20"/>
          <w:szCs w:val="20"/>
          <w:color w:val="auto"/>
        </w:rPr>
      </w:pPr>
      <w:r>
        <w:rPr>
          <w:rFonts w:ascii="Times New Roman" w:cs="Times New Roman" w:eastAsia="Times New Roman" w:hAnsi="Times New Roman"/>
          <w:sz w:val="18"/>
          <w:szCs w:val="18"/>
          <w:color w:val="auto"/>
        </w:rPr>
        <w:t>Interest rate swaps</w:t>
      </w:r>
      <w:r>
        <w:rPr>
          <w:sz w:val="20"/>
          <w:szCs w:val="20"/>
          <w:color w:val="auto"/>
        </w:rPr>
        <w:tab/>
      </w:r>
      <w:r>
        <w:rPr>
          <w:rFonts w:ascii="Times New Roman" w:cs="Times New Roman" w:eastAsia="Times New Roman" w:hAnsi="Times New Roman"/>
          <w:sz w:val="18"/>
          <w:szCs w:val="18"/>
          <w:color w:val="auto"/>
        </w:rPr>
        <w:t>Interest income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1,565 $</w:t>
      </w:r>
      <w:r>
        <w:rPr>
          <w:sz w:val="20"/>
          <w:szCs w:val="20"/>
          <w:color w:val="auto"/>
        </w:rPr>
        <w:tab/>
      </w:r>
      <w:r>
        <w:rPr>
          <w:rFonts w:ascii="Times New Roman" w:cs="Times New Roman" w:eastAsia="Times New Roman" w:hAnsi="Times New Roman"/>
          <w:sz w:val="18"/>
          <w:szCs w:val="18"/>
          <w:color w:val="auto"/>
        </w:rPr>
        <w:t>5,271 $</w:t>
      </w:r>
      <w:r>
        <w:rPr>
          <w:sz w:val="20"/>
          <w:szCs w:val="20"/>
          <w:color w:val="auto"/>
        </w:rPr>
        <w:tab/>
      </w:r>
      <w:r>
        <w:rPr>
          <w:rFonts w:ascii="Times New Roman" w:cs="Times New Roman" w:eastAsia="Times New Roman" w:hAnsi="Times New Roman"/>
          <w:sz w:val="18"/>
          <w:szCs w:val="18"/>
          <w:color w:val="auto"/>
        </w:rPr>
        <w:t>1,648 $</w:t>
      </w:r>
      <w:r>
        <w:rPr>
          <w:sz w:val="20"/>
          <w:szCs w:val="20"/>
          <w:color w:val="auto"/>
        </w:rPr>
        <w:tab/>
      </w:r>
      <w:r>
        <w:rPr>
          <w:rFonts w:ascii="Times New Roman" w:cs="Times New Roman" w:eastAsia="Times New Roman" w:hAnsi="Times New Roman"/>
          <w:sz w:val="16"/>
          <w:szCs w:val="16"/>
          <w:color w:val="auto"/>
        </w:rPr>
        <w:t>(4,097)</w:t>
      </w:r>
    </w:p>
    <w:p>
      <w:pPr>
        <w:spacing w:after="0" w:line="201" w:lineRule="exact"/>
        <w:rPr>
          <w:sz w:val="20"/>
          <w:szCs w:val="20"/>
          <w:color w:val="auto"/>
        </w:rPr>
      </w:pPr>
    </w:p>
    <w:p>
      <w:pPr>
        <w:ind w:right="300" w:firstLine="400"/>
        <w:spacing w:after="0" w:line="290" w:lineRule="auto"/>
        <w:tabs>
          <w:tab w:leader="none" w:pos="556"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reclassifications from accumulated other comprehensive income (loss) to net income were reduced by tax benefit (expense) of ($0.4 million) and $1.1 million for the three months ended December 31, 2022 and 2021, respectively.</w:t>
      </w:r>
    </w:p>
    <w:p>
      <w:pPr>
        <w:sectPr>
          <w:pgSz w:w="11900" w:h="16838" w:orient="portrait"/>
          <w:cols w:equalWidth="0" w:num="1">
            <w:col w:w="11340"/>
          </w:cols>
          <w:pgMar w:left="320" w:top="121" w:right="23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in Cash Flow Hedging</w:t>
            </w:r>
          </w:p>
        </w:tc>
        <w:tc>
          <w:tcPr>
            <w:tcW w:w="2200" w:type="dxa"/>
            <w:vAlign w:val="bottom"/>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7"/>
              </w:rPr>
              <w:t>Location of Gain or Loss</w:t>
            </w:r>
          </w:p>
        </w:tc>
        <w:tc>
          <w:tcPr>
            <w:tcW w:w="0" w:type="dxa"/>
            <w:vAlign w:val="bottom"/>
          </w:tcPr>
          <w:p>
            <w:pPr>
              <w:spacing w:after="0"/>
              <w:rPr>
                <w:sz w:val="1"/>
                <w:szCs w:val="1"/>
                <w:color w:val="auto"/>
              </w:rPr>
            </w:pPr>
          </w:p>
        </w:tc>
      </w:tr>
      <w:tr>
        <w:trPr>
          <w:trHeight w:val="171"/>
        </w:trPr>
        <w:tc>
          <w:tcPr>
            <w:tcW w:w="2860" w:type="dxa"/>
            <w:vAlign w:val="bottom"/>
            <w:vMerge w:val="continue"/>
          </w:tcPr>
          <w:p>
            <w:pPr>
              <w:spacing w:after="0"/>
              <w:rPr>
                <w:sz w:val="14"/>
                <w:szCs w:val="14"/>
                <w:color w:val="auto"/>
              </w:rPr>
            </w:pPr>
          </w:p>
        </w:tc>
        <w:tc>
          <w:tcPr>
            <w:tcW w:w="2200" w:type="dxa"/>
            <w:vAlign w:val="bottom"/>
          </w:tcPr>
          <w:p>
            <w:pPr>
              <w:jc w:val="center"/>
              <w:ind w:left="232"/>
              <w:spacing w:after="0" w:line="171" w:lineRule="exact"/>
              <w:rPr>
                <w:sz w:val="20"/>
                <w:szCs w:val="20"/>
                <w:color w:val="auto"/>
              </w:rPr>
            </w:pPr>
            <w:r>
              <w:rPr>
                <w:rFonts w:ascii="Times New Roman" w:cs="Times New Roman" w:eastAsia="Times New Roman" w:hAnsi="Times New Roman"/>
                <w:sz w:val="18"/>
                <w:szCs w:val="18"/>
                <w:b w:val="1"/>
                <w:bCs w:val="1"/>
                <w:color w:val="auto"/>
                <w:w w:val="97"/>
              </w:rPr>
              <w:t>Recognized in Income on</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2200" w:type="dxa"/>
            <w:vAlign w:val="bottom"/>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6"/>
              </w:rPr>
              <w:t>Derivatives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6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Amount of Pre-Tax Gain or (Loss)</w:t>
            </w:r>
          </w:p>
        </w:tc>
        <w:tc>
          <w:tcPr>
            <w:tcW w:w="2660" w:type="dxa"/>
            <w:vAlign w:val="bottom"/>
            <w:tcBorders>
              <w:top w:val="single" w:sz="8" w:color="auto"/>
            </w:tcBorders>
            <w:gridSpan w:val="2"/>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6"/>
              </w:rPr>
              <w:t>Amount of Pre-Tax Gain or (Loss)</w:t>
            </w: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266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6"/>
              </w:rPr>
              <w:t>Reclassified from AOCI into</w:t>
            </w:r>
          </w:p>
        </w:tc>
        <w:tc>
          <w:tcPr>
            <w:tcW w:w="0" w:type="dxa"/>
            <w:vAlign w:val="bottom"/>
          </w:tcPr>
          <w:p>
            <w:pPr>
              <w:spacing w:after="0"/>
              <w:rPr>
                <w:sz w:val="1"/>
                <w:szCs w:val="1"/>
                <w:color w:val="auto"/>
              </w:rPr>
            </w:pPr>
          </w:p>
        </w:tc>
      </w:tr>
      <w:tr>
        <w:trPr>
          <w:trHeight w:val="237"/>
        </w:trPr>
        <w:tc>
          <w:tcPr>
            <w:tcW w:w="2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Recognized in AOCI on Derivatives</w:t>
            </w:r>
          </w:p>
        </w:tc>
        <w:tc>
          <w:tcPr>
            <w:tcW w:w="8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812"/>
              <w:spacing w:after="0" w:line="237" w:lineRule="exact"/>
              <w:rPr>
                <w:sz w:val="20"/>
                <w:szCs w:val="20"/>
                <w:color w:val="auto"/>
              </w:rPr>
            </w:pPr>
            <w:r>
              <w:rPr>
                <w:rFonts w:ascii="Times New Roman" w:cs="Times New Roman" w:eastAsia="Times New Roman" w:hAnsi="Times New Roman"/>
                <w:sz w:val="18"/>
                <w:szCs w:val="18"/>
                <w:b w:val="1"/>
                <w:bCs w:val="1"/>
                <w:color w:val="auto"/>
                <w:w w:val="91"/>
              </w:rPr>
              <w:t xml:space="preserve">Income </w:t>
            </w:r>
            <w:r>
              <w:rPr>
                <w:rFonts w:ascii="Times New Roman" w:cs="Times New Roman" w:eastAsia="Times New Roman" w:hAnsi="Times New Roman"/>
                <w:sz w:val="22"/>
                <w:szCs w:val="22"/>
                <w:b w:val="1"/>
                <w:bCs w:val="1"/>
                <w:color w:val="auto"/>
                <w:w w:val="91"/>
                <w:vertAlign w:val="superscript"/>
              </w:rPr>
              <w:t>(2)</w:t>
            </w:r>
          </w:p>
        </w:tc>
        <w:tc>
          <w:tcPr>
            <w:tcW w:w="0" w:type="dxa"/>
            <w:vAlign w:val="bottom"/>
          </w:tcPr>
          <w:p>
            <w:pPr>
              <w:spacing w:after="0"/>
              <w:rPr>
                <w:sz w:val="1"/>
                <w:szCs w:val="1"/>
                <w:color w:val="auto"/>
              </w:rPr>
            </w:pPr>
          </w:p>
        </w:tc>
      </w:tr>
      <w:tr>
        <w:trPr>
          <w:trHeight w:val="229"/>
        </w:trPr>
        <w:tc>
          <w:tcPr>
            <w:tcW w:w="13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-3504565</wp:posOffset>
            </wp:positionH>
            <wp:positionV relativeFrom="paragraph">
              <wp:posOffset>635</wp:posOffset>
            </wp:positionV>
            <wp:extent cx="6943725" cy="150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43725" cy="15049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5480" w:space="440"/>
            <w:col w:w="5420"/>
          </w:cols>
          <w:pgMar w:left="320" w:top="121" w:right="239" w:bottom="1440" w:gutter="0" w:footer="0" w:header="0"/>
          <w:type w:val="continuous"/>
        </w:sectPr>
      </w:pPr>
    </w:p>
    <w:p>
      <w:pPr>
        <w:ind w:left="420"/>
        <w:spacing w:after="0"/>
        <w:tabs>
          <w:tab w:leader="none" w:pos="3620" w:val="left"/>
          <w:tab w:leader="none" w:pos="5920" w:val="left"/>
          <w:tab w:leader="none" w:pos="6720" w:val="left"/>
          <w:tab w:leader="none" w:pos="8180" w:val="left"/>
          <w:tab w:leader="none" w:pos="9420" w:val="left"/>
          <w:tab w:leader="none" w:pos="10680" w:val="left"/>
        </w:tabs>
        <w:rPr>
          <w:sz w:val="20"/>
          <w:szCs w:val="20"/>
          <w:color w:val="auto"/>
        </w:rPr>
      </w:pPr>
      <w:r>
        <w:rPr>
          <w:rFonts w:ascii="Times New Roman" w:cs="Times New Roman" w:eastAsia="Times New Roman" w:hAnsi="Times New Roman"/>
          <w:sz w:val="18"/>
          <w:szCs w:val="18"/>
          <w:color w:val="auto"/>
        </w:rPr>
        <w:t>Interest rate swaps</w:t>
      </w:r>
      <w:r>
        <w:rPr>
          <w:sz w:val="20"/>
          <w:szCs w:val="20"/>
          <w:color w:val="auto"/>
        </w:rPr>
        <w:tab/>
      </w:r>
      <w:r>
        <w:rPr>
          <w:rFonts w:ascii="Times New Roman" w:cs="Times New Roman" w:eastAsia="Times New Roman" w:hAnsi="Times New Roman"/>
          <w:sz w:val="18"/>
          <w:szCs w:val="18"/>
          <w:color w:val="auto"/>
        </w:rPr>
        <w:t>Interest income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16,704 $</w:t>
      </w:r>
      <w:r>
        <w:rPr>
          <w:sz w:val="20"/>
          <w:szCs w:val="20"/>
          <w:color w:val="auto"/>
        </w:rPr>
        <w:tab/>
      </w:r>
      <w:r>
        <w:rPr>
          <w:rFonts w:ascii="Times New Roman" w:cs="Times New Roman" w:eastAsia="Times New Roman" w:hAnsi="Times New Roman"/>
          <w:sz w:val="18"/>
          <w:szCs w:val="18"/>
          <w:color w:val="auto"/>
        </w:rPr>
        <w:t>3,496 $</w:t>
      </w:r>
      <w:r>
        <w:rPr>
          <w:sz w:val="20"/>
          <w:szCs w:val="20"/>
          <w:color w:val="auto"/>
        </w:rPr>
        <w:tab/>
      </w:r>
      <w:r>
        <w:rPr>
          <w:rFonts w:ascii="Times New Roman" w:cs="Times New Roman" w:eastAsia="Times New Roman" w:hAnsi="Times New Roman"/>
          <w:sz w:val="18"/>
          <w:szCs w:val="18"/>
          <w:color w:val="auto"/>
        </w:rPr>
        <w:t>(1,571) $</w:t>
      </w:r>
      <w:r>
        <w:rPr>
          <w:sz w:val="20"/>
          <w:szCs w:val="20"/>
          <w:color w:val="auto"/>
        </w:rPr>
        <w:tab/>
      </w:r>
      <w:r>
        <w:rPr>
          <w:rFonts w:ascii="Times New Roman" w:cs="Times New Roman" w:eastAsia="Times New Roman" w:hAnsi="Times New Roman"/>
          <w:sz w:val="16"/>
          <w:szCs w:val="16"/>
          <w:color w:val="auto"/>
        </w:rPr>
        <w:t>(13,627)</w:t>
      </w:r>
    </w:p>
    <w:p>
      <w:pPr>
        <w:spacing w:after="0" w:line="188" w:lineRule="exact"/>
        <w:rPr>
          <w:sz w:val="20"/>
          <w:szCs w:val="20"/>
          <w:color w:val="auto"/>
        </w:rPr>
      </w:pPr>
    </w:p>
    <w:p>
      <w:pPr>
        <w:ind w:right="520" w:firstLine="400"/>
        <w:spacing w:after="0" w:line="290" w:lineRule="auto"/>
        <w:tabs>
          <w:tab w:leader="none" w:pos="556"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reclassifications from accumulated other comprehensive loss to net income was reduced by taxes of $0.4 million and $3.6 million for the nine months ended December 31, 2022 and 2021, respectively.</w:t>
      </w:r>
    </w:p>
    <w:p>
      <w:pPr>
        <w:spacing w:after="0" w:line="40" w:lineRule="exact"/>
        <w:rPr>
          <w:sz w:val="20"/>
          <w:szCs w:val="20"/>
          <w:color w:val="auto"/>
        </w:rPr>
      </w:pPr>
    </w:p>
    <w:p>
      <w:pPr>
        <w:jc w:val="both"/>
        <w:ind w:right="520" w:firstLine="395"/>
        <w:spacing w:after="0" w:line="268" w:lineRule="auto"/>
        <w:rPr>
          <w:sz w:val="20"/>
          <w:szCs w:val="20"/>
          <w:color w:val="auto"/>
        </w:rPr>
      </w:pPr>
      <w:r>
        <w:rPr>
          <w:rFonts w:ascii="Times New Roman" w:cs="Times New Roman" w:eastAsia="Times New Roman" w:hAnsi="Times New Roman"/>
          <w:sz w:val="18"/>
          <w:szCs w:val="18"/>
          <w:color w:val="auto"/>
        </w:rPr>
        <w:t>Over the next 12 months, the Company estimates that $11.6 million will be reclassified as a decrease to interest expense. Cash flows associated with periodic settlements of interest rate swaps will be classified as operating activities in the condensed consolidated statement of cash flows.</w:t>
      </w:r>
    </w:p>
    <w:p>
      <w:pPr>
        <w:spacing w:after="0" w:line="64" w:lineRule="exact"/>
        <w:rPr>
          <w:sz w:val="20"/>
          <w:szCs w:val="20"/>
          <w:color w:val="auto"/>
        </w:rPr>
      </w:pPr>
    </w:p>
    <w:p>
      <w:pPr>
        <w:jc w:val="both"/>
        <w:ind w:right="520" w:firstLine="395"/>
        <w:spacing w:after="0" w:line="256" w:lineRule="auto"/>
        <w:rPr>
          <w:sz w:val="20"/>
          <w:szCs w:val="20"/>
          <w:color w:val="auto"/>
        </w:rPr>
      </w:pPr>
      <w:r>
        <w:rPr>
          <w:rFonts w:ascii="Times New Roman" w:cs="Times New Roman" w:eastAsia="Times New Roman" w:hAnsi="Times New Roman"/>
          <w:sz w:val="18"/>
          <w:szCs w:val="18"/>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11" w:lineRule="exact"/>
        <w:rPr>
          <w:sz w:val="20"/>
          <w:szCs w:val="20"/>
          <w:color w:val="auto"/>
        </w:rPr>
      </w:pPr>
    </w:p>
    <w:p>
      <w:pPr>
        <w:ind w:right="100" w:firstLine="395"/>
        <w:spacing w:after="0" w:line="286" w:lineRule="auto"/>
        <w:rPr>
          <w:sz w:val="20"/>
          <w:szCs w:val="20"/>
          <w:color w:val="auto"/>
        </w:rPr>
      </w:pPr>
      <w:r>
        <w:rPr>
          <w:rFonts w:ascii="Times New Roman" w:cs="Times New Roman" w:eastAsia="Times New Roman" w:hAnsi="Times New Roman"/>
          <w:sz w:val="16"/>
          <w:szCs w:val="16"/>
          <w:color w:val="auto"/>
        </w:rPr>
        <w:t>The Company’s effective income tax rates were 25.6% and 18.9% for the three months ended December 31, 2022 and 2021, respectively, and 23.3% and 21.6% for the nine months ended December 31, 2022 and 2021, respectively. Our effective tax rates for these periods differ from the federal statutory rate of</w:t>
      </w:r>
    </w:p>
    <w:p>
      <w:pPr>
        <w:jc w:val="both"/>
        <w:ind w:right="280"/>
        <w:spacing w:after="0" w:line="246" w:lineRule="auto"/>
        <w:rPr>
          <w:sz w:val="20"/>
          <w:szCs w:val="20"/>
          <w:color w:val="auto"/>
        </w:rPr>
      </w:pPr>
      <w:r>
        <w:rPr>
          <w:rFonts w:ascii="Times New Roman" w:cs="Times New Roman" w:eastAsia="Times New Roman" w:hAnsi="Times New Roman"/>
          <w:sz w:val="18"/>
          <w:szCs w:val="18"/>
          <w:color w:val="auto"/>
        </w:rPr>
        <w:t>21.0% primarily due to the inclusion of state and foreign income taxes and permanent rate differences, which are predominantly related to certain executive compensation and the accrual of reserves for uncertain tax positions, offset by research and development tax credits, excess tax benefits for employee share-based compensation, and the Foreign Derived Intangible Income deduction.</w:t>
      </w:r>
    </w:p>
    <w:p>
      <w:pPr>
        <w:spacing w:after="0" w:line="83"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The Company is currently contesting tax assessments from the District of Columbia Office of Tax and Revenue (“DC OTR”) for fiscal years 2013 through 2015. The assessment relates to $11.7 million of taxes, net of federal tax benefits, as of December 31, 2022.</w:t>
      </w:r>
    </w:p>
    <w:p>
      <w:pPr>
        <w:spacing w:after="0" w:line="64"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During fiscal 2022, the Company received notification that the District of Columbia Office of Administrative Hearings ruled in favor of the DC OTR. The Company is currently appealing the decision with the District of Columbia Court of Appeals. The Company intends to continue to vigorously defend this matter. Oral arguments will occur in calendar year 2023.</w:t>
      </w:r>
    </w:p>
    <w:p>
      <w:pPr>
        <w:spacing w:after="0" w:line="75" w:lineRule="exact"/>
        <w:rPr>
          <w:sz w:val="20"/>
          <w:szCs w:val="20"/>
          <w:color w:val="auto"/>
        </w:rPr>
      </w:pPr>
    </w:p>
    <w:p>
      <w:pPr>
        <w:ind w:firstLine="395"/>
        <w:spacing w:after="0" w:line="289" w:lineRule="auto"/>
        <w:rPr>
          <w:sz w:val="20"/>
          <w:szCs w:val="20"/>
          <w:color w:val="auto"/>
        </w:rPr>
      </w:pPr>
      <w:r>
        <w:rPr>
          <w:rFonts w:ascii="Times New Roman" w:cs="Times New Roman" w:eastAsia="Times New Roman" w:hAnsi="Times New Roman"/>
          <w:sz w:val="16"/>
          <w:szCs w:val="16"/>
          <w:color w:val="auto"/>
        </w:rPr>
        <w:t>The Company has taken similar tax positions with respect to subsequent fiscal years. As of December 31, 2022, the Company does not maintain reserves for any uncertain tax positions related to the contested tax benefits related to 2013 through 2015, nor does it maintain reserves for the similar tax positions taken in the subsequent fiscal years. Management continues to evaluate this position quarterly to determine if a change in estimate is needed. If an adverse final resolution were to occur with respect to uncertain tax positions related to the contested tax benefits or the similar tax positions taken for fiscal years 2013 through 2020, the total potential future tax expense that would arise would be approximately $40.2 million to $58.8 million, net of federal benefits.</w:t>
      </w:r>
    </w:p>
    <w:p>
      <w:pPr>
        <w:spacing w:after="0" w:line="50"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For the fiscal 2021 tax year, the Company generated a tax loss for U.S. Federal and state tax purposes resulting from the treatment of costs associated with property, plant, and equipment. As a result of a provision in the Coronavirus Aid, Relief and Economic Security Act (“CARES Act”), the Company was allowed to carry this loss back to the five prior tax years (fiscal years 2016 to 2020). Accordingly, the Company recorded a long-term income tax receivable in fiscal 2021 (due to the uncertainty around expectations for the timing of refund receipt) which was largely offset by a corresponding deferred tax liability reflected within the property and equipment deferred tax liability in the Company's significant components of deferred income tax assets and liabilities. In October 2022, the Company received a partial federal tax refund of approximately $174.0 million plus interest for its carryback claim related to the above, which reduced the long-term income tax receivable on our Condensed Consolidated Balance Sheet as of December 31, 2022.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111"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The Company sponsors the Employees’ Capital Accumulation Plan, or ECAP, which is a qualified defined contribution plan that covers eligible U.S. and certain international employees. ECAP provides for distributions to participants by reason of retirement, death, disability, or termination of employment. The Company provides an annual matching contribution of up to 6% of eligible annual compensation. Total expenses recognized for matching contributions under ECAP were $47.0 million and $42.3 million for the three months ended December 31, 2022 and 2021, respectively, and $139.1 million and $128.2 million for the nine months ended December 31, 2022 and 2021, respectively.</w:t>
      </w:r>
    </w:p>
    <w:p>
      <w:pPr>
        <w:spacing w:after="0" w:line="67" w:lineRule="exact"/>
        <w:rPr>
          <w:sz w:val="20"/>
          <w:szCs w:val="20"/>
          <w:color w:val="auto"/>
        </w:rPr>
      </w:pPr>
    </w:p>
    <w:p>
      <w:pPr>
        <w:ind w:right="160" w:firstLine="395"/>
        <w:spacing w:after="0" w:line="237" w:lineRule="auto"/>
        <w:rPr>
          <w:sz w:val="20"/>
          <w:szCs w:val="20"/>
          <w:color w:val="auto"/>
        </w:rPr>
      </w:pPr>
      <w:r>
        <w:rPr>
          <w:rFonts w:ascii="Times New Roman" w:cs="Times New Roman" w:eastAsia="Times New Roman" w:hAnsi="Times New Roman"/>
          <w:sz w:val="18"/>
          <w:szCs w:val="18"/>
          <w:color w:val="auto"/>
        </w:rPr>
        <w:t>The Company also provides post-retirement healthcare benefits to former officers under a medical indemnity insurance plan, with premiums paid by the Company. As of December 31, 2022 and March 31, 2022, the unfunded status of the post-retirement medical plan was $118.4 million and $113.5 million, respectively, which is included in other long-term liabilities in the accompanying condensed consolidated balance sheets. Balance sheet and income statement impacts of any remaining benefit plans are immaterial for all periods presented in these condensed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Income (Loss)</w:t>
      </w:r>
    </w:p>
    <w:p>
      <w:pPr>
        <w:spacing w:after="0" w:line="11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All amounts recorded in other comprehensive income (loss) are related to the Company's post-retirement plans and interest rate swaps designated as cash flow hedges. The following table shows the changes in accumulated other comprehensive loss, net of tax:</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of period</w:t>
      </w:r>
    </w:p>
    <w:p>
      <w:pPr>
        <w:spacing w:after="0" w:line="21" w:lineRule="exact"/>
        <w:rPr>
          <w:sz w:val="20"/>
          <w:szCs w:val="20"/>
          <w:color w:val="auto"/>
        </w:rPr>
      </w:pPr>
    </w:p>
    <w:p>
      <w:pPr>
        <w:ind w:left="140" w:right="900"/>
        <w:spacing w:after="0" w:line="220" w:lineRule="auto"/>
        <w:rPr>
          <w:sz w:val="20"/>
          <w:szCs w:val="20"/>
          <w:color w:val="auto"/>
        </w:rPr>
      </w:pPr>
      <w:r>
        <w:rPr>
          <w:rFonts w:ascii="Times New Roman" w:cs="Times New Roman" w:eastAsia="Times New Roman" w:hAnsi="Times New Roman"/>
          <w:sz w:val="18"/>
          <w:szCs w:val="18"/>
          <w:color w:val="auto"/>
        </w:rPr>
        <w:t>Other comprehensive income before reclassifications</w:t>
      </w:r>
      <w:r>
        <w:rPr>
          <w:rFonts w:ascii="Times New Roman" w:cs="Times New Roman" w:eastAsia="Times New Roman" w:hAnsi="Times New Roman"/>
          <w:sz w:val="22"/>
          <w:szCs w:val="22"/>
          <w:color w:val="auto"/>
          <w:vertAlign w:val="superscript"/>
        </w:rPr>
        <w:t>(1)</w:t>
      </w:r>
    </w:p>
    <w:p>
      <w:pPr>
        <w:spacing w:after="0" w:line="2" w:lineRule="exact"/>
        <w:rPr>
          <w:sz w:val="20"/>
          <w:szCs w:val="20"/>
          <w:color w:val="auto"/>
        </w:rPr>
      </w:pPr>
    </w:p>
    <w:p>
      <w:pPr>
        <w:ind w:left="140" w:right="260"/>
        <w:spacing w:after="0" w:line="219"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p>
      <w:pPr>
        <w:spacing w:after="0" w:line="10" w:lineRule="exact"/>
        <w:rPr>
          <w:sz w:val="20"/>
          <w:szCs w:val="20"/>
          <w:color w:val="auto"/>
        </w:rPr>
      </w:pPr>
    </w:p>
    <w:p>
      <w:pPr>
        <w:ind w:left="220"/>
        <w:spacing w:after="0" w:line="231" w:lineRule="auto"/>
        <w:rPr>
          <w:sz w:val="20"/>
          <w:szCs w:val="20"/>
          <w:color w:val="auto"/>
        </w:rPr>
      </w:pPr>
      <w:r>
        <w:rPr>
          <w:rFonts w:ascii="Times New Roman" w:cs="Times New Roman" w:eastAsia="Times New Roman" w:hAnsi="Times New Roman"/>
          <w:sz w:val="18"/>
          <w:szCs w:val="18"/>
          <w:color w:val="auto"/>
        </w:rPr>
        <w:t>Net current-period other comprehensive income (loss)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258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4"/>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7"/>
              </w:rPr>
              <w:t>Nine Months Ended</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center"/>
              <w:ind w:left="692"/>
              <w:spacing w:after="0"/>
              <w:rPr>
                <w:sz w:val="20"/>
                <w:szCs w:val="20"/>
                <w:color w:val="auto"/>
              </w:rPr>
            </w:pPr>
            <w:r>
              <w:rPr>
                <w:rFonts w:ascii="Times New Roman" w:cs="Times New Roman" w:eastAsia="Times New Roman" w:hAnsi="Times New Roman"/>
                <w:sz w:val="18"/>
                <w:szCs w:val="18"/>
                <w:b w:val="1"/>
                <w:bCs w:val="1"/>
                <w:color w:val="auto"/>
                <w:w w:val="97"/>
              </w:rPr>
              <w:t>December 31, 2022</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Post-</w:t>
            </w:r>
          </w:p>
        </w:tc>
        <w:tc>
          <w:tcPr>
            <w:tcW w:w="100" w:type="dxa"/>
            <w:vAlign w:val="bottom"/>
          </w:tcPr>
          <w:p>
            <w:pPr>
              <w:spacing w:after="0"/>
              <w:rPr>
                <w:sz w:val="14"/>
                <w:szCs w:val="14"/>
                <w:color w:val="auto"/>
              </w:rPr>
            </w:pPr>
          </w:p>
        </w:tc>
        <w:tc>
          <w:tcPr>
            <w:tcW w:w="1120" w:type="dxa"/>
            <w:vAlign w:val="bottom"/>
          </w:tcPr>
          <w:p>
            <w:pPr>
              <w:jc w:val="center"/>
              <w:ind w:right="12"/>
              <w:spacing w:after="0" w:line="168" w:lineRule="exact"/>
              <w:rPr>
                <w:sz w:val="20"/>
                <w:szCs w:val="20"/>
                <w:color w:val="auto"/>
              </w:rPr>
            </w:pPr>
            <w:r>
              <w:rPr>
                <w:rFonts w:ascii="Times New Roman" w:cs="Times New Roman" w:eastAsia="Times New Roman" w:hAnsi="Times New Roman"/>
                <w:sz w:val="18"/>
                <w:szCs w:val="18"/>
                <w:b w:val="1"/>
                <w:bCs w:val="1"/>
                <w:color w:val="auto"/>
                <w:w w:val="98"/>
              </w:rPr>
              <w:t>Derivatives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Post-retirement</w:t>
            </w: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7"/>
              </w:rPr>
              <w:t>designated as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72"/>
              <w:spacing w:after="0" w:line="184" w:lineRule="exact"/>
              <w:rPr>
                <w:sz w:val="20"/>
                <w:szCs w:val="20"/>
                <w:color w:val="auto"/>
              </w:rPr>
            </w:pPr>
            <w:r>
              <w:rPr>
                <w:rFonts w:ascii="Times New Roman" w:cs="Times New Roman" w:eastAsia="Times New Roman" w:hAnsi="Times New Roman"/>
                <w:sz w:val="18"/>
                <w:szCs w:val="18"/>
                <w:b w:val="1"/>
                <w:bCs w:val="1"/>
                <w:color w:val="auto"/>
                <w:w w:val="97"/>
              </w:rPr>
              <w:t>designated as</w:t>
            </w:r>
          </w:p>
        </w:tc>
        <w:tc>
          <w:tcPr>
            <w:tcW w:w="320" w:type="dxa"/>
            <w:vAlign w:val="bottom"/>
          </w:tcPr>
          <w:p>
            <w:pPr>
              <w:spacing w:after="0"/>
              <w:rPr>
                <w:sz w:val="16"/>
                <w:szCs w:val="16"/>
                <w:color w:val="auto"/>
              </w:rPr>
            </w:pPr>
          </w:p>
        </w:tc>
        <w:tc>
          <w:tcPr>
            <w:tcW w:w="102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60" w:type="dxa"/>
            <w:vAlign w:val="bottom"/>
          </w:tcPr>
          <w:p>
            <w:pPr>
              <w:spacing w:after="0"/>
              <w:rPr>
                <w:sz w:val="16"/>
                <w:szCs w:val="16"/>
                <w:color w:val="auto"/>
              </w:rPr>
            </w:pPr>
          </w:p>
        </w:tc>
        <w:tc>
          <w:tcPr>
            <w:tcW w:w="1020" w:type="dxa"/>
            <w:vAlign w:val="bottom"/>
          </w:tcPr>
          <w:p>
            <w:pPr>
              <w:jc w:val="center"/>
              <w:ind w:right="72"/>
              <w:spacing w:after="0" w:line="184" w:lineRule="exact"/>
              <w:rPr>
                <w:sz w:val="20"/>
                <w:szCs w:val="20"/>
                <w:color w:val="auto"/>
              </w:rPr>
            </w:pPr>
            <w:r>
              <w:rPr>
                <w:rFonts w:ascii="Times New Roman" w:cs="Times New Roman" w:eastAsia="Times New Roman" w:hAnsi="Times New Roman"/>
                <w:sz w:val="18"/>
                <w:szCs w:val="18"/>
                <w:b w:val="1"/>
                <w:bCs w:val="1"/>
                <w:color w:val="auto"/>
                <w:w w:val="95"/>
              </w:rPr>
              <w:t>retirement</w:t>
            </w:r>
          </w:p>
        </w:tc>
        <w:tc>
          <w:tcPr>
            <w:tcW w:w="100" w:type="dxa"/>
            <w:vAlign w:val="bottom"/>
          </w:tcPr>
          <w:p>
            <w:pPr>
              <w:spacing w:after="0"/>
              <w:rPr>
                <w:sz w:val="16"/>
                <w:szCs w:val="16"/>
                <w:color w:val="auto"/>
              </w:rPr>
            </w:pPr>
          </w:p>
        </w:tc>
        <w:tc>
          <w:tcPr>
            <w:tcW w:w="1120" w:type="dxa"/>
            <w:vAlign w:val="bottom"/>
          </w:tcPr>
          <w:p>
            <w:pPr>
              <w:jc w:val="center"/>
              <w:ind w:right="12"/>
              <w:spacing w:after="0" w:line="184" w:lineRule="exact"/>
              <w:rPr>
                <w:sz w:val="20"/>
                <w:szCs w:val="20"/>
                <w:color w:val="auto"/>
              </w:rPr>
            </w:pPr>
            <w:r>
              <w:rPr>
                <w:rFonts w:ascii="Times New Roman" w:cs="Times New Roman" w:eastAsia="Times New Roman" w:hAnsi="Times New Roman"/>
                <w:sz w:val="18"/>
                <w:szCs w:val="18"/>
                <w:b w:val="1"/>
                <w:bCs w:val="1"/>
                <w:color w:val="auto"/>
                <w:w w:val="97"/>
              </w:rPr>
              <w:t>cash flow</w:t>
            </w:r>
          </w:p>
        </w:tc>
        <w:tc>
          <w:tcPr>
            <w:tcW w:w="240" w:type="dxa"/>
            <w:vAlign w:val="bottom"/>
          </w:tcPr>
          <w:p>
            <w:pPr>
              <w:spacing w:after="0"/>
              <w:rPr>
                <w:sz w:val="16"/>
                <w:szCs w:val="16"/>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24"/>
        </w:trPr>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cash flow hedges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plans</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6"/>
              </w:rPr>
              <w:t>hedges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0" w:type="dxa"/>
            <w:vAlign w:val="bottom"/>
          </w:tcPr>
          <w:p>
            <w:pPr>
              <w:spacing w:after="0"/>
              <w:rPr>
                <w:sz w:val="1"/>
                <w:szCs w:val="1"/>
                <w:color w:val="auto"/>
              </w:rPr>
            </w:pPr>
          </w:p>
        </w:tc>
      </w:tr>
      <w:tr>
        <w:trPr>
          <w:trHeight w:val="403"/>
        </w:trPr>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0" w:type="dxa"/>
            <w:vAlign w:val="bottom"/>
          </w:tcPr>
          <w:p>
            <w:pPr>
              <w:spacing w:after="0"/>
              <w:rPr>
                <w:sz w:val="1"/>
                <w:szCs w:val="1"/>
                <w:color w:val="auto"/>
              </w:rPr>
            </w:pPr>
          </w:p>
        </w:tc>
      </w:tr>
      <w:tr>
        <w:trPr>
          <w:trHeight w:val="408"/>
        </w:trPr>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388"/>
        </w:trPr>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13,498</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13,494</w:t>
            </w:r>
          </w:p>
        </w:tc>
        <w:tc>
          <w:tcPr>
            <w:tcW w:w="0" w:type="dxa"/>
            <w:vAlign w:val="bottom"/>
          </w:tcPr>
          <w:p>
            <w:pPr>
              <w:spacing w:after="0"/>
              <w:rPr>
                <w:sz w:val="1"/>
                <w:szCs w:val="1"/>
                <w:color w:val="auto"/>
              </w:rPr>
            </w:pPr>
          </w:p>
        </w:tc>
      </w:tr>
      <w:tr>
        <w:trPr>
          <w:trHeight w:val="217"/>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13,272</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13,272</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22,079</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-1110615</wp:posOffset>
            </wp:positionV>
            <wp:extent cx="7135495" cy="150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-701040</wp:posOffset>
            </wp:positionV>
            <wp:extent cx="7135495" cy="259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5495" cy="259080"/>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-182880</wp:posOffset>
            </wp:positionV>
            <wp:extent cx="7135495" cy="167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3600" w:space="200"/>
            <w:col w:w="7440"/>
          </w:cols>
          <w:pgMar w:left="320" w:top="121" w:right="339" w:bottom="1440" w:gutter="0" w:footer="0" w:header="0"/>
          <w:type w:val="continuous"/>
        </w:sectPr>
      </w:pPr>
    </w:p>
    <w:p>
      <w:pPr>
        <w:ind w:right="540" w:firstLine="5"/>
        <w:spacing w:after="0" w:line="234" w:lineRule="auto"/>
        <w:tabs>
          <w:tab w:leader="none" w:pos="177"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Changes in other comprehensive income before reclassification for derivatives designated as cash flow hedges are recorded net of tax expense of $0.4 million and $4.4 million for the three and nine months ended December 31, 2022, respectively.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gridSpan w:val="4"/>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b w:val="1"/>
                <w:bCs w:val="1"/>
                <w:color w:val="auto"/>
                <w:w w:val="97"/>
              </w:rPr>
              <w:t>Nine Months Ended</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center"/>
              <w:ind w:left="592"/>
              <w:spacing w:after="0"/>
              <w:rPr>
                <w:sz w:val="20"/>
                <w:szCs w:val="20"/>
                <w:color w:val="auto"/>
              </w:rPr>
            </w:pPr>
            <w:r>
              <w:rPr>
                <w:rFonts w:ascii="Times New Roman" w:cs="Times New Roman" w:eastAsia="Times New Roman" w:hAnsi="Times New Roman"/>
                <w:sz w:val="18"/>
                <w:szCs w:val="18"/>
                <w:b w:val="1"/>
                <w:bCs w:val="1"/>
                <w:color w:val="auto"/>
                <w:w w:val="97"/>
              </w:rPr>
              <w:t>December 31, 2021</w:t>
            </w:r>
          </w:p>
        </w:tc>
        <w:tc>
          <w:tcPr>
            <w:tcW w:w="9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7"/>
              </w:rPr>
              <w:t>December 31, 2021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32"/>
              <w:spacing w:after="0" w:line="168" w:lineRule="exact"/>
              <w:rPr>
                <w:sz w:val="20"/>
                <w:szCs w:val="20"/>
                <w:color w:val="auto"/>
              </w:rPr>
            </w:pPr>
            <w:r>
              <w:rPr>
                <w:rFonts w:ascii="Times New Roman" w:cs="Times New Roman" w:eastAsia="Times New Roman" w:hAnsi="Times New Roman"/>
                <w:sz w:val="18"/>
                <w:szCs w:val="18"/>
                <w:b w:val="1"/>
                <w:bCs w:val="1"/>
                <w:color w:val="auto"/>
                <w:w w:val="96"/>
              </w:rPr>
              <w:t>Derivatives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2"/>
              <w:spacing w:after="0" w:line="168" w:lineRule="exact"/>
              <w:rPr>
                <w:sz w:val="20"/>
                <w:szCs w:val="20"/>
                <w:color w:val="auto"/>
              </w:rPr>
            </w:pPr>
            <w:r>
              <w:rPr>
                <w:rFonts w:ascii="Times New Roman" w:cs="Times New Roman" w:eastAsia="Times New Roman" w:hAnsi="Times New Roman"/>
                <w:sz w:val="18"/>
                <w:szCs w:val="18"/>
                <w:b w:val="1"/>
                <w:bCs w:val="1"/>
                <w:color w:val="auto"/>
                <w:w w:val="98"/>
              </w:rPr>
              <w:t>Derivatives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Post-retirement</w:t>
            </w:r>
          </w:p>
        </w:tc>
        <w:tc>
          <w:tcPr>
            <w:tcW w:w="120" w:type="dxa"/>
            <w:vAlign w:val="bottom"/>
          </w:tcPr>
          <w:p>
            <w:pPr>
              <w:spacing w:after="0"/>
              <w:rPr>
                <w:sz w:val="14"/>
                <w:szCs w:val="14"/>
                <w:color w:val="auto"/>
              </w:rPr>
            </w:pPr>
          </w:p>
        </w:tc>
        <w:tc>
          <w:tcPr>
            <w:tcW w:w="1120" w:type="dxa"/>
            <w:vAlign w:val="bottom"/>
          </w:tcPr>
          <w:p>
            <w:pPr>
              <w:jc w:val="right"/>
              <w:ind w:right="32"/>
              <w:spacing w:after="0" w:line="171" w:lineRule="exact"/>
              <w:rPr>
                <w:sz w:val="20"/>
                <w:szCs w:val="20"/>
                <w:color w:val="auto"/>
              </w:rPr>
            </w:pPr>
            <w:r>
              <w:rPr>
                <w:rFonts w:ascii="Times New Roman" w:cs="Times New Roman" w:eastAsia="Times New Roman" w:hAnsi="Times New Roman"/>
                <w:sz w:val="18"/>
                <w:szCs w:val="18"/>
                <w:b w:val="1"/>
                <w:bCs w:val="1"/>
                <w:color w:val="auto"/>
                <w:w w:val="95"/>
              </w:rPr>
              <w:t>designated as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120" w:type="dxa"/>
            <w:vAlign w:val="bottom"/>
          </w:tcPr>
          <w:p>
            <w:pPr>
              <w:spacing w:after="0"/>
              <w:rPr>
                <w:sz w:val="14"/>
                <w:szCs w:val="14"/>
                <w:color w:val="auto"/>
              </w:rPr>
            </w:pPr>
          </w:p>
        </w:tc>
        <w:tc>
          <w:tcPr>
            <w:tcW w:w="1120" w:type="dxa"/>
            <w:vAlign w:val="bottom"/>
          </w:tcPr>
          <w:p>
            <w:pPr>
              <w:jc w:val="center"/>
              <w:ind w:right="32"/>
              <w:spacing w:after="0" w:line="171" w:lineRule="exact"/>
              <w:rPr>
                <w:sz w:val="20"/>
                <w:szCs w:val="20"/>
                <w:color w:val="auto"/>
              </w:rPr>
            </w:pPr>
            <w:r>
              <w:rPr>
                <w:rFonts w:ascii="Times New Roman" w:cs="Times New Roman" w:eastAsia="Times New Roman" w:hAnsi="Times New Roman"/>
                <w:sz w:val="18"/>
                <w:szCs w:val="18"/>
                <w:b w:val="1"/>
                <w:bCs w:val="1"/>
                <w:color w:val="auto"/>
                <w:w w:val="97"/>
              </w:rPr>
              <w:t>designated as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52"/>
              <w:spacing w:after="0" w:line="171" w:lineRule="exact"/>
              <w:rPr>
                <w:sz w:val="20"/>
                <w:szCs w:val="20"/>
                <w:color w:val="auto"/>
              </w:rPr>
            </w:pPr>
            <w:r>
              <w:rPr>
                <w:rFonts w:ascii="Times New Roman" w:cs="Times New Roman" w:eastAsia="Times New Roman" w:hAnsi="Times New Roman"/>
                <w:sz w:val="18"/>
                <w:szCs w:val="18"/>
                <w:b w:val="1"/>
                <w:bCs w:val="1"/>
                <w:color w:val="auto"/>
                <w:w w:val="97"/>
              </w:rPr>
              <w:t>cash flow</w:t>
            </w:r>
          </w:p>
        </w:tc>
        <w:tc>
          <w:tcPr>
            <w:tcW w:w="280" w:type="dxa"/>
            <w:vAlign w:val="bottom"/>
          </w:tcPr>
          <w:p>
            <w:pPr>
              <w:spacing w:after="0"/>
              <w:rPr>
                <w:sz w:val="14"/>
                <w:szCs w:val="14"/>
                <w:color w:val="auto"/>
              </w:rPr>
            </w:pPr>
          </w:p>
        </w:tc>
        <w:tc>
          <w:tcPr>
            <w:tcW w:w="940" w:type="dxa"/>
            <w:vAlign w:val="bottom"/>
            <w:vMerge w:val="restart"/>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2"/>
              <w:spacing w:after="0" w:line="171" w:lineRule="exact"/>
              <w:rPr>
                <w:sz w:val="20"/>
                <w:szCs w:val="20"/>
                <w:color w:val="auto"/>
              </w:rPr>
            </w:pPr>
            <w:r>
              <w:rPr>
                <w:rFonts w:ascii="Times New Roman" w:cs="Times New Roman" w:eastAsia="Times New Roman" w:hAnsi="Times New Roman"/>
                <w:sz w:val="18"/>
                <w:szCs w:val="18"/>
                <w:b w:val="1"/>
                <w:bCs w:val="1"/>
                <w:color w:val="auto"/>
                <w:w w:val="97"/>
              </w:rPr>
              <w:t>cash flow</w:t>
            </w:r>
          </w:p>
        </w:tc>
        <w:tc>
          <w:tcPr>
            <w:tcW w:w="260" w:type="dxa"/>
            <w:vAlign w:val="bottom"/>
          </w:tcPr>
          <w:p>
            <w:pPr>
              <w:spacing w:after="0"/>
              <w:rPr>
                <w:sz w:val="14"/>
                <w:szCs w:val="14"/>
                <w:color w:val="auto"/>
              </w:rPr>
            </w:pPr>
          </w:p>
        </w:tc>
        <w:tc>
          <w:tcPr>
            <w:tcW w:w="980" w:type="dxa"/>
            <w:vAlign w:val="bottom"/>
            <w:vMerge w:val="restart"/>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6"/>
              </w:rPr>
              <w:t>hedges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(22,476)</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(23,999)</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(28,209)</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(29,771)</w:t>
            </w:r>
          </w:p>
        </w:tc>
        <w:tc>
          <w:tcPr>
            <w:tcW w:w="0" w:type="dxa"/>
            <w:vAlign w:val="bottom"/>
          </w:tcPr>
          <w:p>
            <w:pPr>
              <w:spacing w:after="0"/>
              <w:rPr>
                <w:sz w:val="1"/>
                <w:szCs w:val="1"/>
                <w:color w:val="auto"/>
              </w:rPr>
            </w:pPr>
          </w:p>
        </w:tc>
      </w:tr>
      <w:tr>
        <w:trPr>
          <w:trHeight w:val="224"/>
        </w:trPr>
        <w:tc>
          <w:tcPr>
            <w:tcW w:w="382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w w:val="97"/>
              </w:rPr>
              <w:t>Other comprehensive loss before reclassifications</w:t>
            </w:r>
            <w:r>
              <w:rPr>
                <w:rFonts w:ascii="Times New Roman" w:cs="Times New Roman" w:eastAsia="Times New Roman" w:hAnsi="Times New Roman"/>
                <w:sz w:val="22"/>
                <w:szCs w:val="22"/>
                <w:color w:val="auto"/>
                <w:w w:val="97"/>
                <w:vertAlign w:val="superscript"/>
              </w:rPr>
              <w:t>(2)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171"/>
        </w:trPr>
        <w:tc>
          <w:tcPr>
            <w:tcW w:w="382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12,658</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0" w:type="dxa"/>
            <w:vAlign w:val="bottom"/>
          </w:tcPr>
          <w:p>
            <w:pPr>
              <w:spacing w:after="0"/>
              <w:rPr>
                <w:sz w:val="1"/>
                <w:szCs w:val="1"/>
                <w:color w:val="auto"/>
              </w:rPr>
            </w:pPr>
          </w:p>
        </w:tc>
      </w:tr>
      <w:tr>
        <w:trPr>
          <w:trHeight w:val="242"/>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right="240" w:firstLine="5"/>
        <w:spacing w:after="0" w:line="290" w:lineRule="auto"/>
        <w:tabs>
          <w:tab w:leader="none" w:pos="161"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Changes in other comprehensive loss before reclassification for derivatives designated as cash flow hedges are recorded net of tax expense of $1.4 million and $0.9 million for the three and nine months ended December 31, 2021, respectively.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recognized in the condensed consolidated statements of operations: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0"/>
                <w:szCs w:val="20"/>
                <w:color w:val="auto"/>
              </w:rPr>
            </w:pPr>
          </w:p>
        </w:tc>
        <w:tc>
          <w:tcPr>
            <w:tcW w:w="282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Nine Months Ended December 31,</w:t>
            </w:r>
          </w:p>
        </w:tc>
      </w:tr>
      <w:tr>
        <w:trPr>
          <w:trHeight w:val="217"/>
        </w:trPr>
        <w:tc>
          <w:tcPr>
            <w:tcW w:w="5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19,832</w:t>
            </w:r>
          </w:p>
        </w:tc>
      </w:tr>
      <w:tr>
        <w:trPr>
          <w:trHeight w:val="224"/>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25,355</w:t>
            </w:r>
          </w:p>
        </w:tc>
      </w:tr>
      <w:tr>
        <w:trPr>
          <w:trHeight w:val="242"/>
        </w:trPr>
        <w:tc>
          <w:tcPr>
            <w:tcW w:w="5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14"/>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2"/>
        </w:trPr>
        <w:tc>
          <w:tcPr>
            <w:tcW w:w="5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180" w:lineRule="exact"/>
        <w:rPr>
          <w:sz w:val="20"/>
          <w:szCs w:val="20"/>
          <w:color w:val="auto"/>
        </w:rPr>
      </w:pPr>
    </w:p>
    <w:p>
      <w:pPr>
        <w:ind w:right="60" w:firstLine="395"/>
        <w:spacing w:after="0" w:line="237"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recognized in the condensed consolidated statements of operations by the following types of equity awards, including stock options, time-based and performance-based restricted stock awards. Compensation expense for performance-based awards is estimated at each reporting date using management's expectation of the probable achievement of the specified performance criteria of each tranche during the respective performance periods: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0"/>
                <w:szCs w:val="20"/>
                <w:color w:val="auto"/>
              </w:rPr>
            </w:pPr>
          </w:p>
        </w:tc>
        <w:tc>
          <w:tcPr>
            <w:tcW w:w="282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Nine Months Ended December 31,</w:t>
            </w:r>
          </w:p>
        </w:tc>
      </w:tr>
      <w:tr>
        <w:trPr>
          <w:trHeight w:val="217"/>
        </w:trPr>
        <w:tc>
          <w:tcPr>
            <w:tcW w:w="5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7"/>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Incentive Plan Options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24"/>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Restricted Stock and other awards</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43,710</w:t>
            </w:r>
          </w:p>
        </w:tc>
      </w:tr>
      <w:tr>
        <w:trPr>
          <w:trHeight w:val="242"/>
        </w:trPr>
        <w:tc>
          <w:tcPr>
            <w:tcW w:w="52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As of December 31, 2022, there was $66.4 million of total unrecognized compensation cost related to unvested stock-based compensation agreements. The unrecognized compensation cost as of December 31, 2022 is expected to be fully amortized over the next 4.84 years. Absent the effect of accelerating stock compensation cost for any departures of employees who may continue to vest in their equity awards, the following table summarizes the unrecognized compensation cost and the weighted-average period the cost is expected to be amortized.</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7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151"/>
        </w:trPr>
        <w:tc>
          <w:tcPr>
            <w:tcW w:w="7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120" w:type="dxa"/>
            <w:vAlign w:val="bottom"/>
          </w:tcPr>
          <w:p>
            <w:pPr>
              <w:spacing w:after="0"/>
              <w:rPr>
                <w:sz w:val="13"/>
                <w:szCs w:val="13"/>
                <w:color w:val="auto"/>
              </w:rPr>
            </w:pPr>
          </w:p>
        </w:tc>
        <w:tc>
          <w:tcPr>
            <w:tcW w:w="2140" w:type="dxa"/>
            <w:vAlign w:val="bottom"/>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w w:val="98"/>
              </w:rPr>
              <w:t>Weighted Average Remaining</w:t>
            </w:r>
          </w:p>
        </w:tc>
        <w:tc>
          <w:tcPr>
            <w:tcW w:w="0" w:type="dxa"/>
            <w:vAlign w:val="bottom"/>
          </w:tcPr>
          <w:p>
            <w:pPr>
              <w:spacing w:after="0"/>
              <w:rPr>
                <w:sz w:val="1"/>
                <w:szCs w:val="1"/>
                <w:color w:val="auto"/>
              </w:rPr>
            </w:pPr>
          </w:p>
        </w:tc>
      </w:tr>
      <w:tr>
        <w:trPr>
          <w:trHeight w:val="158"/>
        </w:trPr>
        <w:tc>
          <w:tcPr>
            <w:tcW w:w="7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Period to be Recognized (in</w:t>
            </w:r>
          </w:p>
        </w:tc>
        <w:tc>
          <w:tcPr>
            <w:tcW w:w="0" w:type="dxa"/>
            <w:vAlign w:val="bottom"/>
          </w:tcPr>
          <w:p>
            <w:pPr>
              <w:spacing w:after="0"/>
              <w:rPr>
                <w:sz w:val="1"/>
                <w:szCs w:val="1"/>
                <w:color w:val="auto"/>
              </w:rPr>
            </w:pPr>
          </w:p>
        </w:tc>
      </w:tr>
      <w:tr>
        <w:trPr>
          <w:trHeight w:val="210"/>
        </w:trPr>
        <w:tc>
          <w:tcPr>
            <w:tcW w:w="7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Compensation Cost</w:t>
            </w:r>
          </w:p>
        </w:tc>
        <w:tc>
          <w:tcPr>
            <w:tcW w:w="12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 Options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3.83</w:t>
            </w:r>
          </w:p>
        </w:tc>
        <w:tc>
          <w:tcPr>
            <w:tcW w:w="0" w:type="dxa"/>
            <w:vAlign w:val="bottom"/>
          </w:tcPr>
          <w:p>
            <w:pPr>
              <w:spacing w:after="0"/>
              <w:rPr>
                <w:sz w:val="1"/>
                <w:szCs w:val="1"/>
                <w:color w:val="auto"/>
              </w:rPr>
            </w:pPr>
          </w:p>
        </w:tc>
      </w:tr>
      <w:tr>
        <w:trPr>
          <w:trHeight w:val="224"/>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61,897</w:t>
            </w:r>
          </w:p>
        </w:tc>
        <w:tc>
          <w:tcPr>
            <w:tcW w:w="22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5"/>
              </w:rPr>
              <w:t>1.81</w:t>
            </w:r>
          </w:p>
        </w:tc>
        <w:tc>
          <w:tcPr>
            <w:tcW w:w="0" w:type="dxa"/>
            <w:vAlign w:val="bottom"/>
          </w:tcPr>
          <w:p>
            <w:pPr>
              <w:spacing w:after="0"/>
              <w:rPr>
                <w:sz w:val="1"/>
                <w:szCs w:val="1"/>
                <w:color w:val="auto"/>
              </w:rPr>
            </w:pPr>
          </w:p>
        </w:tc>
      </w:tr>
      <w:tr>
        <w:trPr>
          <w:trHeight w:val="242"/>
        </w:trPr>
        <w:tc>
          <w:tcPr>
            <w:tcW w:w="7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66,436</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2022, there were 1.2 million EIP options outstanding, of which 0.6 million were unvested.</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During the three months ended December 31, 2022, the Board of Directors granted 0.1 million restricted stock units to certain employees of the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value of these awards was $15.0 million based on the grant date stock price.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11"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8"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960" w:type="dxa"/>
            <w:vAlign w:val="bottom"/>
            <w:gridSpan w:val="9"/>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6"/>
              </w:rPr>
              <w:t>Recurring Fair Value Measurements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58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45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Assets:</w:t>
            </w:r>
          </w:p>
        </w:tc>
        <w:tc>
          <w:tcPr>
            <w:tcW w:w="16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Current derivative instruments </w:t>
            </w:r>
            <w:r>
              <w:rPr>
                <w:rFonts w:ascii="Times New Roman" w:cs="Times New Roman" w:eastAsia="Times New Roman" w:hAnsi="Times New Roman"/>
                <w:sz w:val="22"/>
                <w:szCs w:val="22"/>
                <w:color w:val="auto"/>
                <w:vertAlign w:val="superscript"/>
              </w:rPr>
              <w:t>(2)</w:t>
            </w:r>
          </w:p>
        </w:tc>
        <w:tc>
          <w:tcPr>
            <w:tcW w:w="18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458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Long-term deferred compensation plan asset </w:t>
            </w:r>
            <w:r>
              <w:rPr>
                <w:rFonts w:ascii="Times New Roman" w:cs="Times New Roman" w:eastAsia="Times New Roman" w:hAnsi="Times New Roman"/>
                <w:sz w:val="22"/>
                <w:szCs w:val="22"/>
                <w:color w:val="auto"/>
                <w:vertAlign w:val="superscript"/>
              </w:rPr>
              <w:t>(1)</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Long term derivative instruments </w:t>
            </w:r>
            <w:r>
              <w:rPr>
                <w:rFonts w:ascii="Times New Roman" w:cs="Times New Roman" w:eastAsia="Times New Roman" w:hAnsi="Times New Roman"/>
                <w:sz w:val="22"/>
                <w:szCs w:val="22"/>
                <w:color w:val="auto"/>
                <w:vertAlign w:val="superscript"/>
              </w:rPr>
              <w:t>(2)</w:t>
            </w: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18,001</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37,393</w:t>
            </w:r>
          </w:p>
        </w:tc>
        <w:tc>
          <w:tcPr>
            <w:tcW w:w="2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458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Liabilities:</w:t>
            </w: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458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Long-term deferred compensation plan liability </w:t>
            </w:r>
            <w:r>
              <w:rPr>
                <w:rFonts w:ascii="Times New Roman" w:cs="Times New Roman" w:eastAsia="Times New Roman" w:hAnsi="Times New Roman"/>
                <w:sz w:val="22"/>
                <w:szCs w:val="22"/>
                <w:color w:val="auto"/>
                <w:vertAlign w:val="superscript"/>
              </w:rPr>
              <w:t>(1)</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20" w:type="dxa"/>
            <w:vAlign w:val="bottom"/>
          </w:tcPr>
          <w:p>
            <w:pPr>
              <w:spacing w:after="0"/>
              <w:rPr>
                <w:sz w:val="18"/>
                <w:szCs w:val="18"/>
                <w:color w:val="auto"/>
              </w:rPr>
            </w:pPr>
          </w:p>
        </w:tc>
      </w:tr>
      <w:tr>
        <w:trPr>
          <w:trHeight w:val="835"/>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6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60" w:type="dxa"/>
            <w:vAlign w:val="bottom"/>
            <w:gridSpan w:val="9"/>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6"/>
              </w:rPr>
              <w:t>Recurring Fair Value Measurements</w:t>
            </w:r>
          </w:p>
        </w:tc>
        <w:tc>
          <w:tcPr>
            <w:tcW w:w="920" w:type="dxa"/>
            <w:vAlign w:val="bottom"/>
          </w:tcPr>
          <w:p>
            <w:pPr>
              <w:spacing w:after="0"/>
              <w:rPr>
                <w:sz w:val="17"/>
                <w:szCs w:val="17"/>
                <w:color w:val="auto"/>
              </w:rPr>
            </w:pPr>
          </w:p>
        </w:tc>
      </w:tr>
      <w:tr>
        <w:trPr>
          <w:trHeight w:val="234"/>
        </w:trPr>
        <w:tc>
          <w:tcPr>
            <w:tcW w:w="6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as of March 31, 2022</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0"/>
        </w:trPr>
        <w:tc>
          <w:tcPr>
            <w:tcW w:w="6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19"/>
                <w:szCs w:val="19"/>
                <w:color w:val="auto"/>
              </w:rPr>
            </w:pPr>
          </w:p>
        </w:tc>
        <w:tc>
          <w:tcPr>
            <w:tcW w:w="92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4"/>
        </w:trPr>
        <w:tc>
          <w:tcPr>
            <w:tcW w:w="620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24"/>
        </w:trPr>
        <w:tc>
          <w:tcPr>
            <w:tcW w:w="620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Long-term deferred compensation plan asset </w:t>
            </w:r>
            <w:r>
              <w:rPr>
                <w:rFonts w:ascii="Times New Roman" w:cs="Times New Roman" w:eastAsia="Times New Roman" w:hAnsi="Times New Roman"/>
                <w:sz w:val="22"/>
                <w:szCs w:val="22"/>
                <w:color w:val="auto"/>
                <w:vertAlign w:val="superscript"/>
              </w:rPr>
              <w:t>(1)</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38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16,512</w:t>
            </w:r>
          </w:p>
        </w:tc>
      </w:tr>
      <w:tr>
        <w:trPr>
          <w:trHeight w:val="224"/>
        </w:trPr>
        <w:tc>
          <w:tcPr>
            <w:tcW w:w="620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Long term derivative instruments </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r>
      <w:tr>
        <w:trPr>
          <w:trHeight w:val="217"/>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20,600</w:t>
            </w:r>
          </w:p>
        </w:tc>
      </w:tr>
      <w:tr>
        <w:trPr>
          <w:trHeight w:val="204"/>
        </w:trPr>
        <w:tc>
          <w:tcPr>
            <w:tcW w:w="62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4"/>
        </w:trPr>
        <w:tc>
          <w:tcPr>
            <w:tcW w:w="620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Current derivative instruments </w:t>
            </w:r>
            <w:r>
              <w:rPr>
                <w:rFonts w:ascii="Times New Roman" w:cs="Times New Roman" w:eastAsia="Times New Roman" w:hAnsi="Times New Roman"/>
                <w:sz w:val="22"/>
                <w:szCs w:val="22"/>
                <w:color w:val="auto"/>
                <w:vertAlign w:val="superscript"/>
              </w:rPr>
              <w:t>(2)</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r>
      <w:tr>
        <w:trPr>
          <w:trHeight w:val="224"/>
        </w:trPr>
        <w:tc>
          <w:tcPr>
            <w:tcW w:w="620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Long-term derivative instruments </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4"/>
        </w:trPr>
        <w:tc>
          <w:tcPr>
            <w:tcW w:w="620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Long-term deferred compensation plan liability </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16,512</w:t>
            </w:r>
          </w:p>
        </w:tc>
      </w:tr>
      <w:tr>
        <w:trPr>
          <w:trHeight w:val="217"/>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w:t>
            </w:r>
          </w:p>
        </w:tc>
      </w:tr>
    </w:tbl>
    <w:p>
      <w:pPr>
        <w:spacing w:after="0" w:line="126" w:lineRule="exact"/>
        <w:rPr>
          <w:sz w:val="20"/>
          <w:szCs w:val="20"/>
          <w:color w:val="auto"/>
        </w:rPr>
      </w:pPr>
    </w:p>
    <w:p>
      <w:pPr>
        <w:ind w:right="20" w:firstLine="5"/>
        <w:spacing w:after="0" w:line="372" w:lineRule="auto"/>
        <w:tabs>
          <w:tab w:leader="none" w:pos="161"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and liabilities represent investments held in a consolidated trust to fund the Company's non-qualified deferred compensation plan and are recorded in other long-term assets and other long-term liabilities on our condensed consolidated balance sheets.</w:t>
      </w:r>
    </w:p>
    <w:p>
      <w:pPr>
        <w:spacing w:after="0" w:line="3" w:lineRule="exact"/>
        <w:rPr>
          <w:rFonts w:ascii="Times New Roman" w:cs="Times New Roman" w:eastAsia="Times New Roman" w:hAnsi="Times New Roman"/>
          <w:sz w:val="20"/>
          <w:szCs w:val="20"/>
          <w:color w:val="auto"/>
          <w:vertAlign w:val="superscript"/>
        </w:rPr>
      </w:pPr>
    </w:p>
    <w:p>
      <w:pPr>
        <w:ind w:right="20" w:firstLine="5"/>
        <w:spacing w:after="0" w:line="242" w:lineRule="auto"/>
        <w:tabs>
          <w:tab w:leader="none" w:pos="177"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“Derivatives,” to the condensed consolidated financial statements for further discussion on the Company’s derivative instruments designated as cash flow hedges.</w:t>
      </w:r>
    </w:p>
    <w:p>
      <w:pPr>
        <w:spacing w:after="0" w:line="88" w:lineRule="exact"/>
        <w:rPr>
          <w:sz w:val="20"/>
          <w:szCs w:val="20"/>
          <w:color w:val="auto"/>
        </w:rPr>
      </w:pPr>
    </w:p>
    <w:p>
      <w:pPr>
        <w:ind w:right="620" w:firstLine="395"/>
        <w:spacing w:after="0" w:line="268" w:lineRule="auto"/>
        <w:rPr>
          <w:sz w:val="20"/>
          <w:szCs w:val="20"/>
          <w:color w:val="auto"/>
        </w:rPr>
      </w:pPr>
      <w:r>
        <w:rPr>
          <w:rFonts w:ascii="Times New Roman" w:cs="Times New Roman" w:eastAsia="Times New Roman" w:hAnsi="Times New Roman"/>
          <w:sz w:val="18"/>
          <w:szCs w:val="18"/>
          <w:color w:val="auto"/>
        </w:rPr>
        <w:t>The fair value of the Company's cash and cash equivalents, which are Level 1 inputs, approximated its carrying values at December 31, 2022 and March 31, 2022.</w:t>
      </w:r>
    </w:p>
    <w:p>
      <w:pPr>
        <w:spacing w:after="0" w:line="64"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The Company's debt is carried at amortized cost and is measured at fair value quarterly for disclosure purposes. The estimated fair values of debt are determined using quoted prices or other market information obtained from recent trading activity of the debt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due 2029 and the Senior Notes due 2028 are determined using quoted prices or other market information obtained from recent trading activity in the high-yield bond market (Level 2 inputs). The carrying amount and estimated fair value of debt consists of the following:</w:t>
      </w:r>
    </w:p>
    <w:p>
      <w:pPr>
        <w:spacing w:after="0" w:line="65" w:lineRule="exact"/>
        <w:rPr>
          <w:sz w:val="20"/>
          <w:szCs w:val="20"/>
          <w:color w:val="auto"/>
        </w:rPr>
      </w:pPr>
    </w:p>
    <w:tbl>
      <w:tblPr>
        <w:tblLayout w:type="fixed"/>
        <w:tblInd w:w="400" w:type="dxa"/>
        <w:tblCellMar>
          <w:top w:w="0" w:type="dxa"/>
          <w:left w:w="0" w:type="dxa"/>
          <w:bottom w:w="0" w:type="dxa"/>
          <w:right w:w="0" w:type="dxa"/>
        </w:tblCellMar>
      </w:tblPr>
      <w:tr>
        <w:trPr>
          <w:trHeight w:val="231"/>
        </w:trPr>
        <w:tc>
          <w:tcPr>
            <w:tcW w:w="4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tcPr>
          <w:p>
            <w:pPr>
              <w:spacing w:after="0"/>
              <w:rPr>
                <w:sz w:val="20"/>
                <w:szCs w:val="20"/>
                <w:color w:val="auto"/>
              </w:rPr>
            </w:pPr>
          </w:p>
        </w:tc>
        <w:tc>
          <w:tcPr>
            <w:tcW w:w="2560" w:type="dxa"/>
            <w:vAlign w:val="bottom"/>
            <w:gridSpan w:val="4"/>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165"/>
        </w:trPr>
        <w:tc>
          <w:tcPr>
            <w:tcW w:w="46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40"/>
              <w:spacing w:after="0" w:line="164" w:lineRule="exact"/>
              <w:rPr>
                <w:sz w:val="20"/>
                <w:szCs w:val="20"/>
                <w:color w:val="auto"/>
              </w:rPr>
            </w:pPr>
            <w:r>
              <w:rPr>
                <w:rFonts w:ascii="Times New Roman" w:cs="Times New Roman" w:eastAsia="Times New Roman" w:hAnsi="Times New Roman"/>
                <w:sz w:val="18"/>
                <w:szCs w:val="18"/>
                <w:b w:val="1"/>
                <w:bCs w:val="1"/>
                <w:color w:val="auto"/>
                <w:w w:val="95"/>
              </w:rPr>
              <w:t>Carrying</w:t>
            </w:r>
          </w:p>
        </w:tc>
        <w:tc>
          <w:tcPr>
            <w:tcW w:w="1320" w:type="dxa"/>
            <w:vAlign w:val="bottom"/>
            <w:tcBorders>
              <w:top w:val="single" w:sz="8" w:color="auto"/>
            </w:tcBorders>
            <w:gridSpan w:val="2"/>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6"/>
              </w:rPr>
              <w:t>Estimated Fair</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20"/>
              <w:spacing w:after="0" w:line="16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340" w:type="dxa"/>
            <w:vAlign w:val="bottom"/>
            <w:tcBorders>
              <w:top w:val="single" w:sz="8" w:color="auto"/>
            </w:tcBorders>
            <w:gridSpan w:val="2"/>
          </w:tcPr>
          <w:p>
            <w:pPr>
              <w:jc w:val="right"/>
              <w:ind w:right="32"/>
              <w:spacing w:after="0" w:line="164" w:lineRule="exact"/>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34"/>
        </w:trPr>
        <w:tc>
          <w:tcPr>
            <w:tcW w:w="4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28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80" w:type="dxa"/>
            <w:vAlign w:val="bottom"/>
          </w:tcPr>
          <w:p>
            <w:pPr>
              <w:spacing w:after="0"/>
              <w:rPr>
                <w:sz w:val="20"/>
                <w:szCs w:val="20"/>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20"/>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Term Loan A</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1,639,688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1,602,795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Term Loan A Loans</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1,218,122</w:t>
            </w:r>
          </w:p>
        </w:tc>
      </w:tr>
      <w:tr>
        <w:trPr>
          <w:trHeight w:val="224"/>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Existing Term Loan B Loans</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379,461</w:t>
            </w:r>
          </w:p>
        </w:tc>
      </w:tr>
      <w:tr>
        <w:trPr>
          <w:trHeight w:val="22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3.88% Senior Notes due 2028</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676,228</w:t>
            </w:r>
          </w:p>
        </w:tc>
      </w:tr>
      <w:tr>
        <w:trPr>
          <w:trHeight w:val="22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Senior Notes due 2029</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488,335</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and Third-Party Guarantees</w:t>
      </w:r>
    </w:p>
    <w:p>
      <w:pPr>
        <w:spacing w:after="0" w:line="113"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As of December 31, 2022 and March 31, 2022, the Company was contingently liable under open standby letters of credit and bank guarantees issued by our banks in favor of third parties that totaled $6.1 million and $8.4 million, respectively. These letters of credit and bank guarantees primarily support insurance and bid and performance obligations. At both December 31, 2022 and March 31, 2022, approximately $1.0 million of these instruments reduced the available borrowings under the Revolving Credit Facility. The remainder is guaranteed under a separate $20.0 million facility of which $14.9 million and $12.6 million were available to the Company at December 31, 2022 and March 31, 2022, respectively.</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09" w:lineRule="auto"/>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(Amounts in tables in thousands, except share and per share data or unless otherwise noted)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Contracting Matters - Provision for Claimed Indirect Costs</w:t>
      </w:r>
    </w:p>
    <w:p>
      <w:pPr>
        <w:spacing w:after="0" w:line="113"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For both the three months ended December 31, 2022 and 2021, approximately 97%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For both the nine months ended December 31, 2022 and 2021, approximately 97% of the Company's revenue was generated from such contracts. As noted in the Company's Annual Report on Form 10-K for the fiscal year ended March 31, 2022, in the ordinary course of business, agencies of the U.S. government, including the Defense Contract Audit Agency (DCAA), audit the Company’s claimed indirect costs and conduct inquiries and investigations of our business practices with respect to government contracts to determine whether the Company's operations are conducted in accordance with these requirements and the terms of the relevant contracts. Management believes it has recorded the appropriate provision for claimed indirect costs for any audit, inquiry, or investigation of which it is aware that may be subject to any reductions and/or penalties. As of December 31, 2022 and March 31, 2022, the Company had recorded liabilities of approximately $311.6 million and $290.4 million, respectively, for estimated adjustments to claimed indirect costs based on its historical DCAA audit results, including the final resolution of such audits with the Defense Contract Management Agency, for claimed indirect costs incurred subsequent to fiscal 2011, and for contracts not yet closed that are subject to audit and final resolution.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13"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December 31, 2022 and March 31, 2022, there were no material amounts accrued in the condensed consolidated financial statements related to these proceedings. As previously disclosed in Note 20, “Commitments and Contingencies,” to the consolidated financial statements of the Company's Annual Report on Form 10-K for the fiscal year ended March 31, 2022, the Company is not able to reasonably estimate the expected amount or range of cost or any loss associated with these matters.</w:t>
      </w:r>
    </w:p>
    <w:p>
      <w:pPr>
        <w:spacing w:after="0" w:line="83" w:lineRule="exact"/>
        <w:rPr>
          <w:sz w:val="20"/>
          <w:szCs w:val="20"/>
          <w:color w:val="auto"/>
        </w:rPr>
      </w:pPr>
    </w:p>
    <w:p>
      <w:pPr>
        <w:ind w:firstLine="395"/>
        <w:spacing w:after="0" w:line="281" w:lineRule="auto"/>
        <w:rPr>
          <w:sz w:val="20"/>
          <w:szCs w:val="20"/>
          <w:color w:val="auto"/>
        </w:rPr>
      </w:pPr>
      <w:r>
        <w:rPr>
          <w:rFonts w:ascii="Times New Roman" w:cs="Times New Roman" w:eastAsia="Times New Roman" w:hAnsi="Times New Roman"/>
          <w:sz w:val="16"/>
          <w:szCs w:val="16"/>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On May 12, 2021, the Company was informed that the DOJ has closed its criminal investigation. In accordance with the Company's practice, the Company continues to cooperate with all relevant government</w:t>
      </w:r>
    </w:p>
    <w:p>
      <w:pPr>
        <w:ind w:right="20"/>
        <w:spacing w:after="0" w:line="283" w:lineRule="auto"/>
        <w:rPr>
          <w:sz w:val="20"/>
          <w:szCs w:val="20"/>
          <w:color w:val="auto"/>
        </w:rPr>
      </w:pPr>
      <w:r>
        <w:rPr>
          <w:rFonts w:ascii="Times New Roman" w:cs="Times New Roman" w:eastAsia="Times New Roman" w:hAnsi="Times New Roman"/>
          <w:sz w:val="16"/>
          <w:szCs w:val="16"/>
          <w:color w:val="auto"/>
        </w:rPr>
        <w:t>parties and believes that it has meritorious defenses to the concerns raised by the DOJ. In order to explore whether a negotiated resolution is possible, the Company has entered into settlement discussions with the DOJ. In connection with these settlement discussions, the Company recorded a $124.0 million reserve in the third quarter of fiscal 2023 as a component of general and administrative expenses in our condensed consolidated statements of operations, which we believe represents the low end of our range of probable loss. There can be no assurance that any settlement will be achieved and, if a settlement is achieved, what the total dollar amount will be of any such settlement. Accordingly, at this time the Company is not able to reasonably estimate the possible range of cost or any loss in excess of the reserve associated with these matters. Changes in the reserve may be required in future periods as discussions with the DOJ</w:t>
      </w:r>
    </w:p>
    <w:p>
      <w:pPr>
        <w:spacing w:after="0" w:line="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continue and additional information becomes available. The total cost associated with these matters will depend on many factors, including the duration of these matters and any related findings. Any settlement that is achieved or any adverse outcome in any litigation that is brought could have a material adverse impact on our financial condition and results of operations.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09" w:lineRule="exact"/>
        <w:rPr>
          <w:sz w:val="20"/>
          <w:szCs w:val="20"/>
          <w:color w:val="auto"/>
        </w:rPr>
      </w:pPr>
    </w:p>
    <w:p>
      <w:pPr>
        <w:ind w:right="48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7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2022 filed with the Securities and Exchange Commission on May 20, 2022,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80" w:lineRule="exact"/>
        <w:rPr>
          <w:sz w:val="20"/>
          <w:szCs w:val="20"/>
          <w:color w:val="auto"/>
        </w:rPr>
      </w:pPr>
    </w:p>
    <w:p>
      <w:pPr>
        <w:ind w:right="220"/>
        <w:spacing w:after="0" w:line="367" w:lineRule="auto"/>
        <w:rPr>
          <w:sz w:val="20"/>
          <w:szCs w:val="20"/>
          <w:color w:val="auto"/>
        </w:rPr>
      </w:pPr>
      <w:r>
        <w:rPr>
          <w:rFonts w:ascii="Times New Roman" w:cs="Times New Roman" w:eastAsia="Times New Roman" w:hAnsi="Times New Roman"/>
          <w:sz w:val="18"/>
          <w:szCs w:val="18"/>
          <w:i w:val="1"/>
          <w:iCs w:val="1"/>
          <w:color w:val="auto"/>
        </w:rPr>
        <w:t xml:space="preserve">Our fiscal year ends March 31 and, unless otherwise noted, references to years or fiscal are for fiscal years ended March 31. See “—Results of Operations.”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ind w:right="200" w:firstLine="395"/>
        <w:spacing w:after="0" w:line="289" w:lineRule="auto"/>
        <w:rPr>
          <w:sz w:val="20"/>
          <w:szCs w:val="20"/>
          <w:color w:val="auto"/>
        </w:rPr>
      </w:pPr>
      <w:r>
        <w:rPr>
          <w:rFonts w:ascii="Times New Roman" w:cs="Times New Roman" w:eastAsia="Times New Roman" w:hAnsi="Times New Roman"/>
          <w:sz w:val="16"/>
          <w:szCs w:val="16"/>
          <w:color w:val="auto"/>
        </w:rPr>
        <w:t>We are a leading provider of management and technology consulting, analytics, engineering, digital solutions, mission operations, and cyber services to U.S. and international governments, major corporations, and not-for-profit organizations. Our ability to deliver value to our clients has always been, and continues to be, a product of the strong character, expertise and tremendous passion of our people. Our approximately 31,100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50" w:lineRule="exact"/>
        <w:rPr>
          <w:sz w:val="20"/>
          <w:szCs w:val="20"/>
          <w:color w:val="auto"/>
        </w:rPr>
      </w:pPr>
    </w:p>
    <w:p>
      <w:pPr>
        <w:ind w:right="180" w:firstLine="395"/>
        <w:spacing w:after="0" w:line="248" w:lineRule="auto"/>
        <w:rPr>
          <w:sz w:val="20"/>
          <w:szCs w:val="20"/>
          <w:color w:val="auto"/>
        </w:rPr>
      </w:pPr>
      <w:r>
        <w:rPr>
          <w:rFonts w:ascii="Times New Roman" w:cs="Times New Roman" w:eastAsia="Times New Roman" w:hAnsi="Times New Roman"/>
          <w:sz w:val="18"/>
          <w:szCs w:val="18"/>
          <w:color w:val="auto"/>
        </w:rPr>
        <w:t>Through our dedication to our clients' missions, and a commitment to evolving our business to address their needs, we have longstanding relationships with our clients, the longest of which is more than 80 years. We support critical missions for a diverse base of federal government clients, including nearly all of the U.S. government's cabinet-level departments, as well as for commercial clients, both domestically and internationally.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technology.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Other Highlights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third quarter of fiscal 2023, the Company generated year over year revenue growth and increased client staff headcount.</w:t>
      </w:r>
    </w:p>
    <w:p>
      <w:pPr>
        <w:spacing w:after="0" w:line="109"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Revenue increased 12.1% from the three months ended December 31, 2021 to the three months ended December 31, 2022 and increased 11.4% from the nine months ended December 31, 2021 to the nine months ended December 31, 2022. The increases were primarily driven by a combination of headcount growth, salary increases, and strong demand for our solutions, as well as higher staff utilization compared to the prior year periods. The increase in revenue also includes approximately $28.6 million of contributions related to the acquisition of EverWatch Corp. (“EverWatch”).</w:t>
      </w:r>
    </w:p>
    <w:p>
      <w:pPr>
        <w:spacing w:after="0" w:line="78" w:lineRule="exact"/>
        <w:rPr>
          <w:sz w:val="20"/>
          <w:szCs w:val="20"/>
          <w:color w:val="auto"/>
        </w:rPr>
      </w:pPr>
    </w:p>
    <w:p>
      <w:pPr>
        <w:ind w:right="100" w:firstLine="395"/>
        <w:spacing w:after="0" w:line="248" w:lineRule="auto"/>
        <w:rPr>
          <w:sz w:val="20"/>
          <w:szCs w:val="20"/>
          <w:color w:val="auto"/>
        </w:rPr>
      </w:pPr>
      <w:r>
        <w:rPr>
          <w:rFonts w:ascii="Times New Roman" w:cs="Times New Roman" w:eastAsia="Times New Roman" w:hAnsi="Times New Roman"/>
          <w:sz w:val="18"/>
          <w:szCs w:val="18"/>
          <w:color w:val="auto"/>
        </w:rPr>
        <w:t>Operating income decreased 66.9% to $58.6 million in the three months ended December 31, 2022 from $177.2 million in the three months ended December 31, 2021, which reflects a decrease in operating margin from 8.7% to 2.6%. Operating income decreased 8.8% to $489.8 million in the nine months ended December 31, 2022 from $536.8 million in the nine months ended December 31, 2021, while operating margin decreased from 8.8% to 7.2%, respectively. Margins were impacted by a $124.0 million reserve associated with the U.S. Department of Justice's investigation of the company (see Note 15, “Commitments and Contingencies,” to the condensed consolidated financial statements for further information). Margin results reflect strong contract-level performance coupled with ongoing cost management efforts. However, higher unallowable spending and inflationary pressure impacted margins for the year-to-date period.</w:t>
      </w:r>
    </w:p>
    <w:p>
      <w:pPr>
        <w:spacing w:after="0" w:line="82"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The Company also incurred incremental legal costs during the three and nine months ended December 31, 2022 in response to the U.S. Department of Justice investigation and matters which purport to relate to the investigation, a portion of which was offset by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 w:firstLine="395"/>
        <w:spacing w:after="0" w:line="293" w:lineRule="auto"/>
        <w:rPr>
          <w:sz w:val="20"/>
          <w:szCs w:val="20"/>
          <w:color w:val="auto"/>
        </w:rPr>
      </w:pPr>
      <w:r>
        <w:rPr>
          <w:rFonts w:ascii="Times New Roman" w:cs="Times New Roman" w:eastAsia="Times New Roman" w:hAnsi="Times New Roman"/>
          <w:sz w:val="16"/>
          <w:szCs w:val="16"/>
          <w:color w:val="auto"/>
        </w:rPr>
        <w:t>We are monitoring the evolving situation related to COVID-19, and we continue to work with our stakeholders to assess further possible implications to our business. We could be impacted by the implementation of our Company policy requiring full COVID-19 vaccinations of all employees, except for employees who qualify for medical or religious exemptions. Although we cannot currently predict the overall impact of COVID-19, the longer the duration of the event, the more likely it is that it could have an adverse effect on our business, financial position, results of operations, billable expenses, and/or cash flows.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11" w:lineRule="exact"/>
        <w:rPr>
          <w:sz w:val="20"/>
          <w:szCs w:val="20"/>
          <w:color w:val="auto"/>
        </w:rPr>
      </w:pPr>
    </w:p>
    <w:p>
      <w:pPr>
        <w:ind w:right="40" w:firstLine="395"/>
        <w:spacing w:after="0" w:line="277" w:lineRule="auto"/>
        <w:rPr>
          <w:sz w:val="20"/>
          <w:szCs w:val="20"/>
          <w:color w:val="auto"/>
        </w:rPr>
      </w:pPr>
      <w:r>
        <w:rPr>
          <w:rFonts w:ascii="Times New Roman" w:cs="Times New Roman" w:eastAsia="Times New Roman" w:hAnsi="Times New Roman"/>
          <w:sz w:val="16"/>
          <w:szCs w:val="16"/>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Earnings Per Share, and net cash provided by operating activities to Free Cash Flow,</w:t>
      </w:r>
    </w:p>
    <w:p>
      <w:pPr>
        <w:spacing w:after="0" w:line="194" w:lineRule="exact"/>
        <w:rPr>
          <w:sz w:val="20"/>
          <w:szCs w:val="20"/>
          <w:color w:val="auto"/>
        </w:rPr>
      </w:pPr>
    </w:p>
    <w:p>
      <w:pPr>
        <w:ind w:firstLine="5"/>
        <w:spacing w:after="0" w:line="245" w:lineRule="auto"/>
        <w:tabs>
          <w:tab w:leader="none" w:pos="2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31" w:lineRule="exact"/>
        <w:rPr>
          <w:rFonts w:ascii="Times New Roman" w:cs="Times New Roman" w:eastAsia="Times New Roman" w:hAnsi="Times New Roman"/>
          <w:sz w:val="18"/>
          <w:szCs w:val="18"/>
          <w:color w:val="auto"/>
        </w:rPr>
      </w:pPr>
    </w:p>
    <w:p>
      <w:pPr>
        <w:ind w:left="640" w:right="60" w:hanging="319"/>
        <w:spacing w:after="0" w:line="252" w:lineRule="auto"/>
        <w:tabs>
          <w:tab w:leader="none" w:pos="636" w:val="left"/>
        </w:tabs>
        <w:numPr>
          <w:ilvl w:val="1"/>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w:t>
      </w:r>
    </w:p>
    <w:p>
      <w:pPr>
        <w:spacing w:after="0" w:line="24" w:lineRule="exact"/>
        <w:rPr>
          <w:rFonts w:ascii="Arial" w:cs="Arial" w:eastAsia="Arial" w:hAnsi="Arial"/>
          <w:sz w:val="18"/>
          <w:szCs w:val="18"/>
          <w:color w:val="auto"/>
        </w:rPr>
      </w:pPr>
    </w:p>
    <w:p>
      <w:pPr>
        <w:ind w:left="640" w:right="100" w:hanging="319"/>
        <w:spacing w:after="0" w:line="252" w:lineRule="auto"/>
        <w:tabs>
          <w:tab w:leader="none" w:pos="636" w:val="left"/>
        </w:tabs>
        <w:numPr>
          <w:ilvl w:val="1"/>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“Adjusted Operating Income” represents operating income before acquisition and divestiture costs, financing transaction costs, significant acquisition amortization, and the reserve associated with the U.S. Department of Justice investigation disclosed in Note 15.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24" w:lineRule="exact"/>
        <w:rPr>
          <w:rFonts w:ascii="Arial" w:cs="Arial" w:eastAsia="Arial" w:hAnsi="Arial"/>
          <w:sz w:val="18"/>
          <w:szCs w:val="18"/>
          <w:color w:val="auto"/>
        </w:rPr>
      </w:pPr>
    </w:p>
    <w:p>
      <w:pPr>
        <w:ind w:left="640" w:right="20" w:hanging="319"/>
        <w:spacing w:after="0" w:line="284" w:lineRule="auto"/>
        <w:tabs>
          <w:tab w:leader="none" w:pos="636" w:val="left"/>
        </w:tabs>
        <w:numPr>
          <w:ilvl w:val="1"/>
          <w:numId w:val="14"/>
        </w:numPr>
        <w:rPr>
          <w:rFonts w:ascii="Arial" w:cs="Arial" w:eastAsia="Arial" w:hAnsi="Arial"/>
          <w:sz w:val="16"/>
          <w:szCs w:val="16"/>
          <w:color w:val="auto"/>
        </w:rPr>
      </w:pPr>
      <w:r>
        <w:rPr>
          <w:rFonts w:ascii="Times New Roman" w:cs="Times New Roman" w:eastAsia="Times New Roman" w:hAnsi="Times New Roman"/>
          <w:sz w:val="16"/>
          <w:szCs w:val="16"/>
          <w:color w:val="auto"/>
        </w:rPr>
        <w:t>“Adjusted EBITDA” represents net income attributable to common stockholders before income taxes, net interest and other expense and depreciation and amortization and before certain other items, including acquisition and divestiture costs, financing transaction costs, and the reserve associated with the U.S. Department of Justice investigation disclosed in Note 15.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640" w:right="40" w:hanging="319"/>
        <w:spacing w:after="0" w:line="247" w:lineRule="auto"/>
        <w:tabs>
          <w:tab w:leader="none" w:pos="636"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“Adjusted Net Income” represents net income attributable to common stockholders before: (i) acquisition and divestiture costs, (ii) financing transaction costs, (iii) significant acquisition amortization, (iv) the reserve associated with the U.S. Department of Justice investigation disclosed in Note 15, (v) gain associated with equity method investment activity, (vi) gains associated with divestitures or deconsolidation, and (vii) amortization and write-off of debt issuance costs and debt discount,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Adjusted Net Income as an important indicator of performance consistent with the manner in which management measures and forecasts the Company's performance and the way in which management is incentivized to perform.</w:t>
      </w:r>
    </w:p>
    <w:p>
      <w:pPr>
        <w:spacing w:after="0" w:line="31" w:lineRule="exact"/>
        <w:rPr>
          <w:rFonts w:ascii="Arial" w:cs="Arial" w:eastAsia="Arial" w:hAnsi="Arial"/>
          <w:sz w:val="18"/>
          <w:szCs w:val="18"/>
          <w:color w:val="auto"/>
        </w:rPr>
      </w:pPr>
    </w:p>
    <w:p>
      <w:pPr>
        <w:ind w:left="640" w:hanging="319"/>
        <w:spacing w:after="0" w:line="255" w:lineRule="auto"/>
        <w:tabs>
          <w:tab w:leader="none" w:pos="636"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23"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“Free Cash Flow” represents the net cash generated from operating activities less the impact of purchases of property, equipment, and software.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7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 December 31,</w:t>
            </w:r>
          </w:p>
        </w:tc>
        <w:tc>
          <w:tcPr>
            <w:tcW w:w="0" w:type="dxa"/>
            <w:vAlign w:val="bottom"/>
          </w:tcPr>
          <w:p>
            <w:pPr>
              <w:spacing w:after="0"/>
              <w:rPr>
                <w:sz w:val="1"/>
                <w:szCs w:val="1"/>
                <w:color w:val="auto"/>
              </w:rPr>
            </w:pPr>
          </w:p>
        </w:tc>
      </w:tr>
      <w:tr>
        <w:trPr>
          <w:trHeight w:val="217"/>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84"/>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4"/>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 Excluding Billable Expenses</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2,277,074</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2,030,520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6,825,650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6,125,624</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Billable expenses</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710,526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621,550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2,069,733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1,817,215</w:t>
            </w:r>
          </w:p>
        </w:tc>
        <w:tc>
          <w:tcPr>
            <w:tcW w:w="0" w:type="dxa"/>
            <w:vAlign w:val="bottom"/>
          </w:tcPr>
          <w:p>
            <w:pPr>
              <w:spacing w:after="0"/>
              <w:rPr>
                <w:sz w:val="1"/>
                <w:szCs w:val="1"/>
                <w:color w:val="auto"/>
              </w:rPr>
            </w:pPr>
          </w:p>
        </w:tc>
      </w:tr>
      <w:tr>
        <w:trPr>
          <w:trHeight w:val="217"/>
        </w:trPr>
        <w:tc>
          <w:tcPr>
            <w:tcW w:w="5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Revenue, Excluding Billable Expenses</w:t>
            </w:r>
          </w:p>
        </w:tc>
        <w:tc>
          <w:tcPr>
            <w:tcW w:w="32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1,566,548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1,408,970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4,755,917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4,308,409</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58,640</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177,212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489,756</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536,836</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divestiture costs (a)</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19,096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40,121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85,815</w:t>
            </w:r>
          </w:p>
        </w:tc>
        <w:tc>
          <w:tcPr>
            <w:tcW w:w="0" w:type="dxa"/>
            <w:vAlign w:val="bottom"/>
          </w:tcPr>
          <w:p>
            <w:pPr>
              <w:spacing w:after="0"/>
              <w:rPr>
                <w:sz w:val="1"/>
                <w:szCs w:val="1"/>
                <w:color w:val="auto"/>
              </w:rPr>
            </w:pPr>
          </w:p>
        </w:tc>
      </w:tr>
      <w:tr>
        <w:trPr>
          <w:trHeight w:val="224"/>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transaction costs (b)</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Significant acquisition amortization (c)</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14,101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26,410</w:t>
            </w:r>
          </w:p>
        </w:tc>
        <w:tc>
          <w:tcPr>
            <w:tcW w:w="0" w:type="dxa"/>
            <w:vAlign w:val="bottom"/>
          </w:tcPr>
          <w:p>
            <w:pPr>
              <w:spacing w:after="0"/>
              <w:rPr>
                <w:sz w:val="1"/>
                <w:szCs w:val="1"/>
                <w:color w:val="auto"/>
              </w:rPr>
            </w:pPr>
          </w:p>
        </w:tc>
      </w:tr>
      <w:tr>
        <w:trPr>
          <w:trHeight w:val="224"/>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matter reserve (d)</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4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215,837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194,442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697,040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651,409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20" w:type="dxa"/>
            <w:vAlign w:val="bottom"/>
            <w:gridSpan w:val="12"/>
          </w:tcPr>
          <w:p>
            <w:pPr>
              <w:ind w:left="2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w w:val="97"/>
              </w:rPr>
              <w:t>EBITDA, Adjusted EBITDA, Adjusted EBITDA Margin on Revenue &amp; Adjusted EBITDA Margin on Revenue, Excluding Billable Expenses</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30,997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128,931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340,213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375,867</w:t>
            </w:r>
          </w:p>
        </w:tc>
        <w:tc>
          <w:tcPr>
            <w:tcW w:w="0" w:type="dxa"/>
            <w:vAlign w:val="bottom"/>
          </w:tcPr>
          <w:p>
            <w:pPr>
              <w:spacing w:after="0"/>
              <w:rPr>
                <w:sz w:val="1"/>
                <w:szCs w:val="1"/>
                <w:color w:val="auto"/>
              </w:rPr>
            </w:pPr>
          </w:p>
        </w:tc>
      </w:tr>
      <w:tr>
        <w:trPr>
          <w:trHeight w:val="224"/>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30,090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103,286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103,569</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other, net (e)</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17,412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18,276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46,907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57,485</w:t>
            </w:r>
          </w:p>
        </w:tc>
        <w:tc>
          <w:tcPr>
            <w:tcW w:w="0" w:type="dxa"/>
            <w:vAlign w:val="bottom"/>
          </w:tcPr>
          <w:p>
            <w:pPr>
              <w:spacing w:after="0"/>
              <w:rPr>
                <w:sz w:val="1"/>
                <w:szCs w:val="1"/>
                <w:color w:val="auto"/>
              </w:rPr>
            </w:pPr>
          </w:p>
        </w:tc>
      </w:tr>
      <w:tr>
        <w:trPr>
          <w:trHeight w:val="224"/>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42,046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39,576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121,200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104,923</w:t>
            </w:r>
          </w:p>
        </w:tc>
        <w:tc>
          <w:tcPr>
            <w:tcW w:w="0" w:type="dxa"/>
            <w:vAlign w:val="bottom"/>
          </w:tcPr>
          <w:p>
            <w:pPr>
              <w:spacing w:after="0"/>
              <w:rPr>
                <w:sz w:val="1"/>
                <w:szCs w:val="1"/>
                <w:color w:val="auto"/>
              </w:rPr>
            </w:pPr>
          </w:p>
        </w:tc>
      </w:tr>
      <w:tr>
        <w:trPr>
          <w:trHeight w:val="217"/>
        </w:trPr>
        <w:tc>
          <w:tcPr>
            <w:tcW w:w="5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100,994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216,873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611,606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641,844</w:t>
            </w:r>
          </w:p>
        </w:tc>
        <w:tc>
          <w:tcPr>
            <w:tcW w:w="0" w:type="dxa"/>
            <w:vAlign w:val="bottom"/>
          </w:tcPr>
          <w:p>
            <w:pPr>
              <w:spacing w:after="0"/>
              <w:rPr>
                <w:sz w:val="1"/>
                <w:szCs w:val="1"/>
                <w:color w:val="auto"/>
              </w:rPr>
            </w:pPr>
          </w:p>
        </w:tc>
      </w:tr>
      <w:tr>
        <w:trPr>
          <w:trHeight w:val="224"/>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and divestiture costs (a)</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19,096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40,121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85,815</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transaction costs (b)</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24"/>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matter reserve (d)</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4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244,090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222,219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782,615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730,007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Net income margin attributable to common stockholders</w:t>
            </w: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Adjusted EBITDA Margin on Revenue</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4"/>
        </w:trPr>
        <w:tc>
          <w:tcPr>
            <w:tcW w:w="5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Adjusted EBITDA Margin on Revenue, Excluding Billable Expenses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30,997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128,931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340,213</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375,867</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and divestiture costs (a)</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19,096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40,121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85,815</w:t>
            </w:r>
          </w:p>
        </w:tc>
        <w:tc>
          <w:tcPr>
            <w:tcW w:w="0" w:type="dxa"/>
            <w:vAlign w:val="bottom"/>
          </w:tcPr>
          <w:p>
            <w:pPr>
              <w:spacing w:after="0"/>
              <w:rPr>
                <w:sz w:val="1"/>
                <w:szCs w:val="1"/>
                <w:color w:val="auto"/>
              </w:rPr>
            </w:pPr>
          </w:p>
        </w:tc>
      </w:tr>
      <w:tr>
        <w:trPr>
          <w:trHeight w:val="224"/>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transaction costs (b)</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Significant acquisition amortization (c)</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14,101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26,410</w:t>
            </w:r>
          </w:p>
        </w:tc>
        <w:tc>
          <w:tcPr>
            <w:tcW w:w="0" w:type="dxa"/>
            <w:vAlign w:val="bottom"/>
          </w:tcPr>
          <w:p>
            <w:pPr>
              <w:spacing w:after="0"/>
              <w:rPr>
                <w:sz w:val="1"/>
                <w:szCs w:val="1"/>
                <w:color w:val="auto"/>
              </w:rPr>
            </w:pPr>
          </w:p>
        </w:tc>
      </w:tr>
      <w:tr>
        <w:trPr>
          <w:trHeight w:val="224"/>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matter reserve (d)</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associated with equity method investment activity (f)</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(12,761)</w:t>
            </w:r>
          </w:p>
        </w:tc>
        <w:tc>
          <w:tcPr>
            <w:tcW w:w="0" w:type="dxa"/>
            <w:vAlign w:val="bottom"/>
          </w:tcPr>
          <w:p>
            <w:pPr>
              <w:spacing w:after="0"/>
              <w:rPr>
                <w:sz w:val="1"/>
                <w:szCs w:val="1"/>
                <w:color w:val="auto"/>
              </w:rPr>
            </w:pPr>
          </w:p>
        </w:tc>
      </w:tr>
      <w:tr>
        <w:trPr>
          <w:trHeight w:val="224"/>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Gains associated with divestitures or deconsolidation (g)</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(44,632)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and write-off of debt issuance costs and debt discount</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24"/>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Adjustments for tax effect (h)</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(33,020)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(2,848)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(37,518)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(27,127)</w:t>
            </w:r>
          </w:p>
        </w:tc>
        <w:tc>
          <w:tcPr>
            <w:tcW w:w="0" w:type="dxa"/>
            <w:vAlign w:val="bottom"/>
          </w:tcPr>
          <w:p>
            <w:pPr>
              <w:spacing w:after="0"/>
              <w:rPr>
                <w:sz w:val="1"/>
                <w:szCs w:val="1"/>
                <w:color w:val="auto"/>
              </w:rPr>
            </w:pPr>
          </w:p>
        </w:tc>
      </w:tr>
      <w:tr>
        <w:trPr>
          <w:trHeight w:val="242"/>
        </w:trPr>
        <w:tc>
          <w:tcPr>
            <w:tcW w:w="5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Adjusted Net Income</w:t>
            </w:r>
          </w:p>
        </w:tc>
        <w:tc>
          <w:tcPr>
            <w:tcW w:w="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142,482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137,039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471,127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453,076</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Diluted Earnings Per Share</w:t>
            </w: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Weighted-average number of diluted shares outstanding</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132,759,877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134,262,250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132,831,569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7"/>
              </w:rPr>
              <w:t>135,314,226</w:t>
            </w:r>
          </w:p>
        </w:tc>
        <w:tc>
          <w:tcPr>
            <w:tcW w:w="0" w:type="dxa"/>
            <w:vAlign w:val="bottom"/>
          </w:tcPr>
          <w:p>
            <w:pPr>
              <w:spacing w:after="0"/>
              <w:rPr>
                <w:sz w:val="1"/>
                <w:szCs w:val="1"/>
                <w:color w:val="auto"/>
              </w:rPr>
            </w:pPr>
          </w:p>
        </w:tc>
      </w:tr>
      <w:tr>
        <w:trPr>
          <w:trHeight w:val="217"/>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0.95</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44"/>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Net Income Per Diluted Share (i)</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138,582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21,405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365,674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481,151</w:t>
            </w:r>
          </w:p>
        </w:tc>
        <w:tc>
          <w:tcPr>
            <w:tcW w:w="0" w:type="dxa"/>
            <w:vAlign w:val="bottom"/>
          </w:tcPr>
          <w:p>
            <w:pPr>
              <w:spacing w:after="0"/>
              <w:rPr>
                <w:sz w:val="1"/>
                <w:szCs w:val="1"/>
                <w:color w:val="auto"/>
              </w:rPr>
            </w:pPr>
          </w:p>
        </w:tc>
      </w:tr>
      <w:tr>
        <w:trPr>
          <w:trHeight w:val="224"/>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Purchases of property, equipment and software</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(21,664)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(21,933)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(51,398)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(51,608)</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Free cash flow</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116,918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314,276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429,543</w:t>
            </w:r>
          </w:p>
        </w:tc>
        <w:tc>
          <w:tcPr>
            <w:tcW w:w="0" w:type="dxa"/>
            <w:vAlign w:val="bottom"/>
          </w:tcPr>
          <w:p>
            <w:pPr>
              <w:spacing w:after="0"/>
              <w:rPr>
                <w:sz w:val="1"/>
                <w:szCs w:val="1"/>
                <w:color w:val="auto"/>
              </w:rPr>
            </w:pPr>
          </w:p>
        </w:tc>
      </w:tr>
      <w:tr>
        <w:trPr>
          <w:trHeight w:val="224"/>
        </w:trPr>
        <w:tc>
          <w:tcPr>
            <w:tcW w:w="5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cash flow conversion</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Free cash flow conversion</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894"/>
        </w:trPr>
        <w:tc>
          <w:tcPr>
            <w:tcW w:w="54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4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640" w:hanging="319"/>
        <w:spacing w:after="0" w:line="248" w:lineRule="auto"/>
        <w:tabs>
          <w:tab w:leader="none" w:pos="63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associated with the acquisition efforts of the Company related to transactions for which the Company has entered into a letter of intent to acquire a controlling financial interest in the target entity, as well as the divestiture costs incurred in divesting a portion of our business. Acquisition and divestiture costs primarily include costs associated with (i) buy-side and sell-side due diligence activities, (ii) compensation expenses associated with employee retention, and (iii) legal and advisory fees primarily associated with the acquisitions of Liberty IT Solutions, LLC (“Liberty”) and Tracepoint Holdings, LLC (“Tracepoint”) in fiscal 2022, and the acquisition of EverWatch Corp. (“EverWatch”) and the divestitures of our management consulting business serving the Middle East and North Africa (“MENA”) and our Managed Threat Services business ("MTS") in fiscal 2023.</w:t>
      </w:r>
    </w:p>
    <w:p>
      <w:pPr>
        <w:spacing w:after="0" w:line="2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expenses associated with debt financing activities incurred during the first quarter of fiscal 2022 and second quarter of fiscal 2023.</w:t>
      </w:r>
    </w:p>
    <w:p>
      <w:pPr>
        <w:spacing w:after="0" w:line="56" w:lineRule="exact"/>
        <w:rPr>
          <w:rFonts w:ascii="Times New Roman" w:cs="Times New Roman" w:eastAsia="Times New Roman" w:hAnsi="Times New Roman"/>
          <w:sz w:val="18"/>
          <w:szCs w:val="18"/>
          <w:color w:val="auto"/>
        </w:rPr>
      </w:pPr>
    </w:p>
    <w:p>
      <w:pPr>
        <w:ind w:left="640" w:right="240" w:hanging="319"/>
        <w:spacing w:after="0" w:line="256" w:lineRule="auto"/>
        <w:tabs>
          <w:tab w:leader="none" w:pos="63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associated with acquired intangibles from significant acquisitions. Significant acquisitions include acquisitions which the Company considers to be beyond the scope of our normal operations. Significant acquisition amortization includes amortization expense associated with the acquisition of Liberty in the first quarter of fiscal 2022 and the acquisition of EverWatch in the third quarter of fiscal 2023.</w:t>
      </w:r>
    </w:p>
    <w:p>
      <w:pPr>
        <w:spacing w:after="0" w:line="21" w:lineRule="exact"/>
        <w:rPr>
          <w:rFonts w:ascii="Times New Roman" w:cs="Times New Roman" w:eastAsia="Times New Roman" w:hAnsi="Times New Roman"/>
          <w:sz w:val="18"/>
          <w:szCs w:val="18"/>
          <w:color w:val="auto"/>
        </w:rPr>
      </w:pPr>
    </w:p>
    <w:p>
      <w:pPr>
        <w:ind w:left="640" w:right="500" w:hanging="319"/>
        <w:spacing w:after="0" w:line="268" w:lineRule="auto"/>
        <w:tabs>
          <w:tab w:leader="none" w:pos="6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 associated with the U.S. Department of Justice's investigation of the Company. See Note 15, “Commitments and Contingencies,” to the condensed consolidated financial statements for further information.</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combination of Interest expense and Other income, net from the condensed consolidated statement of operations.</w:t>
      </w:r>
    </w:p>
    <w:p>
      <w:pPr>
        <w:spacing w:after="0" w:line="56" w:lineRule="exact"/>
        <w:rPr>
          <w:rFonts w:ascii="Times New Roman" w:cs="Times New Roman" w:eastAsia="Times New Roman" w:hAnsi="Times New Roman"/>
          <w:sz w:val="18"/>
          <w:szCs w:val="18"/>
          <w:color w:val="auto"/>
        </w:rPr>
      </w:pPr>
    </w:p>
    <w:p>
      <w:pPr>
        <w:ind w:left="640" w:right="140" w:hanging="319"/>
        <w:spacing w:after="0" w:line="308" w:lineRule="auto"/>
        <w:tabs>
          <w:tab w:leader="none" w:pos="63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gain in the second quarter of fiscal 2022 associated with the Company's remeasurement of its previously held equity method investment in Tracepoint, and a gain in the third quarter of fiscal 2022 associated with the divestiture of a controlling financial interest in SnapAttack.</w:t>
      </w:r>
    </w:p>
    <w:p>
      <w:pPr>
        <w:spacing w:after="0" w:line="1" w:lineRule="exact"/>
        <w:rPr>
          <w:rFonts w:ascii="Times New Roman" w:cs="Times New Roman" w:eastAsia="Times New Roman" w:hAnsi="Times New Roman"/>
          <w:sz w:val="16"/>
          <w:szCs w:val="16"/>
          <w:color w:val="auto"/>
        </w:rPr>
      </w:pPr>
    </w:p>
    <w:p>
      <w:pPr>
        <w:jc w:val="both"/>
        <w:ind w:left="640" w:right="340" w:hanging="319"/>
        <w:spacing w:after="0" w:line="256" w:lineRule="auto"/>
        <w:tabs>
          <w:tab w:leader="none" w:pos="6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gain recognized on the divestitures of the Company's MENA business in the second quarter of fiscal 2023, its MTS business in the third quarter of fiscal 2023, and the gain on the deconsolidation of an artificial intelligence software platform business in the third quarter of fiscal 2023.</w:t>
      </w:r>
    </w:p>
    <w:p>
      <w:pPr>
        <w:spacing w:after="0" w:line="21" w:lineRule="exact"/>
        <w:rPr>
          <w:rFonts w:ascii="Times New Roman" w:cs="Times New Roman" w:eastAsia="Times New Roman" w:hAnsi="Times New Roman"/>
          <w:sz w:val="18"/>
          <w:szCs w:val="18"/>
          <w:color w:val="auto"/>
        </w:rPr>
      </w:pPr>
    </w:p>
    <w:p>
      <w:pPr>
        <w:ind w:left="640" w:right="240" w:hanging="319"/>
        <w:spacing w:after="0" w:line="256" w:lineRule="auto"/>
        <w:tabs>
          <w:tab w:leader="none" w:pos="6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 of adjustments at an assumed effective tax rate of 26%, which approximates the blended federal and state tax rates, and consistently excludes the impact of other tax credits and incentive benefits realized. The tax effect of certain discrete items is calculated specifically and may vary from the general 26% rate.</w:t>
      </w:r>
    </w:p>
    <w:p>
      <w:pPr>
        <w:spacing w:after="0" w:line="21"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adjustments of approximately $0.5 million and $2.6 million of net earnings for the three and nine months ended December 31, 2022, respectively, and $0.9 million and $2.4 million of net earnings for the three and nine months ended December 31, 2021, respectively, associated with the application of the two-class method for computing diluted earnings per share.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111" w:lineRule="exact"/>
        <w:rPr>
          <w:sz w:val="20"/>
          <w:szCs w:val="20"/>
          <w:color w:val="auto"/>
        </w:rPr>
      </w:pPr>
    </w:p>
    <w:p>
      <w:pPr>
        <w:ind w:right="540" w:firstLine="395"/>
        <w:spacing w:after="0" w:line="268" w:lineRule="auto"/>
        <w:rPr>
          <w:sz w:val="20"/>
          <w:szCs w:val="20"/>
          <w:color w:val="auto"/>
        </w:rPr>
      </w:pPr>
      <w:r>
        <w:rPr>
          <w:rFonts w:ascii="Times New Roman" w:cs="Times New Roman" w:eastAsia="Times New Roman" w:hAnsi="Times New Roman"/>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 and Key Trends in Our Markets</w:t>
      </w:r>
    </w:p>
    <w:p>
      <w:pPr>
        <w:spacing w:after="0" w:line="113" w:lineRule="exact"/>
        <w:rPr>
          <w:sz w:val="20"/>
          <w:szCs w:val="20"/>
          <w:color w:val="auto"/>
        </w:rPr>
      </w:pPr>
    </w:p>
    <w:p>
      <w:pPr>
        <w:ind w:right="440" w:firstLine="395"/>
        <w:spacing w:after="0" w:line="268" w:lineRule="auto"/>
        <w:rPr>
          <w:sz w:val="20"/>
          <w:szCs w:val="20"/>
          <w:color w:val="auto"/>
        </w:rPr>
      </w:pPr>
      <w:r>
        <w:rPr>
          <w:rFonts w:ascii="Times New Roman" w:cs="Times New Roman" w:eastAsia="Times New Roman" w:hAnsi="Times New Roman"/>
          <w:sz w:val="18"/>
          <w:szCs w:val="18"/>
          <w:color w:val="auto"/>
        </w:rPr>
        <w:t>We believe that the following trends and developments in the U.S. government services industry and our markets may influence our future results of operations:</w:t>
      </w:r>
    </w:p>
    <w:p>
      <w:pPr>
        <w:spacing w:after="0" w:line="64" w:lineRule="exact"/>
        <w:rPr>
          <w:sz w:val="20"/>
          <w:szCs w:val="20"/>
          <w:color w:val="auto"/>
        </w:rPr>
      </w:pPr>
    </w:p>
    <w:p>
      <w:pPr>
        <w:ind w:left="640" w:right="140" w:hanging="319"/>
        <w:spacing w:after="0" w:line="284" w:lineRule="auto"/>
        <w:tabs>
          <w:tab w:leader="none" w:pos="636" w:val="left"/>
        </w:tabs>
        <w:numPr>
          <w:ilvl w:val="0"/>
          <w:numId w:val="17"/>
        </w:numPr>
        <w:rPr>
          <w:rFonts w:ascii="Arial" w:cs="Arial" w:eastAsia="Arial" w:hAnsi="Arial"/>
          <w:sz w:val="16"/>
          <w:szCs w:val="16"/>
          <w:color w:val="auto"/>
        </w:rPr>
      </w:pPr>
      <w:r>
        <w:rPr>
          <w:rFonts w:ascii="Times New Roman" w:cs="Times New Roman" w:eastAsia="Times New Roman" w:hAnsi="Times New Roman"/>
          <w:sz w:val="16"/>
          <w:szCs w:val="16"/>
          <w:color w:val="auto"/>
        </w:rPr>
        <w:t>uncertainty around the timing, extent, nature and effect of Congressional and other U.S. government actions to approve funding of the U.S. government, including Congressional negotiations to raise the debt ceiling, address budgetary constraints, including caps on the discretionary budget for defense and non-defense departments and agencies, as established by the Bipartisan Budget Control Act of 2011 (“BCA”) and subsequently adjusted by the American Taxpayer Relief Act of 2012, the Bipartisan Budget Act of 2013, the Bipartisan Budget Act of 2015, the Bipartisan Budget Act of 2018, and the Bipartisan Budget Act of 2019, the Coronavirus Aid, Relief, and Economic Security Act (the “CARES Act”), and the Consolidated Appropriations Act of 2021, and address the ability of Congress to determine how to allocate the available budget authority and pass appropriations bills to fund both U.S. government departments and agencies that are, and those that are not, subject to the caps;</w:t>
      </w:r>
    </w:p>
    <w:p>
      <w:pPr>
        <w:spacing w:after="0" w:line="54" w:lineRule="exact"/>
        <w:rPr>
          <w:rFonts w:ascii="Arial" w:cs="Arial" w:eastAsia="Arial" w:hAnsi="Arial"/>
          <w:sz w:val="16"/>
          <w:szCs w:val="16"/>
          <w:color w:val="auto"/>
        </w:rPr>
      </w:pPr>
    </w:p>
    <w:p>
      <w:pPr>
        <w:ind w:left="640" w:right="20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40" w:right="20" w:hanging="319"/>
        <w:spacing w:after="0" w:line="282" w:lineRule="auto"/>
        <w:tabs>
          <w:tab w:leader="none" w:pos="63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60" w:lineRule="exact"/>
        <w:rPr>
          <w:rFonts w:ascii="Times New Roman" w:cs="Times New Roman" w:eastAsia="Times New Roman" w:hAnsi="Times New Roman"/>
          <w:sz w:val="16"/>
          <w:szCs w:val="16"/>
          <w:color w:val="auto"/>
        </w:rPr>
      </w:pPr>
    </w:p>
    <w:p>
      <w:pPr>
        <w:ind w:left="640" w:right="48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completion of future U.S. government’s budget processes, which have in the past and could in the future delay procurement of the products, services, and solutions we provide;</w:t>
      </w:r>
    </w:p>
    <w:p>
      <w:pPr>
        <w:spacing w:after="0" w:line="64" w:lineRule="exact"/>
        <w:rPr>
          <w:rFonts w:ascii="Times New Roman" w:cs="Times New Roman" w:eastAsia="Times New Roman" w:hAnsi="Times New Roman"/>
          <w:sz w:val="18"/>
          <w:szCs w:val="18"/>
          <w:color w:val="auto"/>
        </w:rPr>
      </w:pPr>
    </w:p>
    <w:p>
      <w:pPr>
        <w:ind w:left="640" w:right="200" w:hanging="319"/>
        <w:spacing w:after="0" w:line="252"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 including as a result of the presidential and administration transition;</w:t>
      </w:r>
    </w:p>
    <w:p>
      <w:pPr>
        <w:spacing w:after="0" w:line="78" w:lineRule="exact"/>
        <w:rPr>
          <w:rFonts w:ascii="Times New Roman" w:cs="Times New Roman" w:eastAsia="Times New Roman" w:hAnsi="Times New Roman"/>
          <w:sz w:val="18"/>
          <w:szCs w:val="18"/>
          <w:color w:val="auto"/>
        </w:rPr>
      </w:pPr>
    </w:p>
    <w:p>
      <w:pPr>
        <w:ind w:left="640" w:hanging="319"/>
        <w:spacing w:after="0" w:line="252"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nature and effect of COVID-19, including the impact on federal budgets, current and pending procurements, supply chains, demand for services, deployment and productivity of our employees and the economic and societal impact of a pandemic, and the expected continued volatility in billable expenses, as well as the impact of our Company policy requiring full COVID-19 vaccinations of all employees, except for employees who qualify for medical or religious exemptions;</w:t>
      </w:r>
    </w:p>
    <w:p>
      <w:pPr>
        <w:spacing w:after="0" w:line="7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inflationary pressure that could impact the cost of doing business and/or reduce customer buying power;</w:t>
      </w:r>
    </w:p>
    <w:p>
      <w:pPr>
        <w:spacing w:after="0" w:line="108" w:lineRule="exact"/>
        <w:rPr>
          <w:rFonts w:ascii="Times New Roman" w:cs="Times New Roman" w:eastAsia="Times New Roman" w:hAnsi="Times New Roman"/>
          <w:sz w:val="18"/>
          <w:szCs w:val="18"/>
          <w:color w:val="auto"/>
        </w:rPr>
      </w:pPr>
    </w:p>
    <w:p>
      <w:pPr>
        <w:ind w:left="640" w:right="120" w:hanging="319"/>
        <w:spacing w:after="0" w:line="252"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78" w:lineRule="exact"/>
        <w:rPr>
          <w:rFonts w:ascii="Times New Roman" w:cs="Times New Roman" w:eastAsia="Times New Roman" w:hAnsi="Times New Roman"/>
          <w:sz w:val="18"/>
          <w:szCs w:val="18"/>
          <w:color w:val="auto"/>
        </w:rPr>
      </w:pPr>
    </w:p>
    <w:p>
      <w:pPr>
        <w:ind w:left="640" w:right="72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the U.S. government to address organizational conflicts of interest and related issues and the impact of those efforts on us and our competitors;</w:t>
      </w:r>
    </w:p>
    <w:p>
      <w:pPr>
        <w:spacing w:after="0" w:line="64" w:lineRule="exact"/>
        <w:rPr>
          <w:rFonts w:ascii="Times New Roman" w:cs="Times New Roman" w:eastAsia="Times New Roman" w:hAnsi="Times New Roman"/>
          <w:sz w:val="18"/>
          <w:szCs w:val="18"/>
          <w:color w:val="auto"/>
        </w:rPr>
      </w:pPr>
    </w:p>
    <w:p>
      <w:pPr>
        <w:ind w:left="640" w:right="66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4" w:lineRule="exact"/>
        <w:rPr>
          <w:rFonts w:ascii="Times New Roman" w:cs="Times New Roman" w:eastAsia="Times New Roman" w:hAnsi="Times New Roman"/>
          <w:sz w:val="18"/>
          <w:szCs w:val="18"/>
          <w:color w:val="auto"/>
        </w:rPr>
      </w:pPr>
    </w:p>
    <w:p>
      <w:pPr>
        <w:ind w:left="640" w:right="40" w:hanging="319"/>
        <w:spacing w:after="0" w:line="332" w:lineRule="auto"/>
        <w:tabs>
          <w:tab w:leader="none" w:pos="63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17" w:lineRule="exact"/>
        <w:rPr>
          <w:rFonts w:ascii="Times New Roman" w:cs="Times New Roman" w:eastAsia="Times New Roman" w:hAnsi="Times New Roman"/>
          <w:sz w:val="16"/>
          <w:szCs w:val="16"/>
          <w:color w:val="auto"/>
        </w:rPr>
      </w:pPr>
    </w:p>
    <w:p>
      <w:pPr>
        <w:ind w:left="640" w:right="8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64" w:lineRule="exact"/>
        <w:rPr>
          <w:rFonts w:ascii="Times New Roman" w:cs="Times New Roman" w:eastAsia="Times New Roman" w:hAnsi="Times New Roman"/>
          <w:sz w:val="18"/>
          <w:szCs w:val="18"/>
          <w:color w:val="auto"/>
        </w:rPr>
      </w:pPr>
    </w:p>
    <w:p>
      <w:pPr>
        <w:ind w:left="640" w:right="6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agencies awarding contracts on a technically acceptable/lowest cost basis, which could have a negative impact on our ability to win certain contracts;</w:t>
      </w:r>
    </w:p>
    <w:p>
      <w:pPr>
        <w:spacing w:after="0" w:line="64" w:lineRule="exact"/>
        <w:rPr>
          <w:rFonts w:ascii="Times New Roman" w:cs="Times New Roman" w:eastAsia="Times New Roman" w:hAnsi="Times New Roman"/>
          <w:sz w:val="18"/>
          <w:szCs w:val="18"/>
          <w:color w:val="auto"/>
        </w:rPr>
      </w:pPr>
    </w:p>
    <w:p>
      <w:pPr>
        <w:ind w:left="640" w:right="6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64"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74" w:lineRule="exact"/>
        <w:rPr>
          <w:rFonts w:ascii="Times New Roman" w:cs="Times New Roman" w:eastAsia="Times New Roman" w:hAnsi="Times New Roman"/>
          <w:sz w:val="18"/>
          <w:szCs w:val="18"/>
          <w:color w:val="auto"/>
        </w:rPr>
      </w:pPr>
    </w:p>
    <w:p>
      <w:pPr>
        <w:ind w:left="640" w:right="22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640" w:right="320" w:hanging="319"/>
        <w:spacing w:after="0" w:line="256" w:lineRule="auto"/>
        <w:tabs>
          <w:tab w:leader="none" w:pos="6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increasingly complex requirements and enforcement and reporting landscapes of the Department of Defense and the U.S. intelligence community, including cybersecurity, managing federal health care cost growth, competition, and focus on reforming existing government regulation of various sectors of the economy, such as financial regulation and healthcare; and</w:t>
      </w:r>
    </w:p>
    <w:p>
      <w:pPr>
        <w:spacing w:after="0" w:line="74" w:lineRule="exact"/>
        <w:rPr>
          <w:rFonts w:ascii="Times New Roman" w:cs="Times New Roman" w:eastAsia="Times New Roman" w:hAnsi="Times New Roman"/>
          <w:sz w:val="18"/>
          <w:szCs w:val="18"/>
          <w:color w:val="auto"/>
        </w:rPr>
      </w:pPr>
    </w:p>
    <w:p>
      <w:pPr>
        <w:ind w:left="640" w:right="140" w:hanging="319"/>
        <w:spacing w:after="0" w:line="256" w:lineRule="auto"/>
        <w:tabs>
          <w:tab w:leader="none" w:pos="6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13" w:lineRule="exact"/>
        <w:rPr>
          <w:sz w:val="20"/>
          <w:szCs w:val="20"/>
          <w:color w:val="auto"/>
        </w:rPr>
      </w:pPr>
    </w:p>
    <w:p>
      <w:pPr>
        <w:ind w:firstLine="395"/>
        <w:spacing w:after="0" w:line="279" w:lineRule="auto"/>
        <w:rPr>
          <w:sz w:val="20"/>
          <w:szCs w:val="20"/>
          <w:color w:val="auto"/>
        </w:rPr>
      </w:pPr>
      <w:r>
        <w:rPr>
          <w:rFonts w:ascii="Times New Roman" w:cs="Times New Roman" w:eastAsia="Times New Roman" w:hAnsi="Times New Roman"/>
          <w:sz w:val="16"/>
          <w:szCs w:val="16"/>
          <w:color w:val="auto"/>
        </w:rPr>
        <w:t>Substantially all of our revenue is derived from services provided under contracts and task orders with the U.S. government, primarily by our client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originally required nine automatic spending cuts (referred to as “sequestration”) of $109 billion annually from 2013 to 2021, half of which was intended to come from defense programs, though less than $1 billion has been cut for defense programs per year under the BCA. Mandatory sequestrations under the BCA were subsequently extended by the Bipartisan Budget Act of 2013, the Bipartisan Budget Act of 2015, the Bipartisan Budget Act of 2018, the Bipartisan Budget Act of 2019, the CARES Act and the Consolidated Appropriations Act of 2021, which did not specify an amount of savings required to be achieved through sequestration after 2021 but apply an 8.3% reduction in defense spending in each year from 2021 to 2030.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Types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generate revenue under the following three basic types of contracts:</w:t>
      </w:r>
    </w:p>
    <w:p>
      <w:pPr>
        <w:spacing w:after="0" w:line="107" w:lineRule="exact"/>
        <w:rPr>
          <w:sz w:val="20"/>
          <w:szCs w:val="20"/>
          <w:color w:val="auto"/>
        </w:rPr>
      </w:pPr>
    </w:p>
    <w:p>
      <w:pPr>
        <w:ind w:left="640" w:right="20" w:hanging="319"/>
        <w:spacing w:after="0" w:line="247" w:lineRule="auto"/>
        <w:tabs>
          <w:tab w:leader="none" w:pos="636"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Cost-Reimbursable Contracts. </w:t>
      </w:r>
      <w:r>
        <w:rPr>
          <w:rFonts w:ascii="Times New Roman" w:cs="Times New Roman" w:eastAsia="Times New Roman" w:hAnsi="Times New Roman"/>
          <w:sz w:val="18"/>
          <w:szCs w:val="18"/>
          <w:color w:val="auto"/>
        </w:rPr>
        <w:t>Cost-reimbursable contracts provide for the payment of allowable costs incurred during performance of the contract,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ceiling based 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85" w:lineRule="exact"/>
        <w:rPr>
          <w:rFonts w:ascii="Times New Roman" w:cs="Times New Roman" w:eastAsia="Times New Roman" w:hAnsi="Times New Roman"/>
          <w:sz w:val="18"/>
          <w:szCs w:val="18"/>
          <w:i w:val="1"/>
          <w:iCs w:val="1"/>
          <w:color w:val="auto"/>
        </w:rPr>
      </w:pPr>
    </w:p>
    <w:p>
      <w:pPr>
        <w:ind w:left="640" w:right="20" w:hanging="319"/>
        <w:spacing w:after="0" w:line="250" w:lineRule="auto"/>
        <w:tabs>
          <w:tab w:leader="none" w:pos="636"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Time-and-Materials Contracts. </w:t>
      </w:r>
      <w:r>
        <w:rPr>
          <w:rFonts w:ascii="Times New Roman" w:cs="Times New Roman" w:eastAsia="Times New Roman" w:hAnsi="Times New Roman"/>
          <w:sz w:val="18"/>
          <w:szCs w:val="18"/>
          <w:color w:val="auto"/>
        </w:rPr>
        <w:t>Under contracts in this category, we are paid a fixed hourly rate for each direct labor hour expended, and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reimbursed for billable 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79" w:lineRule="exact"/>
        <w:rPr>
          <w:rFonts w:ascii="Times New Roman" w:cs="Times New Roman" w:eastAsia="Times New Roman" w:hAnsi="Times New Roman"/>
          <w:sz w:val="18"/>
          <w:szCs w:val="18"/>
          <w:i w:val="1"/>
          <w:iCs w:val="1"/>
          <w:color w:val="auto"/>
        </w:rPr>
      </w:pPr>
    </w:p>
    <w:p>
      <w:pPr>
        <w:ind w:left="640" w:right="100" w:hanging="319"/>
        <w:spacing w:after="0" w:line="250" w:lineRule="auto"/>
        <w:tabs>
          <w:tab w:leader="none" w:pos="636"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Under a fixed-price contract, we agree to perform the specified work for a predetermined price. To the extent our actual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395"/>
        <w:spacing w:after="0" w:line="281" w:lineRule="auto"/>
        <w:rPr>
          <w:sz w:val="20"/>
          <w:szCs w:val="20"/>
          <w:color w:val="auto"/>
        </w:rPr>
      </w:pPr>
      <w:r>
        <w:rPr>
          <w:rFonts w:ascii="Times New Roman" w:cs="Times New Roman" w:eastAsia="Times New Roman" w:hAnsi="Times New Roman"/>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presents the percentage of total revenue for each type of contract: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20" w:type="dxa"/>
            <w:vAlign w:val="bottom"/>
          </w:tcPr>
          <w:p>
            <w:pPr>
              <w:spacing w:after="0"/>
              <w:rPr>
                <w:sz w:val="20"/>
                <w:szCs w:val="20"/>
                <w:color w:val="auto"/>
              </w:rPr>
            </w:pPr>
          </w:p>
        </w:tc>
        <w:tc>
          <w:tcPr>
            <w:tcW w:w="30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17"/>
        </w:trPr>
        <w:tc>
          <w:tcPr>
            <w:tcW w:w="522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2021</w:t>
            </w:r>
          </w:p>
        </w:tc>
      </w:tr>
      <w:tr>
        <w:trPr>
          <w:trHeight w:val="21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Cost-reimbursable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54%</w:t>
            </w: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Time-and-materials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Diversity and Revenue Mix</w:t>
      </w:r>
    </w:p>
    <w:p>
      <w:pPr>
        <w:spacing w:after="0" w:line="111"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competes under multiple award IDIQ contract vehicles for task orders to provide particular services, and we earn revenue under these contract vehicles only to the extent that we are successful in the bidding process for task orders.</w:t>
      </w:r>
    </w:p>
    <w:p>
      <w:pPr>
        <w:spacing w:after="0" w:line="80"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client staff labor, as the portion of our operating margin derived from fees we earn on services provided by our subcontractors is not significant. We view growth in direct client staff labor as the primary driver of earnings growth. Direct client staff labor growth is driven by client staff headcount growth, after attrition, and total backlog growth.</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People</w:t>
      </w:r>
    </w:p>
    <w:p>
      <w:pPr>
        <w:spacing w:after="0" w:line="111" w:lineRule="exact"/>
        <w:rPr>
          <w:sz w:val="20"/>
          <w:szCs w:val="20"/>
          <w:color w:val="auto"/>
        </w:rPr>
      </w:pPr>
    </w:p>
    <w:p>
      <w:pPr>
        <w:jc w:val="both"/>
        <w:ind w:right="160" w:firstLine="395"/>
        <w:spacing w:after="0" w:line="289" w:lineRule="auto"/>
        <w:rPr>
          <w:sz w:val="20"/>
          <w:szCs w:val="20"/>
          <w:color w:val="auto"/>
        </w:rPr>
      </w:pPr>
      <w:r>
        <w:rPr>
          <w:rFonts w:ascii="Times New Roman" w:cs="Times New Roman" w:eastAsia="Times New Roman" w:hAnsi="Times New Roman"/>
          <w:sz w:val="16"/>
          <w:szCs w:val="16"/>
          <w:color w:val="auto"/>
        </w:rPr>
        <w:t>Revenue from our contracts is derived from services delivered by client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December 31, 2022 and 2021, we employed approximately 31,100 and 29,500 people, respectively, of which approximately 28,300 and 26,300, respectively, were client staff.</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Backlog</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define backlog to include the following three components:</w:t>
      </w:r>
    </w:p>
    <w:p>
      <w:pPr>
        <w:spacing w:after="0" w:line="107" w:lineRule="exact"/>
        <w:rPr>
          <w:sz w:val="20"/>
          <w:szCs w:val="20"/>
          <w:color w:val="auto"/>
        </w:rPr>
      </w:pPr>
    </w:p>
    <w:p>
      <w:pPr>
        <w:ind w:left="640" w:right="360" w:hanging="319"/>
        <w:spacing w:after="0" w:line="271" w:lineRule="auto"/>
        <w:tabs>
          <w:tab w:leader="none" w:pos="636"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Funded Backlog. </w:t>
      </w:r>
      <w:r>
        <w:rPr>
          <w:rFonts w:ascii="Times New Roman" w:cs="Times New Roman" w:eastAsia="Times New Roman" w:hAnsi="Times New Roman"/>
          <w:sz w:val="18"/>
          <w:szCs w:val="18"/>
          <w:color w:val="auto"/>
        </w:rPr>
        <w:t>Funded backlog represents the revenue value of orders for services under existing contracts for which funding is appropriated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authorized less revenue previously recognized on these contracts.</w:t>
      </w:r>
    </w:p>
    <w:p>
      <w:pPr>
        <w:spacing w:after="0" w:line="58" w:lineRule="exact"/>
        <w:rPr>
          <w:rFonts w:ascii="Times New Roman" w:cs="Times New Roman" w:eastAsia="Times New Roman" w:hAnsi="Times New Roman"/>
          <w:sz w:val="18"/>
          <w:szCs w:val="18"/>
          <w:i w:val="1"/>
          <w:iCs w:val="1"/>
          <w:color w:val="auto"/>
        </w:rPr>
      </w:pPr>
    </w:p>
    <w:p>
      <w:pPr>
        <w:ind w:left="640" w:right="460" w:hanging="319"/>
        <w:spacing w:after="0" w:line="271"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Unfunded Backlog. </w:t>
      </w:r>
      <w:r>
        <w:rPr>
          <w:rFonts w:ascii="Times New Roman" w:cs="Times New Roman" w:eastAsia="Times New Roman" w:hAnsi="Times New Roman"/>
          <w:sz w:val="18"/>
          <w:szCs w:val="18"/>
          <w:color w:val="auto"/>
        </w:rPr>
        <w:t>Unfunded backlog represents the revenue value of orders (including optional orders) for services under existing contracts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funding has not been appropriated or otherwise authorized.</w:t>
      </w:r>
    </w:p>
    <w:p>
      <w:pPr>
        <w:spacing w:after="0" w:line="58" w:lineRule="exact"/>
        <w:rPr>
          <w:rFonts w:ascii="Times New Roman" w:cs="Times New Roman" w:eastAsia="Times New Roman" w:hAnsi="Times New Roman"/>
          <w:sz w:val="18"/>
          <w:szCs w:val="18"/>
          <w:color w:val="auto"/>
        </w:rPr>
      </w:pPr>
    </w:p>
    <w:p>
      <w:pPr>
        <w:ind w:left="640" w:right="120" w:hanging="319"/>
        <w:spacing w:after="0" w:line="271"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Priced Options. </w:t>
      </w:r>
      <w:r>
        <w:rPr>
          <w:rFonts w:ascii="Times New Roman" w:cs="Times New Roman" w:eastAsia="Times New Roman" w:hAnsi="Times New Roman"/>
          <w:sz w:val="18"/>
          <w:szCs w:val="18"/>
          <w:color w:val="auto"/>
        </w:rPr>
        <w:t>Priced contract options represent 100% of the revenue value of all future contract option periods under existing contracts that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at our clients’ option and for which funding has not been appropriated or otherwise authorized.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60" w:firstLine="395"/>
        <w:spacing w:after="0" w:line="268" w:lineRule="auto"/>
        <w:rPr>
          <w:sz w:val="20"/>
          <w:szCs w:val="20"/>
          <w:color w:val="auto"/>
        </w:rPr>
      </w:pPr>
      <w:r>
        <w:rPr>
          <w:rFonts w:ascii="Times New Roman" w:cs="Times New Roman" w:eastAsia="Times New Roman" w:hAnsi="Times New Roman"/>
          <w:sz w:val="18"/>
          <w:szCs w:val="18"/>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64" w:lineRule="exact"/>
        <w:rPr>
          <w:sz w:val="20"/>
          <w:szCs w:val="20"/>
          <w:color w:val="auto"/>
        </w:rPr>
      </w:pPr>
    </w:p>
    <w:tbl>
      <w:tblPr>
        <w:tblLayout w:type="fixed"/>
        <w:tblInd w:w="180" w:type="dxa"/>
        <w:tblCellMar>
          <w:top w:w="0" w:type="dxa"/>
          <w:left w:w="0" w:type="dxa"/>
          <w:bottom w:w="0" w:type="dxa"/>
          <w:right w:w="0" w:type="dxa"/>
        </w:tblCellMar>
      </w:tblPr>
      <w:tr>
        <w:trPr>
          <w:trHeight w:val="228"/>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following table summarizes the value of our contract backlog at the respective dates presented:</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1"/>
        </w:trPr>
        <w:tc>
          <w:tcPr>
            <w:tcW w:w="7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1"/>
                <w:szCs w:val="21"/>
                <w:color w:val="auto"/>
              </w:rPr>
            </w:pPr>
          </w:p>
        </w:tc>
        <w:tc>
          <w:tcPr>
            <w:tcW w:w="13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4"/>
        </w:trPr>
        <w:tc>
          <w:tcPr>
            <w:tcW w:w="7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88"/>
        </w:trPr>
        <w:tc>
          <w:tcPr>
            <w:tcW w:w="7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4"/>
          </w:tcPr>
          <w:p>
            <w:pPr>
              <w:jc w:val="right"/>
              <w:ind w:right="117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4"/>
        </w:trPr>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Funded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r>
      <w:tr>
        <w:trPr>
          <w:trHeight w:val="224"/>
        </w:trPr>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Unfunded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w:t>
            </w:r>
          </w:p>
        </w:tc>
      </w:tr>
      <w:tr>
        <w:trPr>
          <w:trHeight w:val="224"/>
        </w:trPr>
        <w:tc>
          <w:tcPr>
            <w:tcW w:w="7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Priced options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14,302</w:t>
            </w:r>
          </w:p>
        </w:tc>
      </w:tr>
      <w:tr>
        <w:trPr>
          <w:trHeight w:val="242"/>
        </w:trPr>
        <w:tc>
          <w:tcPr>
            <w:tcW w:w="76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backlog (1)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640" w:right="120" w:hanging="319"/>
        <w:spacing w:after="0" w:line="267" w:lineRule="auto"/>
        <w:tabs>
          <w:tab w:leader="none" w:pos="631"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Backlog presented as of December 31, 2022 and December 31, 2021, respectively, includes approximately $272.7 million and $2.0 billion of backlog acquired from the Company's acquisitions made during the nine months ended December 31, 2022 and December 31, 2021.</w:t>
      </w:r>
    </w:p>
    <w:p>
      <w:pPr>
        <w:spacing w:after="0" w:line="65" w:lineRule="exact"/>
        <w:rPr>
          <w:sz w:val="20"/>
          <w:szCs w:val="20"/>
          <w:color w:val="auto"/>
        </w:rPr>
      </w:pPr>
    </w:p>
    <w:p>
      <w:pPr>
        <w:ind w:right="60" w:firstLine="395"/>
        <w:spacing w:after="0" w:line="282" w:lineRule="auto"/>
        <w:rPr>
          <w:sz w:val="20"/>
          <w:szCs w:val="20"/>
          <w:color w:val="auto"/>
        </w:rPr>
      </w:pPr>
      <w:r>
        <w:rPr>
          <w:rFonts w:ascii="Times New Roman" w:cs="Times New Roman" w:eastAsia="Times New Roman" w:hAnsi="Times New Roman"/>
          <w:sz w:val="16"/>
          <w:szCs w:val="16"/>
          <w:color w:val="auto"/>
        </w:rPr>
        <w:t>Our total backlog consists of remaining performance obligations, certain orders under contracts for which the period of performance has expired, and unexercised option period and other unexercised optional orders. As of December 31, 2022 and March 31, 2022, the Company had $8.1 billion and $7.4 billion of remaining performance obligations, respectively. We expect to recognize approximately 70% of the remaining performance obligations at December 31,</w:t>
      </w:r>
    </w:p>
    <w:p>
      <w:pPr>
        <w:spacing w:after="0" w:line="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2022 as revenue over the next 12 months, and approximately 85% over the next 24 months. The remainder is expected to be recognized thereafter. However, given the uncertainties discussed below, as well as the risks described in “Item 1A. Risk Factors” of our Annual Report on Form 10-K for the fiscal year ended March 31, 2022,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88"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We view growth in total backlog and client staff headcount as the two key measures of our potential business growth. Growing and deploying client staff is the primary means by which we are able to achieve profitable revenue growth. To the extent that we are able to hire additional client staff and deploy them against funded backlog, we generally recognize increased revenue. Total backlog increased by 8.2% from December 31, 2021 to December 31, 2022. Additions to funded backlog during the twelve months ended December 31, 2022 totaled $9.6 billion in comparison to $8.5 billion for the comparable period in fiscal 2022,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82" w:lineRule="exact"/>
        <w:rPr>
          <w:sz w:val="20"/>
          <w:szCs w:val="20"/>
          <w:color w:val="auto"/>
        </w:rPr>
      </w:pPr>
    </w:p>
    <w:p>
      <w:pPr>
        <w:ind w:right="120" w:firstLine="395"/>
        <w:spacing w:after="0" w:line="246" w:lineRule="auto"/>
        <w:rPr>
          <w:sz w:val="20"/>
          <w:szCs w:val="20"/>
          <w:color w:val="auto"/>
        </w:rPr>
      </w:pPr>
      <w:r>
        <w:rPr>
          <w:rFonts w:ascii="Times New Roman" w:cs="Times New Roman" w:eastAsia="Times New Roman" w:hAnsi="Times New Roman"/>
          <w:sz w:val="18"/>
          <w:szCs w:val="18"/>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client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5.1% of total backlog as of December 31, 2022 and any of the four preceding fiscal quarters.</w:t>
      </w:r>
    </w:p>
    <w:p>
      <w:pPr>
        <w:spacing w:after="0" w:line="80"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We expect to recognize revenue from a substantial portion of funded backlog as of December 31, 2022 within the next twelve months. However, given the uncertainties discussed above, as well as the risks described in Part I, Item 1A, of our Annual Report on Form 10-K, we can give no assurance that we will be able to convert our backlog into revenue in any particular period, if at all.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13"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most significant operating costs and expenses are described below.</w:t>
      </w:r>
    </w:p>
    <w:p>
      <w:pPr>
        <w:spacing w:after="0" w:line="107" w:lineRule="exact"/>
        <w:rPr>
          <w:sz w:val="20"/>
          <w:szCs w:val="20"/>
          <w:color w:val="auto"/>
        </w:rPr>
      </w:pPr>
    </w:p>
    <w:p>
      <w:pPr>
        <w:ind w:left="640" w:right="20" w:hanging="319"/>
        <w:spacing w:after="0" w:line="271"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includes direct labor, related employee benefits, and overhead. Overhead consists of indirect costs, including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labor relating to infrastructure, management and administration, and other expenses.</w:t>
      </w:r>
    </w:p>
    <w:p>
      <w:pPr>
        <w:spacing w:after="0" w:line="5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Billable Expenses. </w:t>
      </w:r>
      <w:r>
        <w:rPr>
          <w:rFonts w:ascii="Times New Roman" w:cs="Times New Roman" w:eastAsia="Times New Roman" w:hAnsi="Times New Roman"/>
          <w:sz w:val="18"/>
          <w:szCs w:val="18"/>
          <w:color w:val="auto"/>
        </w:rPr>
        <w:t>Billable expenses include direct subcontractor expenses, travel expenses, and other expenses incurred to perform on contracts.</w:t>
      </w:r>
    </w:p>
    <w:p>
      <w:pPr>
        <w:spacing w:after="0" w:line="108" w:lineRule="exact"/>
        <w:rPr>
          <w:rFonts w:ascii="Times New Roman" w:cs="Times New Roman" w:eastAsia="Times New Roman" w:hAnsi="Times New Roman"/>
          <w:sz w:val="18"/>
          <w:szCs w:val="18"/>
          <w:color w:val="auto"/>
        </w:rPr>
      </w:pPr>
    </w:p>
    <w:p>
      <w:pPr>
        <w:ind w:left="640" w:right="900" w:hanging="319"/>
        <w:spacing w:after="0" w:line="271"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include indirect labor of executive management and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functions, marketing and bid and proposal costs, legal costs and other discretionary spending.</w:t>
      </w:r>
    </w:p>
    <w:p>
      <w:pPr>
        <w:spacing w:after="0" w:line="6" w:lineRule="exact"/>
        <w:rPr>
          <w:rFonts w:ascii="Times New Roman" w:cs="Times New Roman" w:eastAsia="Times New Roman" w:hAnsi="Times New Roman"/>
          <w:sz w:val="18"/>
          <w:szCs w:val="18"/>
          <w:color w:val="auto"/>
        </w:rPr>
      </w:pPr>
    </w:p>
    <w:p>
      <w:pPr>
        <w:ind w:left="640" w:right="120" w:hanging="319"/>
        <w:spacing w:after="0" w:line="257"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includes the depreciation of computers, leasehold improvements, furniture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the amortization of internally developed software, as well as third-party software that we use internally, and of identifiable long-lived intangible assets over their estimated useful lives.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13"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82"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Seasonality is just one of a number of factors, many of which are outside of our control, which may affect our results in any period. See “Item 1A. Risk Factors.”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111" w:lineRule="exact"/>
        <w:rPr>
          <w:sz w:val="20"/>
          <w:szCs w:val="20"/>
          <w:color w:val="auto"/>
        </w:rPr>
      </w:pPr>
    </w:p>
    <w:p>
      <w:pPr>
        <w:ind w:right="260" w:firstLine="395"/>
        <w:spacing w:after="0" w:line="303" w:lineRule="auto"/>
        <w:rPr>
          <w:sz w:val="20"/>
          <w:szCs w:val="20"/>
          <w:color w:val="auto"/>
        </w:rPr>
      </w:pPr>
      <w:r>
        <w:rPr>
          <w:rFonts w:ascii="Times New Roman" w:cs="Times New Roman" w:eastAsia="Times New Roman" w:hAnsi="Times New Roman"/>
          <w:sz w:val="16"/>
          <w:szCs w:val="16"/>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2022. There were no other material changes to our critical accounting policies, estimates or judgments that occurred in the quarterly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right="32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sets forth items from our condensed consolidated statements of operations for the three and nine months ended December 31, 2022 and December 31, 2021:</w:t>
      </w:r>
    </w:p>
    <w:p>
      <w:pPr>
        <w:spacing w:after="0" w:line="102" w:lineRule="exact"/>
        <w:rPr>
          <w:sz w:val="20"/>
          <w:szCs w:val="20"/>
          <w:color w:val="auto"/>
        </w:rPr>
      </w:pPr>
    </w:p>
    <w:tbl>
      <w:tblPr>
        <w:tblLayout w:type="fixed"/>
        <w:tblInd w:w="400" w:type="dxa"/>
        <w:tblCellMar>
          <w:top w:w="0" w:type="dxa"/>
          <w:left w:w="0" w:type="dxa"/>
          <w:bottom w:w="0" w:type="dxa"/>
          <w:right w:w="0" w:type="dxa"/>
        </w:tblCellMar>
      </w:tblPr>
      <w:tr>
        <w:trPr>
          <w:trHeight w:val="231"/>
        </w:trPr>
        <w:tc>
          <w:tcPr>
            <w:tcW w:w="3320" w:type="dxa"/>
            <w:vAlign w:val="bottom"/>
          </w:tcPr>
          <w:p>
            <w:pPr>
              <w:spacing w:after="0"/>
              <w:rPr>
                <w:sz w:val="20"/>
                <w:szCs w:val="20"/>
                <w:color w:val="auto"/>
              </w:rPr>
            </w:pPr>
          </w:p>
        </w:tc>
        <w:tc>
          <w:tcPr>
            <w:tcW w:w="27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 December 31,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8"/>
                <w:szCs w:val="18"/>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8"/>
                <w:szCs w:val="18"/>
                <w:color w:val="auto"/>
              </w:rPr>
            </w:pPr>
          </w:p>
        </w:tc>
        <w:tc>
          <w:tcPr>
            <w:tcW w:w="12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w:t>
            </w:r>
          </w:p>
        </w:tc>
        <w:tc>
          <w:tcPr>
            <w:tcW w:w="0" w:type="dxa"/>
            <w:vAlign w:val="bottom"/>
          </w:tcPr>
          <w:p>
            <w:pPr>
              <w:spacing w:after="0"/>
              <w:rPr>
                <w:sz w:val="1"/>
                <w:szCs w:val="1"/>
                <w:color w:val="auto"/>
              </w:rPr>
            </w:pPr>
          </w:p>
        </w:tc>
      </w:tr>
      <w:tr>
        <w:trPr>
          <w:trHeight w:val="231"/>
        </w:trPr>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Chang</w:t>
            </w:r>
          </w:p>
        </w:tc>
        <w:tc>
          <w:tcPr>
            <w:tcW w:w="0" w:type="dxa"/>
            <w:vAlign w:val="bottom"/>
          </w:tcPr>
          <w:p>
            <w:pPr>
              <w:spacing w:after="0"/>
              <w:rPr>
                <w:sz w:val="1"/>
                <w:szCs w:val="1"/>
                <w:color w:val="auto"/>
              </w:rPr>
            </w:pPr>
          </w:p>
        </w:tc>
      </w:tr>
      <w:tr>
        <w:trPr>
          <w:trHeight w:val="217"/>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2,277,074</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2,030,520</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6,825,650</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6,125,624</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929,568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3,175,897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2,840,044</w:t>
            </w:r>
          </w:p>
        </w:tc>
        <w:tc>
          <w:tcPr>
            <w:tcW w:w="840" w:type="dxa"/>
            <w:vAlign w:val="bottom"/>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24"/>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Billable expenses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621,550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1,817,215</w:t>
            </w:r>
          </w:p>
        </w:tc>
        <w:tc>
          <w:tcPr>
            <w:tcW w:w="840" w:type="dxa"/>
            <w:vAlign w:val="bottom"/>
            <w:gridSpan w:val="2"/>
          </w:tcPr>
          <w:p>
            <w:pPr>
              <w:jc w:val="center"/>
              <w:ind w:left="532"/>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24"/>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262,614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826,606</w:t>
            </w:r>
          </w:p>
        </w:tc>
        <w:tc>
          <w:tcPr>
            <w:tcW w:w="840" w:type="dxa"/>
            <w:vAlign w:val="bottom"/>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7"/>
              </w:rPr>
              <w:t>17.</w:t>
            </w:r>
          </w:p>
        </w:tc>
        <w:tc>
          <w:tcPr>
            <w:tcW w:w="0" w:type="dxa"/>
            <w:vAlign w:val="bottom"/>
          </w:tcPr>
          <w:p>
            <w:pPr>
              <w:spacing w:after="0"/>
              <w:rPr>
                <w:sz w:val="1"/>
                <w:szCs w:val="1"/>
                <w:color w:val="auto"/>
              </w:rPr>
            </w:pPr>
          </w:p>
        </w:tc>
      </w:tr>
      <w:tr>
        <w:trPr>
          <w:trHeight w:val="224"/>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104,923</w:t>
            </w:r>
          </w:p>
        </w:tc>
        <w:tc>
          <w:tcPr>
            <w:tcW w:w="840" w:type="dxa"/>
            <w:vAlign w:val="bottom"/>
            <w:gridSpan w:val="2"/>
          </w:tcPr>
          <w:p>
            <w:pPr>
              <w:jc w:val="center"/>
              <w:ind w:left="532"/>
              <w:spacing w:after="0"/>
              <w:rPr>
                <w:sz w:val="20"/>
                <w:szCs w:val="20"/>
                <w:color w:val="auto"/>
              </w:rPr>
            </w:pPr>
            <w:r>
              <w:rPr>
                <w:rFonts w:ascii="Times New Roman" w:cs="Times New Roman" w:eastAsia="Times New Roman" w:hAnsi="Times New Roman"/>
                <w:sz w:val="18"/>
                <w:szCs w:val="18"/>
                <w:color w:val="auto"/>
                <w:w w:val="97"/>
              </w:rPr>
              <w:t>15.</w:t>
            </w:r>
          </w:p>
        </w:tc>
        <w:tc>
          <w:tcPr>
            <w:tcW w:w="0" w:type="dxa"/>
            <w:vAlign w:val="bottom"/>
          </w:tcPr>
          <w:p>
            <w:pPr>
              <w:spacing w:after="0"/>
              <w:rPr>
                <w:sz w:val="1"/>
                <w:szCs w:val="1"/>
                <w:color w:val="auto"/>
              </w:rPr>
            </w:pPr>
          </w:p>
        </w:tc>
      </w:tr>
      <w:tr>
        <w:trPr>
          <w:trHeight w:val="217"/>
        </w:trPr>
        <w:tc>
          <w:tcPr>
            <w:tcW w:w="3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2,218,434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1,853,308</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6,335,894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5,588,788</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17"/>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177,212</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489,756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536,836</w:t>
            </w:r>
          </w:p>
        </w:tc>
        <w:tc>
          <w:tcPr>
            <w:tcW w:w="120" w:type="dxa"/>
            <w:vAlign w:val="bottom"/>
          </w:tcPr>
          <w:p>
            <w:pPr>
              <w:spacing w:after="0"/>
              <w:rPr>
                <w:sz w:val="18"/>
                <w:szCs w:val="18"/>
                <w:color w:val="auto"/>
              </w:rPr>
            </w:pPr>
          </w:p>
        </w:tc>
        <w:tc>
          <w:tcPr>
            <w:tcW w:w="72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2"/>
              </w:rPr>
              <w:t>(8.</w:t>
            </w:r>
          </w:p>
        </w:tc>
        <w:tc>
          <w:tcPr>
            <w:tcW w:w="0" w:type="dxa"/>
            <w:vAlign w:val="bottom"/>
          </w:tcPr>
          <w:p>
            <w:pPr>
              <w:spacing w:after="0"/>
              <w:rPr>
                <w:sz w:val="1"/>
                <w:szCs w:val="1"/>
                <w:color w:val="auto"/>
              </w:rPr>
            </w:pPr>
          </w:p>
        </w:tc>
      </w:tr>
      <w:tr>
        <w:trPr>
          <w:trHeight w:val="22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(69,201)</w:t>
            </w:r>
          </w:p>
        </w:tc>
        <w:tc>
          <w:tcPr>
            <w:tcW w:w="840" w:type="dxa"/>
            <w:vAlign w:val="bottom"/>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7"/>
              </w:rPr>
              <w:t>22.</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7"/>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158,936</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442,849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479,351</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2"/>
              </w:rPr>
              <w:t>(7.</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103,569</w:t>
            </w:r>
          </w:p>
        </w:tc>
        <w:tc>
          <w:tcPr>
            <w:tcW w:w="840" w:type="dxa"/>
            <w:vAlign w:val="bottom"/>
            <w:gridSpan w:val="2"/>
          </w:tcPr>
          <w:p>
            <w:pPr>
              <w:jc w:val="center"/>
              <w:ind w:left="532"/>
              <w:spacing w:after="0"/>
              <w:rPr>
                <w:sz w:val="20"/>
                <w:szCs w:val="20"/>
                <w:color w:val="auto"/>
              </w:rPr>
            </w:pPr>
            <w:r>
              <w:rPr>
                <w:rFonts w:ascii="Times New Roman" w:cs="Times New Roman" w:eastAsia="Times New Roman" w:hAnsi="Times New Roman"/>
                <w:sz w:val="18"/>
                <w:szCs w:val="18"/>
                <w:color w:val="auto"/>
                <w:w w:val="92"/>
              </w:rPr>
              <w:t>(0.</w:t>
            </w:r>
          </w:p>
        </w:tc>
        <w:tc>
          <w:tcPr>
            <w:tcW w:w="0" w:type="dxa"/>
            <w:vAlign w:val="bottom"/>
          </w:tcPr>
          <w:p>
            <w:pPr>
              <w:spacing w:after="0"/>
              <w:rPr>
                <w:sz w:val="1"/>
                <w:szCs w:val="1"/>
                <w:color w:val="auto"/>
              </w:rPr>
            </w:pPr>
          </w:p>
        </w:tc>
      </w:tr>
      <w:tr>
        <w:trPr>
          <w:trHeight w:val="217"/>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128,846</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339,563</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375,782</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2"/>
              </w:rPr>
              <w:t>(9.</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0"/>
                <w:szCs w:val="20"/>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332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Net income attributable to common</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128,931</w:t>
            </w:r>
          </w:p>
        </w:tc>
        <w:tc>
          <w:tcPr>
            <w:tcW w:w="1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340,213</w:t>
            </w: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vMerge w:val="restart"/>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375,867</w:t>
            </w: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2"/>
              </w:rPr>
              <w:t>(9.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r>
        <w:rPr>
          <w:rFonts w:ascii="Times New Roman" w:cs="Times New Roman" w:eastAsia="Times New Roman" w:hAnsi="Times New Roman"/>
          <w:sz w:val="18"/>
          <w:szCs w:val="18"/>
          <w:i w:val="1"/>
          <w:iCs w:val="1"/>
          <w:color w:val="auto"/>
        </w:rPr>
        <w: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1" w:lineRule="exact"/>
        <w:rPr>
          <w:sz w:val="20"/>
          <w:szCs w:val="20"/>
          <w:color w:val="auto"/>
        </w:rPr>
      </w:pPr>
    </w:p>
    <w:p>
      <w:pPr>
        <w:ind w:right="180" w:firstLine="395"/>
        <w:spacing w:after="0" w:line="293" w:lineRule="auto"/>
        <w:rPr>
          <w:sz w:val="20"/>
          <w:szCs w:val="20"/>
          <w:color w:val="auto"/>
        </w:rPr>
      </w:pPr>
      <w:r>
        <w:rPr>
          <w:rFonts w:ascii="Times New Roman" w:cs="Times New Roman" w:eastAsia="Times New Roman" w:hAnsi="Times New Roman"/>
          <w:sz w:val="16"/>
          <w:szCs w:val="16"/>
          <w:color w:val="auto"/>
        </w:rPr>
        <w:t>Revenue increased 12.1% and 11.4%, respectively, for the three and nine months ended December 31, 2022 as compared to the prior year periods. The increases were primarily driven by a combination of headcount growth, salary increases, and strong demand for our solutions, as well as higher staff utilization compared to the prior year period. The increase in revenue also includes approximately $28.6 million of contributions related to the Company's acquisition of EverWatch in the third quarter of fiscal 2023. Total headcount as of December 31, 2022 increased by approximately 1,680 as compared to December 31, 2021.</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98" w:lineRule="exact"/>
        <w:rPr>
          <w:sz w:val="20"/>
          <w:szCs w:val="20"/>
          <w:color w:val="auto"/>
        </w:rPr>
      </w:pPr>
    </w:p>
    <w:p>
      <w:pPr>
        <w:ind w:right="160" w:firstLine="395"/>
        <w:spacing w:after="0" w:line="286" w:lineRule="auto"/>
        <w:rPr>
          <w:sz w:val="20"/>
          <w:szCs w:val="20"/>
          <w:color w:val="auto"/>
        </w:rPr>
      </w:pPr>
      <w:r>
        <w:rPr>
          <w:rFonts w:ascii="Times New Roman" w:cs="Times New Roman" w:eastAsia="Times New Roman" w:hAnsi="Times New Roman"/>
          <w:sz w:val="16"/>
          <w:szCs w:val="16"/>
          <w:color w:val="auto"/>
        </w:rPr>
        <w:t>Cost of revenue as a percentage of revenue was 45.8% for both the three months ended December 31, 2022 and 2021, respectively, and 46.5% and 46.4% for the nine months ended December 31, 2022, and 2021, respectively. Cost of revenue increased 12.3% and 11.8% for the three and nine months ended December 31, 2022 as compared to the prior year periods. The increases were primarily due to increases in salaries and salary-related benefits in the three and nine months ended December 31, 2022 of $99.9 million and $276.7 million, respectively, driven by increased headcount and annual base salary increases. Incentive and stock-based compensation also increased $9.7 million and $31.7 million in the three and nine months ended December 31, 2022 as compared to the prior year periods. In addition, the year to date period was impacted by an increase in other business expenses and professional fees of $20.7 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Billable Expenses</w:t>
      </w:r>
    </w:p>
    <w:p>
      <w:pPr>
        <w:spacing w:after="0" w:line="111" w:lineRule="exact"/>
        <w:rPr>
          <w:sz w:val="20"/>
          <w:szCs w:val="20"/>
          <w:color w:val="auto"/>
        </w:rPr>
      </w:pPr>
    </w:p>
    <w:p>
      <w:pPr>
        <w:ind w:right="200" w:firstLine="395"/>
        <w:spacing w:after="0" w:line="250" w:lineRule="auto"/>
        <w:rPr>
          <w:sz w:val="20"/>
          <w:szCs w:val="20"/>
          <w:color w:val="auto"/>
        </w:rPr>
      </w:pPr>
      <w:r>
        <w:rPr>
          <w:rFonts w:ascii="Times New Roman" w:cs="Times New Roman" w:eastAsia="Times New Roman" w:hAnsi="Times New Roman"/>
          <w:sz w:val="18"/>
          <w:szCs w:val="18"/>
          <w:color w:val="auto"/>
        </w:rPr>
        <w:t>Billable expenses as a percentage of revenue were 31.2% and 30.6% for the three months ended December 31, 2022 and 2021, respectively, and 30.3% and 29.7% for the nine months ended December 31, 2022 and 2021, respectively. Billable expenses increased 14.3% for the three months ended December 31, 2022 and increased 13.9% for the nine months ended December 31, 2022 as compared to the prior year periods. Increases were primarily attributable to increases in the use of subcontractors driven by client demand and timing of client needs, as well as increases in expenses from contracts that require the Company to incur other direct expenses and travel on behalf of clients as compared to the prior year period.</w:t>
      </w:r>
    </w:p>
    <w:p>
      <w:pPr>
        <w:spacing w:after="0" w:line="200" w:lineRule="exact"/>
        <w:rPr>
          <w:sz w:val="20"/>
          <w:szCs w:val="20"/>
          <w:color w:val="auto"/>
        </w:rPr>
      </w:pPr>
    </w:p>
    <w:p>
      <w:pPr>
        <w:spacing w:after="0" w:line="3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1" w:lineRule="exact"/>
        <w:rPr>
          <w:sz w:val="20"/>
          <w:szCs w:val="20"/>
          <w:color w:val="auto"/>
        </w:rPr>
      </w:pPr>
    </w:p>
    <w:p>
      <w:pPr>
        <w:ind w:right="460" w:firstLine="395"/>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expenses as a percentage of revenue were 18.5% and 12.9% for the three months ended December 31, 2022 and 2021, respectively, and 14.2% and 13.5% for the nine months ended December 31, 2022 and 2021, respectively. General and administrative expenses increased 60.8% for the three months ended December 31, 2022 and increased 17.2% for the nine months ended December 31, 2022 as compared to the prior year periods.</w:t>
      </w:r>
    </w:p>
    <w:p>
      <w:pPr>
        <w:spacing w:after="0" w:line="78"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For the three months ended December 31, 2022, the increase in general and administrative expenses was primarily driven by a $124.0 million reserve associated with the U.S. Department of Justice's investigation of the Company (see Note 15, “Commitments and Contingencies,” to the condensed consolidated financial statements for further information). In addition, increases in other business expenses and professional fees included an increase of approximately $12.7 million in acquisition and divestiture costs over the prior year period. Salary and salary related benefits also contributed $7.5 million to the increase driven by increased headcount and annual base salary increases.</w:t>
      </w:r>
    </w:p>
    <w:p>
      <w:pPr>
        <w:spacing w:after="0" w:line="80" w:lineRule="exact"/>
        <w:rPr>
          <w:sz w:val="20"/>
          <w:szCs w:val="20"/>
          <w:color w:val="auto"/>
        </w:rPr>
      </w:pPr>
    </w:p>
    <w:p>
      <w:pPr>
        <w:ind w:right="240" w:firstLine="395"/>
        <w:spacing w:after="0" w:line="252" w:lineRule="auto"/>
        <w:rPr>
          <w:sz w:val="20"/>
          <w:szCs w:val="20"/>
          <w:color w:val="auto"/>
        </w:rPr>
      </w:pPr>
      <w:r>
        <w:rPr>
          <w:rFonts w:ascii="Times New Roman" w:cs="Times New Roman" w:eastAsia="Times New Roman" w:hAnsi="Times New Roman"/>
          <w:sz w:val="18"/>
          <w:szCs w:val="18"/>
          <w:color w:val="auto"/>
        </w:rPr>
        <w:t>For the nine months ended December 31, 2022, the increase in general and administrative expenses was primarily driven by the $124.0 million reserve noted above, increases in other business expenses and professional fees of approximately $45.0 million, and increases in salary and salary related benefits of $16.5 million (driven by increased headcount and annual base salary increases). These increases were partially offset by a decrease of approximately $46.9 million in acquisition costs over the prior year period.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1" w:lineRule="exact"/>
        <w:rPr>
          <w:sz w:val="20"/>
          <w:szCs w:val="20"/>
          <w:color w:val="auto"/>
        </w:rPr>
      </w:pPr>
    </w:p>
    <w:p>
      <w:pPr>
        <w:jc w:val="both"/>
        <w:ind w:right="240" w:firstLine="395"/>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 increased 6.2% for the three months ended December 31, 2022 and increased 15.5% for the nine months ended December 31, 2022 as compared to the prior year periods, primarily due to increases in intangible amortization related to the acquisitions in fiscal 2022 and fiscal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1"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Interest expense increased 35.3% for the three months ended December 31, 2022, and increased 22.9% for the nine months ended December 31, 2022 as compared to the prior year periods, primarily due to an overall increase in rates.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1" w:lineRule="exact"/>
        <w:rPr>
          <w:sz w:val="20"/>
          <w:szCs w:val="20"/>
          <w:color w:val="auto"/>
        </w:rPr>
      </w:pPr>
    </w:p>
    <w:p>
      <w:pPr>
        <w:jc w:val="both"/>
        <w:ind w:right="200" w:firstLine="395"/>
        <w:spacing w:after="0" w:line="256" w:lineRule="auto"/>
        <w:rPr>
          <w:sz w:val="20"/>
          <w:szCs w:val="20"/>
          <w:color w:val="auto"/>
        </w:rPr>
      </w:pPr>
      <w:r>
        <w:rPr>
          <w:rFonts w:ascii="Times New Roman" w:cs="Times New Roman" w:eastAsia="Times New Roman" w:hAnsi="Times New Roman"/>
          <w:sz w:val="18"/>
          <w:szCs w:val="18"/>
          <w:color w:val="auto"/>
        </w:rPr>
        <w:t>Other income (expense), net increased to $14.6 million net other income for the three months ended December 31, 2022 from $5.4 million for the three months ended December 31, 2021, and increased to $38.1 million net other income for the nine months ended December 31, 2022 from $11.7 million for the nine months ended December 31, 2021. Increases were driven by the following:</w:t>
      </w:r>
    </w:p>
    <w:p>
      <w:pPr>
        <w:spacing w:after="0" w:line="75" w:lineRule="exact"/>
        <w:rPr>
          <w:sz w:val="20"/>
          <w:szCs w:val="20"/>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$31.2 million pre-tax gain recognized in the second quarter of fiscal 2023 associated with the divestiture of the Company's MENA business;</w:t>
      </w:r>
    </w:p>
    <w:p>
      <w:pPr>
        <w:spacing w:after="0" w:line="108" w:lineRule="exact"/>
        <w:rPr>
          <w:rFonts w:ascii="Times New Roman" w:cs="Times New Roman" w:eastAsia="Times New Roman" w:hAnsi="Times New Roman"/>
          <w:sz w:val="18"/>
          <w:szCs w:val="18"/>
          <w:color w:val="auto"/>
        </w:rPr>
      </w:pPr>
    </w:p>
    <w:p>
      <w:pPr>
        <w:ind w:left="620" w:hanging="299"/>
        <w:spacing w:after="0"/>
        <w:tabs>
          <w:tab w:leader="none" w:pos="620" w:val="left"/>
        </w:tabs>
        <w:numPr>
          <w:ilvl w:val="0"/>
          <w:numId w:val="24"/>
        </w:numPr>
        <w:rPr>
          <w:rFonts w:ascii="Calibri" w:cs="Calibri" w:eastAsia="Calibri" w:hAnsi="Calibri"/>
          <w:sz w:val="18"/>
          <w:szCs w:val="18"/>
          <w:color w:val="auto"/>
        </w:rPr>
      </w:pPr>
      <w:r>
        <w:rPr>
          <w:rFonts w:ascii="Times New Roman" w:cs="Times New Roman" w:eastAsia="Times New Roman" w:hAnsi="Times New Roman"/>
          <w:sz w:val="18"/>
          <w:szCs w:val="18"/>
          <w:color w:val="auto"/>
        </w:rPr>
        <w:t>A pre-tax gain of $8.9 million recognized in the third quarter of fiscal 2023 from the de-consolidation of a business;</w:t>
      </w:r>
    </w:p>
    <w:p>
      <w:pPr>
        <w:spacing w:after="0" w:line="109" w:lineRule="exact"/>
        <w:rPr>
          <w:rFonts w:ascii="Calibri" w:cs="Calibri" w:eastAsia="Calibri" w:hAnsi="Calibri"/>
          <w:sz w:val="18"/>
          <w:szCs w:val="18"/>
          <w:color w:val="auto"/>
        </w:rPr>
      </w:pPr>
    </w:p>
    <w:p>
      <w:pPr>
        <w:ind w:left="620" w:hanging="299"/>
        <w:spacing w:after="0"/>
        <w:tabs>
          <w:tab w:leader="none" w:pos="620" w:val="left"/>
        </w:tabs>
        <w:numPr>
          <w:ilvl w:val="0"/>
          <w:numId w:val="24"/>
        </w:numPr>
        <w:rPr>
          <w:rFonts w:ascii="Calibri" w:cs="Calibri" w:eastAsia="Calibri" w:hAnsi="Calibri"/>
          <w:sz w:val="18"/>
          <w:szCs w:val="18"/>
          <w:color w:val="auto"/>
        </w:rPr>
      </w:pPr>
      <w:r>
        <w:rPr>
          <w:rFonts w:ascii="Times New Roman" w:cs="Times New Roman" w:eastAsia="Times New Roman" w:hAnsi="Times New Roman"/>
          <w:sz w:val="18"/>
          <w:szCs w:val="18"/>
          <w:color w:val="auto"/>
        </w:rPr>
        <w:t>A $4.6 million pre-tax gain recognized in the third quarter of fiscal 2023 associated with the divestiture of the Company's MTS business;</w:t>
      </w:r>
    </w:p>
    <w:p>
      <w:pPr>
        <w:spacing w:after="0" w:line="109" w:lineRule="exact"/>
        <w:rPr>
          <w:rFonts w:ascii="Calibri" w:cs="Calibri" w:eastAsia="Calibri" w:hAnsi="Calibri"/>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in fees related to the Company's debt refinancing in the second quarter of fiscal 2023;</w:t>
      </w:r>
    </w:p>
    <w:p>
      <w:pPr>
        <w:spacing w:after="0" w:line="108" w:lineRule="exact"/>
        <w:rPr>
          <w:rFonts w:ascii="Times New Roman" w:cs="Times New Roman" w:eastAsia="Times New Roman" w:hAnsi="Times New Roman"/>
          <w:sz w:val="18"/>
          <w:szCs w:val="18"/>
          <w:color w:val="auto"/>
        </w:rPr>
      </w:pPr>
    </w:p>
    <w:p>
      <w:pPr>
        <w:ind w:left="640" w:right="140" w:hanging="319"/>
        <w:spacing w:after="0" w:line="268" w:lineRule="auto"/>
        <w:tabs>
          <w:tab w:leader="none" w:pos="6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$5.7 million gain from the Company's remeasurement of its previously held equity method investment in Tracepoint in the second quarter of fiscal 2022, not present in the current year; and</w:t>
      </w:r>
    </w:p>
    <w:p>
      <w:pPr>
        <w:spacing w:after="0" w:line="64"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gain of $7.1 million associated with the divestiture of a controlling financial interest in SnapAttack in the third quarter of fiscal 2022, not present in the current fiscal year.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3" w:lineRule="exact"/>
        <w:rPr>
          <w:sz w:val="20"/>
          <w:szCs w:val="20"/>
          <w:color w:val="auto"/>
        </w:rPr>
      </w:pPr>
    </w:p>
    <w:p>
      <w:pPr>
        <w:ind w:right="100" w:firstLine="395"/>
        <w:spacing w:after="0" w:line="235" w:lineRule="auto"/>
        <w:rPr>
          <w:sz w:val="20"/>
          <w:szCs w:val="20"/>
          <w:color w:val="auto"/>
        </w:rPr>
      </w:pPr>
      <w:r>
        <w:rPr>
          <w:rFonts w:ascii="Times New Roman" w:cs="Times New Roman" w:eastAsia="Times New Roman" w:hAnsi="Times New Roman"/>
          <w:sz w:val="18"/>
          <w:szCs w:val="18"/>
          <w:color w:val="auto"/>
        </w:rPr>
        <w:t>Income tax expense decreased 65.0% for the three months ended December 31, 2022 and decreased 0.3% for the nine months ended December 31, 2022 as compared to the prior year periods. For the three month period the decrease was primarily due to the decrease in pre-tax income partially offset by an increase in the effective tax rate due to the recognition of incremental research tax credits in the prior year. For the nine month period the decrease was primarily driven by the decrease in pre-tax income, offset by the resulting tax on the gain related to the Company's divestiture of its MENA business and the treatment of certain transaction related expenses year over year. The effective tax rate increased to 25.6% for the three months ended December 31, 2022 from 18.9% for the three months ended December 31, 2021 and increased to 23.3% for the nine months ended December 31, 2022 from 21.6% for the nine months ended December 31, 2021.</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as of December 31, 2022 and March 31, 2022 and for the first nine months of fiscal 2023 and 2022:</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460" w:type="dxa"/>
            <w:vAlign w:val="bottom"/>
          </w:tcPr>
          <w:p>
            <w:pPr>
              <w:spacing w:after="0"/>
              <w:rPr>
                <w:sz w:val="17"/>
                <w:szCs w:val="17"/>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4"/>
        </w:trPr>
        <w:tc>
          <w:tcPr>
            <w:tcW w:w="7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81"/>
        </w:trPr>
        <w:tc>
          <w:tcPr>
            <w:tcW w:w="7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6"/>
        </w:trPr>
        <w:tc>
          <w:tcPr>
            <w:tcW w:w="7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4"/>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370,939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695,910</w:t>
            </w:r>
          </w:p>
        </w:tc>
      </w:tr>
      <w:tr>
        <w:trPr>
          <w:trHeight w:val="22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2,821,711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2,800,072</w:t>
            </w:r>
          </w:p>
        </w:tc>
      </w:tr>
    </w:tbl>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7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17"/>
        </w:trPr>
        <w:tc>
          <w:tcPr>
            <w:tcW w:w="7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78"/>
        </w:trPr>
        <w:tc>
          <w:tcPr>
            <w:tcW w:w="7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86"/>
        </w:trPr>
        <w:tc>
          <w:tcPr>
            <w:tcW w:w="7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4"/>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center"/>
              <w:ind w:left="717"/>
              <w:spacing w:after="0"/>
              <w:rPr>
                <w:sz w:val="20"/>
                <w:szCs w:val="20"/>
                <w:color w:val="auto"/>
              </w:rPr>
            </w:pPr>
            <w:r>
              <w:rPr>
                <w:rFonts w:ascii="Times New Roman" w:cs="Times New Roman" w:eastAsia="Times New Roman" w:hAnsi="Times New Roman"/>
                <w:sz w:val="18"/>
                <w:szCs w:val="18"/>
                <w:color w:val="auto"/>
                <w:w w:val="99"/>
              </w:rPr>
              <w:t>365,674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481,151</w:t>
            </w:r>
          </w:p>
        </w:tc>
      </w:tr>
      <w:tr>
        <w:trPr>
          <w:trHeight w:val="22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500" w:type="dxa"/>
            <w:vAlign w:val="bottom"/>
          </w:tcPr>
          <w:p>
            <w:pPr>
              <w:jc w:val="center"/>
              <w:ind w:left="677"/>
              <w:spacing w:after="0"/>
              <w:rPr>
                <w:sz w:val="20"/>
                <w:szCs w:val="20"/>
                <w:color w:val="auto"/>
              </w:rPr>
            </w:pPr>
            <w:r>
              <w:rPr>
                <w:rFonts w:ascii="Times New Roman" w:cs="Times New Roman" w:eastAsia="Times New Roman" w:hAnsi="Times New Roman"/>
                <w:sz w:val="18"/>
                <w:szCs w:val="18"/>
                <w:color w:val="auto"/>
                <w:w w:val="99"/>
              </w:rPr>
              <w:t>(440,058)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(835,248)</w:t>
            </w:r>
          </w:p>
        </w:tc>
      </w:tr>
      <w:tr>
        <w:trPr>
          <w:trHeight w:val="224"/>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color w:val="auto"/>
                <w:w w:val="99"/>
              </w:rPr>
              <w:t>(250,587)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r>
      <w:tr>
        <w:trPr>
          <w:trHeight w:val="217"/>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 decrease in cash and cash equivalents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center"/>
              <w:ind w:left="677"/>
              <w:spacing w:after="0"/>
              <w:rPr>
                <w:sz w:val="20"/>
                <w:szCs w:val="20"/>
                <w:color w:val="auto"/>
              </w:rPr>
            </w:pPr>
            <w:r>
              <w:rPr>
                <w:rFonts w:ascii="Times New Roman" w:cs="Times New Roman" w:eastAsia="Times New Roman" w:hAnsi="Times New Roman"/>
                <w:sz w:val="18"/>
                <w:szCs w:val="18"/>
                <w:color w:val="auto"/>
                <w:w w:val="99"/>
              </w:rPr>
              <w:t>(324,971)</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(348,246)</w:t>
            </w:r>
          </w:p>
        </w:tc>
      </w:tr>
      <w:tr>
        <w:trPr>
          <w:trHeight w:val="20"/>
        </w:trPr>
        <w:tc>
          <w:tcPr>
            <w:tcW w:w="7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To date, COVID-19 has not had a significant impact on our liquidity, cash flows or capital resources. However, COVID-19 has led to disruption and volatility in the global capital markets, which, depending on future developments, could impact our capital resources and liquidity in the future.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spacing w:after="0" w:line="80" w:lineRule="exact"/>
        <w:rPr>
          <w:sz w:val="20"/>
          <w:szCs w:val="20"/>
          <w:color w:val="auto"/>
        </w:rPr>
      </w:pPr>
    </w:p>
    <w:p>
      <w:pPr>
        <w:ind w:right="40" w:firstLine="395"/>
        <w:spacing w:after="0" w:line="293" w:lineRule="auto"/>
        <w:rPr>
          <w:sz w:val="20"/>
          <w:szCs w:val="20"/>
          <w:color w:val="auto"/>
        </w:rPr>
      </w:pPr>
      <w:r>
        <w:rPr>
          <w:rFonts w:ascii="Times New Roman" w:cs="Times New Roman" w:eastAsia="Times New Roman" w:hAnsi="Times New Roman"/>
          <w:sz w:val="16"/>
          <w:szCs w:val="16"/>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49" w:lineRule="exact"/>
        <w:rPr>
          <w:sz w:val="20"/>
          <w:szCs w:val="20"/>
          <w:color w:val="auto"/>
        </w:rPr>
      </w:pPr>
    </w:p>
    <w:p>
      <w:pPr>
        <w:ind w:right="20" w:firstLine="395"/>
        <w:spacing w:after="0" w:line="282" w:lineRule="auto"/>
        <w:rPr>
          <w:sz w:val="20"/>
          <w:szCs w:val="20"/>
          <w:color w:val="auto"/>
        </w:rPr>
      </w:pPr>
      <w:r>
        <w:rPr>
          <w:rFonts w:ascii="Times New Roman" w:cs="Times New Roman" w:eastAsia="Times New Roman" w:hAnsi="Times New Roman"/>
          <w:sz w:val="16"/>
          <w:szCs w:val="16"/>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7" w:lineRule="exact"/>
        <w:rPr>
          <w:sz w:val="20"/>
          <w:szCs w:val="20"/>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including salaries;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to fund both organic and inorganic growth of our business;</w:t>
      </w:r>
    </w:p>
    <w:p>
      <w:pPr>
        <w:spacing w:after="0" w:line="56" w:lineRule="exact"/>
        <w:rPr>
          <w:rFonts w:ascii="Times New Roman" w:cs="Times New Roman" w:eastAsia="Times New Roman" w:hAnsi="Times New Roman"/>
          <w:sz w:val="18"/>
          <w:szCs w:val="18"/>
          <w:color w:val="auto"/>
        </w:rPr>
      </w:pPr>
    </w:p>
    <w:p>
      <w:pPr>
        <w:ind w:left="640" w:right="440" w:hanging="319"/>
        <w:spacing w:after="0" w:line="268"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which primarily relate to the purchase of computers, business systems, furniture and leasehold improvements to support our operations;</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maintenance around all financial management systems;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other discretionary investments;</w:t>
      </w:r>
    </w:p>
    <w:p>
      <w:pPr>
        <w:spacing w:after="0" w:line="56" w:lineRule="exact"/>
        <w:rPr>
          <w:rFonts w:ascii="Times New Roman" w:cs="Times New Roman" w:eastAsia="Times New Roman" w:hAnsi="Times New Roman"/>
          <w:sz w:val="18"/>
          <w:szCs w:val="18"/>
          <w:color w:val="auto"/>
        </w:rPr>
      </w:pPr>
    </w:p>
    <w:p>
      <w:pPr>
        <w:ind w:left="640" w:right="60" w:hanging="319"/>
        <w:spacing w:after="0" w:line="268"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for borrowings under our Secured Credit Facility and interest payments for the Senior Notes due 2029 and the Senior Notes due 2028; and</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taxes to be paid.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Our ability to fund our operating needs depends, in part, on our ability to continue to generate positive cash flows from operations or, if necessary, raise cash in the capital markets. In addition, from time to time we evaluate conditions to opportunistically access the financing markets to secure additional debt capital resources and improve the terms of our indebtedness.</w:t>
      </w:r>
    </w:p>
    <w:p>
      <w:pPr>
        <w:spacing w:after="0" w:line="61" w:lineRule="exact"/>
        <w:rPr>
          <w:sz w:val="20"/>
          <w:szCs w:val="20"/>
          <w:color w:val="auto"/>
        </w:rPr>
      </w:pPr>
    </w:p>
    <w:p>
      <w:pPr>
        <w:ind w:right="140" w:firstLine="395"/>
        <w:spacing w:after="0" w:line="237" w:lineRule="auto"/>
        <w:rPr>
          <w:sz w:val="20"/>
          <w:szCs w:val="20"/>
          <w:color w:val="auto"/>
        </w:rPr>
      </w:pPr>
      <w:r>
        <w:rPr>
          <w:rFonts w:ascii="Times New Roman" w:cs="Times New Roman" w:eastAsia="Times New Roman" w:hAnsi="Times New Roman"/>
          <w:sz w:val="18"/>
          <w:szCs w:val="18"/>
          <w:color w:val="auto"/>
        </w:rPr>
        <w:t>On October 14, 2022, the Company acquired EverWatch Corp. (“EverWatch”) for approximately $444.8 million, net of post-closing adjustments, and transaction costs incurred as part of the acquisition. As a result of the transaction, EverWatch became a wholly owned subsidiary of Booz Allen Hamilton Inc. EverWatch is a leading provider of advanced solutions to the defense and intelligence communities. See Note 5, “Acquisitions, Divestiture and Goodwill,” to our condensed consolidated financial statements for additional information related to the acquisition of EverWatch.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3"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80"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w:t>
      </w:r>
    </w:p>
    <w:p>
      <w:pPr>
        <w:spacing w:after="0" w:line="111" w:lineRule="exact"/>
        <w:rPr>
          <w:sz w:val="20"/>
          <w:szCs w:val="20"/>
          <w:color w:val="auto"/>
        </w:rPr>
      </w:pPr>
    </w:p>
    <w:p>
      <w:pPr>
        <w:jc w:val="both"/>
        <w:ind w:right="100" w:firstLine="395"/>
        <w:spacing w:after="0" w:line="250" w:lineRule="auto"/>
        <w:rPr>
          <w:sz w:val="20"/>
          <w:szCs w:val="20"/>
          <w:color w:val="auto"/>
        </w:rPr>
      </w:pPr>
      <w:r>
        <w:rPr>
          <w:rFonts w:ascii="Times New Roman" w:cs="Times New Roman" w:eastAsia="Times New Roman" w:hAnsi="Times New Roman"/>
          <w:sz w:val="18"/>
          <w:szCs w:val="18"/>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including any potential impact of the U.S.</w:t>
      </w:r>
    </w:p>
    <w:p>
      <w:pPr>
        <w:spacing w:after="0" w:line="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government’s failure to raise the debt ceiling, may also affect our business as customers and suppliers may decide to downsize, defer, or cancel contracts, which could negatively affect the operating cash flows. Net cash provided by operations was $365.7 million for the nine months ended December 31, 2022 compared to $481.2 million in the prior year period. Collections were in line with revenue growth but were offset by higher net cash taxes paid and higher interest expense which contributed to a decline in operating cash flows year over year.</w:t>
      </w:r>
    </w:p>
    <w:p>
      <w:pPr>
        <w:spacing w:after="0" w:line="84"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Beginning in fiscal 2023, the Tax Cuts and Jobs Act of 2017 eliminates the option to deduct research and development expenditures immediately in the year incurred and requires taxpayers to amortize such expenditures over five years. We currently anticipate our fiscal 2023 cash from operations will be negatively impacted by approximately $140 million as a result of this provision, but the actual impact on the current fiscal year will depend on if and when this provision is deferred, modified, or repealed by Congress, including if retroactively, any guidance issued by the Treasury Department regarding the identification of appropriate costs for capitalization, and the amount of research and development expenses paid or incurred in fiscal 2023 (among other factors). This change in deduction methodology is the primary driver of the increase in net cash taxes paid referenced in the paragraph above. This will also have an offsetting impact on deferred tax assets. While the largest impact will be to fiscal 2023 cash from operations, the impact would continue over the five year amortization period, but would decrease over the period and be immaterial in year six.</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Cash Flow</w:t>
      </w:r>
    </w:p>
    <w:p>
      <w:pPr>
        <w:spacing w:after="0" w:line="11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Net cash used in investing activities was $440.1 million in the nine months ended December 31, 2022 compared to $835.2 million in the prior year period. The increase to investing cash flows was primarily due to the Company's acquisition and divestiture activity in fiscal 2023 as compared to fiscal 2022. In fiscal 2022 the Company completed the acquisitions of Liberty and Tracepoint. In fiscal 2023 the Company completed the acquisition of EverWatch, as well as the divestitures of its MENA strategy consulting and MTS businesses.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Cash Flow</w:t>
      </w:r>
    </w:p>
    <w:p>
      <w:pPr>
        <w:spacing w:after="0" w:line="111"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Net cash used in financing activities was $250.6 million in the nine months ended December 31, 2022 compared to net cash provided by financing activities of $5.9 million in the prior year period. The increase in net cash used by financing activities was primarily due to an increase of $311.6 million in debt repayments and a decrease of $72.3 million in net proceeds associated with the Company's debt refinancing transactions year over year. In the prior year, $493.7 million was received from the issuance of the 4.000% Senior Notes due 2029, whereas $414.8 million was received in the current year from the Company's September 2022 debt refinancing. These increases in cash used in financial activities were partially offset by the decline in share repurchases of $201.0 million over the prior year period.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Share Repurchases</w:t>
      </w:r>
    </w:p>
    <w:p>
      <w:pPr>
        <w:spacing w:after="0" w:line="113"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On January 27, 2023, the Company announced a regular quarterly cash dividend in the amount of $0.47 per share. The quarterly dividend is payable on March 1, 2023 to stockholders of record on February 10, 2023.</w:t>
      </w:r>
    </w:p>
    <w:p>
      <w:pPr>
        <w:spacing w:after="0" w:line="64"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December 31, 2022, quarterly cash dividends of $0.43 and $1.29 per share, respectively, were declared and paid totaling $57.3 million and $173.2 million, respectively. During the three and nine months ended December 31, 2021, quarterly cash dividends of $0.37 and $1.11 per share, respectively, were declared and paid totaling $49.9 million and $151.7 million, respectively.</w:t>
      </w:r>
    </w:p>
    <w:p>
      <w:pPr>
        <w:spacing w:after="0" w:line="75" w:lineRule="exact"/>
        <w:rPr>
          <w:sz w:val="20"/>
          <w:szCs w:val="20"/>
          <w:color w:val="auto"/>
        </w:rPr>
      </w:pPr>
    </w:p>
    <w:p>
      <w:pPr>
        <w:ind w:right="120" w:firstLine="395"/>
        <w:spacing w:after="0" w:line="239" w:lineRule="auto"/>
        <w:rPr>
          <w:sz w:val="20"/>
          <w:szCs w:val="20"/>
          <w:color w:val="auto"/>
        </w:rPr>
      </w:pPr>
      <w:r>
        <w:rPr>
          <w:rFonts w:ascii="Times New Roman" w:cs="Times New Roman" w:eastAsia="Times New Roman" w:hAnsi="Times New Roman"/>
          <w:sz w:val="18"/>
          <w:szCs w:val="18"/>
          <w:color w:val="auto"/>
        </w:rPr>
        <w:t>On December 12, 2011, the Board of Directors approved a share repurchase program, which was most recently increased by $400.0 million to $2,560.0 million on July 27, 2022. The Company may repurchase shares pursuant to the program by means of open market repurchases, directly negotiated repurchases or through agents acting pursuant to negotiated repurchase agreements. During the first nine months of fiscal 2023, the Company purchased 1.0 million shares of the Company's Class A Common Stock for an aggregate of $86.4 million. As of December 31, 2022, the Company had approximately $965.2 million remaining under the repurchase program.</w:t>
      </w:r>
    </w:p>
    <w:p>
      <w:pPr>
        <w:spacing w:after="0" w:line="88"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13" w:lineRule="exact"/>
        <w:rPr>
          <w:sz w:val="20"/>
          <w:szCs w:val="20"/>
          <w:color w:val="auto"/>
        </w:rPr>
      </w:pPr>
    </w:p>
    <w:p>
      <w:pPr>
        <w:ind w:right="20" w:firstLine="395"/>
        <w:spacing w:after="0" w:line="266" w:lineRule="auto"/>
        <w:rPr>
          <w:sz w:val="20"/>
          <w:szCs w:val="20"/>
          <w:color w:val="auto"/>
        </w:rPr>
      </w:pPr>
      <w:r>
        <w:rPr>
          <w:rFonts w:ascii="Times New Roman" w:cs="Times New Roman" w:eastAsia="Times New Roman" w:hAnsi="Times New Roman"/>
          <w:sz w:val="16"/>
          <w:szCs w:val="16"/>
          <w:color w:val="auto"/>
        </w:rPr>
        <w:t>On September 7, 2022 (the “Ninth Amendment Effective Date”), Booz Allen Hamilton Inc. (“Booz Allen Hamilton”), Booz Allen Hamilton Investor Corporation (“Investor”), and certain wholly owned subsidiaries of Booz Allen Hamilton, entered into the Ninth Amendment (the “Ninth Amendment”) to the Credit Agreement dated as of July 31, 2012, as amended (the “Existing Credit Agreement” and, as amended, the “Credit Agreement”), with certain institutional lenders and Bank of America, N.A., as Administrative Agent, Collateral Agent, Issuing Lender, Refinancing Revolver Lender, New Refinancing Tranche A Term Lender and 2022 Supplemental Tranche A Lender. As of December 31, 2022, the Credit Agreement provided Booz Allen Hamilton with a</w:t>
      </w:r>
    </w:p>
    <w:p>
      <w:pPr>
        <w:ind w:right="100"/>
        <w:spacing w:after="0" w:line="237" w:lineRule="auto"/>
        <w:rPr>
          <w:sz w:val="20"/>
          <w:szCs w:val="20"/>
          <w:color w:val="auto"/>
        </w:rPr>
      </w:pPr>
      <w:r>
        <w:rPr>
          <w:rFonts w:ascii="Times New Roman" w:cs="Times New Roman" w:eastAsia="Times New Roman" w:hAnsi="Times New Roman"/>
          <w:sz w:val="18"/>
          <w:szCs w:val="18"/>
          <w:color w:val="auto"/>
        </w:rPr>
        <w:t>$1,639.7 million Term Loan A (“New Term Loan A”) and a $1,000.0 million revolving credit facility (the “Revolving Credit Facility”), with a sub-limit for letters of credit of $200.0 million (collectively, the “Secured Credit Facility”).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such security is expected to be released in connection with Booz Allen Hamilton obtaining investment grade ratings from both Moody's and S&amp;P.</w:t>
      </w:r>
    </w:p>
    <w:p>
      <w:pPr>
        <w:spacing w:after="0" w:line="76" w:lineRule="exact"/>
        <w:rPr>
          <w:sz w:val="20"/>
          <w:szCs w:val="20"/>
          <w:color w:val="auto"/>
        </w:rPr>
      </w:pPr>
    </w:p>
    <w:p>
      <w:pPr>
        <w:ind w:right="60" w:firstLine="395"/>
        <w:spacing w:after="0" w:line="238" w:lineRule="auto"/>
        <w:rPr>
          <w:sz w:val="20"/>
          <w:szCs w:val="20"/>
          <w:color w:val="auto"/>
        </w:rPr>
      </w:pPr>
      <w:r>
        <w:rPr>
          <w:rFonts w:ascii="Times New Roman" w:cs="Times New Roman" w:eastAsia="Times New Roman" w:hAnsi="Times New Roman"/>
          <w:sz w:val="18"/>
          <w:szCs w:val="18"/>
          <w:color w:val="auto"/>
        </w:rPr>
        <w:t>Pursuant to the Ninth Amendment, (i) $1,000.0 million of revolving commitments outstanding under the Existing Credit Agreement were refinanced by a new tranche of revolving commitments (the “New Revolving Commitments” and the revolving credit loans made thereunder, the “New Revolving Loans”) in an aggregate amount of $1,000.0 million, with a sublimit for letters of credit of $200.0 million and (ii) approximately $1,225.3 million of Term Loan A loans (the “Existing Term Loan A Loans”) and $379.3 million of Term Loan B loans (the “Existing Term Loan B Loans”) outstanding under the Existing Credit Agreement were refinanced by a new tranche of Term Loan A loans in an aggregate amount, along with additional new tranche A term loans advanced by certain lenders, totaling $1,650.0 million. The majority of the proceeds of the New Term Loan A were used to prepay in full all of the Existing Term Loan A Loans and Existing Term Loan B Loans.</w:t>
      </w:r>
    </w:p>
    <w:p>
      <w:pPr>
        <w:spacing w:after="0" w:line="76" w:lineRule="exact"/>
        <w:rPr>
          <w:sz w:val="20"/>
          <w:szCs w:val="20"/>
          <w:color w:val="auto"/>
        </w:rPr>
      </w:pPr>
    </w:p>
    <w:p>
      <w:pPr>
        <w:ind w:right="220" w:firstLine="395"/>
        <w:spacing w:after="0" w:line="332" w:lineRule="auto"/>
        <w:rPr>
          <w:sz w:val="20"/>
          <w:szCs w:val="20"/>
          <w:color w:val="auto"/>
        </w:rPr>
      </w:pPr>
      <w:r>
        <w:rPr>
          <w:rFonts w:ascii="Times New Roman" w:cs="Times New Roman" w:eastAsia="Times New Roman" w:hAnsi="Times New Roman"/>
          <w:sz w:val="16"/>
          <w:szCs w:val="16"/>
          <w:color w:val="auto"/>
        </w:rPr>
        <w:t>The Ninth Amendment extended the maturity of the New Term Loan A and the New Revolving Commitments to September 7, 2027. Voluntary prepayments of the New Term Loan A and the New Revolving Loans are permitted at any time, in minimum principal amounts, without premium or penalty.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The rate at which the New Term Loan A and the New Revolving Loans bear interest will be based either on Term SOFR (subject to a 0.10% adjustment and a floor of zero) for the applicable interest period or a base rate (equal to the highest of (i) the administrative agent’s prime corporate rate, (ii) the overnight federal funds rate plus 0.50% and (iii) three-month Term SOFR (subject to a 0.10% adjustment and a floor of zero) plus 1.00%), in each case plus an applicable margin, payable at the end of the applicable interest period and in any event at least quarterly. The applicable margin for the New Term Loan A and the New Revolving Loans ranges from 1.00% to 2.00% for Term SOFR loans and zero to1.00% for base rate loans, in each case based on the lower of (i) the applicable rate per annum determined pursuant to a consolidated total net leverage ratio grid and (ii) the applicable rate per annum determined pursuant to a ratings grid. Unused New Revolving Commitments are subject to a quarterly fee ranging from 0.10% to 0.35% based on the lower of (i) the applicable fee rate per annum determined pursuant to a consolidated total net leverage ratio grid and (ii) the applicable fee rate per annum determined pursuant to a ratings grid. Booz Allen Hamilton has also agreed to pay customary letter of credit and agency fees.</w:t>
      </w:r>
    </w:p>
    <w:p>
      <w:pPr>
        <w:spacing w:after="0" w:line="8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Credit Agreement requires quarterly principal payments as follows: (i) 0.625% of the stated principal amount of the New Term Loan A on the last business day of each full fiscal quarter that begins after the Ninth Amendment Effective Date but on or before the two year anniversary of the Ninth Amendment Effective Date, and (ii) 1.25% of the stated principal amount of the New Term Loan A on the last business day of each full fiscal quarter that begins after the two year anniversary of the Ninth Amendment Effective Date but before the five year anniversary of the Ninth Amendment Effective Date. The remaining balance of the New Term Loan A will be payable upon maturity.</w:t>
      </w:r>
    </w:p>
    <w:p>
      <w:pPr>
        <w:spacing w:after="0" w:line="80"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In connection with the Ninth Amendment, the Company accelerated the amortization of ratable portions of the Debt Issuance Costs, or DIC, and Original Issue Discount, or OID, associated with the prior senior secured loan facilities of $3.4 million. These expenses are reflected in other expense, net in the condensed consolidated statement of operations for the nine months ended December 31, 2022. Additionally, the Company expensed third party debt issuance costs of $6.9 million that did not qualify for deferral, which are reflected in general and administrative costs in the condensed consolidated statement of operations.</w:t>
      </w:r>
    </w:p>
    <w:p>
      <w:pPr>
        <w:spacing w:after="0" w:line="67" w:lineRule="exact"/>
        <w:rPr>
          <w:sz w:val="20"/>
          <w:szCs w:val="20"/>
          <w:color w:val="auto"/>
        </w:rPr>
      </w:pPr>
    </w:p>
    <w:p>
      <w:pPr>
        <w:ind w:right="20" w:firstLine="395"/>
        <w:spacing w:after="0" w:line="234" w:lineRule="auto"/>
        <w:rPr>
          <w:sz w:val="20"/>
          <w:szCs w:val="20"/>
          <w:color w:val="auto"/>
        </w:rPr>
      </w:pPr>
      <w:r>
        <w:rPr>
          <w:rFonts w:ascii="Times New Roman" w:cs="Times New Roman" w:eastAsia="Times New Roman" w:hAnsi="Times New Roman"/>
          <w:sz w:val="18"/>
          <w:szCs w:val="18"/>
          <w:color w:val="auto"/>
        </w:rPr>
        <w:t>As of December 31, 2022 and March 31, 2022, Booz Allen Hamilton was contingently liable under open standby letters of credit and bank guarantees issued by its banks in favor of third parties that totaled $6.1 million and $8.4 million, respectively. These letters of credit and bank guarantees primarily support insurance and bid and performance obligations. As of both December 31, 2022 and March 31, 2022, approximately $1.0 million of these instruments reduced our available borrowings under the Revolving Credit Facility. The remainder is guaranteed under a separate $20.0 million facility of which $14.9 million and $12.6 million, respectively, was available to Booz Allen Hamilton at December 31, 2022 and March 31, 2022. As of December 31, 2022, we had $999.0 million of capacity available for additional borrowings under the Revolving Credit Facility.</w:t>
      </w:r>
    </w:p>
    <w:p>
      <w:pPr>
        <w:spacing w:after="0" w:line="92"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 addition, Booz Allen Hamilton is required to meet a financial covenant at each quarter end based on a consolidated net total leverage ratio. As of December 31, 2022 and March 31, 2022, Booz Allen Hamilton was in compliance with all financial covenants associated with its debt and debt-like instruments. In connection with Booz Allen Hamilton obtaining investment grade ratings from both Moody's and S&amp;P, activities restricted by certain negative covenants are expected to be permitted subject to pro forma compliance with the financial covenants and no events of default having occurred and continuing.</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interest payments made on the Company’s term loans:</w:t>
      </w:r>
    </w:p>
    <w:p>
      <w:pPr>
        <w:spacing w:after="0" w:line="94" w:lineRule="exact"/>
        <w:rPr>
          <w:sz w:val="20"/>
          <w:szCs w:val="20"/>
          <w:color w:val="auto"/>
        </w:rPr>
      </w:pPr>
    </w:p>
    <w:tbl>
      <w:tblPr>
        <w:tblLayout w:type="fixed"/>
        <w:tblInd w:w="400" w:type="dxa"/>
        <w:tblCellMar>
          <w:top w:w="0" w:type="dxa"/>
          <w:left w:w="0" w:type="dxa"/>
          <w:bottom w:w="0" w:type="dxa"/>
          <w:right w:w="0" w:type="dxa"/>
        </w:tblCellMar>
      </w:tblPr>
      <w:tr>
        <w:trPr>
          <w:trHeight w:val="231"/>
        </w:trPr>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0"/>
                <w:szCs w:val="20"/>
                <w:color w:val="auto"/>
              </w:rPr>
            </w:pPr>
          </w:p>
        </w:tc>
        <w:tc>
          <w:tcPr>
            <w:tcW w:w="282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Nine Months Ended December 31,</w:t>
            </w:r>
          </w:p>
        </w:tc>
      </w:tr>
      <w:tr>
        <w:trPr>
          <w:trHeight w:val="217"/>
        </w:trPr>
        <w:tc>
          <w:tcPr>
            <w:tcW w:w="3820" w:type="dxa"/>
            <w:vAlign w:val="bottom"/>
            <w:tcBorders>
              <w:bottom w:val="single" w:sz="8" w:color="BFE4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BFE4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BFE4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BFE4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7"/>
        </w:trPr>
        <w:tc>
          <w:tcPr>
            <w:tcW w:w="38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New Term Loan A</w:t>
            </w:r>
          </w:p>
        </w:tc>
        <w:tc>
          <w:tcPr>
            <w:tcW w:w="1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24,845</w:t>
            </w: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FE4FF"/>
          </w:tcPr>
          <w:p>
            <w:pPr>
              <w:spacing w:after="0"/>
              <w:rPr>
                <w:sz w:val="18"/>
                <w:szCs w:val="18"/>
                <w:color w:val="auto"/>
              </w:rPr>
            </w:pPr>
          </w:p>
        </w:tc>
        <w:tc>
          <w:tcPr>
            <w:tcW w:w="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24,845</w:t>
            </w: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Term Loan A</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15,197</w:t>
            </w:r>
          </w:p>
        </w:tc>
      </w:tr>
      <w:tr>
        <w:trPr>
          <w:trHeight w:val="224"/>
        </w:trPr>
        <w:tc>
          <w:tcPr>
            <w:tcW w:w="38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Existing Term Loan B</w:t>
            </w:r>
          </w:p>
        </w:tc>
        <w:tc>
          <w:tcPr>
            <w:tcW w:w="140" w:type="dxa"/>
            <w:vAlign w:val="bottom"/>
            <w:shd w:val="clear" w:color="auto" w:fill="BFE4FF"/>
          </w:tcPr>
          <w:p>
            <w:pPr>
              <w:spacing w:after="0"/>
              <w:rPr>
                <w:sz w:val="19"/>
                <w:szCs w:val="19"/>
                <w:color w:val="auto"/>
              </w:rPr>
            </w:pPr>
          </w:p>
        </w:tc>
        <w:tc>
          <w:tcPr>
            <w:tcW w:w="14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2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5,401</w:t>
            </w:r>
          </w:p>
        </w:tc>
      </w:tr>
      <w:tr>
        <w:trPr>
          <w:trHeight w:val="21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20,598</w:t>
            </w:r>
          </w:p>
        </w:tc>
      </w:tr>
      <w:tr>
        <w:trPr>
          <w:trHeight w:val="20"/>
        </w:trPr>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60" w:firstLine="395"/>
        <w:spacing w:after="0" w:line="250" w:lineRule="auto"/>
        <w:rPr>
          <w:sz w:val="20"/>
          <w:szCs w:val="20"/>
          <w:color w:val="auto"/>
        </w:rPr>
      </w:pPr>
      <w:r>
        <w:rPr>
          <w:rFonts w:ascii="Times New Roman" w:cs="Times New Roman" w:eastAsia="Times New Roman" w:hAnsi="Times New Roman"/>
          <w:sz w:val="18"/>
          <w:szCs w:val="18"/>
          <w:color w:val="auto"/>
        </w:rPr>
        <w:t>Borrowings under the New Term Loan A and, if used, the Revolving Credit Facility, incur interest at a variable rate. In accordance with our risk management strategy, Booz Allen Hamilton executed a series of interest rate swaps. As of December 31, 2022, we had interest rate swaps with an aggregate notional amount of $550.0 million. These instruments hedge the variability of cash outflows for interest payments on the floating portion of our debt. The Company's objectives in using cash flow hedges are to reduce volatility due to interest rate movements and to add stability to interest expense (See Note 9, “Derivatives,” to the condensed consolidated financial statements for additional information on our cash flow hedges).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13"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For information on the terms, conditions, and restrictions of the Company's 4.000% Senior Notes due July 1, 2029 (the “Senior Notes due 2029”) and 3.875% Senior Notes due 2028 (the “Senior Notes due 2028”, and, together with the Senior Notes due 2029, the “Senior Notes”), see Note 10, “Debt,” of the Company’s consolidated financial statements included in the fiscal 2022 Form 10-K.</w:t>
      </w:r>
    </w:p>
    <w:p>
      <w:pPr>
        <w:spacing w:after="0" w:line="75"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In connection with Booz Allen Hamilton obtaining investment grade ratings from both Moody's and S&amp;P, certain negative covenants in the indentures governing the Senior Notes were suspended, and guarantees of the Senior Notes were released.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 and Resources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stockholders’ equity amounted to $1,205.7 million as of December 31, 2022, an increase of $159.0 million, compared to stockholders’ equity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$1,046.7 million as of March 31, 2022. The increase was primarily due to net income of $339.6 million, stock-based compensation expense of $51.0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issuance of common stock of $18.0 million during the nine months ended December 31, 2022, partially offset by $98.2 million in treasury stock resulting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repurchase of shares of our Class A Common Stock, and $172.7 million in quarterly dividend payments for the nine months ended December 31,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11" w:lineRule="exact"/>
        <w:rPr>
          <w:sz w:val="20"/>
          <w:szCs w:val="20"/>
          <w:color w:val="auto"/>
        </w:rPr>
      </w:pPr>
    </w:p>
    <w:p>
      <w:pPr>
        <w:ind w:right="260" w:firstLine="395"/>
        <w:spacing w:after="0" w:line="256" w:lineRule="auto"/>
        <w:rPr>
          <w:sz w:val="20"/>
          <w:szCs w:val="20"/>
          <w:color w:val="auto"/>
        </w:rPr>
      </w:pPr>
      <w:r>
        <w:rPr>
          <w:rFonts w:ascii="Times New Roman" w:cs="Times New Roman" w:eastAsia="Times New Roman" w:hAnsi="Times New Roman"/>
          <w:sz w:val="18"/>
          <w:szCs w:val="18"/>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the nine months ended December 31, 2022 and 2021 were $51.4 million and $51.6 million,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11"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We are subject to a number of reviews, investigations, claims, lawsuits, and other uncertainties related to our business. For a discussion of these items, refer to Note 15, “Commitments and Contingencies,” to our condensed consolidated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111"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33" w:lineRule="exact"/>
        <w:rPr>
          <w:sz w:val="20"/>
          <w:szCs w:val="20"/>
          <w:color w:val="auto"/>
        </w:rPr>
      </w:pPr>
    </w:p>
    <w:p>
      <w:pPr>
        <w:ind w:left="640" w:right="740" w:hanging="319"/>
        <w:spacing w:after="0" w:line="268"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11" w:lineRule="exact"/>
        <w:rPr>
          <w:rFonts w:ascii="Times New Roman" w:cs="Times New Roman" w:eastAsia="Times New Roman" w:hAnsi="Times New Roman"/>
          <w:sz w:val="18"/>
          <w:szCs w:val="18"/>
          <w:color w:val="auto"/>
        </w:rPr>
      </w:pPr>
    </w:p>
    <w:p>
      <w:pPr>
        <w:ind w:left="640" w:right="460" w:hanging="319"/>
        <w:spacing w:after="0" w:line="256"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spending, including a continuation of efforts by the U.S. government to decrease spending for management support service contracts, and mission priorities that shift expenditures away from agencies or programs that we support, or as a result of the U.S. administration transition;</w:t>
      </w:r>
    </w:p>
    <w:p>
      <w:pPr>
        <w:spacing w:after="0" w:line="21"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Congress and other U.S. government bodies to reduce U.S. government spending and address budgetary constraints and the U.S. deficit, as well as associated uncertainty around the timing, extent, nature and effect of such efforts;</w:t>
      </w:r>
    </w:p>
    <w:p>
      <w:pPr>
        <w:spacing w:after="0" w:line="11" w:lineRule="exact"/>
        <w:rPr>
          <w:rFonts w:ascii="Times New Roman" w:cs="Times New Roman" w:eastAsia="Times New Roman" w:hAnsi="Times New Roman"/>
          <w:sz w:val="18"/>
          <w:szCs w:val="18"/>
          <w:color w:val="auto"/>
        </w:rPr>
      </w:pPr>
    </w:p>
    <w:p>
      <w:pPr>
        <w:ind w:left="640" w:right="20" w:hanging="319"/>
        <w:spacing w:after="0" w:line="256"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long-term funding of our contracts due to uncertainty relating to funding of the U.S. government and a possible failure of Congressional efforts to craft a long-term agreement on the U.S. government’s ability to incur indebtedness in excess of its current limits, or changes in the pattern or timing of government funding and spending;</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shutdowns as a result of the failure by elected officials to fund the government;</w:t>
      </w:r>
    </w:p>
    <w:p>
      <w:pPr>
        <w:spacing w:after="0" w:line="56" w:lineRule="exact"/>
        <w:rPr>
          <w:rFonts w:ascii="Times New Roman" w:cs="Times New Roman" w:eastAsia="Times New Roman" w:hAnsi="Times New Roman"/>
          <w:sz w:val="18"/>
          <w:szCs w:val="18"/>
          <w:color w:val="auto"/>
        </w:rPr>
      </w:pPr>
    </w:p>
    <w:p>
      <w:pPr>
        <w:ind w:left="640" w:hanging="319"/>
        <w:spacing w:after="0" w:line="267" w:lineRule="auto"/>
        <w:tabs>
          <w:tab w:leader="none" w:pos="636"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12" w:lineRule="exact"/>
        <w:rPr>
          <w:rFonts w:ascii="Arial" w:cs="Arial" w:eastAsia="Arial" w:hAnsi="Arial"/>
          <w:sz w:val="18"/>
          <w:szCs w:val="18"/>
          <w:color w:val="auto"/>
        </w:rPr>
      </w:pPr>
    </w:p>
    <w:p>
      <w:pPr>
        <w:jc w:val="both"/>
        <w:ind w:left="640" w:right="120" w:hanging="319"/>
        <w:spacing w:after="0" w:line="256"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COVID-19 and other pandemics or widespread health epidemics, including disruptions to our workforce and the impact on government spending and demand for our solutions, as well as the impact of our Company policy requiring full COVID-19 vaccinations of all employees, except for employees who qualify for medical or religious exemptions;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640" w:right="120" w:hanging="319"/>
        <w:spacing w:after="0" w:line="268"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the competitive bidding process and delays or losses of contract awards caused by competitors' protests of major contract awards received by us;</w:t>
      </w:r>
    </w:p>
    <w:p>
      <w:pPr>
        <w:spacing w:after="0" w:line="11"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purchasing patterns under U.S. government General Services Administration Multiple Award schedule contracts, or GSA schedules, blanket purchase agreements and indefinite delivery/indefinite quantity, or IDIQ, contracts;</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GSA schedules or our position as prime contractor on government-wide acquisition contract vehicles, or GWACs;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our contracts and our ability to accurately estimate or otherwise recover expenses, time, and resources for our contracts;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used in recognizing revenue;</w:t>
      </w:r>
    </w:p>
    <w:p>
      <w:pPr>
        <w:spacing w:after="0" w:line="56" w:lineRule="exact"/>
        <w:rPr>
          <w:rFonts w:ascii="Times New Roman" w:cs="Times New Roman" w:eastAsia="Times New Roman" w:hAnsi="Times New Roman"/>
          <w:sz w:val="18"/>
          <w:szCs w:val="18"/>
          <w:color w:val="auto"/>
        </w:rPr>
      </w:pPr>
    </w:p>
    <w:p>
      <w:pPr>
        <w:ind w:left="640" w:right="460" w:hanging="319"/>
        <w:spacing w:after="0" w:line="268"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full value of and replenish our backlog, generate revenue under certain of our contracts, and the timing of our receipt of revenue under contracts included in backlog;</w:t>
      </w:r>
    </w:p>
    <w:p>
      <w:pPr>
        <w:spacing w:after="0" w:line="11" w:lineRule="exact"/>
        <w:rPr>
          <w:rFonts w:ascii="Times New Roman" w:cs="Times New Roman" w:eastAsia="Times New Roman" w:hAnsi="Times New Roman"/>
          <w:sz w:val="18"/>
          <w:szCs w:val="18"/>
          <w:color w:val="auto"/>
        </w:rPr>
      </w:pPr>
    </w:p>
    <w:p>
      <w:pPr>
        <w:ind w:left="640" w:right="260" w:hanging="319"/>
        <w:spacing w:after="0" w:line="268"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system or service failures and security breaches, including, but not limited to, those resulting from external or internal cyber attacks on our network and internal systems;</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operation of financial management systems;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train, or retain employees with the requisite skills and experience;</w:t>
      </w:r>
    </w:p>
    <w:p>
      <w:pPr>
        <w:spacing w:after="0" w:line="56" w:lineRule="exact"/>
        <w:rPr>
          <w:rFonts w:ascii="Times New Roman" w:cs="Times New Roman" w:eastAsia="Times New Roman" w:hAnsi="Times New Roman"/>
          <w:sz w:val="18"/>
          <w:szCs w:val="18"/>
          <w:color w:val="auto"/>
        </w:rPr>
      </w:pPr>
    </w:p>
    <w:p>
      <w:pPr>
        <w:ind w:left="640" w:right="180" w:hanging="319"/>
        <w:spacing w:after="0" w:line="268"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timely hire, assimilate and effectively utilize our employees, ensure that employees obtain and maintain necessary security clearances and/or effectively manage our cost structure;</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inflation that could impact the cost of doing business and/or reduce customer buying power;</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members of senior management or failure to develop new leaders;</w:t>
      </w:r>
    </w:p>
    <w:p>
      <w:pPr>
        <w:spacing w:after="0" w:line="56" w:lineRule="exact"/>
        <w:rPr>
          <w:rFonts w:ascii="Times New Roman" w:cs="Times New Roman" w:eastAsia="Times New Roman" w:hAnsi="Times New Roman"/>
          <w:sz w:val="18"/>
          <w:szCs w:val="18"/>
          <w:color w:val="auto"/>
        </w:rPr>
      </w:pPr>
    </w:p>
    <w:p>
      <w:pPr>
        <w:ind w:left="640" w:right="540" w:hanging="319"/>
        <w:spacing w:after="0" w:line="268"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misconduct or other improper activities from our employees or subcontractors, including the improper use or release of our clients' sensitive or classified information;</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companies in our industry;</w:t>
      </w:r>
    </w:p>
    <w:p>
      <w:pPr>
        <w:spacing w:after="0" w:line="5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strong relationships with other contractors, or the failure of contractors with which we have entered into a sub- or prime- contractor relationship to meet their obligations to us or our clients;</w:t>
      </w:r>
    </w:p>
    <w:p>
      <w:pPr>
        <w:spacing w:after="0" w:line="11" w:lineRule="exact"/>
        <w:rPr>
          <w:rFonts w:ascii="Times New Roman" w:cs="Times New Roman" w:eastAsia="Times New Roman" w:hAnsi="Times New Roman"/>
          <w:sz w:val="18"/>
          <w:szCs w:val="18"/>
          <w:color w:val="auto"/>
        </w:rPr>
      </w:pPr>
    </w:p>
    <w:p>
      <w:pPr>
        <w:jc w:val="both"/>
        <w:ind w:left="640" w:right="100" w:hanging="319"/>
        <w:spacing w:after="0" w:line="256"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special U.S. government laws and regulations relating to our international operations;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increased competition, new relationships, clients, capabilities, and service offerings in our U.S. and international businesses;</w:t>
      </w:r>
    </w:p>
    <w:p>
      <w:pPr>
        <w:spacing w:after="0" w:line="56" w:lineRule="exact"/>
        <w:rPr>
          <w:rFonts w:ascii="Times New Roman" w:cs="Times New Roman" w:eastAsia="Times New Roman" w:hAnsi="Times New Roman"/>
          <w:sz w:val="18"/>
          <w:szCs w:val="18"/>
          <w:color w:val="auto"/>
        </w:rPr>
      </w:pPr>
    </w:p>
    <w:p>
      <w:pPr>
        <w:ind w:left="640" w:right="240" w:hanging="319"/>
        <w:spacing w:after="0" w:line="268"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to our operating structure, capabilities, or strategy intended to address client needs, grow our business or respond to market developments;</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adoption by the U.S. government of new laws, rules, and regulations, such as those relating to organizational conflicts of interest issues or limits;</w:t>
      </w:r>
    </w:p>
    <w:p>
      <w:pPr>
        <w:spacing w:after="0" w:line="79" w:lineRule="exact"/>
        <w:rPr>
          <w:rFonts w:ascii="Times New Roman" w:cs="Times New Roman" w:eastAsia="Times New Roman" w:hAnsi="Times New Roman"/>
          <w:sz w:val="16"/>
          <w:szCs w:val="16"/>
          <w:color w:val="auto"/>
        </w:rPr>
      </w:pPr>
    </w:p>
    <w:p>
      <w:pPr>
        <w:ind w:left="640" w:right="240" w:hanging="319"/>
        <w:spacing w:after="0" w:line="256"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pending, completed and future acquisitions and dispositions, including the ability to satisfy specified closing conditions for pending transactions, such as those related to receipt of regulatory approval or lack of regulatory intervention, and to realize the expected benefits from completed acquisitions and dispositions;</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tax liabilities, including as a result of changes in tax laws or management judgments involving complex tax matters;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in the government contracting environment;</w:t>
      </w:r>
    </w:p>
    <w:p>
      <w:pPr>
        <w:spacing w:after="0" w:line="56" w:lineRule="exact"/>
        <w:rPr>
          <w:rFonts w:ascii="Times New Roman" w:cs="Times New Roman" w:eastAsia="Times New Roman" w:hAnsi="Times New Roman"/>
          <w:sz w:val="18"/>
          <w:szCs w:val="18"/>
          <w:color w:val="auto"/>
        </w:rPr>
      </w:pPr>
    </w:p>
    <w:p>
      <w:pPr>
        <w:ind w:left="640" w:right="240" w:hanging="319"/>
        <w:spacing w:after="0" w:line="256"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efforts to change how the U.S. government reimburses compensation related costs and other expenses or otherwise limits such reimbursements and an increased risk of compensation being deemed unreasonable and unallowable or payments being withheld as a result of U.S. government audit, review, or investigation;</w:t>
      </w:r>
    </w:p>
    <w:p>
      <w:pPr>
        <w:spacing w:after="0" w:line="21" w:lineRule="exact"/>
        <w:rPr>
          <w:rFonts w:ascii="Times New Roman" w:cs="Times New Roman" w:eastAsia="Times New Roman" w:hAnsi="Times New Roman"/>
          <w:sz w:val="18"/>
          <w:szCs w:val="18"/>
          <w:color w:val="auto"/>
        </w:rPr>
      </w:pPr>
    </w:p>
    <w:p>
      <w:pPr>
        <w:ind w:left="640" w:right="40" w:hanging="319"/>
        <w:spacing w:after="0" w:line="268"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addressable markets and the amount of U.S. government spending on private contractors;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 and credit facilities which contain financial and operating covenants;</w:t>
      </w:r>
    </w:p>
    <w:p>
      <w:pPr>
        <w:spacing w:after="0" w:line="56" w:lineRule="exact"/>
        <w:rPr>
          <w:rFonts w:ascii="Times New Roman" w:cs="Times New Roman" w:eastAsia="Times New Roman" w:hAnsi="Times New Roman"/>
          <w:sz w:val="18"/>
          <w:szCs w:val="18"/>
          <w:color w:val="auto"/>
        </w:rPr>
      </w:pPr>
    </w:p>
    <w:p>
      <w:pPr>
        <w:ind w:left="640" w:right="300" w:hanging="319"/>
        <w:spacing w:after="0" w:line="268"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accounting rules and regulations, or interpretations thereof, that may affect the way we recognize and report our financial results, including changes in accounting rules governing recognition of revenue;</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640" w:hanging="319"/>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ESG-related risks and climate change generally on our and our clients' businesses and operations; and</w:t>
      </w:r>
    </w:p>
    <w:p>
      <w:pPr>
        <w:spacing w:after="0" w:line="56" w:lineRule="exact"/>
        <w:rPr>
          <w:rFonts w:ascii="Times New Roman" w:cs="Times New Roman" w:eastAsia="Times New Roman" w:hAnsi="Times New Roman"/>
          <w:sz w:val="18"/>
          <w:szCs w:val="18"/>
          <w:color w:val="auto"/>
        </w:rPr>
      </w:pPr>
    </w:p>
    <w:p>
      <w:pPr>
        <w:ind w:left="640" w:right="20" w:hanging="319"/>
        <w:spacing w:after="0" w:line="267" w:lineRule="auto"/>
        <w:tabs>
          <w:tab w:leader="none" w:pos="636"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other risks and factors listed under “Item 1A. Risk Factors” and elsewhere in this Quarterly Report, as well as those listed under “Risk Factors” in our Annual Report on Form 10-K for the year ended March 31, 2022.</w:t>
      </w:r>
    </w:p>
    <w:p>
      <w:pPr>
        <w:spacing w:after="0" w:line="65"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7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1"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2022 filed with the Securities and Exchange Commission on May 20, 2022.</w:t>
      </w:r>
    </w:p>
    <w:p>
      <w:pPr>
        <w:spacing w:after="0" w:line="18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1" w:lineRule="exact"/>
        <w:rPr>
          <w:sz w:val="20"/>
          <w:szCs w:val="20"/>
          <w:color w:val="auto"/>
        </w:rPr>
      </w:pPr>
    </w:p>
    <w:p>
      <w:pPr>
        <w:jc w:val="both"/>
        <w:ind w:right="400" w:firstLine="395"/>
        <w:spacing w:after="0" w:line="25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6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11"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December 31, 2022 and March 31, 2022, there were no material amounts accrued in the condensed consolidated financial statements related to these proceedings.</w:t>
      </w:r>
    </w:p>
    <w:p>
      <w:pPr>
        <w:spacing w:after="0" w:line="86" w:lineRule="exact"/>
        <w:rPr>
          <w:sz w:val="20"/>
          <w:szCs w:val="20"/>
          <w:color w:val="auto"/>
        </w:rPr>
      </w:pPr>
    </w:p>
    <w:p>
      <w:pPr>
        <w:ind w:firstLine="395"/>
        <w:spacing w:after="0" w:line="281" w:lineRule="auto"/>
        <w:rPr>
          <w:sz w:val="20"/>
          <w:szCs w:val="20"/>
          <w:color w:val="auto"/>
        </w:rPr>
      </w:pPr>
      <w:r>
        <w:rPr>
          <w:rFonts w:ascii="Times New Roman" w:cs="Times New Roman" w:eastAsia="Times New Roman" w:hAnsi="Times New Roman"/>
          <w:sz w:val="16"/>
          <w:szCs w:val="16"/>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On May 12, 2021, the Company was informed that the DOJ has closed its criminal investigation. In accordance with the Company's practice, the Company continues to cooperate with all relevant government</w:t>
      </w:r>
    </w:p>
    <w:p>
      <w:pPr>
        <w:ind w:right="20"/>
        <w:spacing w:after="0" w:line="283" w:lineRule="auto"/>
        <w:rPr>
          <w:sz w:val="20"/>
          <w:szCs w:val="20"/>
          <w:color w:val="auto"/>
        </w:rPr>
      </w:pPr>
      <w:r>
        <w:rPr>
          <w:rFonts w:ascii="Times New Roman" w:cs="Times New Roman" w:eastAsia="Times New Roman" w:hAnsi="Times New Roman"/>
          <w:sz w:val="16"/>
          <w:szCs w:val="16"/>
          <w:color w:val="auto"/>
        </w:rPr>
        <w:t>parties and believes that it has meritorious defenses to the concerns raised by the DOJ. In order to explore whether a negotiated resolution is possible, the Company has entered into settlement discussions with the DOJ. In connection with these settlement discussions, the Company recorded a $124.0 million reserve in the third quarter of fiscal 2023 as a component of general and administrative expenses in our condensed consolidated statements of operations, which we believe represents the low end of our range of probable loss. There can be no assurance that any settlement will be achieved and, if a settlement is achieved, what the total dollar amount will be of any such settlement. Accordingly, at this time the Company is not able to reasonably estimate the possible range of cost or any loss in excess of the reserve associated with these matters. Changes in the reserve may be required in future periods as discussions with the DOJ</w:t>
      </w:r>
    </w:p>
    <w:p>
      <w:pPr>
        <w:spacing w:after="0" w:line="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continue and additional information becomes available. The total cost associated with these matters will depend on many factors, including the duration of these matters and any related findings. Any settlement that is achieved or any adverse outcome in any litigation that is brought could have a material adverse impact on our financial condition and results of operations.</w:t>
      </w:r>
    </w:p>
    <w:p>
      <w:pPr>
        <w:spacing w:after="0" w:line="75" w:lineRule="exact"/>
        <w:rPr>
          <w:sz w:val="20"/>
          <w:szCs w:val="20"/>
          <w:color w:val="auto"/>
        </w:rPr>
      </w:pPr>
    </w:p>
    <w:p>
      <w:pPr>
        <w:ind w:right="60" w:firstLine="434"/>
        <w:spacing w:after="0" w:line="281" w:lineRule="auto"/>
        <w:rPr>
          <w:sz w:val="20"/>
          <w:szCs w:val="20"/>
          <w:color w:val="auto"/>
        </w:rPr>
      </w:pPr>
      <w:r>
        <w:rPr>
          <w:rFonts w:ascii="Times New Roman" w:cs="Times New Roman" w:eastAsia="Times New Roman" w:hAnsi="Times New Roman"/>
          <w:sz w:val="16"/>
          <w:szCs w:val="16"/>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434"/>
        <w:spacing w:after="0" w:line="247" w:lineRule="auto"/>
        <w:rPr>
          <w:sz w:val="20"/>
          <w:szCs w:val="20"/>
          <w:color w:val="auto"/>
        </w:rPr>
      </w:pPr>
      <w:r>
        <w:rPr>
          <w:rFonts w:ascii="Times New Roman" w:cs="Times New Roman" w:eastAsia="Times New Roman" w:hAnsi="Times New Roman"/>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 stay remain in effect and ordered the parties to submit periodic status reports. On May 27, 2020, November 23, 2020, May 24, 2021, November 22, 2021, and May 23, 2022, the parties submitted status reports stating that plaintiff believes the stay should remain in effect and defendants do not object to the stay remaining in effect. At this stage of the lawsuit, the Company is not able to reasonably estimate the expected amount or range of cost or any loss associated with the lawsuit.</w:t>
      </w:r>
    </w:p>
    <w:p>
      <w:pPr>
        <w:spacing w:after="0" w:line="8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1"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There have been no material changes during the period covered by this Quarterly Report on Form 10-Q to the risk factors disclosed in Part I, Item 1A, of our Annual Report on Form 10-K for the fiscal year ended March 31, 2022 filed with the Securities and Exchange Commission on May 20, 2022.</w:t>
      </w:r>
    </w:p>
    <w:p>
      <w:pPr>
        <w:spacing w:after="0" w:line="6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share repurchase activity during the three months ended December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w w:val="97"/>
              </w:rPr>
              <w:t>Approximate Dollar Value</w:t>
            </w: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100" w:type="dxa"/>
            <w:vAlign w:val="bottom"/>
          </w:tcPr>
          <w:p>
            <w:pPr>
              <w:spacing w:after="0"/>
              <w:rPr>
                <w:sz w:val="13"/>
                <w:szCs w:val="13"/>
                <w:color w:val="auto"/>
              </w:rPr>
            </w:pPr>
          </w:p>
        </w:tc>
        <w:tc>
          <w:tcPr>
            <w:tcW w:w="1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 Price Paid per</w:t>
            </w:r>
          </w:p>
        </w:tc>
        <w:tc>
          <w:tcPr>
            <w:tcW w:w="18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194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w w:val="97"/>
              </w:rPr>
              <w:t>of Shares that May Yet Be</w:t>
            </w:r>
          </w:p>
        </w:tc>
        <w:tc>
          <w:tcPr>
            <w:tcW w:w="0" w:type="dxa"/>
            <w:vAlign w:val="bottom"/>
          </w:tcPr>
          <w:p>
            <w:pPr>
              <w:spacing w:after="0"/>
              <w:rPr>
                <w:sz w:val="1"/>
                <w:szCs w:val="1"/>
                <w:color w:val="auto"/>
              </w:rPr>
            </w:pPr>
          </w:p>
        </w:tc>
      </w:tr>
      <w:tr>
        <w:trPr>
          <w:trHeight w:val="158"/>
        </w:trPr>
        <w:tc>
          <w:tcPr>
            <w:tcW w:w="372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8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Publicly Announced Plans</w:t>
            </w:r>
          </w:p>
        </w:tc>
        <w:tc>
          <w:tcPr>
            <w:tcW w:w="260" w:type="dxa"/>
            <w:vAlign w:val="bottom"/>
          </w:tcPr>
          <w:p>
            <w:pPr>
              <w:spacing w:after="0"/>
              <w:rPr>
                <w:sz w:val="13"/>
                <w:szCs w:val="13"/>
                <w:color w:val="auto"/>
              </w:rPr>
            </w:pPr>
          </w:p>
        </w:tc>
        <w:tc>
          <w:tcPr>
            <w:tcW w:w="1680" w:type="dxa"/>
            <w:vAlign w:val="bottom"/>
          </w:tcPr>
          <w:p>
            <w:pPr>
              <w:jc w:val="right"/>
              <w:ind w:right="116"/>
              <w:spacing w:after="0" w:line="158"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0"/>
        </w:trPr>
        <w:tc>
          <w:tcPr>
            <w:tcW w:w="3720" w:type="dxa"/>
            <w:vAlign w:val="bottom"/>
            <w:gridSpan w:val="2"/>
            <w:vMerge w:val="continue"/>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Purchased</w:t>
            </w:r>
          </w:p>
        </w:tc>
        <w:tc>
          <w:tcPr>
            <w:tcW w:w="1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Share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or Programs</w:t>
            </w:r>
          </w:p>
        </w:tc>
        <w:tc>
          <w:tcPr>
            <w:tcW w:w="260" w:type="dxa"/>
            <w:vAlign w:val="bottom"/>
          </w:tcPr>
          <w:p>
            <w:pPr>
              <w:spacing w:after="0"/>
              <w:rPr>
                <w:sz w:val="18"/>
                <w:szCs w:val="18"/>
                <w:color w:val="auto"/>
              </w:rPr>
            </w:pPr>
          </w:p>
        </w:tc>
        <w:tc>
          <w:tcPr>
            <w:tcW w:w="168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9"/>
              </w:rPr>
              <w:t>Plans or Programs (1)</w:t>
            </w:r>
          </w:p>
        </w:tc>
        <w:tc>
          <w:tcPr>
            <w:tcW w:w="0" w:type="dxa"/>
            <w:vAlign w:val="bottom"/>
          </w:tcPr>
          <w:p>
            <w:pPr>
              <w:spacing w:after="0"/>
              <w:rPr>
                <w:sz w:val="1"/>
                <w:szCs w:val="1"/>
                <w:color w:val="auto"/>
              </w:rPr>
            </w:pPr>
          </w:p>
        </w:tc>
      </w:tr>
      <w:tr>
        <w:trPr>
          <w:trHeight w:val="218"/>
        </w:trPr>
        <w:tc>
          <w:tcPr>
            <w:tcW w:w="362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October 2022</w:t>
            </w:r>
          </w:p>
        </w:tc>
        <w:tc>
          <w:tcPr>
            <w:tcW w:w="100" w:type="dxa"/>
            <w:vAlign w:val="bottom"/>
            <w:tcBorders>
              <w:top w:val="single" w:sz="8" w:color="BFE4FF"/>
            </w:tcBorders>
            <w:shd w:val="clear" w:color="auto" w:fill="BFE4FF"/>
          </w:tcPr>
          <w:p>
            <w:pPr>
              <w:spacing w:after="0"/>
              <w:rPr>
                <w:sz w:val="18"/>
                <w:szCs w:val="18"/>
                <w:color w:val="auto"/>
              </w:rPr>
            </w:pPr>
          </w:p>
        </w:tc>
        <w:tc>
          <w:tcPr>
            <w:tcW w:w="176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5"/>
              </w:rPr>
              <w:t>103,836</w:t>
            </w:r>
          </w:p>
        </w:tc>
        <w:tc>
          <w:tcPr>
            <w:tcW w:w="100" w:type="dxa"/>
            <w:vAlign w:val="bottom"/>
            <w:tcBorders>
              <w:top w:val="single" w:sz="8" w:color="BFE4FF"/>
            </w:tcBorders>
            <w:shd w:val="clear" w:color="auto" w:fill="BFE4FF"/>
          </w:tcPr>
          <w:p>
            <w:pPr>
              <w:spacing w:after="0"/>
              <w:rPr>
                <w:sz w:val="18"/>
                <w:szCs w:val="18"/>
                <w:color w:val="auto"/>
              </w:rPr>
            </w:pPr>
          </w:p>
        </w:tc>
        <w:tc>
          <w:tcPr>
            <w:tcW w:w="176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6"/>
              </w:rPr>
              <w:t>$96.30</w:t>
            </w:r>
          </w:p>
        </w:tc>
        <w:tc>
          <w:tcPr>
            <w:tcW w:w="120" w:type="dxa"/>
            <w:vAlign w:val="bottom"/>
            <w:tcBorders>
              <w:top w:val="single" w:sz="8" w:color="BFE4FF"/>
            </w:tcBorders>
            <w:shd w:val="clear" w:color="auto" w:fill="BFE4FF"/>
          </w:tcPr>
          <w:p>
            <w:pPr>
              <w:spacing w:after="0"/>
              <w:rPr>
                <w:sz w:val="18"/>
                <w:szCs w:val="18"/>
                <w:color w:val="auto"/>
              </w:rPr>
            </w:pPr>
          </w:p>
        </w:tc>
        <w:tc>
          <w:tcPr>
            <w:tcW w:w="180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5"/>
              </w:rPr>
              <w:t>103,836</w:t>
            </w:r>
          </w:p>
        </w:tc>
        <w:tc>
          <w:tcPr>
            <w:tcW w:w="260" w:type="dxa"/>
            <w:vAlign w:val="bottom"/>
            <w:tcBorders>
              <w:top w:val="single" w:sz="8" w:color="BFE4FF"/>
            </w:tcBorders>
            <w:shd w:val="clear" w:color="auto" w:fill="BFE4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965,188,172</w:t>
            </w:r>
          </w:p>
        </w:tc>
        <w:tc>
          <w:tcPr>
            <w:tcW w:w="0" w:type="dxa"/>
            <w:vAlign w:val="bottom"/>
          </w:tcPr>
          <w:p>
            <w:pPr>
              <w:spacing w:after="0"/>
              <w:rPr>
                <w:sz w:val="1"/>
                <w:szCs w:val="1"/>
                <w:color w:val="auto"/>
              </w:rPr>
            </w:pPr>
          </w:p>
        </w:tc>
      </w:tr>
      <w:tr>
        <w:trPr>
          <w:trHeight w:val="224"/>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2022</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965,188,172</w:t>
            </w:r>
          </w:p>
        </w:tc>
        <w:tc>
          <w:tcPr>
            <w:tcW w:w="0" w:type="dxa"/>
            <w:vAlign w:val="bottom"/>
          </w:tcPr>
          <w:p>
            <w:pPr>
              <w:spacing w:after="0"/>
              <w:rPr>
                <w:sz w:val="1"/>
                <w:szCs w:val="1"/>
                <w:color w:val="auto"/>
              </w:rPr>
            </w:pPr>
          </w:p>
        </w:tc>
      </w:tr>
      <w:tr>
        <w:trPr>
          <w:trHeight w:val="224"/>
        </w:trPr>
        <w:tc>
          <w:tcPr>
            <w:tcW w:w="372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December 2022</w:t>
            </w:r>
          </w:p>
        </w:tc>
        <w:tc>
          <w:tcPr>
            <w:tcW w:w="17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BFE4FF"/>
          </w:tcPr>
          <w:p>
            <w:pPr>
              <w:spacing w:after="0"/>
              <w:rPr>
                <w:sz w:val="19"/>
                <w:szCs w:val="19"/>
                <w:color w:val="auto"/>
              </w:rPr>
            </w:pPr>
          </w:p>
        </w:tc>
        <w:tc>
          <w:tcPr>
            <w:tcW w:w="1880" w:type="dxa"/>
            <w:vAlign w:val="bottom"/>
            <w:gridSpan w:val="2"/>
            <w:shd w:val="clear" w:color="auto" w:fill="BFE4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8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965,188,172</w:t>
            </w:r>
          </w:p>
        </w:tc>
        <w:tc>
          <w:tcPr>
            <w:tcW w:w="0" w:type="dxa"/>
            <w:vAlign w:val="bottom"/>
          </w:tcPr>
          <w:p>
            <w:pPr>
              <w:spacing w:after="0"/>
              <w:rPr>
                <w:sz w:val="1"/>
                <w:szCs w:val="1"/>
                <w:color w:val="auto"/>
              </w:rPr>
            </w:pPr>
          </w:p>
        </w:tc>
      </w:tr>
      <w:tr>
        <w:trPr>
          <w:trHeight w:val="217"/>
        </w:trPr>
        <w:tc>
          <w:tcPr>
            <w:tcW w:w="3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103,836</w:t>
            </w: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103,836</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640" w:hanging="47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2011, the Board of Directors approved a share repurchase program, which was most recently increased by $400.0 million to</w:t>
      </w:r>
    </w:p>
    <w:p>
      <w:pPr>
        <w:spacing w:after="0" w:line="21" w:lineRule="exact"/>
        <w:rPr>
          <w:rFonts w:ascii="Times New Roman" w:cs="Times New Roman" w:eastAsia="Times New Roman" w:hAnsi="Times New Roman"/>
          <w:sz w:val="18"/>
          <w:szCs w:val="18"/>
          <w:color w:val="auto"/>
        </w:rPr>
      </w:pPr>
    </w:p>
    <w:p>
      <w:pPr>
        <w:ind w:left="640" w:right="20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$2,560.0 million on July 27, 2022.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The above table does not factor in any increases to the share repurchase program subsequent to December 31, 2022.</w:t>
      </w:r>
    </w:p>
    <w:p>
      <w:pPr>
        <w:spacing w:after="0" w:line="8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0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0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Exhibit</w:t>
            </w:r>
          </w:p>
        </w:tc>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37"/>
        </w:trPr>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Number</w:t>
            </w:r>
          </w:p>
        </w:tc>
        <w:tc>
          <w:tcPr>
            <w:tcW w:w="20" w:type="dxa"/>
            <w:vAlign w:val="bottom"/>
          </w:tcPr>
          <w:p>
            <w:pPr>
              <w:spacing w:after="0"/>
              <w:rPr>
                <w:sz w:val="20"/>
                <w:szCs w:val="20"/>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3"/>
        </w:trPr>
        <w:tc>
          <w:tcPr>
            <w:tcW w:w="8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80" w:type="dxa"/>
            <w:vAlign w:val="bottom"/>
            <w:tcBorders>
              <w:top w:val="single" w:sz="8" w:color="auto"/>
            </w:tcBorders>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7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r>
      <w:tr>
        <w:trPr>
          <w:trHeight w:val="204"/>
        </w:trPr>
        <w:tc>
          <w:tcPr>
            <w:tcW w:w="840" w:type="dxa"/>
            <w:vAlign w:val="bottom"/>
            <w:tcBorders>
              <w:bottom w:val="single" w:sz="8" w:color="CCEEFF"/>
            </w:tcBorders>
            <w:shd w:val="clear" w:color="auto" w:fill="CCEEFF"/>
          </w:tcPr>
          <w:p>
            <w:pPr>
              <w:jc w:val="right"/>
              <w:ind w:right="432"/>
              <w:spacing w:after="0" w:line="184" w:lineRule="exact"/>
              <w:rPr>
                <w:sz w:val="20"/>
                <w:szCs w:val="20"/>
                <w:color w:val="auto"/>
              </w:rPr>
            </w:pPr>
            <w:r>
              <w:rPr>
                <w:rFonts w:ascii="Times New Roman" w:cs="Times New Roman" w:eastAsia="Times New Roman" w:hAnsi="Times New Roman"/>
                <w:sz w:val="18"/>
                <w:szCs w:val="18"/>
                <w:color w:val="auto"/>
                <w:w w:val="95"/>
              </w:rPr>
              <w:t>31.1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980" w:type="dxa"/>
            <w:vAlign w:val="bottom"/>
            <w:tcBorders>
              <w:bottom w:val="single" w:sz="8" w:color="0000FF"/>
            </w:tcBorders>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FF"/>
                <w:w w:val="96"/>
              </w:rPr>
              <w:t>Rule 13a-14(a)/15d-14(a) Certification of the Chief Executive Officer*</w:t>
            </w:r>
          </w:p>
        </w:tc>
        <w:tc>
          <w:tcPr>
            <w:tcW w:w="5280" w:type="dxa"/>
            <w:vAlign w:val="bottom"/>
            <w:tcBorders>
              <w:bottom w:val="single" w:sz="8" w:color="CCEEFF"/>
            </w:tcBorders>
            <w:gridSpan w:val="3"/>
            <w:shd w:val="clear" w:color="auto" w:fill="CCEEFF"/>
          </w:tcPr>
          <w:p>
            <w:pPr>
              <w:spacing w:after="0"/>
              <w:rPr>
                <w:sz w:val="17"/>
                <w:szCs w:val="17"/>
                <w:color w:val="auto"/>
              </w:rPr>
            </w:pPr>
          </w:p>
        </w:tc>
      </w:tr>
      <w:tr>
        <w:trPr>
          <w:trHeight w:val="184"/>
        </w:trPr>
        <w:tc>
          <w:tcPr>
            <w:tcW w:w="840" w:type="dxa"/>
            <w:vAlign w:val="bottom"/>
          </w:tcPr>
          <w:p>
            <w:pPr>
              <w:jc w:val="right"/>
              <w:ind w:right="432"/>
              <w:spacing w:after="0" w:line="184" w:lineRule="exact"/>
              <w:rPr>
                <w:sz w:val="20"/>
                <w:szCs w:val="20"/>
                <w:color w:val="auto"/>
              </w:rPr>
            </w:pPr>
            <w:r>
              <w:rPr>
                <w:rFonts w:ascii="Times New Roman" w:cs="Times New Roman" w:eastAsia="Times New Roman" w:hAnsi="Times New Roman"/>
                <w:sz w:val="18"/>
                <w:szCs w:val="18"/>
                <w:color w:val="auto"/>
                <w:w w:val="95"/>
              </w:rPr>
              <w:t>31.2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6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0000FF"/>
              </w:rPr>
              <w:t>Rule 13a-14(a)/15d-14(a) Certification of the Chief Financial Officer*</w:t>
            </w:r>
          </w:p>
        </w:tc>
      </w:tr>
      <w:tr>
        <w:trPr>
          <w:trHeight w:val="30"/>
        </w:trPr>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80" w:type="dxa"/>
            <w:vAlign w:val="bottom"/>
            <w:shd w:val="clear" w:color="auto" w:fill="0000FF"/>
          </w:tcPr>
          <w:p>
            <w:pPr>
              <w:spacing w:after="0"/>
              <w:rPr>
                <w:sz w:val="2"/>
                <w:szCs w:val="2"/>
                <w:color w:val="auto"/>
              </w:rPr>
            </w:pPr>
          </w:p>
        </w:tc>
        <w:tc>
          <w:tcPr>
            <w:tcW w:w="224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94"/>
        </w:trPr>
        <w:tc>
          <w:tcPr>
            <w:tcW w:w="840" w:type="dxa"/>
            <w:vAlign w:val="bottom"/>
            <w:shd w:val="clear" w:color="auto" w:fill="CCEEFF"/>
          </w:tcPr>
          <w:p>
            <w:pPr>
              <w:jc w:val="right"/>
              <w:ind w:right="432"/>
              <w:spacing w:after="0" w:line="194" w:lineRule="exact"/>
              <w:rPr>
                <w:sz w:val="20"/>
                <w:szCs w:val="20"/>
                <w:color w:val="auto"/>
              </w:rPr>
            </w:pPr>
            <w:r>
              <w:rPr>
                <w:rFonts w:ascii="Times New Roman" w:cs="Times New Roman" w:eastAsia="Times New Roman" w:hAnsi="Times New Roman"/>
                <w:sz w:val="18"/>
                <w:szCs w:val="18"/>
                <w:color w:val="auto"/>
                <w:w w:val="95"/>
              </w:rPr>
              <w:t>32.1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60" w:type="dxa"/>
            <w:vAlign w:val="bottom"/>
            <w:gridSpan w:val="6"/>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Certification of the Chief Executive Officer required by Rule 13a-14(b) or Rule 15d-14(b) and Section 1350 of Chapter 63 of Title 18 of the</w:t>
            </w:r>
          </w:p>
        </w:tc>
      </w:tr>
      <w:tr>
        <w:trPr>
          <w:trHeight w:val="184"/>
        </w:trPr>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680" w:type="dxa"/>
            <w:vAlign w:val="bottom"/>
            <w:tcBorders>
              <w:top w:val="single" w:sz="8" w:color="0000FF"/>
              <w:bottom w:val="single" w:sz="8" w:color="0000FF"/>
            </w:tcBorders>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FF"/>
              </w:rPr>
              <w:t>United States Code (18 U.S.C. 1350)*</w:t>
            </w:r>
          </w:p>
        </w:tc>
        <w:tc>
          <w:tcPr>
            <w:tcW w:w="714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4"/>
        </w:trPr>
        <w:tc>
          <w:tcPr>
            <w:tcW w:w="840" w:type="dxa"/>
            <w:vAlign w:val="bottom"/>
          </w:tcPr>
          <w:p>
            <w:pPr>
              <w:jc w:val="right"/>
              <w:ind w:right="432"/>
              <w:spacing w:after="0" w:line="184" w:lineRule="exact"/>
              <w:rPr>
                <w:sz w:val="20"/>
                <w:szCs w:val="20"/>
                <w:color w:val="auto"/>
              </w:rPr>
            </w:pPr>
            <w:r>
              <w:rPr>
                <w:rFonts w:ascii="Times New Roman" w:cs="Times New Roman" w:eastAsia="Times New Roman" w:hAnsi="Times New Roman"/>
                <w:sz w:val="18"/>
                <w:szCs w:val="18"/>
                <w:color w:val="auto"/>
                <w:w w:val="95"/>
              </w:rPr>
              <w:t>32.2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6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0000FF"/>
              </w:rPr>
              <w:t>Certification of the Chief Financial Officer required by Rule 13a-14(b) or Rule 15d-14(b) and Section 1350 of Chapter 63 of Title 18 of the</w:t>
            </w:r>
          </w:p>
        </w:tc>
      </w:tr>
      <w:tr>
        <w:trPr>
          <w:trHeight w:val="151"/>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8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6"/>
                <w:szCs w:val="16"/>
                <w:color w:val="0000FF"/>
              </w:rPr>
              <w:t>United States Code (18 U.S.C. 1350)*</w:t>
            </w:r>
          </w:p>
        </w:tc>
        <w:tc>
          <w:tcPr>
            <w:tcW w:w="7080" w:type="dxa"/>
            <w:vAlign w:val="bottom"/>
            <w:tcBorders>
              <w:top w:val="single" w:sz="8" w:color="0000FF"/>
            </w:tcBorders>
            <w:gridSpan w:val="3"/>
          </w:tcPr>
          <w:p>
            <w:pPr>
              <w:spacing w:after="0"/>
              <w:rPr>
                <w:sz w:val="13"/>
                <w:szCs w:val="13"/>
                <w:color w:val="auto"/>
              </w:rPr>
            </w:pPr>
          </w:p>
        </w:tc>
        <w:tc>
          <w:tcPr>
            <w:tcW w:w="500" w:type="dxa"/>
            <w:vAlign w:val="bottom"/>
            <w:gridSpan w:val="2"/>
          </w:tcPr>
          <w:p>
            <w:pPr>
              <w:spacing w:after="0"/>
              <w:rPr>
                <w:sz w:val="13"/>
                <w:szCs w:val="13"/>
                <w:color w:val="auto"/>
              </w:rPr>
            </w:pPr>
          </w:p>
        </w:tc>
      </w:tr>
    </w:tbl>
    <w:p>
      <w:pPr>
        <w:spacing w:after="0" w:line="34" w:lineRule="exact"/>
        <w:rPr>
          <w:sz w:val="20"/>
          <w:szCs w:val="20"/>
          <w:color w:val="auto"/>
        </w:rPr>
      </w:pPr>
    </w:p>
    <w:p>
      <w:pPr>
        <w:ind w:left="980" w:right="160" w:hanging="957"/>
        <w:spacing w:after="0" w:line="214"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Booz Allen Hamilton Holding Corporation’s Quarterly Report on Form 10-Q for the three and nine months ended December 31, 2022 formatted in Inline XBRL (eXtensible Business Reporting Language): (i) Condensed Consolidated Balance Sheets at December 31, 2022 and March 31, 2022; (ii) Condensed Consolidated Statements of Operations for the three and nine months ended December 31, 2022 and 2021; (iii) Condensed Consolidated Statements of Comprehensive Income for the three and nine months ended December 31, 2022 and 2021; (iv) Condensed Consolidated Statements of Cash Flows for the nine months ended December 31, 2022 and 2021; and (v)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-699135</wp:posOffset>
            </wp:positionV>
            <wp:extent cx="7135495" cy="7016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5495" cy="701675"/>
                    </a:xfrm>
                    <a:prstGeom prst="rect">
                      <a:avLst/>
                    </a:prstGeom>
                    <a:noFill/>
                  </pic:spPr>
                </pic:pic>
              </a:graphicData>
            </a:graphic>
          </wp:anchor>
        </w:drawing>
      </w:r>
    </w:p>
    <w:p>
      <w:pPr>
        <w:ind w:left="980" w:hanging="957"/>
        <w:spacing w:after="0"/>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9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w:t>
      </w:r>
    </w:p>
    <w:p>
      <w:pPr>
        <w:spacing w:after="0" w:line="10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4"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8"/>
          <w:szCs w:val="18"/>
          <w:u w:val="single" w:color="auto"/>
          <w:color w:val="auto"/>
        </w:rPr>
        <w:t>Booz Allen Hamilton Holding Corporation</w:t>
      </w:r>
    </w:p>
    <w:p>
      <w:pPr>
        <w:spacing w:after="0" w:line="21"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4800" w:val="left"/>
          <w:tab w:leader="none" w:pos="5260" w:val="left"/>
        </w:tabs>
        <w:rPr>
          <w:sz w:val="20"/>
          <w:szCs w:val="20"/>
          <w:color w:val="auto"/>
        </w:rPr>
      </w:pPr>
      <w:r>
        <w:rPr>
          <w:rFonts w:ascii="Times New Roman" w:cs="Times New Roman" w:eastAsia="Times New Roman" w:hAnsi="Times New Roman"/>
          <w:sz w:val="18"/>
          <w:szCs w:val="18"/>
          <w:color w:val="auto"/>
        </w:rPr>
        <w:t>Date: January 27,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13970</wp:posOffset>
            </wp:positionV>
            <wp:extent cx="37852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85235" cy="825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8"/>
          <w:szCs w:val="18"/>
          <w:color w:val="auto"/>
        </w:rPr>
        <w:t>Matthew A. Calderone</w:t>
      </w:r>
    </w:p>
    <w:p>
      <w:pPr>
        <w:ind w:left="5280"/>
        <w:spacing w:after="0" w:line="213"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480"/>
          </w:cols>
          <w:pgMar w:left="320" w:top="121" w:right="10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RULE 13A-14(A) OF THE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Horacio D. Rozanski, certify that:</w:t>
      </w:r>
    </w:p>
    <w:p>
      <w:pPr>
        <w:spacing w:after="0" w:line="161" w:lineRule="exact"/>
        <w:rPr>
          <w:sz w:val="20"/>
          <w:szCs w:val="20"/>
          <w:color w:val="auto"/>
        </w:rPr>
      </w:pPr>
    </w:p>
    <w:p>
      <w:pPr>
        <w:ind w:left="180" w:hanging="175"/>
        <w:spacing w:after="0"/>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Booz Allen Hamilton Holding Corporation.</w:t>
      </w:r>
    </w:p>
    <w:p>
      <w:pPr>
        <w:spacing w:after="0" w:line="161" w:lineRule="exact"/>
        <w:rPr>
          <w:rFonts w:ascii="Times New Roman" w:cs="Times New Roman" w:eastAsia="Times New Roman" w:hAnsi="Times New Roman"/>
          <w:sz w:val="18"/>
          <w:szCs w:val="18"/>
          <w:color w:val="auto"/>
        </w:rPr>
      </w:pPr>
    </w:p>
    <w:p>
      <w:pPr>
        <w:ind w:right="80" w:firstLine="5"/>
        <w:spacing w:after="0" w:line="268" w:lineRule="auto"/>
        <w:tabs>
          <w:tab w:leader="none" w:pos="1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Times New Roman" w:cs="Times New Roman" w:eastAsia="Times New Roman" w:hAnsi="Times New Roman"/>
          <w:sz w:val="18"/>
          <w:szCs w:val="18"/>
          <w:color w:val="auto"/>
        </w:rPr>
      </w:pPr>
    </w:p>
    <w:p>
      <w:pPr>
        <w:ind w:right="160" w:firstLine="5"/>
        <w:spacing w:after="0" w:line="268" w:lineRule="auto"/>
        <w:tabs>
          <w:tab w:leader="none" w:pos="1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ind w:right="20" w:firstLine="5"/>
        <w:spacing w:after="0" w:line="256" w:lineRule="auto"/>
        <w:tabs>
          <w:tab w:leader="none" w:pos="1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220" w:firstLine="5"/>
        <w:spacing w:after="0" w:line="256" w:lineRule="auto"/>
        <w:tabs>
          <w:tab w:leader="none" w:pos="23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Times New Roman" w:cs="Times New Roman" w:eastAsia="Times New Roman" w:hAnsi="Times New Roman"/>
          <w:sz w:val="18"/>
          <w:szCs w:val="18"/>
          <w:color w:val="auto"/>
        </w:rPr>
      </w:pPr>
    </w:p>
    <w:p>
      <w:pPr>
        <w:ind w:right="20" w:firstLine="5"/>
        <w:spacing w:after="0" w:line="256" w:lineRule="auto"/>
        <w:tabs>
          <w:tab w:leader="none" w:pos="2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Times New Roman" w:cs="Times New Roman" w:eastAsia="Times New Roman" w:hAnsi="Times New Roman"/>
          <w:sz w:val="18"/>
          <w:szCs w:val="18"/>
          <w:color w:val="auto"/>
        </w:rPr>
      </w:pPr>
    </w:p>
    <w:p>
      <w:pPr>
        <w:ind w:right="160" w:firstLine="5"/>
        <w:spacing w:after="0" w:line="268" w:lineRule="auto"/>
        <w:tabs>
          <w:tab w:leader="none" w:pos="23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Times New Roman" w:cs="Times New Roman" w:eastAsia="Times New Roman" w:hAnsi="Times New Roman"/>
          <w:sz w:val="18"/>
          <w:szCs w:val="18"/>
          <w:color w:val="auto"/>
        </w:rPr>
      </w:pPr>
    </w:p>
    <w:p>
      <w:pPr>
        <w:ind w:right="100" w:firstLine="5"/>
        <w:spacing w:after="0" w:line="256" w:lineRule="auto"/>
        <w:tabs>
          <w:tab w:leader="none" w:pos="2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760" w:firstLine="5"/>
        <w:spacing w:after="0" w:line="268" w:lineRule="auto"/>
        <w:tabs>
          <w:tab w:leader="none" w:pos="1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17" w:lineRule="exact"/>
        <w:rPr>
          <w:sz w:val="20"/>
          <w:szCs w:val="20"/>
          <w:color w:val="auto"/>
        </w:rPr>
      </w:pPr>
    </w:p>
    <w:p>
      <w:pPr>
        <w:ind w:right="320" w:firstLine="5"/>
        <w:spacing w:after="0" w:line="268" w:lineRule="auto"/>
        <w:tabs>
          <w:tab w:leader="none" w:pos="23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Times New Roman" w:cs="Times New Roman" w:eastAsia="Times New Roman" w:hAnsi="Times New Roman"/>
          <w:sz w:val="18"/>
          <w:szCs w:val="18"/>
          <w:color w:val="auto"/>
        </w:rPr>
      </w:pPr>
    </w:p>
    <w:p>
      <w:pPr>
        <w:ind w:right="560" w:firstLine="5"/>
        <w:spacing w:after="0" w:line="268" w:lineRule="auto"/>
        <w:tabs>
          <w:tab w:leader="none" w:pos="2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p>
      <w:pPr>
        <w:ind w:left="20"/>
        <w:spacing w:after="0"/>
        <w:tabs>
          <w:tab w:leader="none" w:pos="6960" w:val="left"/>
          <w:tab w:leader="none" w:pos="7420" w:val="left"/>
        </w:tabs>
        <w:rPr>
          <w:sz w:val="20"/>
          <w:szCs w:val="20"/>
          <w:color w:val="auto"/>
        </w:rPr>
      </w:pPr>
      <w:r>
        <w:rPr>
          <w:rFonts w:ascii="Times New Roman" w:cs="Times New Roman" w:eastAsia="Times New Roman" w:hAnsi="Times New Roman"/>
          <w:sz w:val="18"/>
          <w:szCs w:val="18"/>
          <w:color w:val="auto"/>
        </w:rPr>
        <w:t>Date: January 27,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4716145</wp:posOffset>
            </wp:positionH>
            <wp:positionV relativeFrom="paragraph">
              <wp:posOffset>13970</wp:posOffset>
            </wp:positionV>
            <wp:extent cx="24066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06650" cy="8255"/>
                    </a:xfrm>
                    <a:prstGeom prst="rect">
                      <a:avLst/>
                    </a:prstGeom>
                    <a:noFill/>
                  </pic:spPr>
                </pic:pic>
              </a:graphicData>
            </a:graphic>
          </wp:anchor>
        </w:drawing>
      </w:r>
    </w:p>
    <w:p>
      <w:pPr>
        <w:ind w:left="7440"/>
        <w:spacing w:after="0"/>
        <w:rPr>
          <w:sz w:val="20"/>
          <w:szCs w:val="20"/>
          <w:color w:val="auto"/>
        </w:rPr>
      </w:pPr>
      <w:r>
        <w:rPr>
          <w:rFonts w:ascii="Times New Roman" w:cs="Times New Roman" w:eastAsia="Times New Roman" w:hAnsi="Times New Roman"/>
          <w:sz w:val="18"/>
          <w:szCs w:val="18"/>
          <w:color w:val="auto"/>
        </w:rPr>
        <w:t>Horacio D. Rozanski</w:t>
      </w:r>
    </w:p>
    <w:p>
      <w:pPr>
        <w:ind w:left="7440"/>
        <w:spacing w:after="0" w:line="213"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69"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RULE 13A-14(A) OF THE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A. Calderone, certify that:</w:t>
      </w:r>
    </w:p>
    <w:p>
      <w:pPr>
        <w:spacing w:after="0" w:line="161" w:lineRule="exact"/>
        <w:rPr>
          <w:sz w:val="20"/>
          <w:szCs w:val="20"/>
          <w:color w:val="auto"/>
        </w:rPr>
      </w:pPr>
    </w:p>
    <w:p>
      <w:pPr>
        <w:ind w:left="180" w:hanging="175"/>
        <w:spacing w:after="0"/>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Booz Allen Hamilton Holding Corporation.</w:t>
      </w:r>
    </w:p>
    <w:p>
      <w:pPr>
        <w:spacing w:after="0" w:line="161" w:lineRule="exact"/>
        <w:rPr>
          <w:rFonts w:ascii="Times New Roman" w:cs="Times New Roman" w:eastAsia="Times New Roman" w:hAnsi="Times New Roman"/>
          <w:sz w:val="18"/>
          <w:szCs w:val="18"/>
          <w:color w:val="auto"/>
        </w:rPr>
      </w:pPr>
    </w:p>
    <w:p>
      <w:pPr>
        <w:ind w:right="80" w:firstLine="5"/>
        <w:spacing w:after="0" w:line="268" w:lineRule="auto"/>
        <w:tabs>
          <w:tab w:leader="none" w:pos="1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Times New Roman" w:cs="Times New Roman" w:eastAsia="Times New Roman" w:hAnsi="Times New Roman"/>
          <w:sz w:val="18"/>
          <w:szCs w:val="18"/>
          <w:color w:val="auto"/>
        </w:rPr>
      </w:pPr>
    </w:p>
    <w:p>
      <w:pPr>
        <w:ind w:right="160" w:firstLine="5"/>
        <w:spacing w:after="0" w:line="268" w:lineRule="auto"/>
        <w:tabs>
          <w:tab w:leader="none" w:pos="1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ind w:right="20" w:firstLine="5"/>
        <w:spacing w:after="0" w:line="256" w:lineRule="auto"/>
        <w:tabs>
          <w:tab w:leader="none" w:pos="1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220" w:firstLine="5"/>
        <w:spacing w:after="0" w:line="256" w:lineRule="auto"/>
        <w:tabs>
          <w:tab w:leader="none" w:pos="23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Times New Roman" w:cs="Times New Roman" w:eastAsia="Times New Roman" w:hAnsi="Times New Roman"/>
          <w:sz w:val="18"/>
          <w:szCs w:val="18"/>
          <w:color w:val="auto"/>
        </w:rPr>
      </w:pPr>
    </w:p>
    <w:p>
      <w:pPr>
        <w:ind w:right="20" w:firstLine="5"/>
        <w:spacing w:after="0" w:line="256" w:lineRule="auto"/>
        <w:tabs>
          <w:tab w:leader="none" w:pos="2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Times New Roman" w:cs="Times New Roman" w:eastAsia="Times New Roman" w:hAnsi="Times New Roman"/>
          <w:sz w:val="18"/>
          <w:szCs w:val="18"/>
          <w:color w:val="auto"/>
        </w:rPr>
      </w:pPr>
    </w:p>
    <w:p>
      <w:pPr>
        <w:ind w:right="160" w:firstLine="5"/>
        <w:spacing w:after="0" w:line="268" w:lineRule="auto"/>
        <w:tabs>
          <w:tab w:leader="none" w:pos="23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Times New Roman" w:cs="Times New Roman" w:eastAsia="Times New Roman" w:hAnsi="Times New Roman"/>
          <w:sz w:val="18"/>
          <w:szCs w:val="18"/>
          <w:color w:val="auto"/>
        </w:rPr>
      </w:pPr>
    </w:p>
    <w:p>
      <w:pPr>
        <w:ind w:right="100" w:firstLine="5"/>
        <w:spacing w:after="0" w:line="256" w:lineRule="auto"/>
        <w:tabs>
          <w:tab w:leader="none" w:pos="2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760" w:firstLine="5"/>
        <w:spacing w:after="0" w:line="268" w:lineRule="auto"/>
        <w:tabs>
          <w:tab w:leader="none" w:pos="1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17" w:lineRule="exact"/>
        <w:rPr>
          <w:sz w:val="20"/>
          <w:szCs w:val="20"/>
          <w:color w:val="auto"/>
        </w:rPr>
      </w:pPr>
    </w:p>
    <w:p>
      <w:pPr>
        <w:ind w:right="320" w:firstLine="5"/>
        <w:spacing w:after="0" w:line="268" w:lineRule="auto"/>
        <w:tabs>
          <w:tab w:leader="none" w:pos="23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Times New Roman" w:cs="Times New Roman" w:eastAsia="Times New Roman" w:hAnsi="Times New Roman"/>
          <w:sz w:val="18"/>
          <w:szCs w:val="18"/>
          <w:color w:val="auto"/>
        </w:rPr>
      </w:pPr>
    </w:p>
    <w:p>
      <w:pPr>
        <w:ind w:right="560" w:firstLine="5"/>
        <w:spacing w:after="0" w:line="268" w:lineRule="auto"/>
        <w:tabs>
          <w:tab w:leader="none" w:pos="2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p>
      <w:pPr>
        <w:ind w:left="20"/>
        <w:spacing w:after="0"/>
        <w:tabs>
          <w:tab w:leader="none" w:pos="5600" w:val="left"/>
          <w:tab w:leader="none" w:pos="6060" w:val="left"/>
        </w:tabs>
        <w:rPr>
          <w:sz w:val="20"/>
          <w:szCs w:val="20"/>
          <w:color w:val="auto"/>
        </w:rPr>
      </w:pPr>
      <w:r>
        <w:rPr>
          <w:rFonts w:ascii="Times New Roman" w:cs="Times New Roman" w:eastAsia="Times New Roman" w:hAnsi="Times New Roman"/>
          <w:sz w:val="18"/>
          <w:szCs w:val="18"/>
          <w:color w:val="auto"/>
        </w:rPr>
        <w:t>Date: January 27,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13970</wp:posOffset>
            </wp:positionV>
            <wp:extent cx="32670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67075"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Matthew A. Calderone</w:t>
      </w:r>
    </w:p>
    <w:p>
      <w:pPr>
        <w:ind w:left="6080"/>
        <w:spacing w:after="0" w:line="213" w:lineRule="auto"/>
        <w:rPr>
          <w:sz w:val="20"/>
          <w:szCs w:val="20"/>
          <w:color w:val="auto"/>
        </w:rPr>
      </w:pPr>
      <w:r>
        <w:rPr>
          <w:rFonts w:ascii="Times New Roman" w:cs="Times New Roman" w:eastAsia="Times New Roman" w:hAnsi="Times New Roman"/>
          <w:sz w:val="18"/>
          <w:szCs w:val="18"/>
          <w:color w:val="auto"/>
        </w:rPr>
        <w:t>Executive Vice President and Chief Financial Officer (Principal</w:t>
      </w:r>
    </w:p>
    <w:p>
      <w:pPr>
        <w:spacing w:after="0" w:line="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1240"/>
          </w:cols>
          <w:pgMar w:left="320" w:top="869"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connection with the report on Form 10-Q of Booz Allen Hamilton Holding Corporation (the “Company”) for the fiscal quarter ended December 31, 2022,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1" w:lineRule="exact"/>
        <w:rPr>
          <w:sz w:val="20"/>
          <w:szCs w:val="20"/>
          <w:color w:val="auto"/>
        </w:rPr>
      </w:pPr>
    </w:p>
    <w:p>
      <w:pPr>
        <w:ind w:left="260" w:hanging="255"/>
        <w:spacing w:after="0"/>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61"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19" w:lineRule="exact"/>
        <w:rPr>
          <w:sz w:val="20"/>
          <w:szCs w:val="20"/>
          <w:color w:val="auto"/>
        </w:rPr>
      </w:pPr>
    </w:p>
    <w:p>
      <w:pPr>
        <w:ind w:left="20"/>
        <w:spacing w:after="0"/>
        <w:tabs>
          <w:tab w:leader="none" w:pos="6400" w:val="left"/>
        </w:tabs>
        <w:rPr>
          <w:sz w:val="20"/>
          <w:szCs w:val="20"/>
          <w:color w:val="auto"/>
        </w:rPr>
      </w:pPr>
      <w:r>
        <w:rPr>
          <w:rFonts w:ascii="Times New Roman" w:cs="Times New Roman" w:eastAsia="Times New Roman" w:hAnsi="Times New Roman"/>
          <w:sz w:val="18"/>
          <w:szCs w:val="18"/>
          <w:color w:val="auto"/>
        </w:rPr>
        <w:t>Date: January 27, 2023</w:t>
      </w:r>
      <w:r>
        <w:rPr>
          <w:sz w:val="20"/>
          <w:szCs w:val="20"/>
          <w:color w:val="auto"/>
        </w:rPr>
        <w:tab/>
      </w:r>
      <w:r>
        <w:rPr>
          <w:rFonts w:ascii="Times New Roman" w:cs="Times New Roman" w:eastAsia="Times New Roman" w:hAnsi="Times New Roman"/>
          <w:sz w:val="16"/>
          <w:szCs w:val="16"/>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13970</wp:posOffset>
            </wp:positionV>
            <wp:extent cx="28746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74645" cy="8255"/>
                    </a:xfrm>
                    <a:prstGeom prst="rect">
                      <a:avLst/>
                    </a:prstGeom>
                    <a:noFill/>
                  </pic:spPr>
                </pic:pic>
              </a:graphicData>
            </a:graphic>
          </wp:anchor>
        </w:drawing>
      </w:r>
    </w:p>
    <w:p>
      <w:pPr>
        <w:ind w:left="6700"/>
        <w:spacing w:after="0"/>
        <w:rPr>
          <w:sz w:val="20"/>
          <w:szCs w:val="20"/>
          <w:color w:val="auto"/>
        </w:rPr>
      </w:pPr>
      <w:r>
        <w:rPr>
          <w:rFonts w:ascii="Times New Roman" w:cs="Times New Roman" w:eastAsia="Times New Roman" w:hAnsi="Times New Roman"/>
          <w:sz w:val="18"/>
          <w:szCs w:val="18"/>
          <w:color w:val="auto"/>
        </w:rPr>
        <w:t>Horacio D. Rozanski</w:t>
      </w:r>
    </w:p>
    <w:p>
      <w:pPr>
        <w:ind w:left="6700"/>
        <w:spacing w:after="0" w:line="213"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40"/>
          </w:cols>
          <w:pgMar w:left="320" w:top="869"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connection with the report on Form 10-Q of Booz Allen Hamilton Holding Corporation (the “Company”) for the fiscal quarter ended December 31, 2022, as filed with the Securities and Exchange Commission on the date hereof (the “Report”), the undersigned Executive Vice President and Chief Financial Officer certifies, to the best of his knowledge and belief pursuant to 18 U.S.C. Section 1350, as adopted pursuant to Section 906 of the Sarbanes-Oxley Act of 2002, that:</w:t>
      </w:r>
    </w:p>
    <w:p>
      <w:pPr>
        <w:spacing w:after="0" w:line="131" w:lineRule="exact"/>
        <w:rPr>
          <w:sz w:val="20"/>
          <w:szCs w:val="20"/>
          <w:color w:val="auto"/>
        </w:rPr>
      </w:pPr>
    </w:p>
    <w:p>
      <w:pPr>
        <w:ind w:left="260" w:hanging="255"/>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61"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19"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8"/>
          <w:szCs w:val="18"/>
          <w:color w:val="auto"/>
        </w:rPr>
        <w:t>Date: January 27, 2023</w:t>
      </w:r>
      <w:r>
        <w:rPr>
          <w:sz w:val="20"/>
          <w:szCs w:val="20"/>
          <w:color w:val="auto"/>
        </w:rPr>
        <w:tab/>
      </w:r>
      <w:r>
        <w:rPr>
          <w:rFonts w:ascii="Times New Roman" w:cs="Times New Roman" w:eastAsia="Times New Roman" w:hAnsi="Times New Roman"/>
          <w:sz w:val="16"/>
          <w:szCs w:val="16"/>
          <w:color w:val="auto"/>
        </w:rPr>
        <w:t>By: /s/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3721735</wp:posOffset>
            </wp:positionH>
            <wp:positionV relativeFrom="paragraph">
              <wp:posOffset>13970</wp:posOffset>
            </wp:positionV>
            <wp:extent cx="33921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92170" cy="8255"/>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8"/>
          <w:szCs w:val="18"/>
          <w:color w:val="auto"/>
        </w:rPr>
        <w:t>Matthew A. Calderone</w:t>
      </w:r>
    </w:p>
    <w:p>
      <w:pPr>
        <w:ind w:left="5880"/>
        <w:spacing w:after="0" w:line="213" w:lineRule="auto"/>
        <w:rPr>
          <w:sz w:val="20"/>
          <w:szCs w:val="20"/>
          <w:color w:val="auto"/>
        </w:rPr>
      </w:pPr>
      <w:r>
        <w:rPr>
          <w:rFonts w:ascii="Times New Roman" w:cs="Times New Roman" w:eastAsia="Times New Roman" w:hAnsi="Times New Roman"/>
          <w:sz w:val="18"/>
          <w:szCs w:val="18"/>
          <w:color w:val="auto"/>
        </w:rPr>
        <w:t>Executive Vice President and Chief Financial Officer (Principal Financial</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Officer)</w:t>
      </w:r>
    </w:p>
    <w:p>
      <w:pPr>
        <w:spacing w:after="0" w:line="1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2"/>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lvl w:ilvl="1">
      <w:lvlJc w:val="left"/>
      <w:lvlText w:val="(%2)"/>
      <w:numFmt w:val="decimal"/>
      <w:start w:val="1"/>
    </w:lvl>
  </w:abstractNum>
  <w:abstractNum w:abstractNumId="6">
    <w:nsid w:val="75A2A8D4"/>
    <w:multiLevelType w:val="hybridMultilevel"/>
    <w:lvl w:ilvl="0">
      <w:lvlJc w:val="left"/>
      <w:lvlText w:val="%1."/>
      <w:numFmt w:val="decimal"/>
      <w:start w:val="5"/>
    </w:lvl>
    <w:lvl w:ilvl="1">
      <w:lvlJc w:val="left"/>
      <w:lvlText w:val="%2"/>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2"/>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2"/>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lowerRoman"/>
      <w:start w:val="2"/>
    </w:lvl>
    <w:lvl w:ilvl="1">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01"/>
    </w:lvl>
  </w:abstractNum>
  <w:abstractNum w:abstractNumId="30">
    <w:nsid w:val="5072367"/>
    <w:multiLevelType w:val="hybridMultilevel"/>
    <w:lvl w:ilvl="0">
      <w:lvlJc w:val="left"/>
      <w:lvlText w:val="*"/>
      <w:numFmt w:val="bullet"/>
      <w:start w:val="1"/>
    </w:lvl>
    <w:lvl w:ilvl="1">
      <w:lvlJc w:val="left"/>
      <w:lvlText w:val="%2"/>
      <w:numFmt w:val="decimal"/>
      <w:start w:val="104"/>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5"/>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5"/>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2023-01-27T05:52:13Z</dcterms:created>
  <dcterms:modified xsi:type="dcterms:W3CDTF">2023-01-27T05:52:13Z</dcterms:modified>
</cp:coreProperties>
</file>