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328295</wp:posOffset>
            </wp:positionH>
            <wp:positionV relativeFrom="page">
              <wp:posOffset>553720</wp:posOffset>
            </wp:positionV>
            <wp:extent cx="6898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698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574040</wp:posOffset>
            </wp:positionV>
            <wp:extent cx="6898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698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ind w:left="4380"/>
        <w:spacing w:after="0"/>
        <w:rPr>
          <w:sz w:val="20"/>
          <w:szCs w:val="20"/>
          <w:color w:val="auto"/>
        </w:rPr>
      </w:pPr>
      <w:r>
        <w:rPr>
          <w:rFonts w:ascii="Arial" w:cs="Arial" w:eastAsia="Arial" w:hAnsi="Arial"/>
          <w:sz w:val="14"/>
          <w:szCs w:val="14"/>
          <w:color w:val="auto"/>
        </w:rPr>
        <w:t>___________________________________</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10-K</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March 31, 2022</w:t>
      </w:r>
    </w:p>
    <w:p>
      <w:pPr>
        <w:spacing w:after="0" w:line="98"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ind w:left="740"/>
              <w:spacing w:after="0"/>
              <w:rPr>
                <w:sz w:val="20"/>
                <w:szCs w:val="20"/>
                <w:color w:val="auto"/>
              </w:rPr>
            </w:pPr>
            <w:r>
              <w:rPr>
                <w:rFonts w:ascii="Arial" w:cs="Arial" w:eastAsia="Arial" w:hAnsi="Arial"/>
                <w:sz w:val="14"/>
                <w:szCs w:val="14"/>
                <w:b w:val="1"/>
                <w:bCs w:val="1"/>
                <w:color w:val="auto"/>
                <w:w w:val="94"/>
              </w:rPr>
              <w:t>For the transition period from</w:t>
            </w:r>
          </w:p>
        </w:tc>
        <w:tc>
          <w:tcPr>
            <w:tcW w:w="36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4"/>
                <w:szCs w:val="14"/>
                <w:b w:val="1"/>
                <w:bCs w:val="1"/>
                <w:color w:val="auto"/>
                <w:w w:val="90"/>
              </w:rPr>
              <w:t>Commission File No. 001-34972</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00" w:type="dxa"/>
            <w:vAlign w:val="bottom"/>
            <w:gridSpan w:val="5"/>
          </w:tcPr>
          <w:p>
            <w:pPr>
              <w:jc w:val="center"/>
              <w:ind w:left="392"/>
              <w:spacing w:after="0"/>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9"/>
          </w:tcPr>
          <w:p>
            <w:pPr>
              <w:jc w:val="center"/>
              <w:ind w:right="780"/>
              <w:spacing w:after="0"/>
              <w:rPr>
                <w:sz w:val="20"/>
                <w:szCs w:val="20"/>
                <w:color w:val="auto"/>
              </w:rPr>
            </w:pPr>
            <w:r>
              <w:rPr>
                <w:rFonts w:ascii="Arial" w:cs="Arial" w:eastAsia="Arial" w:hAnsi="Arial"/>
                <w:sz w:val="34"/>
                <w:szCs w:val="34"/>
                <w:b w:val="1"/>
                <w:bCs w:val="1"/>
                <w:color w:val="auto"/>
                <w:w w:val="92"/>
              </w:rPr>
              <w:t>Booz Allen Hamilton Holding Corporation</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00" w:type="dxa"/>
            <w:vAlign w:val="bottom"/>
            <w:gridSpan w:val="5"/>
          </w:tcPr>
          <w:p>
            <w:pPr>
              <w:jc w:val="center"/>
              <w:ind w:left="392"/>
              <w:spacing w:after="0"/>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80" w:type="dxa"/>
            <w:vAlign w:val="bottom"/>
            <w:gridSpan w:val="4"/>
          </w:tcPr>
          <w:p>
            <w:pPr>
              <w:jc w:val="center"/>
              <w:ind w:left="757"/>
              <w:spacing w:after="0"/>
              <w:rPr>
                <w:sz w:val="20"/>
                <w:szCs w:val="20"/>
                <w:color w:val="auto"/>
              </w:rPr>
            </w:pPr>
            <w:r>
              <w:rPr>
                <w:rFonts w:ascii="Arial" w:cs="Arial" w:eastAsia="Arial" w:hAnsi="Arial"/>
                <w:sz w:val="14"/>
                <w:szCs w:val="14"/>
                <w:b w:val="1"/>
                <w:bCs w:val="1"/>
                <w:color w:val="auto"/>
                <w:w w:val="94"/>
              </w:rPr>
              <w:t>Delaware</w:t>
            </w:r>
          </w:p>
        </w:tc>
        <w:tc>
          <w:tcPr>
            <w:tcW w:w="1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26-2634160</w:t>
            </w:r>
          </w:p>
        </w:tc>
        <w:tc>
          <w:tcPr>
            <w:tcW w:w="0" w:type="dxa"/>
            <w:vAlign w:val="bottom"/>
          </w:tcPr>
          <w:p>
            <w:pPr>
              <w:spacing w:after="0"/>
              <w:rPr>
                <w:sz w:val="1"/>
                <w:szCs w:val="1"/>
                <w:color w:val="auto"/>
              </w:rPr>
            </w:pPr>
          </w:p>
        </w:tc>
      </w:tr>
      <w:tr>
        <w:trPr>
          <w:trHeight w:val="113"/>
        </w:trPr>
        <w:tc>
          <w:tcPr>
            <w:tcW w:w="3480" w:type="dxa"/>
            <w:vAlign w:val="bottom"/>
            <w:gridSpan w:val="4"/>
          </w:tcPr>
          <w:p>
            <w:pPr>
              <w:jc w:val="center"/>
              <w:ind w:left="757"/>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1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60" w:type="dxa"/>
            <w:vAlign w:val="bottom"/>
            <w:gridSpan w:val="2"/>
          </w:tcPr>
          <w:p>
            <w:pPr>
              <w:jc w:val="center"/>
              <w:ind w:left="1500"/>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77"/>
              <w:spacing w:after="0"/>
              <w:rPr>
                <w:sz w:val="20"/>
                <w:szCs w:val="20"/>
                <w:color w:val="auto"/>
              </w:rPr>
            </w:pPr>
            <w:r>
              <w:rPr>
                <w:rFonts w:ascii="Arial" w:cs="Arial" w:eastAsia="Arial" w:hAnsi="Arial"/>
                <w:sz w:val="11"/>
                <w:szCs w:val="11"/>
                <w:b w:val="1"/>
                <w:bCs w:val="1"/>
                <w:color w:val="auto"/>
                <w:w w:val="94"/>
              </w:rPr>
              <w:t>incorporation or organization)</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Arial" w:cs="Arial" w:eastAsia="Arial" w:hAnsi="Arial"/>
                <w:sz w:val="11"/>
                <w:szCs w:val="11"/>
                <w:b w:val="1"/>
                <w:bCs w:val="1"/>
                <w:color w:val="auto"/>
                <w:w w:val="96"/>
              </w:rPr>
              <w:t>Identification No.)</w:t>
            </w:r>
          </w:p>
        </w:tc>
        <w:tc>
          <w:tcPr>
            <w:tcW w:w="0" w:type="dxa"/>
            <w:vAlign w:val="bottom"/>
          </w:tcPr>
          <w:p>
            <w:pPr>
              <w:spacing w:after="0"/>
              <w:rPr>
                <w:sz w:val="1"/>
                <w:szCs w:val="1"/>
                <w:color w:val="auto"/>
              </w:rPr>
            </w:pPr>
          </w:p>
        </w:tc>
      </w:tr>
      <w:tr>
        <w:trPr>
          <w:trHeight w:val="218"/>
        </w:trPr>
        <w:tc>
          <w:tcPr>
            <w:tcW w:w="1960" w:type="dxa"/>
            <w:vAlign w:val="bottom"/>
          </w:tcPr>
          <w:p>
            <w:pPr>
              <w:ind w:left="460"/>
              <w:spacing w:after="0"/>
              <w:rPr>
                <w:sz w:val="20"/>
                <w:szCs w:val="20"/>
                <w:color w:val="auto"/>
              </w:rPr>
            </w:pPr>
            <w:r>
              <w:rPr>
                <w:rFonts w:ascii="Arial" w:cs="Arial" w:eastAsia="Arial" w:hAnsi="Arial"/>
                <w:sz w:val="14"/>
                <w:szCs w:val="14"/>
                <w:b w:val="1"/>
                <w:bCs w:val="1"/>
                <w:color w:val="auto"/>
                <w:w w:val="94"/>
              </w:rPr>
              <w:t>8283 Greensboro Drive,</w:t>
            </w:r>
          </w:p>
        </w:tc>
        <w:tc>
          <w:tcPr>
            <w:tcW w:w="28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McLean,</w:t>
            </w:r>
          </w:p>
        </w:tc>
        <w:tc>
          <w:tcPr>
            <w:tcW w:w="2620" w:type="dxa"/>
            <w:vAlign w:val="bottom"/>
            <w:gridSpan w:val="3"/>
          </w:tcPr>
          <w:p>
            <w:pPr>
              <w:ind w:left="120"/>
              <w:spacing w:after="0"/>
              <w:rPr>
                <w:sz w:val="20"/>
                <w:szCs w:val="20"/>
                <w:color w:val="auto"/>
              </w:rPr>
            </w:pPr>
            <w:r>
              <w:rPr>
                <w:rFonts w:ascii="Arial" w:cs="Arial" w:eastAsia="Arial" w:hAnsi="Arial"/>
                <w:sz w:val="14"/>
                <w:szCs w:val="14"/>
                <w:b w:val="1"/>
                <w:bCs w:val="1"/>
                <w:color w:val="auto"/>
              </w:rPr>
              <w:t>Virginia</w:t>
            </w:r>
          </w:p>
        </w:tc>
        <w:tc>
          <w:tcPr>
            <w:tcW w:w="360" w:type="dxa"/>
            <w:vAlign w:val="bottom"/>
          </w:tcPr>
          <w:p>
            <w:pPr>
              <w:spacing w:after="0"/>
              <w:rPr>
                <w:sz w:val="18"/>
                <w:szCs w:val="18"/>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57"/>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Arial" w:cs="Arial" w:eastAsia="Arial" w:hAnsi="Arial"/>
                <w:sz w:val="11"/>
                <w:szCs w:val="11"/>
                <w:b w:val="1"/>
                <w:bCs w:val="1"/>
                <w:color w:val="auto"/>
                <w:w w:val="99"/>
              </w:rPr>
              <w:t>(Zip Code)</w:t>
            </w: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(703) 902-5000</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Title of Each Class</w:t>
            </w:r>
          </w:p>
        </w:tc>
        <w:tc>
          <w:tcPr>
            <w:tcW w:w="166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Trading Symbol</w:t>
            </w:r>
          </w:p>
        </w:tc>
        <w:tc>
          <w:tcPr>
            <w:tcW w:w="360" w:type="dxa"/>
            <w:vAlign w:val="bottom"/>
          </w:tcPr>
          <w:p>
            <w:pPr>
              <w:spacing w:after="0"/>
              <w:rPr>
                <w:sz w:val="19"/>
                <w:szCs w:val="19"/>
                <w:color w:val="auto"/>
              </w:rPr>
            </w:pPr>
          </w:p>
        </w:tc>
        <w:tc>
          <w:tcPr>
            <w:tcW w:w="3380" w:type="dxa"/>
            <w:vAlign w:val="bottom"/>
            <w:gridSpan w:val="3"/>
          </w:tcPr>
          <w:p>
            <w:pPr>
              <w:jc w:val="center"/>
              <w:ind w:left="614"/>
              <w:spacing w:after="0"/>
              <w:rPr>
                <w:sz w:val="20"/>
                <w:szCs w:val="20"/>
                <w:color w:val="auto"/>
              </w:rPr>
            </w:pPr>
            <w:r>
              <w:rPr>
                <w:rFonts w:ascii="Arial" w:cs="Arial" w:eastAsia="Arial" w:hAnsi="Arial"/>
                <w:sz w:val="11"/>
                <w:szCs w:val="11"/>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Pr>
          <w:p>
            <w:pPr>
              <w:spacing w:after="0"/>
              <w:rPr>
                <w:sz w:val="16"/>
                <w:szCs w:val="16"/>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Class A Common Stock</w:t>
            </w:r>
          </w:p>
        </w:tc>
        <w:tc>
          <w:tcPr>
            <w:tcW w:w="16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color w:val="auto"/>
              </w:rPr>
              <w:t>BAH</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86"/>
              </w:rPr>
              <w:t>Securities registered pursuant to Section 12(g) of the Act:</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None.</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80" w:type="dxa"/>
            <w:vAlign w:val="bottom"/>
            <w:gridSpan w:val="4"/>
          </w:tcPr>
          <w:p>
            <w:pPr>
              <w:jc w:val="right"/>
              <w:ind w:right="176"/>
              <w:spacing w:after="0" w:line="124" w:lineRule="exact"/>
              <w:rPr>
                <w:sz w:val="20"/>
                <w:szCs w:val="20"/>
                <w:color w:val="auto"/>
              </w:rPr>
            </w:pPr>
            <w:r>
              <w:rPr>
                <w:rFonts w:ascii="Arial" w:cs="Arial" w:eastAsia="Arial" w:hAnsi="Arial"/>
                <w:sz w:val="13"/>
                <w:szCs w:val="13"/>
                <w:color w:val="auto"/>
              </w:rPr>
              <w:t>__________________</w:t>
            </w:r>
          </w:p>
        </w:tc>
        <w:tc>
          <w:tcPr>
            <w:tcW w:w="3380" w:type="dxa"/>
            <w:vAlign w:val="bottom"/>
            <w:gridSpan w:val="3"/>
            <w:vMerge w:val="restart"/>
          </w:tcPr>
          <w:p>
            <w:pPr>
              <w:jc w:val="center"/>
              <w:ind w:right="27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49"/>
        </w:trPr>
        <w:tc>
          <w:tcPr>
            <w:tcW w:w="6100" w:type="dxa"/>
            <w:vAlign w:val="bottom"/>
            <w:gridSpan w:val="7"/>
          </w:tcPr>
          <w:p>
            <w:pPr>
              <w:spacing w:after="0"/>
              <w:rPr>
                <w:sz w:val="20"/>
                <w:szCs w:val="20"/>
                <w:color w:val="auto"/>
              </w:rPr>
            </w:pPr>
            <w:r>
              <w:rPr>
                <w:rFonts w:ascii="Arial" w:cs="Arial" w:eastAsia="Arial" w:hAnsi="Arial"/>
                <w:sz w:val="13"/>
                <w:szCs w:val="13"/>
                <w:color w:val="auto"/>
                <w:w w:val="90"/>
              </w:rPr>
              <w:t>Indicate by check mark if the registrant is a well-known seasoned issuer, as defined in Rule 405 of the Securities Act.</w:t>
            </w:r>
          </w:p>
        </w:tc>
        <w:tc>
          <w:tcPr>
            <w:tcW w:w="360" w:type="dxa"/>
            <w:vAlign w:val="bottom"/>
          </w:tcPr>
          <w:p>
            <w:pPr>
              <w:spacing w:after="0" w:line="150" w:lineRule="exact"/>
              <w:rPr>
                <w:sz w:val="20"/>
                <w:szCs w:val="20"/>
                <w:color w:val="auto"/>
              </w:rPr>
            </w:pPr>
            <w:r>
              <w:rPr>
                <w:rFonts w:ascii="Arial" w:cs="Arial" w:eastAsia="Arial" w:hAnsi="Arial"/>
                <w:sz w:val="13"/>
                <w:szCs w:val="13"/>
                <w:color w:val="auto"/>
                <w:w w:val="87"/>
              </w:rPr>
              <w:t xml:space="preserve">Yes </w:t>
            </w:r>
            <w:r>
              <w:rPr>
                <w:rFonts w:ascii="MS PGothic" w:cs="MS PGothic" w:eastAsia="MS PGothic" w:hAnsi="MS PGothic"/>
                <w:sz w:val="13"/>
                <w:szCs w:val="13"/>
                <w:color w:val="auto"/>
                <w:w w:val="87"/>
              </w:rPr>
              <w:t>☒</w:t>
            </w:r>
          </w:p>
        </w:tc>
        <w:tc>
          <w:tcPr>
            <w:tcW w:w="3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100" w:type="dxa"/>
            <w:vAlign w:val="bottom"/>
            <w:gridSpan w:val="7"/>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Act.</w:t>
            </w:r>
          </w:p>
        </w:tc>
        <w:tc>
          <w:tcPr>
            <w:tcW w:w="360" w:type="dxa"/>
            <w:vAlign w:val="bottom"/>
          </w:tcPr>
          <w:p>
            <w:pPr>
              <w:ind w:left="120"/>
              <w:spacing w:after="0"/>
              <w:rPr>
                <w:sz w:val="20"/>
                <w:szCs w:val="20"/>
                <w:color w:val="auto"/>
              </w:rPr>
            </w:pPr>
            <w:r>
              <w:rPr>
                <w:rFonts w:ascii="Arial" w:cs="Arial" w:eastAsia="Arial" w:hAnsi="Arial"/>
                <w:sz w:val="13"/>
                <w:szCs w:val="13"/>
                <w:color w:val="auto"/>
                <w:w w:val="97"/>
              </w:rPr>
              <w:t>Yes</w:t>
            </w:r>
          </w:p>
        </w:tc>
        <w:tc>
          <w:tcPr>
            <w:tcW w:w="3380" w:type="dxa"/>
            <w:vAlign w:val="bottom"/>
            <w:gridSpan w:val="3"/>
          </w:tcPr>
          <w:p>
            <w:pPr>
              <w:jc w:val="center"/>
              <w:ind w:right="280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4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9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84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9"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6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67" w:right="419" w:bottom="1440" w:gutter="0" w:footer="0" w:header="0"/>
        </w:sectPr>
      </w:pPr>
    </w:p>
    <w:bookmarkStart w:id="1" w:name="page2"/>
    <w:bookmarkEnd w:id="1"/>
    <w:p>
      <w:pPr>
        <w:spacing w:after="0" w:line="150" w:lineRule="exact"/>
        <w:tabs>
          <w:tab w:leader="none" w:pos="5920" w:val="left"/>
          <w:tab w:leader="none" w:pos="64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6"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As of September 30, 2021, the last business day of the registrant's most recently completed second quarter, the aggregate market value of the registrant's voting and non-voting common stock held by non-affiliates was $10,457,916,666.</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r>
        <w:rPr>
          <w:rFonts w:ascii="Arial" w:cs="Arial" w:eastAsia="Arial" w:hAnsi="Arial"/>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680" w:type="dxa"/>
            <w:vAlign w:val="bottom"/>
            <w:gridSpan w:val="2"/>
          </w:tcPr>
          <w:p>
            <w:pPr>
              <w:jc w:val="center"/>
              <w:ind w:left="3439"/>
              <w:spacing w:after="0"/>
              <w:rPr>
                <w:sz w:val="20"/>
                <w:szCs w:val="20"/>
                <w:color w:val="auto"/>
              </w:rPr>
            </w:pPr>
            <w:r>
              <w:rPr>
                <w:rFonts w:ascii="Arial" w:cs="Arial" w:eastAsia="Arial" w:hAnsi="Arial"/>
                <w:sz w:val="11"/>
                <w:szCs w:val="11"/>
                <w:b w:val="1"/>
                <w:bCs w:val="1"/>
                <w:color w:val="auto"/>
                <w:w w:val="89"/>
              </w:rPr>
              <w:t>Shares Outstanding</w:t>
            </w:r>
          </w:p>
        </w:tc>
      </w:tr>
      <w:tr>
        <w:trPr>
          <w:trHeight w:val="148"/>
        </w:trPr>
        <w:tc>
          <w:tcPr>
            <w:tcW w:w="2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680" w:type="dxa"/>
            <w:vAlign w:val="bottom"/>
            <w:gridSpan w:val="2"/>
          </w:tcPr>
          <w:p>
            <w:pPr>
              <w:jc w:val="center"/>
              <w:ind w:left="3439"/>
              <w:spacing w:after="0"/>
              <w:rPr>
                <w:sz w:val="20"/>
                <w:szCs w:val="20"/>
                <w:color w:val="auto"/>
              </w:rPr>
            </w:pPr>
            <w:r>
              <w:rPr>
                <w:rFonts w:ascii="Arial" w:cs="Arial" w:eastAsia="Arial" w:hAnsi="Arial"/>
                <w:sz w:val="11"/>
                <w:szCs w:val="11"/>
                <w:b w:val="1"/>
                <w:bCs w:val="1"/>
                <w:color w:val="auto"/>
                <w:w w:val="93"/>
              </w:rPr>
              <w:t>as of May 17, 2022</w:t>
            </w:r>
          </w:p>
        </w:tc>
      </w:tr>
      <w:tr>
        <w:trPr>
          <w:trHeight w:val="181"/>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5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132,185,735</w:t>
            </w:r>
          </w:p>
        </w:tc>
      </w:tr>
      <w:tr>
        <w:trPr>
          <w:trHeight w:val="117"/>
        </w:trPr>
        <w:tc>
          <w:tcPr>
            <w:tcW w:w="2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Portions of the registrant’s Proxy Statement for its Annual Meeting of Stockholders scheduled for July 27, 2022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424815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98"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40" w:type="dxa"/>
            <w:vAlign w:val="bottom"/>
            <w:gridSpan w:val="9"/>
          </w:tcPr>
          <w:p>
            <w:pPr>
              <w:ind w:left="52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10780" w:type="dxa"/>
            <w:vAlign w:val="bottom"/>
            <w:gridSpan w:val="26"/>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INTRODUCTORY NOTE</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1</w:t>
              </w:r>
            </w:hyperlink>
          </w:p>
        </w:tc>
      </w:tr>
      <w:tr>
        <w:trPr>
          <w:trHeight w:val="203"/>
        </w:trPr>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rPr>
                <w:rFonts w:ascii="Arial" w:cs="Arial" w:eastAsia="Arial" w:hAnsi="Arial"/>
                <w:sz w:val="14"/>
                <w:szCs w:val="14"/>
                <w:b w:val="1"/>
                <w:bCs w:val="1"/>
                <w:color w:val="0000FF"/>
                <w:w w:val="95"/>
              </w:rPr>
            </w:pPr>
            <w:hyperlink w:anchor="page5">
              <w:r>
                <w:rPr>
                  <w:rFonts w:ascii="Arial" w:cs="Arial" w:eastAsia="Arial" w:hAnsi="Arial"/>
                  <w:sz w:val="14"/>
                  <w:szCs w:val="14"/>
                  <w:b w:val="1"/>
                  <w:bCs w:val="1"/>
                  <w:color w:val="0000FF"/>
                  <w:w w:val="95"/>
                </w:rPr>
                <w:t>PART I</w:t>
              </w:r>
            </w:hyperlink>
          </w:p>
        </w:tc>
        <w:tc>
          <w:tcPr>
            <w:tcW w:w="1060" w:type="dxa"/>
            <w:vAlign w:val="bottom"/>
            <w:tcBorders>
              <w:top w:val="single" w:sz="8" w:color="0000FF"/>
            </w:tcBorders>
            <w:gridSpan w:val="3"/>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4"/>
                <w:szCs w:val="14"/>
                <w:b w:val="1"/>
                <w:bCs w:val="1"/>
                <w:color w:val="0000FF"/>
                <w:w w:val="76"/>
              </w:rPr>
            </w:pPr>
            <w:hyperlink w:anchor="page5">
              <w:r>
                <w:rPr>
                  <w:rFonts w:ascii="Arial" w:cs="Arial" w:eastAsia="Arial" w:hAnsi="Arial"/>
                  <w:sz w:val="14"/>
                  <w:szCs w:val="14"/>
                  <w:b w:val="1"/>
                  <w:bCs w:val="1"/>
                  <w:color w:val="0000FF"/>
                  <w:w w:val="76"/>
                </w:rPr>
                <w:t>3</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w:t>
            </w:r>
          </w:p>
        </w:tc>
        <w:tc>
          <w:tcPr>
            <w:tcW w:w="9260" w:type="dxa"/>
            <w:vAlign w:val="bottom"/>
            <w:gridSpan w:val="22"/>
          </w:tcPr>
          <w:p>
            <w:pPr>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Business</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1A.</w:t>
            </w:r>
          </w:p>
        </w:tc>
        <w:tc>
          <w:tcPr>
            <w:tcW w:w="780" w:type="dxa"/>
            <w:vAlign w:val="bottom"/>
            <w:tcBorders>
              <w:bottom w:val="single" w:sz="8" w:color="0000FF"/>
            </w:tcBorders>
            <w:gridSpan w:val="4"/>
          </w:tcPr>
          <w:p>
            <w:pPr>
              <w:spacing w:after="0"/>
              <w:rPr>
                <w:rFonts w:ascii="Arial" w:cs="Arial" w:eastAsia="Arial" w:hAnsi="Arial"/>
                <w:sz w:val="14"/>
                <w:szCs w:val="14"/>
                <w:b w:val="1"/>
                <w:bCs w:val="1"/>
                <w:color w:val="0000FF"/>
                <w:w w:val="90"/>
              </w:rPr>
            </w:pPr>
            <w:hyperlink w:anchor="page17">
              <w:r>
                <w:rPr>
                  <w:rFonts w:ascii="Arial" w:cs="Arial" w:eastAsia="Arial" w:hAnsi="Arial"/>
                  <w:sz w:val="14"/>
                  <w:szCs w:val="14"/>
                  <w:b w:val="1"/>
                  <w:bCs w:val="1"/>
                  <w:color w:val="0000FF"/>
                  <w:w w:val="90"/>
                </w:rPr>
                <w:t>Risk Factors</w:t>
              </w:r>
            </w:hyperlink>
          </w:p>
        </w:tc>
        <w:tc>
          <w:tcPr>
            <w:tcW w:w="8480" w:type="dxa"/>
            <w:vAlign w:val="bottom"/>
            <w:gridSpan w:val="18"/>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7">
              <w:r>
                <w:rPr>
                  <w:rFonts w:ascii="Arial" w:cs="Arial" w:eastAsia="Arial" w:hAnsi="Arial"/>
                  <w:sz w:val="14"/>
                  <w:szCs w:val="14"/>
                  <w:b w:val="1"/>
                  <w:bCs w:val="1"/>
                  <w:color w:val="0000FF"/>
                  <w:w w:val="89"/>
                </w:rPr>
                <w:t>14</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1B.</w:t>
            </w:r>
          </w:p>
        </w:tc>
        <w:tc>
          <w:tcPr>
            <w:tcW w:w="9260" w:type="dxa"/>
            <w:vAlign w:val="bottom"/>
            <w:gridSpan w:val="22"/>
          </w:tcPr>
          <w:p>
            <w:pPr>
              <w:spacing w:after="0"/>
              <w:rPr>
                <w:rFonts w:ascii="Arial" w:cs="Arial" w:eastAsia="Arial" w:hAnsi="Arial"/>
                <w:sz w:val="14"/>
                <w:szCs w:val="14"/>
                <w:b w:val="1"/>
                <w:bCs w:val="1"/>
                <w:color w:val="0000FF"/>
              </w:rPr>
            </w:pPr>
            <w:hyperlink w:anchor="page44">
              <w:r>
                <w:rPr>
                  <w:rFonts w:ascii="Arial" w:cs="Arial" w:eastAsia="Arial" w:hAnsi="Arial"/>
                  <w:sz w:val="14"/>
                  <w:szCs w:val="14"/>
                  <w:b w:val="1"/>
                  <w:bCs w:val="1"/>
                  <w:color w:val="0000FF"/>
                </w:rPr>
                <w:t>Unresolved Staff Comments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4">
              <w:r>
                <w:rPr>
                  <w:rFonts w:ascii="Arial" w:cs="Arial" w:eastAsia="Arial" w:hAnsi="Arial"/>
                  <w:sz w:val="14"/>
                  <w:szCs w:val="14"/>
                  <w:b w:val="1"/>
                  <w:bCs w:val="1"/>
                  <w:color w:val="0000FF"/>
                  <w:w w:val="89"/>
                </w:rPr>
                <w:t>41</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2.</w:t>
            </w:r>
          </w:p>
        </w:tc>
        <w:tc>
          <w:tcPr>
            <w:tcW w:w="640" w:type="dxa"/>
            <w:vAlign w:val="bottom"/>
            <w:tcBorders>
              <w:top w:val="single" w:sz="8" w:color="0000FF"/>
              <w:bottom w:val="single" w:sz="8" w:color="0000FF"/>
            </w:tcBorders>
            <w:gridSpan w:val="3"/>
          </w:tcPr>
          <w:p>
            <w:pPr>
              <w:spacing w:after="0"/>
              <w:rPr>
                <w:rFonts w:ascii="Arial" w:cs="Arial" w:eastAsia="Arial" w:hAnsi="Arial"/>
                <w:sz w:val="14"/>
                <w:szCs w:val="14"/>
                <w:b w:val="1"/>
                <w:bCs w:val="1"/>
                <w:color w:val="0000FF"/>
                <w:w w:val="89"/>
              </w:rPr>
            </w:pPr>
            <w:hyperlink w:anchor="page44">
              <w:r>
                <w:rPr>
                  <w:rFonts w:ascii="Arial" w:cs="Arial" w:eastAsia="Arial" w:hAnsi="Arial"/>
                  <w:sz w:val="14"/>
                  <w:szCs w:val="14"/>
                  <w:b w:val="1"/>
                  <w:bCs w:val="1"/>
                  <w:color w:val="0000FF"/>
                  <w:w w:val="89"/>
                </w:rPr>
                <w:t>Properties</w:t>
              </w:r>
            </w:hyperlink>
          </w:p>
        </w:tc>
        <w:tc>
          <w:tcPr>
            <w:tcW w:w="1060" w:type="dxa"/>
            <w:vAlign w:val="bottom"/>
            <w:tcBorders>
              <w:top w:val="single" w:sz="8" w:color="0000FF"/>
            </w:tcBorders>
            <w:gridSpan w:val="7"/>
          </w:tcPr>
          <w:p>
            <w:pPr>
              <w:spacing w:after="0"/>
              <w:rPr>
                <w:sz w:val="17"/>
                <w:szCs w:val="17"/>
                <w:color w:val="auto"/>
              </w:rPr>
            </w:pPr>
          </w:p>
        </w:tc>
        <w:tc>
          <w:tcPr>
            <w:tcW w:w="7560" w:type="dxa"/>
            <w:vAlign w:val="bottom"/>
            <w:gridSpan w:val="1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4"/>
                <w:szCs w:val="14"/>
                <w:b w:val="1"/>
                <w:bCs w:val="1"/>
                <w:color w:val="0000FF"/>
                <w:w w:val="89"/>
              </w:rPr>
            </w:pPr>
            <w:hyperlink w:anchor="page44">
              <w:r>
                <w:rPr>
                  <w:rFonts w:ascii="Arial" w:cs="Arial" w:eastAsia="Arial" w:hAnsi="Arial"/>
                  <w:sz w:val="14"/>
                  <w:szCs w:val="14"/>
                  <w:b w:val="1"/>
                  <w:bCs w:val="1"/>
                  <w:color w:val="0000FF"/>
                  <w:w w:val="89"/>
                </w:rPr>
                <w:t>41</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3.</w:t>
            </w:r>
          </w:p>
        </w:tc>
        <w:tc>
          <w:tcPr>
            <w:tcW w:w="9260" w:type="dxa"/>
            <w:vAlign w:val="bottom"/>
            <w:gridSpan w:val="22"/>
          </w:tcPr>
          <w:p>
            <w:pPr>
              <w:spacing w:after="0"/>
              <w:rPr>
                <w:rFonts w:ascii="Arial" w:cs="Arial" w:eastAsia="Arial" w:hAnsi="Arial"/>
                <w:sz w:val="14"/>
                <w:szCs w:val="14"/>
                <w:b w:val="1"/>
                <w:bCs w:val="1"/>
                <w:color w:val="0000FF"/>
              </w:rPr>
            </w:pPr>
            <w:hyperlink w:anchor="page44">
              <w:r>
                <w:rPr>
                  <w:rFonts w:ascii="Arial" w:cs="Arial" w:eastAsia="Arial" w:hAnsi="Arial"/>
                  <w:sz w:val="14"/>
                  <w:szCs w:val="14"/>
                  <w:b w:val="1"/>
                  <w:bCs w:val="1"/>
                  <w:color w:val="0000FF"/>
                </w:rPr>
                <w:t>Legal Proceedings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4">
              <w:r>
                <w:rPr>
                  <w:rFonts w:ascii="Arial" w:cs="Arial" w:eastAsia="Arial" w:hAnsi="Arial"/>
                  <w:sz w:val="14"/>
                  <w:szCs w:val="14"/>
                  <w:b w:val="1"/>
                  <w:bCs w:val="1"/>
                  <w:color w:val="0000FF"/>
                  <w:w w:val="89"/>
                </w:rPr>
                <w:t>41</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4.</w:t>
            </w:r>
          </w:p>
        </w:tc>
        <w:tc>
          <w:tcPr>
            <w:tcW w:w="9260" w:type="dxa"/>
            <w:vAlign w:val="bottom"/>
            <w:gridSpan w:val="22"/>
          </w:tcPr>
          <w:p>
            <w:pPr>
              <w:spacing w:after="0"/>
              <w:rPr>
                <w:rFonts w:ascii="Arial" w:cs="Arial" w:eastAsia="Arial" w:hAnsi="Arial"/>
                <w:sz w:val="14"/>
                <w:szCs w:val="14"/>
                <w:b w:val="1"/>
                <w:bCs w:val="1"/>
                <w:color w:val="0000FF"/>
              </w:rPr>
            </w:pPr>
            <w:hyperlink w:anchor="page45">
              <w:r>
                <w:rPr>
                  <w:rFonts w:ascii="Arial" w:cs="Arial" w:eastAsia="Arial" w:hAnsi="Arial"/>
                  <w:sz w:val="14"/>
                  <w:szCs w:val="14"/>
                  <w:b w:val="1"/>
                  <w:bCs w:val="1"/>
                  <w:color w:val="0000FF"/>
                </w:rPr>
                <w:t>Mine Safety Disclosures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5">
              <w:r>
                <w:rPr>
                  <w:rFonts w:ascii="Arial" w:cs="Arial" w:eastAsia="Arial" w:hAnsi="Arial"/>
                  <w:sz w:val="14"/>
                  <w:szCs w:val="14"/>
                  <w:b w:val="1"/>
                  <w:bCs w:val="1"/>
                  <w:color w:val="0000FF"/>
                  <w:w w:val="89"/>
                </w:rPr>
                <w:t>42</w:t>
              </w:r>
            </w:hyperlink>
          </w:p>
        </w:tc>
      </w:tr>
      <w:tr>
        <w:trPr>
          <w:trHeight w:val="203"/>
        </w:trPr>
        <w:tc>
          <w:tcPr>
            <w:tcW w:w="20" w:type="dxa"/>
            <w:vAlign w:val="bottom"/>
          </w:tcPr>
          <w:p>
            <w:pPr>
              <w:spacing w:after="0"/>
              <w:rPr>
                <w:sz w:val="17"/>
                <w:szCs w:val="17"/>
                <w:color w:val="auto"/>
              </w:rPr>
            </w:pPr>
          </w:p>
        </w:tc>
        <w:tc>
          <w:tcPr>
            <w:tcW w:w="520" w:type="dxa"/>
            <w:vAlign w:val="bottom"/>
            <w:tcBorders>
              <w:bottom w:val="single" w:sz="8" w:color="0000FF"/>
            </w:tcBorders>
            <w:gridSpan w:val="2"/>
          </w:tcPr>
          <w:p>
            <w:pPr>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PART II</w:t>
              </w:r>
            </w:hyperlink>
          </w:p>
        </w:tc>
        <w:tc>
          <w:tcPr>
            <w:tcW w:w="1000" w:type="dxa"/>
            <w:vAlign w:val="bottom"/>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4"/>
                <w:szCs w:val="14"/>
                <w:b w:val="1"/>
                <w:bCs w:val="1"/>
                <w:color w:val="0000FF"/>
                <w:w w:val="89"/>
              </w:rPr>
            </w:pPr>
            <w:hyperlink w:anchor="page46">
              <w:r>
                <w:rPr>
                  <w:rFonts w:ascii="Arial" w:cs="Arial" w:eastAsia="Arial" w:hAnsi="Arial"/>
                  <w:sz w:val="14"/>
                  <w:szCs w:val="14"/>
                  <w:b w:val="1"/>
                  <w:bCs w:val="1"/>
                  <w:color w:val="0000FF"/>
                  <w:w w:val="89"/>
                </w:rPr>
                <w:t>44</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5.</w:t>
            </w:r>
          </w:p>
        </w:tc>
        <w:tc>
          <w:tcPr>
            <w:tcW w:w="9260" w:type="dxa"/>
            <w:vAlign w:val="bottom"/>
            <w:gridSpan w:val="22"/>
          </w:tcPr>
          <w:p>
            <w:pPr>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Market for Registrant's Common Equity, Related Stockholder Matters and Issuer Purchases of Equity Securities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7">
              <w:r>
                <w:rPr>
                  <w:rFonts w:ascii="Arial" w:cs="Arial" w:eastAsia="Arial" w:hAnsi="Arial"/>
                  <w:sz w:val="14"/>
                  <w:szCs w:val="14"/>
                  <w:b w:val="1"/>
                  <w:bCs w:val="1"/>
                  <w:color w:val="0000FF"/>
                  <w:w w:val="89"/>
                </w:rPr>
                <w:t>44</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6.</w:t>
            </w:r>
          </w:p>
        </w:tc>
        <w:tc>
          <w:tcPr>
            <w:tcW w:w="6820" w:type="dxa"/>
            <w:vAlign w:val="bottom"/>
            <w:tcBorders>
              <w:top w:val="single" w:sz="8" w:color="0000FF"/>
            </w:tcBorders>
            <w:gridSpan w:val="21"/>
          </w:tcPr>
          <w:p>
            <w:pPr>
              <w:spacing w:after="0"/>
              <w:rPr>
                <w:rFonts w:ascii="Arial" w:cs="Arial" w:eastAsia="Arial" w:hAnsi="Arial"/>
                <w:sz w:val="14"/>
                <w:szCs w:val="14"/>
                <w:b w:val="1"/>
                <w:bCs w:val="1"/>
                <w:color w:val="0000FF"/>
              </w:rPr>
            </w:pPr>
            <w:hyperlink w:anchor="page48">
              <w:r>
                <w:rPr>
                  <w:rFonts w:ascii="Arial" w:cs="Arial" w:eastAsia="Arial" w:hAnsi="Arial"/>
                  <w:sz w:val="14"/>
                  <w:szCs w:val="14"/>
                  <w:b w:val="1"/>
                  <w:bCs w:val="1"/>
                  <w:color w:val="0000FF"/>
                </w:rPr>
                <w:t>Selected Financial Data</w:t>
              </w:r>
            </w:hyperlink>
          </w:p>
        </w:tc>
        <w:tc>
          <w:tcPr>
            <w:tcW w:w="244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48">
              <w:r>
                <w:rPr>
                  <w:rFonts w:ascii="Arial" w:cs="Arial" w:eastAsia="Arial" w:hAnsi="Arial"/>
                  <w:sz w:val="14"/>
                  <w:szCs w:val="14"/>
                  <w:b w:val="1"/>
                  <w:bCs w:val="1"/>
                  <w:color w:val="0000FF"/>
                  <w:w w:val="89"/>
                </w:rPr>
                <w:t>45</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7.</w:t>
            </w:r>
          </w:p>
        </w:tc>
        <w:tc>
          <w:tcPr>
            <w:tcW w:w="5380" w:type="dxa"/>
            <w:vAlign w:val="bottom"/>
            <w:tcBorders>
              <w:bottom w:val="single" w:sz="8" w:color="0000FF"/>
            </w:tcBorders>
            <w:gridSpan w:val="18"/>
          </w:tcPr>
          <w:p>
            <w:pPr>
              <w:spacing w:after="0"/>
              <w:rPr>
                <w:rFonts w:ascii="Arial" w:cs="Arial" w:eastAsia="Arial" w:hAnsi="Arial"/>
                <w:sz w:val="14"/>
                <w:szCs w:val="14"/>
                <w:b w:val="1"/>
                <w:bCs w:val="1"/>
                <w:color w:val="0000FF"/>
                <w:w w:val="90"/>
              </w:rPr>
            </w:pPr>
            <w:hyperlink w:anchor="page48">
              <w:r>
                <w:rPr>
                  <w:rFonts w:ascii="Arial" w:cs="Arial" w:eastAsia="Arial" w:hAnsi="Arial"/>
                  <w:sz w:val="14"/>
                  <w:szCs w:val="14"/>
                  <w:b w:val="1"/>
                  <w:bCs w:val="1"/>
                  <w:color w:val="0000FF"/>
                  <w:w w:val="90"/>
                </w:rPr>
                <w:t>Management's Discussion and Analysis of Financial Condition and Results of Operations</w:t>
              </w:r>
            </w:hyperlink>
          </w:p>
        </w:tc>
        <w:tc>
          <w:tcPr>
            <w:tcW w:w="3880" w:type="dxa"/>
            <w:vAlign w:val="bottom"/>
            <w:gridSpan w:val="4"/>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48">
              <w:r>
                <w:rPr>
                  <w:rFonts w:ascii="Arial" w:cs="Arial" w:eastAsia="Arial" w:hAnsi="Arial"/>
                  <w:sz w:val="14"/>
                  <w:szCs w:val="14"/>
                  <w:b w:val="1"/>
                  <w:bCs w:val="1"/>
                  <w:color w:val="0000FF"/>
                  <w:w w:val="89"/>
                </w:rPr>
                <w:t>46</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7A.</w:t>
            </w:r>
          </w:p>
        </w:tc>
        <w:tc>
          <w:tcPr>
            <w:tcW w:w="3680" w:type="dxa"/>
            <w:vAlign w:val="bottom"/>
            <w:tcBorders>
              <w:bottom w:val="single" w:sz="8" w:color="0000FF"/>
            </w:tcBorders>
            <w:gridSpan w:val="15"/>
          </w:tcPr>
          <w:p>
            <w:pPr>
              <w:spacing w:after="0"/>
              <w:rPr>
                <w:rFonts w:ascii="Arial" w:cs="Arial" w:eastAsia="Arial" w:hAnsi="Arial"/>
                <w:sz w:val="14"/>
                <w:szCs w:val="14"/>
                <w:b w:val="1"/>
                <w:bCs w:val="1"/>
                <w:color w:val="0000FF"/>
                <w:w w:val="92"/>
              </w:rPr>
            </w:pPr>
            <w:hyperlink w:anchor="page68">
              <w:r>
                <w:rPr>
                  <w:rFonts w:ascii="Arial" w:cs="Arial" w:eastAsia="Arial" w:hAnsi="Arial"/>
                  <w:sz w:val="14"/>
                  <w:szCs w:val="14"/>
                  <w:b w:val="1"/>
                  <w:bCs w:val="1"/>
                  <w:color w:val="0000FF"/>
                  <w:w w:val="92"/>
                </w:rPr>
                <w:t>Quantitative and Qualitative Disclosures About Market Risk</w:t>
              </w:r>
            </w:hyperlink>
          </w:p>
        </w:tc>
        <w:tc>
          <w:tcPr>
            <w:tcW w:w="5580" w:type="dxa"/>
            <w:vAlign w:val="bottom"/>
            <w:gridSpan w:val="7"/>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68">
              <w:r>
                <w:rPr>
                  <w:rFonts w:ascii="Arial" w:cs="Arial" w:eastAsia="Arial" w:hAnsi="Arial"/>
                  <w:sz w:val="14"/>
                  <w:szCs w:val="14"/>
                  <w:b w:val="1"/>
                  <w:bCs w:val="1"/>
                  <w:color w:val="0000FF"/>
                  <w:w w:val="89"/>
                </w:rPr>
                <w:t>66</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8.</w:t>
            </w:r>
          </w:p>
        </w:tc>
        <w:tc>
          <w:tcPr>
            <w:tcW w:w="9260" w:type="dxa"/>
            <w:vAlign w:val="bottom"/>
            <w:gridSpan w:val="22"/>
          </w:tcPr>
          <w:p>
            <w:pPr>
              <w:spacing w:after="0"/>
              <w:rPr>
                <w:rFonts w:ascii="Arial" w:cs="Arial" w:eastAsia="Arial" w:hAnsi="Arial"/>
                <w:sz w:val="14"/>
                <w:szCs w:val="14"/>
                <w:b w:val="1"/>
                <w:bCs w:val="1"/>
                <w:color w:val="0000FF"/>
              </w:rPr>
            </w:pPr>
            <w:hyperlink w:anchor="page69">
              <w:r>
                <w:rPr>
                  <w:rFonts w:ascii="Arial" w:cs="Arial" w:eastAsia="Arial" w:hAnsi="Arial"/>
                  <w:sz w:val="14"/>
                  <w:szCs w:val="14"/>
                  <w:b w:val="1"/>
                  <w:bCs w:val="1"/>
                  <w:color w:val="0000FF"/>
                </w:rPr>
                <w:t>Financial Statements and Supplementary Data</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69">
              <w:r>
                <w:rPr>
                  <w:rFonts w:ascii="Arial" w:cs="Arial" w:eastAsia="Arial" w:hAnsi="Arial"/>
                  <w:sz w:val="14"/>
                  <w:szCs w:val="14"/>
                  <w:b w:val="1"/>
                  <w:bCs w:val="1"/>
                  <w:color w:val="0000FF"/>
                </w:rPr>
                <w:t>1</w:t>
              </w:r>
            </w:hyperlink>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w:t>
            </w:r>
          </w:p>
        </w:tc>
        <w:tc>
          <w:tcPr>
            <w:tcW w:w="9260" w:type="dxa"/>
            <w:vAlign w:val="bottom"/>
            <w:gridSpan w:val="22"/>
          </w:tcPr>
          <w:p>
            <w:pPr>
              <w:spacing w:after="0"/>
              <w:rPr>
                <w:rFonts w:ascii="Arial" w:cs="Arial" w:eastAsia="Arial" w:hAnsi="Arial"/>
                <w:sz w:val="14"/>
                <w:szCs w:val="14"/>
                <w:b w:val="1"/>
                <w:bCs w:val="1"/>
                <w:color w:val="0000FF"/>
              </w:rPr>
            </w:pPr>
            <w:hyperlink w:anchor="page113">
              <w:r>
                <w:rPr>
                  <w:rFonts w:ascii="Arial" w:cs="Arial" w:eastAsia="Arial" w:hAnsi="Arial"/>
                  <w:sz w:val="14"/>
                  <w:szCs w:val="14"/>
                  <w:b w:val="1"/>
                  <w:bCs w:val="1"/>
                  <w:color w:val="0000FF"/>
                </w:rPr>
                <w:t>Changes in and Disagreements With Accountants on Accounting and Financial Disclosure</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3">
              <w:r>
                <w:rPr>
                  <w:rFonts w:ascii="Arial" w:cs="Arial" w:eastAsia="Arial" w:hAnsi="Arial"/>
                  <w:sz w:val="14"/>
                  <w:szCs w:val="14"/>
                  <w:b w:val="1"/>
                  <w:bCs w:val="1"/>
                  <w:color w:val="0000FF"/>
                  <w:w w:val="89"/>
                </w:rPr>
                <w:t>67</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9A.</w:t>
            </w:r>
          </w:p>
        </w:tc>
        <w:tc>
          <w:tcPr>
            <w:tcW w:w="5420" w:type="dxa"/>
            <w:vAlign w:val="bottom"/>
            <w:tcBorders>
              <w:top w:val="single" w:sz="8" w:color="0000FF"/>
            </w:tcBorders>
            <w:gridSpan w:val="19"/>
          </w:tcPr>
          <w:p>
            <w:pPr>
              <w:spacing w:after="0"/>
              <w:rPr>
                <w:rFonts w:ascii="Arial" w:cs="Arial" w:eastAsia="Arial" w:hAnsi="Arial"/>
                <w:sz w:val="14"/>
                <w:szCs w:val="14"/>
                <w:b w:val="1"/>
                <w:bCs w:val="1"/>
                <w:color w:val="0000FF"/>
              </w:rPr>
            </w:pPr>
            <w:hyperlink w:anchor="page114">
              <w:r>
                <w:rPr>
                  <w:rFonts w:ascii="Arial" w:cs="Arial" w:eastAsia="Arial" w:hAnsi="Arial"/>
                  <w:sz w:val="14"/>
                  <w:szCs w:val="14"/>
                  <w:b w:val="1"/>
                  <w:bCs w:val="1"/>
                  <w:color w:val="0000FF"/>
                </w:rPr>
                <w:t>Controls and Procedures</w:t>
              </w:r>
            </w:hyperlink>
          </w:p>
        </w:tc>
        <w:tc>
          <w:tcPr>
            <w:tcW w:w="384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14">
              <w:r>
                <w:rPr>
                  <w:rFonts w:ascii="Arial" w:cs="Arial" w:eastAsia="Arial" w:hAnsi="Arial"/>
                  <w:sz w:val="14"/>
                  <w:szCs w:val="14"/>
                  <w:b w:val="1"/>
                  <w:bCs w:val="1"/>
                  <w:color w:val="0000FF"/>
                  <w:w w:val="89"/>
                </w:rPr>
                <w:t>67</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9B.</w:t>
            </w:r>
          </w:p>
        </w:tc>
        <w:tc>
          <w:tcPr>
            <w:tcW w:w="1500" w:type="dxa"/>
            <w:vAlign w:val="bottom"/>
            <w:tcBorders>
              <w:top w:val="single" w:sz="8" w:color="0000FF"/>
            </w:tcBorders>
            <w:gridSpan w:val="9"/>
          </w:tcPr>
          <w:p>
            <w:pPr>
              <w:spacing w:after="0"/>
              <w:rPr>
                <w:rFonts w:ascii="Arial" w:cs="Arial" w:eastAsia="Arial" w:hAnsi="Arial"/>
                <w:sz w:val="14"/>
                <w:szCs w:val="14"/>
                <w:b w:val="1"/>
                <w:bCs w:val="1"/>
                <w:color w:val="0000FF"/>
              </w:rPr>
            </w:pPr>
            <w:hyperlink w:anchor="page115">
              <w:r>
                <w:rPr>
                  <w:rFonts w:ascii="Arial" w:cs="Arial" w:eastAsia="Arial" w:hAnsi="Arial"/>
                  <w:sz w:val="14"/>
                  <w:szCs w:val="14"/>
                  <w:b w:val="1"/>
                  <w:bCs w:val="1"/>
                  <w:color w:val="0000FF"/>
                </w:rPr>
                <w:t>Other Information</w:t>
              </w:r>
            </w:hyperlink>
          </w:p>
        </w:tc>
        <w:tc>
          <w:tcPr>
            <w:tcW w:w="7760" w:type="dxa"/>
            <w:vAlign w:val="bottom"/>
            <w:gridSpan w:val="13"/>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15">
              <w:r>
                <w:rPr>
                  <w:rFonts w:ascii="Arial" w:cs="Arial" w:eastAsia="Arial" w:hAnsi="Arial"/>
                  <w:sz w:val="14"/>
                  <w:szCs w:val="14"/>
                  <w:b w:val="1"/>
                  <w:bCs w:val="1"/>
                  <w:color w:val="0000FF"/>
                  <w:w w:val="89"/>
                </w:rPr>
                <w:t>69</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9C.</w:t>
            </w:r>
          </w:p>
        </w:tc>
        <w:tc>
          <w:tcPr>
            <w:tcW w:w="9260" w:type="dxa"/>
            <w:vAlign w:val="bottom"/>
            <w:gridSpan w:val="22"/>
          </w:tcPr>
          <w:p>
            <w:pPr>
              <w:spacing w:after="0"/>
              <w:rPr>
                <w:rFonts w:ascii="Arial" w:cs="Arial" w:eastAsia="Arial" w:hAnsi="Arial"/>
                <w:sz w:val="14"/>
                <w:szCs w:val="14"/>
                <w:b w:val="1"/>
                <w:bCs w:val="1"/>
                <w:color w:val="0000FF"/>
              </w:rPr>
            </w:pPr>
            <w:hyperlink w:anchor="page116">
              <w:r>
                <w:rPr>
                  <w:rFonts w:ascii="Arial" w:cs="Arial" w:eastAsia="Arial" w:hAnsi="Arial"/>
                  <w:sz w:val="14"/>
                  <w:szCs w:val="14"/>
                  <w:b w:val="1"/>
                  <w:bCs w:val="1"/>
                  <w:color w:val="0000FF"/>
                </w:rPr>
                <w:t>Disclosure Regarding Foreign Jurisdictions that Prevent Inspections</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spacing w:after="0"/>
              <w:rPr>
                <w:rFonts w:ascii="Arial" w:cs="Arial" w:eastAsia="Arial" w:hAnsi="Arial"/>
                <w:sz w:val="14"/>
                <w:szCs w:val="14"/>
                <w:b w:val="1"/>
                <w:bCs w:val="1"/>
                <w:color w:val="0000FF"/>
              </w:rPr>
            </w:pPr>
            <w:hyperlink w:anchor="page116">
              <w:r>
                <w:rPr>
                  <w:rFonts w:ascii="Arial" w:cs="Arial" w:eastAsia="Arial" w:hAnsi="Arial"/>
                  <w:sz w:val="14"/>
                  <w:szCs w:val="14"/>
                  <w:b w:val="1"/>
                  <w:bCs w:val="1"/>
                  <w:color w:val="0000FF"/>
                </w:rPr>
                <w:t>PART III</w:t>
              </w:r>
            </w:hyperlink>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6">
              <w:r>
                <w:rPr>
                  <w:rFonts w:ascii="Arial" w:cs="Arial" w:eastAsia="Arial" w:hAnsi="Arial"/>
                  <w:sz w:val="14"/>
                  <w:szCs w:val="14"/>
                  <w:b w:val="1"/>
                  <w:bCs w:val="1"/>
                  <w:color w:val="0000FF"/>
                  <w:w w:val="89"/>
                </w:rPr>
                <w:t>69</w:t>
              </w:r>
            </w:hyperlink>
          </w:p>
        </w:tc>
      </w:tr>
      <w:tr>
        <w:trPr>
          <w:trHeight w:val="20"/>
        </w:trPr>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10.</w:t>
            </w:r>
          </w:p>
        </w:tc>
        <w:tc>
          <w:tcPr>
            <w:tcW w:w="9260" w:type="dxa"/>
            <w:vAlign w:val="bottom"/>
            <w:gridSpan w:val="22"/>
          </w:tcPr>
          <w:p>
            <w:pPr>
              <w:spacing w:after="0"/>
              <w:rPr>
                <w:rFonts w:ascii="Arial" w:cs="Arial" w:eastAsia="Arial" w:hAnsi="Arial"/>
                <w:sz w:val="14"/>
                <w:szCs w:val="14"/>
                <w:b w:val="1"/>
                <w:bCs w:val="1"/>
                <w:color w:val="0000FF"/>
              </w:rPr>
            </w:pPr>
            <w:hyperlink w:anchor="page116">
              <w:r>
                <w:rPr>
                  <w:rFonts w:ascii="Arial" w:cs="Arial" w:eastAsia="Arial" w:hAnsi="Arial"/>
                  <w:sz w:val="14"/>
                  <w:szCs w:val="14"/>
                  <w:b w:val="1"/>
                  <w:bCs w:val="1"/>
                  <w:color w:val="0000FF"/>
                </w:rPr>
                <w:t>Directors, Executive Officers and Corporate Governance</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6">
              <w:r>
                <w:rPr>
                  <w:rFonts w:ascii="Arial" w:cs="Arial" w:eastAsia="Arial" w:hAnsi="Arial"/>
                  <w:sz w:val="14"/>
                  <w:szCs w:val="14"/>
                  <w:b w:val="1"/>
                  <w:bCs w:val="1"/>
                  <w:color w:val="0000FF"/>
                  <w:w w:val="89"/>
                </w:rPr>
                <w:t>69</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11.</w:t>
            </w:r>
          </w:p>
        </w:tc>
        <w:tc>
          <w:tcPr>
            <w:tcW w:w="344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116">
              <w:r>
                <w:rPr>
                  <w:rFonts w:ascii="Arial" w:cs="Arial" w:eastAsia="Arial" w:hAnsi="Arial"/>
                  <w:sz w:val="14"/>
                  <w:szCs w:val="14"/>
                  <w:b w:val="1"/>
                  <w:bCs w:val="1"/>
                  <w:color w:val="0000FF"/>
                </w:rPr>
                <w:t>Executive Compensation</w:t>
              </w:r>
            </w:hyperlink>
          </w:p>
        </w:tc>
        <w:tc>
          <w:tcPr>
            <w:tcW w:w="5820" w:type="dxa"/>
            <w:vAlign w:val="bottom"/>
            <w:gridSpan w:val="8"/>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16">
              <w:r>
                <w:rPr>
                  <w:rFonts w:ascii="Arial" w:cs="Arial" w:eastAsia="Arial" w:hAnsi="Arial"/>
                  <w:sz w:val="14"/>
                  <w:szCs w:val="14"/>
                  <w:b w:val="1"/>
                  <w:bCs w:val="1"/>
                  <w:color w:val="0000FF"/>
                  <w:w w:val="89"/>
                </w:rPr>
                <w:t>70</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12.</w:t>
            </w:r>
          </w:p>
        </w:tc>
        <w:tc>
          <w:tcPr>
            <w:tcW w:w="6140" w:type="dxa"/>
            <w:vAlign w:val="bottom"/>
            <w:tcBorders>
              <w:bottom w:val="single" w:sz="8" w:color="0000FF"/>
            </w:tcBorders>
            <w:gridSpan w:val="20"/>
          </w:tcPr>
          <w:p>
            <w:pPr>
              <w:spacing w:after="0"/>
              <w:rPr>
                <w:rFonts w:ascii="Arial" w:cs="Arial" w:eastAsia="Arial" w:hAnsi="Arial"/>
                <w:sz w:val="14"/>
                <w:szCs w:val="14"/>
                <w:b w:val="1"/>
                <w:bCs w:val="1"/>
                <w:color w:val="0000FF"/>
                <w:w w:val="91"/>
              </w:rPr>
            </w:pPr>
            <w:hyperlink w:anchor="page117">
              <w:r>
                <w:rPr>
                  <w:rFonts w:ascii="Arial" w:cs="Arial" w:eastAsia="Arial" w:hAnsi="Arial"/>
                  <w:sz w:val="14"/>
                  <w:szCs w:val="14"/>
                  <w:b w:val="1"/>
                  <w:bCs w:val="1"/>
                  <w:color w:val="0000FF"/>
                  <w:w w:val="91"/>
                </w:rPr>
                <w:t>Security Ownership of Certain Beneficial Owners and Management and Related Stockholder Matters</w:t>
              </w:r>
            </w:hyperlink>
          </w:p>
        </w:tc>
        <w:tc>
          <w:tcPr>
            <w:tcW w:w="312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17">
              <w:r>
                <w:rPr>
                  <w:rFonts w:ascii="Arial" w:cs="Arial" w:eastAsia="Arial" w:hAnsi="Arial"/>
                  <w:sz w:val="14"/>
                  <w:szCs w:val="14"/>
                  <w:b w:val="1"/>
                  <w:bCs w:val="1"/>
                  <w:color w:val="0000FF"/>
                  <w:w w:val="89"/>
                </w:rPr>
                <w:t>70</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13.</w:t>
            </w:r>
          </w:p>
        </w:tc>
        <w:tc>
          <w:tcPr>
            <w:tcW w:w="4620" w:type="dxa"/>
            <w:vAlign w:val="bottom"/>
            <w:tcBorders>
              <w:bottom w:val="single" w:sz="8" w:color="0000FF"/>
            </w:tcBorders>
            <w:gridSpan w:val="17"/>
          </w:tcPr>
          <w:p>
            <w:pPr>
              <w:spacing w:after="0"/>
              <w:rPr>
                <w:rFonts w:ascii="Arial" w:cs="Arial" w:eastAsia="Arial" w:hAnsi="Arial"/>
                <w:sz w:val="14"/>
                <w:szCs w:val="14"/>
                <w:b w:val="1"/>
                <w:bCs w:val="1"/>
                <w:color w:val="0000FF"/>
                <w:w w:val="90"/>
              </w:rPr>
            </w:pPr>
            <w:hyperlink w:anchor="page117">
              <w:r>
                <w:rPr>
                  <w:rFonts w:ascii="Arial" w:cs="Arial" w:eastAsia="Arial" w:hAnsi="Arial"/>
                  <w:sz w:val="14"/>
                  <w:szCs w:val="14"/>
                  <w:b w:val="1"/>
                  <w:bCs w:val="1"/>
                  <w:color w:val="0000FF"/>
                  <w:w w:val="90"/>
                </w:rPr>
                <w:t>Certain Relationships and Related Transactions, and Director Independence</w:t>
              </w:r>
            </w:hyperlink>
          </w:p>
        </w:tc>
        <w:tc>
          <w:tcPr>
            <w:tcW w:w="4640" w:type="dxa"/>
            <w:vAlign w:val="bottom"/>
            <w:gridSpan w:val="5"/>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17">
              <w:r>
                <w:rPr>
                  <w:rFonts w:ascii="Arial" w:cs="Arial" w:eastAsia="Arial" w:hAnsi="Arial"/>
                  <w:sz w:val="14"/>
                  <w:szCs w:val="14"/>
                  <w:b w:val="1"/>
                  <w:bCs w:val="1"/>
                  <w:color w:val="0000FF"/>
                  <w:w w:val="89"/>
                </w:rPr>
                <w:t>70</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14.</w:t>
            </w:r>
          </w:p>
        </w:tc>
        <w:tc>
          <w:tcPr>
            <w:tcW w:w="9260" w:type="dxa"/>
            <w:vAlign w:val="bottom"/>
            <w:gridSpan w:val="22"/>
          </w:tcPr>
          <w:p>
            <w:pPr>
              <w:spacing w:after="0"/>
              <w:rPr>
                <w:rFonts w:ascii="Arial" w:cs="Arial" w:eastAsia="Arial" w:hAnsi="Arial"/>
                <w:sz w:val="14"/>
                <w:szCs w:val="14"/>
                <w:b w:val="1"/>
                <w:bCs w:val="1"/>
                <w:color w:val="0000FF"/>
              </w:rPr>
            </w:pPr>
            <w:hyperlink w:anchor="page117">
              <w:r>
                <w:rPr>
                  <w:rFonts w:ascii="Arial" w:cs="Arial" w:eastAsia="Arial" w:hAnsi="Arial"/>
                  <w:sz w:val="14"/>
                  <w:szCs w:val="14"/>
                  <w:b w:val="1"/>
                  <w:bCs w:val="1"/>
                  <w:color w:val="0000FF"/>
                </w:rPr>
                <w:t>Principal Accounting Fees and Services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7">
              <w:r>
                <w:rPr>
                  <w:rFonts w:ascii="Arial" w:cs="Arial" w:eastAsia="Arial" w:hAnsi="Arial"/>
                  <w:sz w:val="14"/>
                  <w:szCs w:val="14"/>
                  <w:b w:val="1"/>
                  <w:bCs w:val="1"/>
                  <w:color w:val="0000FF"/>
                  <w:w w:val="89"/>
                </w:rPr>
                <w:t>70</w:t>
              </w:r>
            </w:hyperlink>
          </w:p>
        </w:tc>
      </w:tr>
      <w:tr>
        <w:trPr>
          <w:trHeight w:val="20"/>
        </w:trPr>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15.</w:t>
            </w:r>
          </w:p>
        </w:tc>
        <w:tc>
          <w:tcPr>
            <w:tcW w:w="9260" w:type="dxa"/>
            <w:vAlign w:val="bottom"/>
            <w:gridSpan w:val="22"/>
          </w:tcPr>
          <w:p>
            <w:pPr>
              <w:spacing w:after="0"/>
              <w:rPr>
                <w:rFonts w:ascii="Arial" w:cs="Arial" w:eastAsia="Arial" w:hAnsi="Arial"/>
                <w:sz w:val="14"/>
                <w:szCs w:val="14"/>
                <w:b w:val="1"/>
                <w:bCs w:val="1"/>
                <w:color w:val="0000FF"/>
              </w:rPr>
            </w:pPr>
            <w:hyperlink w:anchor="page117">
              <w:r>
                <w:rPr>
                  <w:rFonts w:ascii="Arial" w:cs="Arial" w:eastAsia="Arial" w:hAnsi="Arial"/>
                  <w:sz w:val="14"/>
                  <w:szCs w:val="14"/>
                  <w:b w:val="1"/>
                  <w:bCs w:val="1"/>
                  <w:color w:val="0000FF"/>
                </w:rPr>
                <w:t>Exhibits, Financial Statement Schedules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7">
              <w:r>
                <w:rPr>
                  <w:rFonts w:ascii="Arial" w:cs="Arial" w:eastAsia="Arial" w:hAnsi="Arial"/>
                  <w:sz w:val="14"/>
                  <w:szCs w:val="14"/>
                  <w:b w:val="1"/>
                  <w:bCs w:val="1"/>
                  <w:color w:val="0000FF"/>
                  <w:w w:val="89"/>
                </w:rPr>
                <w:t>70</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16.</w:t>
            </w:r>
          </w:p>
        </w:tc>
        <w:tc>
          <w:tcPr>
            <w:tcW w:w="2420" w:type="dxa"/>
            <w:vAlign w:val="bottom"/>
            <w:tcBorders>
              <w:top w:val="single" w:sz="8" w:color="0000FF"/>
            </w:tcBorders>
            <w:gridSpan w:val="12"/>
          </w:tcPr>
          <w:p>
            <w:pPr>
              <w:spacing w:after="0"/>
              <w:rPr>
                <w:rFonts w:ascii="Arial" w:cs="Arial" w:eastAsia="Arial" w:hAnsi="Arial"/>
                <w:sz w:val="14"/>
                <w:szCs w:val="14"/>
                <w:b w:val="1"/>
                <w:bCs w:val="1"/>
                <w:color w:val="0000FF"/>
              </w:rPr>
            </w:pPr>
            <w:hyperlink w:anchor="page123">
              <w:r>
                <w:rPr>
                  <w:rFonts w:ascii="Arial" w:cs="Arial" w:eastAsia="Arial" w:hAnsi="Arial"/>
                  <w:sz w:val="14"/>
                  <w:szCs w:val="14"/>
                  <w:b w:val="1"/>
                  <w:bCs w:val="1"/>
                  <w:color w:val="0000FF"/>
                </w:rPr>
                <w:t>Form 10-K Summary</w:t>
              </w:r>
            </w:hyperlink>
          </w:p>
        </w:tc>
        <w:tc>
          <w:tcPr>
            <w:tcW w:w="684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23">
              <w:r>
                <w:rPr>
                  <w:rFonts w:ascii="Arial" w:cs="Arial" w:eastAsia="Arial" w:hAnsi="Arial"/>
                  <w:sz w:val="14"/>
                  <w:szCs w:val="14"/>
                  <w:b w:val="1"/>
                  <w:bCs w:val="1"/>
                  <w:color w:val="0000FF"/>
                  <w:w w:val="89"/>
                </w:rPr>
                <w:t>76</w:t>
              </w:r>
            </w:hyperlink>
          </w:p>
        </w:tc>
        <w:tc>
          <w:tcPr>
            <w:tcW w:w="320" w:type="dxa"/>
            <w:vAlign w:val="bottom"/>
          </w:tcPr>
          <w:p>
            <w:pPr>
              <w:spacing w:after="0"/>
              <w:rPr>
                <w:sz w:val="17"/>
                <w:szCs w:val="17"/>
                <w:color w:val="auto"/>
              </w:rPr>
            </w:pPr>
          </w:p>
        </w:tc>
      </w:tr>
      <w:tr>
        <w:trPr>
          <w:trHeight w:val="968"/>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INTRODUCTORY NOTE</w:t>
      </w:r>
    </w:p>
    <w:p>
      <w:pPr>
        <w:spacing w:after="0" w:line="140"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i w:val="1"/>
          <w:iCs w:val="1"/>
          <w:color w:val="auto"/>
        </w:rPr>
        <w:t>Unless the context otherwise indicates or requires, as used in this Annual Report on Form 10-K for the fiscal year ended March 31, 2022,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2022. We have made rounding adjustments to reach some of the figures included in this Annual Report and, unless otherwise indicated, percentages presented in this Annual Report are approximate.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76" w:lineRule="exact"/>
        <w:rPr>
          <w:sz w:val="20"/>
          <w:szCs w:val="20"/>
          <w:color w:val="auto"/>
        </w:rPr>
      </w:pPr>
    </w:p>
    <w:p>
      <w:pPr>
        <w:ind w:right="60" w:firstLine="350"/>
        <w:spacing w:after="0" w:line="258" w:lineRule="auto"/>
        <w:rPr>
          <w:sz w:val="20"/>
          <w:szCs w:val="20"/>
          <w:color w:val="auto"/>
        </w:rPr>
      </w:pPr>
      <w:r>
        <w:rPr>
          <w:rFonts w:ascii="Arial" w:cs="Arial" w:eastAsia="Arial" w:hAnsi="Arial"/>
          <w:sz w:val="14"/>
          <w:szCs w:val="14"/>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3" w:lineRule="exact"/>
        <w:rPr>
          <w:sz w:val="20"/>
          <w:szCs w:val="20"/>
          <w:color w:val="auto"/>
        </w:rPr>
      </w:pPr>
    </w:p>
    <w:p>
      <w:pPr>
        <w:ind w:left="460" w:right="8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issue that compromises our relationships with the U.S. government or damages our professional reputation, including negative publicity concerning government contractors in general or us in particular;</w:t>
      </w:r>
    </w:p>
    <w:p>
      <w:pPr>
        <w:spacing w:after="0" w:line="4" w:lineRule="exact"/>
        <w:rPr>
          <w:rFonts w:ascii="Arial" w:cs="Arial" w:eastAsia="Arial" w:hAnsi="Arial"/>
          <w:sz w:val="14"/>
          <w:szCs w:val="14"/>
          <w:color w:val="auto"/>
        </w:rPr>
      </w:pPr>
    </w:p>
    <w:p>
      <w:pPr>
        <w:ind w:left="460" w:right="12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administration transition;</w:t>
      </w:r>
    </w:p>
    <w:p>
      <w:pPr>
        <w:spacing w:after="0" w:line="4" w:lineRule="exact"/>
        <w:rPr>
          <w:rFonts w:ascii="Arial" w:cs="Arial" w:eastAsia="Arial" w:hAnsi="Arial"/>
          <w:sz w:val="14"/>
          <w:szCs w:val="14"/>
          <w:color w:val="auto"/>
        </w:rPr>
      </w:pPr>
    </w:p>
    <w:p>
      <w:pPr>
        <w:ind w:left="46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4" w:lineRule="exact"/>
        <w:rPr>
          <w:rFonts w:ascii="Arial" w:cs="Arial" w:eastAsia="Arial" w:hAnsi="Arial"/>
          <w:sz w:val="14"/>
          <w:szCs w:val="14"/>
          <w:color w:val="auto"/>
        </w:rPr>
      </w:pPr>
    </w:p>
    <w:p>
      <w:pPr>
        <w:ind w:left="460" w:right="40" w:hanging="264"/>
        <w:spacing w:after="0" w:line="306" w:lineRule="auto"/>
        <w:tabs>
          <w:tab w:leader="none" w:pos="456" w:val="left"/>
        </w:tabs>
        <w:numPr>
          <w:ilvl w:val="0"/>
          <w:numId w:val="3"/>
        </w:numPr>
        <w:rPr>
          <w:rFonts w:ascii="Arial" w:cs="Arial" w:eastAsia="Arial" w:hAnsi="Arial"/>
          <w:sz w:val="13"/>
          <w:szCs w:val="13"/>
          <w:color w:val="auto"/>
        </w:rPr>
      </w:pPr>
      <w:r>
        <w:rPr>
          <w:rFonts w:ascii="Arial" w:cs="Arial" w:eastAsia="Arial" w:hAnsi="Arial"/>
          <w:sz w:val="13"/>
          <w:szCs w:val="13"/>
          <w:color w:val="auto"/>
        </w:rPr>
        <w:t>delayed long-term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government shutdowns as a result of the failure by elected officials to fund the government;</w:t>
      </w:r>
    </w:p>
    <w:p>
      <w:pPr>
        <w:spacing w:after="0" w:line="51" w:lineRule="exact"/>
        <w:rPr>
          <w:rFonts w:ascii="Arial" w:cs="Arial" w:eastAsia="Arial" w:hAnsi="Arial"/>
          <w:sz w:val="14"/>
          <w:szCs w:val="14"/>
          <w:color w:val="auto"/>
        </w:rPr>
      </w:pPr>
    </w:p>
    <w:p>
      <w:pPr>
        <w:ind w:left="460" w:right="380" w:hanging="264"/>
        <w:spacing w:after="0" w:line="260"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11" w:lineRule="exact"/>
        <w:rPr>
          <w:rFonts w:ascii="Arial" w:cs="Arial" w:eastAsia="Arial" w:hAnsi="Arial"/>
          <w:sz w:val="14"/>
          <w:szCs w:val="14"/>
          <w:color w:val="auto"/>
        </w:rPr>
      </w:pPr>
    </w:p>
    <w:p>
      <w:pPr>
        <w:ind w:left="460" w:right="80" w:hanging="264"/>
        <w:spacing w:after="0" w:line="259" w:lineRule="auto"/>
        <w:tabs>
          <w:tab w:leader="none" w:pos="456" w:val="left"/>
        </w:tabs>
        <w:numPr>
          <w:ilvl w:val="0"/>
          <w:numId w:val="3"/>
        </w:numPr>
        <w:rPr>
          <w:rFonts w:ascii="Arial" w:cs="Arial" w:eastAsia="Arial" w:hAnsi="Arial"/>
          <w:sz w:val="16"/>
          <w:szCs w:val="16"/>
          <w:color w:val="auto"/>
        </w:rPr>
      </w:pPr>
      <w:r>
        <w:rPr>
          <w:rFonts w:ascii="Arial" w:cs="Arial" w:eastAsia="Arial" w:hAnsi="Arial"/>
          <w:sz w:val="13"/>
          <w:szCs w:val="13"/>
          <w:color w:val="auto"/>
        </w:rPr>
        <w:t>the effects of COVID-19 and other pandemics or widespread health epidemics, including disruptions to our workforce and the impact on government spending and demand for our solutions, as well as the impact of our Company policy requiring full COVID-19 vaccinations of all employees, except for employees who qualify for medical or religious exemptions;</w:t>
      </w:r>
    </w:p>
    <w:p>
      <w:pPr>
        <w:ind w:left="440" w:hanging="244"/>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52" w:lineRule="exact"/>
        <w:rPr>
          <w:rFonts w:ascii="Arial" w:cs="Arial" w:eastAsia="Arial" w:hAnsi="Arial"/>
          <w:sz w:val="13"/>
          <w:szCs w:val="13"/>
          <w:color w:val="auto"/>
        </w:rPr>
      </w:pPr>
    </w:p>
    <w:p>
      <w:pPr>
        <w:ind w:left="460" w:right="34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General Services Administration Multiple Award schedule contracts, or GSA schedules, blanket purchase agreements and indefinite delivery/indefinite quantity, or IDIQ, contracts;</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government-wide acquisition contract vehicles, or GWACs;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200" w:lineRule="exact"/>
        <w:rPr>
          <w:sz w:val="20"/>
          <w:szCs w:val="20"/>
          <w:color w:val="auto"/>
        </w:rPr>
      </w:pPr>
    </w:p>
    <w:p>
      <w:pPr>
        <w:spacing w:after="0" w:line="26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4" w:name="page5"/>
    <w:bookmarkEnd w:id="4"/>
    <w:p>
      <w:pPr>
        <w:ind w:left="440" w:hanging="244"/>
        <w:spacing w:after="0"/>
        <w:tabs>
          <w:tab w:leader="none" w:pos="4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3"/>
          <w:szCs w:val="13"/>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the operations of financial management systems;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inability to attract, train, or retain employees with the requisite skills and experience;</w:t>
      </w:r>
    </w:p>
    <w:p>
      <w:pPr>
        <w:spacing w:after="0" w:line="51" w:lineRule="exact"/>
        <w:rPr>
          <w:rFonts w:ascii="Arial" w:cs="Arial" w:eastAsia="Arial" w:hAnsi="Arial"/>
          <w:sz w:val="14"/>
          <w:szCs w:val="14"/>
          <w:color w:val="auto"/>
        </w:rPr>
      </w:pPr>
    </w:p>
    <w:p>
      <w:pPr>
        <w:ind w:left="460" w:right="3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inability to timely hire, assimilate and effectively utilize our employees, ensure that employees obtain and maintain necessary security clearances and/or effectively manage our cost structure;</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inflation that could impact the cost of doing business and/or reduce customer buying power;</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misconduct or other improper activities from our employees or subcontractors, including the improper use or release of our clients’ sensitive or classified information;</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from other companies in our industry;</w:t>
      </w:r>
    </w:p>
    <w:p>
      <w:pPr>
        <w:spacing w:after="0" w:line="51" w:lineRule="exact"/>
        <w:rPr>
          <w:rFonts w:ascii="Arial" w:cs="Arial" w:eastAsia="Arial" w:hAnsi="Arial"/>
          <w:sz w:val="14"/>
          <w:szCs w:val="14"/>
          <w:color w:val="auto"/>
        </w:rPr>
      </w:pPr>
    </w:p>
    <w:p>
      <w:pPr>
        <w:ind w:left="4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 w:lineRule="exact"/>
        <w:rPr>
          <w:rFonts w:ascii="Arial" w:cs="Arial" w:eastAsia="Arial" w:hAnsi="Arial"/>
          <w:sz w:val="14"/>
          <w:szCs w:val="14"/>
          <w:color w:val="auto"/>
        </w:rPr>
      </w:pPr>
    </w:p>
    <w:p>
      <w:pPr>
        <w:ind w:left="460" w:right="80" w:hanging="264"/>
        <w:spacing w:after="0" w:line="332" w:lineRule="auto"/>
        <w:tabs>
          <w:tab w:leader="none" w:pos="456" w:val="left"/>
        </w:tabs>
        <w:numPr>
          <w:ilvl w:val="0"/>
          <w:numId w:val="4"/>
        </w:numPr>
        <w:rPr>
          <w:rFonts w:ascii="Arial" w:cs="Arial" w:eastAsia="Arial" w:hAnsi="Arial"/>
          <w:sz w:val="12"/>
          <w:szCs w:val="12"/>
          <w:color w:val="auto"/>
        </w:rPr>
      </w:pPr>
      <w:r>
        <w:rPr>
          <w:rFonts w:ascii="Arial" w:cs="Arial" w:eastAsia="Arial" w:hAnsi="Arial"/>
          <w:sz w:val="12"/>
          <w:szCs w:val="12"/>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special U.S. government laws and regulations relating to our international operations;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increased competition, new relationships, clients, capabilities, and service offerings in our U.S. and international businesses;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and dispositions, including our ability to realize the expected benefits from such acquisitions and dispositions;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inherent in the government contracting environment;</w:t>
      </w:r>
    </w:p>
    <w:p>
      <w:pPr>
        <w:spacing w:after="0" w:line="51" w:lineRule="exact"/>
        <w:rPr>
          <w:rFonts w:ascii="Arial" w:cs="Arial" w:eastAsia="Arial" w:hAnsi="Arial"/>
          <w:sz w:val="14"/>
          <w:szCs w:val="14"/>
          <w:color w:val="auto"/>
        </w:rPr>
      </w:pPr>
    </w:p>
    <w:p>
      <w:pPr>
        <w:ind w:left="460" w:right="680" w:hanging="264"/>
        <w:spacing w:after="0" w:line="306" w:lineRule="auto"/>
        <w:tabs>
          <w:tab w:leader="none" w:pos="456"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460" w:right="12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size of our addressable markets and the amount of U.S. government spending on private contractors;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our indebtedness and credit facilities which contain financial and operating covenants;</w:t>
      </w:r>
    </w:p>
    <w:p>
      <w:pPr>
        <w:spacing w:after="0" w:line="51" w:lineRule="exact"/>
        <w:rPr>
          <w:rFonts w:ascii="Arial" w:cs="Arial" w:eastAsia="Arial" w:hAnsi="Arial"/>
          <w:sz w:val="14"/>
          <w:szCs w:val="14"/>
          <w:color w:val="auto"/>
        </w:rPr>
      </w:pPr>
    </w:p>
    <w:p>
      <w:pPr>
        <w:ind w:left="460" w:right="1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ESG-related risks and climate change generally on our and our clients' businesses and operations; and</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and elsewhere in this Annual Report.</w:t>
      </w:r>
    </w:p>
    <w:p>
      <w:pPr>
        <w:spacing w:after="0" w:line="51"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98"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76" w:right="4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ind w:right="180" w:firstLine="382"/>
        <w:spacing w:after="0" w:line="331" w:lineRule="auto"/>
        <w:rPr>
          <w:sz w:val="20"/>
          <w:szCs w:val="20"/>
          <w:color w:val="auto"/>
        </w:rPr>
      </w:pPr>
      <w:r>
        <w:rPr>
          <w:rFonts w:ascii="Arial" w:cs="Arial" w:eastAsia="Arial" w:hAnsi="Arial"/>
          <w:sz w:val="12"/>
          <w:szCs w:val="12"/>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supporting the communities in which we live and work. This is our heritage, and it is as true today as when the Company was founded in 1914.</w:t>
      </w:r>
    </w:p>
    <w:p>
      <w:pPr>
        <w:spacing w:after="0" w:line="23"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 collaborative culture is an integral part of our unique operating model and encourages our people to bring a diversity of ideas and talent to every client engagement. Building on our legacy of passionate client service and guided by our long-term growth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93" w:lineRule="exact"/>
        <w:rPr>
          <w:sz w:val="20"/>
          <w:szCs w:val="20"/>
          <w:color w:val="auto"/>
        </w:rPr>
      </w:pPr>
    </w:p>
    <w:p>
      <w:pPr>
        <w:ind w:right="20" w:firstLine="382"/>
        <w:spacing w:after="0" w:line="313" w:lineRule="auto"/>
        <w:rPr>
          <w:sz w:val="20"/>
          <w:szCs w:val="20"/>
          <w:color w:val="auto"/>
        </w:rPr>
      </w:pPr>
      <w:r>
        <w:rPr>
          <w:rFonts w:ascii="Arial" w:cs="Arial" w:eastAsia="Arial" w:hAnsi="Arial"/>
          <w:sz w:val="12"/>
          <w:szCs w:val="12"/>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financial services, health and life sciences, energy, and technology.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 and Corporate Structure</w:t>
      </w:r>
    </w:p>
    <w:p>
      <w:pPr>
        <w:spacing w:after="0" w:line="98" w:lineRule="exact"/>
        <w:rPr>
          <w:sz w:val="20"/>
          <w:szCs w:val="20"/>
          <w:color w:val="auto"/>
        </w:rPr>
      </w:pPr>
    </w:p>
    <w:p>
      <w:pPr>
        <w:jc w:val="both"/>
        <w:ind w:right="80" w:firstLine="350"/>
        <w:spacing w:after="0" w:line="267" w:lineRule="auto"/>
        <w:rPr>
          <w:sz w:val="20"/>
          <w:szCs w:val="20"/>
          <w:color w:val="auto"/>
        </w:rPr>
      </w:pPr>
      <w:r>
        <w:rPr>
          <w:rFonts w:ascii="Arial" w:cs="Arial" w:eastAsia="Arial" w:hAnsi="Arial"/>
          <w:sz w:val="14"/>
          <w:szCs w:val="14"/>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24" w:lineRule="exact"/>
        <w:rPr>
          <w:sz w:val="20"/>
          <w:szCs w:val="20"/>
          <w:color w:val="auto"/>
        </w:rPr>
      </w:pPr>
    </w:p>
    <w:p>
      <w:pPr>
        <w:ind w:right="100" w:firstLine="350"/>
        <w:spacing w:after="0" w:line="258" w:lineRule="auto"/>
        <w:rPr>
          <w:sz w:val="20"/>
          <w:szCs w:val="20"/>
          <w:color w:val="auto"/>
        </w:rPr>
      </w:pPr>
      <w:r>
        <w:rPr>
          <w:rFonts w:ascii="Arial" w:cs="Arial" w:eastAsia="Arial" w:hAnsi="Arial"/>
          <w:sz w:val="14"/>
          <w:szCs w:val="14"/>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Institution and Operating Model</w:t>
      </w:r>
    </w:p>
    <w:p>
      <w:pPr>
        <w:spacing w:after="0" w:line="98"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company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46"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2022 on new and re-competed contracts of 64% and 90%, respectively, as compared to 56% and 88%, respectively, in fiscal 2021, demonstrate the strength of this approach.</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Human Capital</w:t>
      </w:r>
    </w:p>
    <w:p>
      <w:pPr>
        <w:spacing w:after="0" w:line="98"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i w:val="1"/>
          <w:iCs w:val="1"/>
          <w:color w:val="auto"/>
        </w:rPr>
        <w:t>Purpose and Values</w:t>
      </w:r>
      <w:r>
        <w:rPr>
          <w:rFonts w:ascii="Arial" w:cs="Arial" w:eastAsia="Arial" w:hAnsi="Arial"/>
          <w:sz w:val="14"/>
          <w:szCs w:val="14"/>
          <w:color w:val="auto"/>
        </w:rPr>
        <w:t>. As one of the first organizations in the United States to adopt a formal code of business ethics, we have always believed that doing what is right and holding ourselves and</w:t>
      </w:r>
      <w:r>
        <w:rPr>
          <w:rFonts w:ascii="Arial" w:cs="Arial" w:eastAsia="Arial" w:hAnsi="Arial"/>
          <w:sz w:val="14"/>
          <w:szCs w:val="14"/>
          <w:i w:val="1"/>
          <w:iCs w:val="1"/>
          <w:color w:val="auto"/>
        </w:rPr>
        <w:t xml:space="preserve"> </w:t>
      </w:r>
      <w:r>
        <w:rPr>
          <w:rFonts w:ascii="Arial" w:cs="Arial" w:eastAsia="Arial" w:hAnsi="Arial"/>
          <w:sz w:val="14"/>
          <w:szCs w:val="14"/>
          <w:color w:val="auto"/>
        </w:rPr>
        <w:t>others accountable is the only way to do business. Our people exemplify our purpose to “empower people to change the world” and live our values:</w:t>
      </w:r>
    </w:p>
    <w:p>
      <w:pPr>
        <w:spacing w:after="0" w:line="47"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Ferocious Integrity: Do right; hold ourselves accountable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Unflinching Courage: Speak truth to power; maintain convictions; bring bold thinking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Passionate Service: Embrace the mission; build community through generosity; make meaningful connections; listen and act with empathy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Collective Ingenuity: Find the biggest problem and solve it; be resourceful and creative; seek to make the biggest difference; harness the power of diversity; be devoted to the team</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Champion’s Heart: Crave being the best; bring joy to the pursuit; learn from failure; compete with passion</w:t>
      </w:r>
    </w:p>
    <w:p>
      <w:pPr>
        <w:spacing w:after="0" w:line="9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i w:val="1"/>
          <w:iCs w:val="1"/>
          <w:color w:val="auto"/>
        </w:rPr>
        <w:t>Our People</w:t>
      </w:r>
      <w:r>
        <w:rPr>
          <w:rFonts w:ascii="Arial" w:cs="Arial" w:eastAsia="Arial" w:hAnsi="Arial"/>
          <w:sz w:val="13"/>
          <w:szCs w:val="13"/>
          <w:color w:val="auto"/>
        </w:rPr>
        <w:t>. Our ability to deliver lasting value and results to our clients has always been, and continues to be, a product of the strong character, expertise, and tremendous passion of our people.</w:t>
      </w:r>
      <w:r>
        <w:rPr>
          <w:rFonts w:ascii="Arial" w:cs="Arial" w:eastAsia="Arial" w:hAnsi="Arial"/>
          <w:sz w:val="13"/>
          <w:szCs w:val="13"/>
          <w:i w:val="1"/>
          <w:iCs w:val="1"/>
          <w:color w:val="auto"/>
        </w:rPr>
        <w:t xml:space="preserve"> </w:t>
      </w:r>
      <w:r>
        <w:rPr>
          <w:rFonts w:ascii="Arial" w:cs="Arial" w:eastAsia="Arial" w:hAnsi="Arial"/>
          <w:sz w:val="13"/>
          <w:szCs w:val="13"/>
          <w:color w:val="auto"/>
        </w:rPr>
        <w:t>Our approximately 29,300 employees solve hard problems by making our clients’ missions their own, combining decades of consulting and domain expertise with functional expertise in areas such as analytics, digital solutions, engineering, and cyber. Our talented people are supported by a culture of innovation, diversity, equity, and inclusion.</w:t>
      </w:r>
    </w:p>
    <w:p>
      <w:pPr>
        <w:spacing w:after="0" w:line="39"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i w:val="1"/>
          <w:iCs w:val="1"/>
          <w:color w:val="auto"/>
        </w:rPr>
        <w:t>Diversity, Equity, and Inclusion (DEI)</w:t>
      </w:r>
      <w:r>
        <w:rPr>
          <w:rFonts w:ascii="Arial" w:cs="Arial" w:eastAsia="Arial" w:hAnsi="Arial"/>
          <w:sz w:val="14"/>
          <w:szCs w:val="14"/>
          <w:color w:val="auto"/>
        </w:rPr>
        <w:t>. At Booz Allen, we are committed to enhancing opportunity for all our people to achieve their full potential. Our DEI Strategy &amp; Action Plan centers on</w:t>
      </w:r>
      <w:r>
        <w:rPr>
          <w:rFonts w:ascii="Arial" w:cs="Arial" w:eastAsia="Arial" w:hAnsi="Arial"/>
          <w:sz w:val="14"/>
          <w:szCs w:val="14"/>
          <w:i w:val="1"/>
          <w:iCs w:val="1"/>
          <w:color w:val="auto"/>
        </w:rPr>
        <w:t xml:space="preserve"> </w:t>
      </w:r>
      <w:r>
        <w:rPr>
          <w:rFonts w:ascii="Arial" w:cs="Arial" w:eastAsia="Arial" w:hAnsi="Arial"/>
          <w:sz w:val="14"/>
          <w:szCs w:val="14"/>
          <w:color w:val="auto"/>
        </w:rPr>
        <w:t>leading by example with transparency and inclusion, empowering potential by driving equitable access and outcomes, inspiring belonging and inclusion, and being a force for advancing equity. In 2020, building on our decades-long commitment to advancing diversity, equity, and inclusion, we added a heightened focus on racial and social equity with the launch of our Race and Social Equity Agenda focused on assessing our business practices and the impact on Black, Indigenous, and People of Color (BIPOC) individuals; increasing personal time and space for reflection and mental health; intensifying investment and accountability in BIPOC representation at all levels; accelerating our DEI learning and education programs; advancing social equity causes; and making racial and social equity a major element of our corporate philanthropy.</w:t>
      </w:r>
    </w:p>
    <w:p>
      <w:pPr>
        <w:spacing w:after="0" w:line="65"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We foster the spirit of innovation and inclusion at Booz Allen through business opportunities, events, partnerships, programs, and tools that facilitate collaboration to tackle a common challenge or pitch new products and capabilities. It is the diversity of our employees that fuels this innovation and enhances the way we work by bringing a wealth of experiences and expertise to any challenge. We celebrate difference in all forms, building an environment of diversity, equity, and inclusion regardless of ethnicity, religion, gender, sexual orientation, age, or disability. Our Business Resource Groups, which are executive-sponsored organizations that any Booz Allen employee can join, illustrate our devotion to DEI by cultivating meaningful networks and development opportunities across locations, job roles, levels, and functional expertise; celebrating inclusive action through recognition programs; and attracting diverse talent to Booz Allen.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March 31, 2022, based upon voluntary self-reporting:</w:t>
      </w:r>
    </w:p>
    <w:p>
      <w:pPr>
        <w:spacing w:after="0" w:line="94"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36% of our global workforce identified as female, including 35% of senior management and 67% of executive leadership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32% of our U.S. workforce identified as BIPOC, including 19% of senior management and 22% of executive leadership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Nearly 28% of our employees are veterans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89% of our employees hold bachelor’s degrees; approximately 42% hold master’s degrees; and approximately 4% hold doctoral degrees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67% of our employees hold security clearances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new employee hires, 32% globally identified as female and 38% in the U.S. identified as BIPOC</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employee departures, 34% globally identified as female and 36% in the U.S. identified as BIPOC</w:t>
      </w:r>
    </w:p>
    <w:p>
      <w:pPr>
        <w:spacing w:after="0" w:line="94"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i w:val="1"/>
          <w:iCs w:val="1"/>
          <w:color w:val="auto"/>
        </w:rPr>
        <w:t>Talent Acquisition and Development</w:t>
      </w:r>
      <w:r>
        <w:rPr>
          <w:rFonts w:ascii="Arial" w:cs="Arial" w:eastAsia="Arial" w:hAnsi="Arial"/>
          <w:sz w:val="13"/>
          <w:szCs w:val="13"/>
          <w:color w:val="auto"/>
        </w:rPr>
        <w:t>. We attract and retain the best people by providing them with opportunities to grow, build skills, and be appreciated for their contributions as they work on</w:t>
      </w:r>
      <w:r>
        <w:rPr>
          <w:rFonts w:ascii="Arial" w:cs="Arial" w:eastAsia="Arial" w:hAnsi="Arial"/>
          <w:sz w:val="13"/>
          <w:szCs w:val="13"/>
          <w:i w:val="1"/>
          <w:iCs w:val="1"/>
          <w:color w:val="auto"/>
        </w:rPr>
        <w:t xml:space="preserve"> </w:t>
      </w:r>
      <w:r>
        <w:rPr>
          <w:rFonts w:ascii="Arial" w:cs="Arial" w:eastAsia="Arial" w:hAnsi="Arial"/>
          <w:sz w:val="13"/>
          <w:szCs w:val="13"/>
          <w:color w:val="auto"/>
        </w:rPr>
        <w:t>our clients’ toughest challenges. We continuously invest in elements of our employee value proposition to ensure we remain an employer of choice in a highly competitive talent marketplace.</w:t>
      </w:r>
    </w:p>
    <w:p>
      <w:pPr>
        <w:spacing w:after="0" w:line="37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ind w:right="220" w:firstLine="318"/>
        <w:spacing w:after="0" w:line="275" w:lineRule="auto"/>
        <w:rPr>
          <w:sz w:val="20"/>
          <w:szCs w:val="20"/>
          <w:color w:val="auto"/>
        </w:rPr>
      </w:pPr>
      <w:r>
        <w:rPr>
          <w:rFonts w:ascii="Arial" w:cs="Arial" w:eastAsia="Arial" w:hAnsi="Arial"/>
          <w:sz w:val="14"/>
          <w:szCs w:val="14"/>
          <w:color w:val="auto"/>
        </w:rPr>
        <w:t>Our Total Rewards program shows our appreciation for our employeesʼ contributions, provides them with opportunities and choice, supports well-being, and helps them navigate work-life integration. To support a resilient, high-performing workforce, we invest in financial, emotional, and physical wellness. We offer financial and non-financial benefits and incentives built to expand our employees’ life pursuits, such as continuous learning through mentoring, upskilling and reskilling programs, including Company-funded FlexEd opportunities; paid and unpaid parental leave options for birth and adoptive primary and secondary caregivers; paid time off and holidays; and civic responsibilities leave.</w:t>
      </w:r>
    </w:p>
    <w:p>
      <w:pPr>
        <w:spacing w:after="0" w:line="51"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Our employee value proposition creates a virtuous circle in which our employees know they are making a difference while growing their careers, which furthers their commitment to Booz Allen and in turn makes them ambassadors for future talent. Booz Allen has always recognized the importance of our people and culture, and we continue to build on that strong legacy as we support our employees to meet their full potential.</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Employee Engagement</w:t>
      </w:r>
      <w:r>
        <w:rPr>
          <w:rFonts w:ascii="Arial" w:cs="Arial" w:eastAsia="Arial" w:hAnsi="Arial"/>
          <w:sz w:val="13"/>
          <w:szCs w:val="13"/>
          <w:color w:val="auto"/>
        </w:rPr>
        <w:t>. We conduct an annual Employee Experience Survey, which measures, among other factors, our employees’ impression of the inclusiveness of our work environment.</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The survey results provide insights into how employees experience Booz Allen and our culture, helping our leaders better understand areas of opportunity and areas for greater attention.</w:t>
      </w:r>
    </w:p>
    <w:p>
      <w:pPr>
        <w:spacing w:after="0" w:line="95"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In fiscal 2022, we saw the impact of our COVID-19 response efforts on the well-being of our employees and clients, and we continued to focus our attention on keeping each other, our families, and our clients safe; supporting our clients’ vital missions; and protecting our business. We engaged with employees to understand how we could best help them, including maintaining a robust benefits program, financial and job security, enhanced caregiver support, and telework resources.</w:t>
      </w:r>
    </w:p>
    <w:p>
      <w:pPr>
        <w:spacing w:after="0" w:line="57"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i w:val="1"/>
          <w:iCs w:val="1"/>
          <w:color w:val="auto"/>
        </w:rPr>
        <w:t>Community Engagement</w:t>
      </w:r>
      <w:r>
        <w:rPr>
          <w:rFonts w:ascii="Arial" w:cs="Arial" w:eastAsia="Arial" w:hAnsi="Arial"/>
          <w:sz w:val="14"/>
          <w:szCs w:val="14"/>
          <w:color w:val="auto"/>
        </w:rPr>
        <w:t>. Our community engagement efforts bring our corporate purpose to life, empowering our people to change their worlds, deploying Booz Allen's capabilities to make a</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difference in the places where we live and work. We maintain strong connections to these communities—creating positive impact through outreach, recruitment, advocacy, philanthropy, pro bono service, and volunteerism—all with a focus on creating pathways to resilience by connecting people, organizations, and communities with transformational innovation and technological solutions that power human potential and create a secure future for all.</w:t>
      </w:r>
    </w:p>
    <w:p>
      <w:pPr>
        <w:spacing w:after="0" w:line="61" w:lineRule="exact"/>
        <w:rPr>
          <w:sz w:val="20"/>
          <w:szCs w:val="20"/>
          <w:color w:val="auto"/>
        </w:rPr>
      </w:pPr>
    </w:p>
    <w:p>
      <w:pPr>
        <w:ind w:firstLine="318"/>
        <w:spacing w:after="0" w:line="331" w:lineRule="auto"/>
        <w:rPr>
          <w:sz w:val="20"/>
          <w:szCs w:val="20"/>
          <w:color w:val="auto"/>
        </w:rPr>
      </w:pPr>
      <w:r>
        <w:rPr>
          <w:rFonts w:ascii="Arial" w:cs="Arial" w:eastAsia="Arial" w:hAnsi="Arial"/>
          <w:sz w:val="12"/>
          <w:szCs w:val="12"/>
          <w:color w:val="auto"/>
        </w:rPr>
        <w:t>Our community engagement activities enhance our impact on society and create meaningful opportunities for our employees, who cite these programs as a source of pride and connection to Booz Allen. We take steps through oversight, technology solutions, and enterprise-wide policies to mitigate any business risks that could arise through these activities. To this end, we seek to affiliate only with organizations that are responsible stewards of corporate and employee contributions of time and money and that share our values, such as our commitment to diversity, equity, and inclusion.</w:t>
      </w:r>
    </w:p>
    <w:p>
      <w:pPr>
        <w:spacing w:after="0" w:line="23" w:lineRule="exact"/>
        <w:rPr>
          <w:sz w:val="20"/>
          <w:szCs w:val="20"/>
          <w:color w:val="auto"/>
        </w:rPr>
      </w:pPr>
    </w:p>
    <w:p>
      <w:pPr>
        <w:ind w:right="120" w:firstLine="318"/>
        <w:spacing w:after="0" w:line="257" w:lineRule="auto"/>
        <w:rPr>
          <w:sz w:val="20"/>
          <w:szCs w:val="20"/>
          <w:color w:val="auto"/>
        </w:rPr>
      </w:pPr>
      <w:r>
        <w:rPr>
          <w:rFonts w:ascii="Arial" w:cs="Arial" w:eastAsia="Arial" w:hAnsi="Arial"/>
          <w:sz w:val="14"/>
          <w:szCs w:val="14"/>
          <w:i w:val="1"/>
          <w:iCs w:val="1"/>
          <w:color w:val="auto"/>
        </w:rPr>
        <w:t>Awards and Recognition</w:t>
      </w:r>
      <w:r>
        <w:rPr>
          <w:rFonts w:ascii="Arial" w:cs="Arial" w:eastAsia="Arial" w:hAnsi="Arial"/>
          <w:sz w:val="14"/>
          <w:szCs w:val="14"/>
          <w:color w:val="auto"/>
        </w:rPr>
        <w:t>. The importance we place on our people continues to receive external recognition. Ethisphere, a global leader in defining and advancing ethical business practices, has</w:t>
      </w:r>
      <w:r>
        <w:rPr>
          <w:rFonts w:ascii="Arial" w:cs="Arial" w:eastAsia="Arial" w:hAnsi="Arial"/>
          <w:sz w:val="14"/>
          <w:szCs w:val="14"/>
          <w:i w:val="1"/>
          <w:iCs w:val="1"/>
          <w:color w:val="auto"/>
        </w:rPr>
        <w:t xml:space="preserve"> </w:t>
      </w:r>
      <w:r>
        <w:rPr>
          <w:rFonts w:ascii="Arial" w:cs="Arial" w:eastAsia="Arial" w:hAnsi="Arial"/>
          <w:sz w:val="14"/>
          <w:szCs w:val="14"/>
          <w:color w:val="auto"/>
        </w:rPr>
        <w:t>once again recognized Booz Allen as one of the World’s Most Ethical Companies. For the twelfth consecutive year, Booz Allen has received a perfect score on the Corporate Equality Index, a national benchmarking survey on corporate policies and practices related to LGBTQ workplace equality administered by the Human Rights Campaign Foundation, as well as designation as a “Best Place to Work for LGBTQ+ Equality.” In addition, for the seventh consecutive year, Booz Allen received a perfect score on the Disability Equality Index and has been named a Disability Equality Index “Best Place to Work for Disability Inclusion.” Our inclusive culture has been further recognized by Military Spouse as “Top 10 Military Spouse Friendly Employers,” by Military Times as “Best for Vets,” on the “Working Mother Top 100,” and by Forbes as a “Best Employer for Veterans,” a “Best Employer for Diversity,” and a “Best Employer for Women.” Since 2005, we have had more than 100 employees recognized for the Black Engineer of the Year Award as Modern Day Technology Leaders. We were also proud recipients of the Washington Business Journal’s Corporate Philanthropy Award.</w:t>
      </w:r>
    </w:p>
    <w:p>
      <w:pPr>
        <w:spacing w:after="0" w:line="64"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We have also been honored with industry awards that showcase our employer brand, including recognition by Forbes as one of “America’s Best Large Employers” and a “Best Management Consulting Firm,” achieving an eleventh consecutive year as one of Fortune’s “World’s Most Admired Companies,” receipt of the U.S. Small Business Association’s Dwight D. Eisenhower “Award for Excellence,” #4 ranked on Vault’s Consulting 50 and in the top 10 of Vault’s Most Prestigious Consulting Firms, #4 ranked “Best Places to Work in IT” by Computer World and Insider Pro, and #22 ranked “Largest Global Defense Contractor” by Defense News.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Functional Service Offerings</w:t>
      </w:r>
    </w:p>
    <w:p>
      <w:pPr>
        <w:spacing w:after="0" w:line="98"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We offer five functional service offerings supported by continued investment and innovation that drive our capacity to meet market demand today and into the future. We provide a range of technical capabilities that have had an enduring impact for our clients, our people, and the communities where we live and work.</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8" w:name="page9"/>
    <w:bookmarkEnd w:id="8"/>
    <w:p>
      <w:pPr>
        <w:ind w:left="320"/>
        <w:spacing w:after="0"/>
        <w:rPr>
          <w:sz w:val="20"/>
          <w:szCs w:val="20"/>
          <w:color w:val="auto"/>
        </w:rPr>
      </w:pPr>
      <w:r>
        <w:rPr>
          <w:rFonts w:ascii="Arial" w:cs="Arial" w:eastAsia="Arial" w:hAnsi="Arial"/>
          <w:sz w:val="14"/>
          <w:szCs w:val="14"/>
          <w:color w:val="auto"/>
        </w:rPr>
        <w:t>Our functional service offerings are summarized below:</w:t>
      </w:r>
    </w:p>
    <w:p>
      <w:pPr>
        <w:spacing w:after="0" w:line="94" w:lineRule="exact"/>
        <w:rPr>
          <w:sz w:val="20"/>
          <w:szCs w:val="20"/>
          <w:color w:val="auto"/>
        </w:rPr>
      </w:pPr>
    </w:p>
    <w:p>
      <w:pPr>
        <w:ind w:left="520" w:hanging="260"/>
        <w:spacing w:after="0" w:line="288"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Analytics </w:t>
      </w:r>
      <w:r>
        <w:rPr>
          <w:rFonts w:ascii="Arial" w:cs="Arial" w:eastAsia="Arial" w:hAnsi="Arial"/>
          <w:sz w:val="13"/>
          <w:szCs w:val="13"/>
          <w:color w:val="auto"/>
        </w:rPr>
        <w:t>focuses on transformational solutions that deliver ethical and responsible outcomes in the areas of artificial intelligence (AI), such as machine learning (ML), deep learning; data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science, such as data engineering and predictive modeling; automation and decision analytics; and emerging areas, such as quantum computing. We pioneer holistic approaches to apply these technologies to create and sustain data-driven organizations, with a focus not only on data and technology, but also the people and culture, to drive real outcomes. We act as our clients' trusted advisor, assisting them with building and operationalizing scalable analytics and AI systems based on our deep experience in a complex and evolving AI landscape.</w:t>
      </w:r>
    </w:p>
    <w:p>
      <w:pPr>
        <w:spacing w:after="0" w:line="88" w:lineRule="exact"/>
        <w:rPr>
          <w:rFonts w:ascii="Arial" w:cs="Arial" w:eastAsia="Arial" w:hAnsi="Arial"/>
          <w:sz w:val="13"/>
          <w:szCs w:val="13"/>
          <w:color w:val="auto"/>
        </w:rPr>
      </w:pPr>
    </w:p>
    <w:p>
      <w:pPr>
        <w:ind w:left="520" w:right="60" w:hanging="260"/>
        <w:spacing w:after="0" w:line="262"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Digital Solutions </w:t>
      </w:r>
      <w:r>
        <w:rPr>
          <w:rFonts w:ascii="Arial" w:cs="Arial" w:eastAsia="Arial" w:hAnsi="Arial"/>
          <w:sz w:val="14"/>
          <w:szCs w:val="14"/>
          <w:color w:val="auto"/>
        </w:rPr>
        <w:t>combines the power of modern systems development techniques and cloud platforms with the power of ML to transform customer and mission experiences. We blend in-depth client mission understanding and digital technical expertise with a consultative approach. We develop, design, and implement powerful solutions built on contemporary methodologies and modern architectures. We accelerate clients to open, cloud native environments, where capability can be securely developed and deployed at scale, and effort allocated toward data management challenges is redirected to analysis and insights.</w:t>
      </w:r>
    </w:p>
    <w:p>
      <w:pPr>
        <w:spacing w:after="0" w:line="60" w:lineRule="exact"/>
        <w:rPr>
          <w:rFonts w:ascii="Arial" w:cs="Arial" w:eastAsia="Arial" w:hAnsi="Arial"/>
          <w:sz w:val="14"/>
          <w:szCs w:val="14"/>
          <w:color w:val="auto"/>
        </w:rPr>
      </w:pPr>
    </w:p>
    <w:p>
      <w:pPr>
        <w:ind w:left="520" w:right="60" w:hanging="260"/>
        <w:spacing w:after="0" w:line="297" w:lineRule="auto"/>
        <w:tabs>
          <w:tab w:leader="none" w:pos="516" w:val="left"/>
        </w:tabs>
        <w:numPr>
          <w:ilvl w:val="0"/>
          <w:numId w:val="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Engineering </w:t>
      </w:r>
      <w:r>
        <w:rPr>
          <w:rFonts w:ascii="Arial" w:cs="Arial" w:eastAsia="Arial" w:hAnsi="Arial"/>
          <w:sz w:val="13"/>
          <w:szCs w:val="13"/>
          <w:color w:val="auto"/>
        </w:rPr>
        <w:t>delivers engineering services and solutions to define, develop, implement, sustain, and modernize complex physical systems. We leverage mature engineering methodologies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solve our clients' most complex problems. We bring a holistic understanding of client needs and technical strategy as well as policy experts to deliver purpose-fit solutions to problems. Our engineering capabilities include external industry standard certifications, such as International Organization for Standardization 90001 and AS9100.</w:t>
      </w:r>
    </w:p>
    <w:p>
      <w:pPr>
        <w:spacing w:after="0" w:line="39" w:lineRule="exact"/>
        <w:rPr>
          <w:rFonts w:ascii="Arial" w:cs="Arial" w:eastAsia="Arial" w:hAnsi="Arial"/>
          <w:sz w:val="13"/>
          <w:szCs w:val="13"/>
          <w:color w:val="auto"/>
        </w:rPr>
      </w:pPr>
    </w:p>
    <w:p>
      <w:pPr>
        <w:ind w:left="520" w:right="80" w:hanging="260"/>
        <w:spacing w:after="0" w:line="26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Cyber </w:t>
      </w:r>
      <w:r>
        <w:rPr>
          <w:rFonts w:ascii="Arial" w:cs="Arial" w:eastAsia="Arial" w:hAnsi="Arial"/>
          <w:sz w:val="14"/>
          <w:szCs w:val="14"/>
          <w:color w:val="auto"/>
        </w:rPr>
        <w:t>focuses on active prevention, detection, and cost effectiveness. Active prevention includes methods of securing platforms and enterprises against cyber-attacks. Detection is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instrumentation of networks to provide lead indicators of penetrations. Cost effectiveness includes our integrated engineering capabilities. Our cyber capabilities are rooted in decades of service to the U.S. federal intelligence community and today afford us the opportunity to maintain technical expertise in network security. With decades of mission intelligence combined with the most advanced tools available, we help clients understand the business value of cyber risk management and prepare for future cybersecurity needs with a lens toward efficiency and effectiveness.</w:t>
      </w:r>
    </w:p>
    <w:p>
      <w:pPr>
        <w:spacing w:after="0" w:line="61" w:lineRule="exact"/>
        <w:rPr>
          <w:rFonts w:ascii="Arial" w:cs="Arial" w:eastAsia="Arial" w:hAnsi="Arial"/>
          <w:sz w:val="14"/>
          <w:szCs w:val="14"/>
          <w:color w:val="auto"/>
        </w:rPr>
      </w:pPr>
    </w:p>
    <w:p>
      <w:pPr>
        <w:ind w:left="520" w:right="420" w:hanging="260"/>
        <w:spacing w:after="0" w:line="267"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Consulting </w:t>
      </w:r>
      <w:r>
        <w:rPr>
          <w:rFonts w:ascii="Arial" w:cs="Arial" w:eastAsia="Arial" w:hAnsi="Arial"/>
          <w:sz w:val="14"/>
          <w:szCs w:val="14"/>
          <w:color w:val="auto"/>
        </w:rPr>
        <w:t>focuses on the talent and expertise needed to solve client problems and develop mission-oriented solutions for specific domains, business strategies, human capital,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operations through new and innovative approaches. We help clients boost organizational performance, deploy new technologies in smart ways, and change and streamline processes to achieve better outcomes.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Innovation and Solutions</w:t>
      </w:r>
    </w:p>
    <w:p>
      <w:pPr>
        <w:spacing w:after="0" w:line="98"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firm's innovation engine is focused on harnessing our ability to identify and ride successive waves of emerging technologies, with the goal to amass a portfolio of differentiated and mission-centric technology businesses.</w:t>
      </w:r>
    </w:p>
    <w:p>
      <w:pPr>
        <w:spacing w:after="0" w:line="47"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We identify, assess, build, and deploy emerging technology solutions, while ensuring that our technical expertise is closely integrated with mission insight from across the business. Within the larger innovation ecosystem, we cultivate relationships through technology scouting, partnerships, and venturing to identify emerging technology with applicability to our clients' missions. We then incubate and prototype that technology against mission use cases to assess market readiness. Once proven, we focus on building capacity in emerging technology capabilities and solutions (such as AI, Cyber and 5G) in partnership with our business sectors. Throughout this innovation lifecycle, we are focused on advancing our solution engineering standards, the creation of reusable Intellectual Property/Intellectual Capital, and the application of new business and delivery models.</w:t>
      </w:r>
    </w:p>
    <w:p>
      <w:pPr>
        <w:spacing w:after="0" w:line="62"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To complement our innovation engine, we are deeply invested in cultivating and inspiring our technical talent. We lead programs to grow the firm's capacity in emerging technology skills and cultivate a vibrant technical community that fuels innovation for our client missions. We also maintain an active network of Innovation Centers and hubs that showcase our capabilities and solutions for clients, partners, and prospective talent to galvanize innovation with our clients and local communities.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Long-Term Growth Strategy</w:t>
      </w:r>
    </w:p>
    <w:p>
      <w:pPr>
        <w:spacing w:after="0" w:line="9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Vision 2020 was a comprehensive strategy to transform Booz Allen and create sustainable growth for the Company. We drove industry-leading organic revenue growth and enhanced margin expansion, empowered our people to apply both technology and deep functional expertise to client challenges, and migrated major parts of our portfolio to be more technical and closer to the center of our clients' missions.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9" w:name="page10"/>
    <w:bookmarkEnd w:id="9"/>
    <w:p>
      <w:pPr>
        <w:ind w:right="140" w:firstLine="318"/>
        <w:spacing w:after="0" w:line="319" w:lineRule="auto"/>
        <w:rPr>
          <w:sz w:val="20"/>
          <w:szCs w:val="20"/>
          <w:color w:val="auto"/>
        </w:rPr>
      </w:pPr>
      <w:r>
        <w:rPr>
          <w:rFonts w:ascii="Arial" w:cs="Arial" w:eastAsia="Arial" w:hAnsi="Arial"/>
          <w:sz w:val="12"/>
          <w:szCs w:val="12"/>
          <w:color w:val="auto"/>
        </w:rPr>
        <w:t>Our Company has grown in significant ways through Vision 2020, and the world around us continues to change at exponential speed. Competitive boundaries are shifting, public and private sector technology investments are accelerating, and the demand for highly-skilled technical talent far outpaces supply. Within this environment, our clients have become increasingly reliant on technology as missions become larger, more complex, and digitally driven. We must continue to evolve to ride the waves of change and lead our clients into a new era of digital transformation. Our capacity for change is a key ingredient of our success and we thoughtfully adjust our trajectory to stay ahead of the competition and anticipate the most mission-critical challenges for our clients.</w:t>
      </w:r>
    </w:p>
    <w:p>
      <w:pPr>
        <w:spacing w:after="0" w:line="30" w:lineRule="exact"/>
        <w:rPr>
          <w:sz w:val="20"/>
          <w:szCs w:val="20"/>
          <w:color w:val="auto"/>
        </w:rPr>
      </w:pPr>
    </w:p>
    <w:p>
      <w:pPr>
        <w:ind w:right="60" w:firstLine="318"/>
        <w:spacing w:after="0" w:line="321" w:lineRule="auto"/>
        <w:rPr>
          <w:sz w:val="20"/>
          <w:szCs w:val="20"/>
          <w:color w:val="auto"/>
        </w:rPr>
      </w:pPr>
      <w:r>
        <w:rPr>
          <w:rFonts w:ascii="Arial" w:cs="Arial" w:eastAsia="Arial" w:hAnsi="Arial"/>
          <w:sz w:val="13"/>
          <w:szCs w:val="13"/>
          <w:color w:val="auto"/>
        </w:rPr>
        <w:t>We know that continued growth requires operating with increased speed, agility, and scale in a rapidly changing, highly competitive, and increasingly technical environment. VoLT, our strategy for the next era of Booz Allen, will accelerate our growth by focusing on the powerful convergence of Velocity, Leadership, and Technology as the blueprint for transforming our firm.</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Velocity: Get There First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Leverage our mission knowledge to get to the future at speed and scale</w:t>
      </w:r>
    </w:p>
    <w:p>
      <w:pPr>
        <w:spacing w:after="0" w:line="94"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Double-down on innovation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Strategically use mergers and acquisitions and partnerships to build market positions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Make decisions closer to the needs of clients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Leadership: Transform with Conviction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Redefine mission leadership to stand apart in this new era</w:t>
      </w:r>
    </w:p>
    <w:p>
      <w:pPr>
        <w:spacing w:after="0" w:line="94"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Identify client needs ripe for hyper-growth</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Scale businesses at the nexus of mission and technology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Differentiate to Win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Put technology at the heart of the client mission to define the next generation of impact</w:t>
      </w:r>
    </w:p>
    <w:p>
      <w:pPr>
        <w:spacing w:after="0" w:line="94"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Use mission insights to develop solutions</w:t>
      </w:r>
    </w:p>
    <w:p>
      <w:pPr>
        <w:spacing w:after="0" w:line="93" w:lineRule="exact"/>
        <w:rPr>
          <w:rFonts w:ascii="Arial" w:cs="Arial" w:eastAsia="Arial" w:hAnsi="Arial"/>
          <w:sz w:val="14"/>
          <w:szCs w:val="14"/>
          <w:b w:val="1"/>
          <w:bCs w:val="1"/>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Identify, build, and scale next generation technology to transform mission</w:t>
      </w:r>
    </w:p>
    <w:p>
      <w:pPr>
        <w:spacing w:after="0" w:line="94" w:lineRule="exact"/>
        <w:rPr>
          <w:sz w:val="20"/>
          <w:szCs w:val="20"/>
          <w:color w:val="auto"/>
        </w:rPr>
      </w:pPr>
    </w:p>
    <w:p>
      <w:pPr>
        <w:ind w:right="20" w:firstLine="318"/>
        <w:spacing w:after="0" w:line="321" w:lineRule="auto"/>
        <w:rPr>
          <w:sz w:val="20"/>
          <w:szCs w:val="20"/>
          <w:color w:val="auto"/>
        </w:rPr>
      </w:pPr>
      <w:r>
        <w:rPr>
          <w:rFonts w:ascii="Arial" w:cs="Arial" w:eastAsia="Arial" w:hAnsi="Arial"/>
          <w:sz w:val="13"/>
          <w:szCs w:val="13"/>
          <w:color w:val="auto"/>
        </w:rPr>
        <w:t>With VoLT as the catalyst, our ambition is that by 2030 Booz Allen will be a market-leading mission partner for the U.S. government in the new digital environment, highly differentiated across a portfolio of scaled mission and technology businesses, and recognized for integrating, applying, and scaling technologies in the service of national mission priorities.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Clients</w:t>
      </w:r>
    </w:p>
    <w:p>
      <w:pPr>
        <w:spacing w:after="0" w:line="98"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Booz Allen is committed to solving our clients’ toughest challenges, and we work with a diverse base of public and private sector clients across a number of industries in the U.S. and internationally, operating at the intersection of technology and mission understanding.</w:t>
      </w:r>
    </w:p>
    <w:p>
      <w:pPr>
        <w:spacing w:after="0" w:line="4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4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Our government clients include nearly all of the cabinet-level departments of the U.S. government. We also serve large commercial clients across industries, including financial services, health and life sciences, energy, and technology to solve their hardest and most sophisticated cyber challenges. Internationally, we also serve a portfolio of U.S. and non-U.S. government and commercial clients.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Large Addressable Market</w:t>
      </w:r>
    </w:p>
    <w:p>
      <w:pPr>
        <w:spacing w:after="0" w:line="9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believe that the U.S. government is the world’s largest consumer of management and technology consulting services. According to the Congressional Budget Office and the U.S. Department of the Treasury, the U.S. government’s total spending for its fiscal year ended September 30, 2021 was $6.8 trillion. Memorandum baseline estimates for fiscal year 2021 indicate approximately $1.6 trillion was for discretionary budget authority, including $742 billion for the Department of Defense and intelligence community and $895 billion for civil agencies. Based on data from the Federal Procurement Data System, approximately $646 billion, including an estimated $52.7 billion in contract spending tied directly to the COVID-19 National Interest Action code (code P20C), of the U.S. government’s fiscal year 2021 discretionary outlays were non-intelligence agency funding-related products and services procured from private contractors. We estimate that $144.9 billion of the spending directed toward private contractors in U.S. government fiscal year 2021 was for management, technology, and engineering</w:t>
      </w: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0" w:name="page11"/>
    <w:bookmarkEnd w:id="10"/>
    <w:p>
      <w:pPr>
        <w:ind w:right="260"/>
        <w:spacing w:after="0" w:line="321" w:lineRule="auto"/>
        <w:rPr>
          <w:sz w:val="20"/>
          <w:szCs w:val="20"/>
          <w:color w:val="auto"/>
        </w:rPr>
      </w:pPr>
      <w:r>
        <w:rPr>
          <w:rFonts w:ascii="Arial" w:cs="Arial" w:eastAsia="Arial" w:hAnsi="Arial"/>
          <w:sz w:val="13"/>
          <w:szCs w:val="13"/>
          <w:color w:val="auto"/>
        </w:rPr>
        <w:t>services, with $76.9 billion spent by the Department of Defense and $68.0 billion spent by civil agencies. The agencies of the U.S. intelligence community that we serve represent an additional market. These numbers also exclude a large addressable market for our services and capabilities in the global commercial markets where we have a modest footprint.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Highlights of Booz Allen’s fiscal 2022 are as follows:</w:t>
      </w:r>
    </w:p>
    <w:p>
      <w:pPr>
        <w:spacing w:after="0" w:line="94"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derived 97% of our revenue from contracts where the end client was an agency or department of the U.S. government.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delivered services under 4,219 contracts and task orders.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derived 94% of our revenue in fiscal 2022 from engagements for which we acted as the prime contractor.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derived 13% of our revenue in fiscal 2022 from the Navy Marine Corps, which was the single largest client that we served in that year.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Selected Long-Term Client Relationships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86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93"/>
              </w:rPr>
              <w:t>Relationship</w:t>
            </w:r>
          </w:p>
        </w:tc>
        <w:tc>
          <w:tcPr>
            <w:tcW w:w="0" w:type="dxa"/>
            <w:vAlign w:val="bottom"/>
          </w:tcPr>
          <w:p>
            <w:pPr>
              <w:spacing w:after="0"/>
              <w:rPr>
                <w:sz w:val="1"/>
                <w:szCs w:val="1"/>
                <w:color w:val="auto"/>
              </w:rPr>
            </w:pPr>
          </w:p>
        </w:tc>
      </w:tr>
      <w:tr>
        <w:trPr>
          <w:trHeight w:val="106"/>
        </w:trPr>
        <w:tc>
          <w:tcPr>
            <w:tcW w:w="5860" w:type="dxa"/>
            <w:vAlign w:val="bottom"/>
            <w:vMerge w:val="restart"/>
          </w:tcPr>
          <w:p>
            <w:pPr>
              <w:spacing w:after="0"/>
              <w:rPr>
                <w:sz w:val="20"/>
                <w:szCs w:val="20"/>
                <w:color w:val="auto"/>
              </w:rPr>
            </w:pPr>
            <w:r>
              <w:rPr>
                <w:rFonts w:ascii="Arial" w:cs="Arial" w:eastAsia="Arial" w:hAnsi="Arial"/>
                <w:sz w:val="11"/>
                <w:szCs w:val="11"/>
                <w:b w:val="1"/>
                <w:bCs w:val="1"/>
                <w:color w:val="auto"/>
              </w:rPr>
              <w:t>Client (1)</w:t>
            </w:r>
          </w:p>
        </w:tc>
        <w:tc>
          <w:tcPr>
            <w:tcW w:w="14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Length</w:t>
            </w:r>
          </w:p>
        </w:tc>
        <w:tc>
          <w:tcPr>
            <w:tcW w:w="0" w:type="dxa"/>
            <w:vAlign w:val="bottom"/>
          </w:tcPr>
          <w:p>
            <w:pPr>
              <w:spacing w:after="0"/>
              <w:rPr>
                <w:sz w:val="1"/>
                <w:szCs w:val="1"/>
                <w:color w:val="auto"/>
              </w:rPr>
            </w:pPr>
          </w:p>
        </w:tc>
      </w:tr>
      <w:tr>
        <w:trPr>
          <w:trHeight w:val="147"/>
        </w:trPr>
        <w:tc>
          <w:tcPr>
            <w:tcW w:w="5860" w:type="dxa"/>
            <w:vAlign w:val="bottom"/>
            <w:vMerge w:val="continue"/>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(Years)</w:t>
            </w:r>
          </w:p>
        </w:tc>
        <w:tc>
          <w:tcPr>
            <w:tcW w:w="0" w:type="dxa"/>
            <w:vAlign w:val="bottom"/>
          </w:tcPr>
          <w:p>
            <w:pPr>
              <w:spacing w:after="0"/>
              <w:rPr>
                <w:sz w:val="1"/>
                <w:szCs w:val="1"/>
                <w:color w:val="auto"/>
              </w:rPr>
            </w:pPr>
          </w:p>
        </w:tc>
      </w:tr>
      <w:tr>
        <w:trPr>
          <w:trHeight w:val="172"/>
        </w:trPr>
        <w:tc>
          <w:tcPr>
            <w:tcW w:w="5860" w:type="dxa"/>
            <w:vAlign w:val="bottom"/>
          </w:tcPr>
          <w:p>
            <w:pPr>
              <w:spacing w:after="0"/>
              <w:rPr>
                <w:sz w:val="20"/>
                <w:szCs w:val="20"/>
                <w:color w:val="auto"/>
              </w:rPr>
            </w:pPr>
            <w:r>
              <w:rPr>
                <w:rFonts w:ascii="Arial" w:cs="Arial" w:eastAsia="Arial" w:hAnsi="Arial"/>
                <w:sz w:val="14"/>
                <w:szCs w:val="14"/>
                <w:color w:val="auto"/>
              </w:rPr>
              <w:t>U.S. Navy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U.S. Army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70+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Energy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U.S. Air Force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National Security Agency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Homeland Security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Federal Bureau of Investigation</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Internal Revenue Service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Health and Human Services</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National Reconnaissance Office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A U.S. intelligence agency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Includes predecessor organizations.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Defense Clients</w:t>
      </w:r>
    </w:p>
    <w:p>
      <w:pPr>
        <w:spacing w:after="0" w:line="94"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We are the premier digital integrator for the Department of Defense, blending decades of mission experience with state of-the-art AI/ML, next-generation data solutions, resilient communications, cyber, and advanced software development. We bring our defense clients the best cognitive mission solutions to achieve information advantage. As we operate in dynamic geo-political conditions, we design open architectures to avoid vendor lock, lower lifecycle cost, and maintain a technical edge to modernize, achieve interoperability, and win. Our technologists partner with our domain experts to build solutions that deliver the warfighter mission-critical information in today's digital battlespace, the fully networked conflict space extending across all warfighting domains.</w:t>
      </w:r>
    </w:p>
    <w:p>
      <w:pPr>
        <w:spacing w:after="0" w:line="62"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We count among our many defense clients all four branches of the U.S. military, the Office of the Secretary of Defense, and the Joint Staff. Our key defense clients include the Army, Navy/Marine Corps, Air Force, Space Force, and Joint Combatant Commands.</w:t>
      </w:r>
    </w:p>
    <w:p>
      <w:pPr>
        <w:spacing w:after="0" w:line="47"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Revenue generated from defense clients was $4.0 billion, or approximately 47.3% of our revenue, in fiscal 2022, as compared to $3.9 billion, or approximately 48.9% of our revenue, in fiscal 2021. Revenue generated from defense clients also includes foreign military sales and work performed under status of forces agreements to U.S. and non-U.S. government clients.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Intelligence Clients</w:t>
      </w:r>
    </w:p>
    <w:p>
      <w:pPr>
        <w:spacing w:after="0" w:line="9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We deliver innovative, high-value services, capabilities, and solutions that directly impact core national security missions across the Intelligence Community and national cyber mission providers. We leverage our knowledge of the mission and tailor our capabilities for our clients—our biggest driver is the demand for innovation, requiring us to be ahead of the pace of technology adoption. Technology is at the center of our clients' missions and ours—we are investing in emerging technologies like AI, zero trust cyber solutions, multi-cloud, and 5G to adapt ahead of adversaries. The national security workforce remains focused on what's next, blending cleared and uncleared talent across dispersed geographies, ensuring mission impact. Our combination of technology, innovation, and talent is helping to shape the future of our national security ecosystem.</w:t>
      </w:r>
    </w:p>
    <w:p>
      <w:pPr>
        <w:spacing w:after="0" w:line="200" w:lineRule="exact"/>
        <w:rPr>
          <w:sz w:val="20"/>
          <w:szCs w:val="20"/>
          <w:color w:val="auto"/>
        </w:rPr>
      </w:pP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18" w:right="459" w:bottom="1440" w:gutter="0" w:footer="0" w:header="0"/>
        </w:sectPr>
      </w:pPr>
    </w:p>
    <w:bookmarkStart w:id="11" w:name="page12"/>
    <w:bookmarkEnd w:id="11"/>
    <w:p>
      <w:pPr>
        <w:ind w:right="160" w:firstLine="318"/>
        <w:spacing w:after="0" w:line="281" w:lineRule="auto"/>
        <w:rPr>
          <w:sz w:val="20"/>
          <w:szCs w:val="20"/>
          <w:color w:val="auto"/>
        </w:rPr>
      </w:pPr>
      <w:r>
        <w:rPr>
          <w:rFonts w:ascii="Arial" w:cs="Arial" w:eastAsia="Arial" w:hAnsi="Arial"/>
          <w:sz w:val="14"/>
          <w:szCs w:val="14"/>
          <w:color w:val="auto"/>
        </w:rPr>
        <w:t>Our intelligence clients are the 18 organizations of the U.S. Intelligence Community, which includes independent agencies, the Department of Defense elements, such as the National Security Agency and Defense Intelligence Agency, and other departments or agencies.</w:t>
      </w:r>
    </w:p>
    <w:p>
      <w:pPr>
        <w:spacing w:after="0" w:line="47"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Revenue generated from intelligence clients was $1.6 billion, or approximately 18.8% of our revenue, in fiscal 2022 as compared to $1.5 billion, or approximately 19.7% of our revenue, in fiscal 2021.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Civil Clients</w:t>
      </w:r>
    </w:p>
    <w:p>
      <w:pPr>
        <w:spacing w:after="0" w:line="94" w:lineRule="exact"/>
        <w:rPr>
          <w:sz w:val="20"/>
          <w:szCs w:val="20"/>
          <w:color w:val="auto"/>
        </w:rPr>
      </w:pPr>
    </w:p>
    <w:p>
      <w:pPr>
        <w:ind w:right="220" w:firstLine="318"/>
        <w:spacing w:after="0" w:line="368" w:lineRule="auto"/>
        <w:rPr>
          <w:sz w:val="20"/>
          <w:szCs w:val="20"/>
          <w:color w:val="auto"/>
        </w:rPr>
      </w:pPr>
      <w:r>
        <w:rPr>
          <w:rFonts w:ascii="Arial" w:cs="Arial" w:eastAsia="Arial" w:hAnsi="Arial"/>
          <w:sz w:val="12"/>
          <w:szCs w:val="12"/>
          <w:color w:val="auto"/>
        </w:rPr>
        <w:t>Our civil work centers on the federal missions that are the highest priority to the domestic agenda, and we excel at helping our clients innovate their most-critical missions. From healthcare, homeland security, and financial services to justice, law enforcement, immigration, energy, transportation, and labor, we work at the core of the mission to address our clients' most pressing needs.</w:t>
      </w:r>
    </w:p>
    <w:p>
      <w:pPr>
        <w:spacing w:after="0" w:line="1" w:lineRule="exact"/>
        <w:rPr>
          <w:sz w:val="20"/>
          <w:szCs w:val="20"/>
          <w:color w:val="auto"/>
        </w:rPr>
      </w:pPr>
    </w:p>
    <w:p>
      <w:pPr>
        <w:ind w:right="100" w:firstLine="318"/>
        <w:spacing w:after="0" w:line="267" w:lineRule="auto"/>
        <w:rPr>
          <w:sz w:val="20"/>
          <w:szCs w:val="20"/>
          <w:color w:val="auto"/>
        </w:rPr>
      </w:pPr>
      <w:r>
        <w:rPr>
          <w:rFonts w:ascii="Arial" w:cs="Arial" w:eastAsia="Arial" w:hAnsi="Arial"/>
          <w:sz w:val="14"/>
          <w:szCs w:val="14"/>
          <w:color w:val="auto"/>
        </w:rPr>
        <w:t>Our major civil government clients include the Departments of Veterans Affairs, Health and Human Services, Treasury, Labor, Homeland Security, Justice, Energy, Commerce, and Transportation. Modernization, transformation, and reform are key needs of our clients, and we offer the technical expertise and mission understanding that is required to deliver innovative solutions to all our clients' needs across the civil portfolio.</w:t>
      </w:r>
    </w:p>
    <w:p>
      <w:pPr>
        <w:spacing w:after="0" w:line="57" w:lineRule="exact"/>
        <w:rPr>
          <w:sz w:val="20"/>
          <w:szCs w:val="20"/>
          <w:color w:val="auto"/>
        </w:rPr>
      </w:pPr>
    </w:p>
    <w:p>
      <w:pPr>
        <w:ind w:firstLine="318"/>
        <w:spacing w:after="0" w:line="379" w:lineRule="auto"/>
        <w:rPr>
          <w:sz w:val="20"/>
          <w:szCs w:val="20"/>
          <w:color w:val="auto"/>
        </w:rPr>
      </w:pPr>
      <w:r>
        <w:rPr>
          <w:rFonts w:ascii="Arial" w:cs="Arial" w:eastAsia="Arial" w:hAnsi="Arial"/>
          <w:sz w:val="14"/>
          <w:szCs w:val="14"/>
          <w:color w:val="auto"/>
        </w:rPr>
        <w:t xml:space="preserve">Revenue generated from civil clients was $2.6 billion, or approximately 31.3% of our revenue, in fiscal 2022, as compared to $2.2 billion, or approximately 27.8% of our revenue, in fiscal 2021. </w:t>
      </w:r>
      <w:r>
        <w:rPr>
          <w:rFonts w:ascii="Arial" w:cs="Arial" w:eastAsia="Arial" w:hAnsi="Arial"/>
          <w:sz w:val="14"/>
          <w:szCs w:val="14"/>
          <w:b w:val="1"/>
          <w:bCs w:val="1"/>
          <w:i w:val="1"/>
          <w:iCs w:val="1"/>
          <w:color w:val="auto"/>
        </w:rPr>
        <w:t>Global Commercial Clients</w:t>
      </w:r>
    </w:p>
    <w:p>
      <w:pPr>
        <w:spacing w:after="0" w:line="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Global Commercial business partners with clients, from sophisticated multinational organizations to small-to-medium organizations, to elevate their business to new heights. We deliver advanced cyber defense solutions across three industry leading lines of business: enterprise consulting, incident response, and managed services. Our team is led by practitioners with decades of cyber operational, strategic consulting, incident response, commercial, and federal experience. Our extensive industry expertise is earned through years of working with market leading clients in financial services, health and life sciences, software and technology, high tech manufacturing, logistics, and energy.</w:t>
      </w:r>
    </w:p>
    <w:p>
      <w:pPr>
        <w:spacing w:after="0" w:line="61"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Revenue generated from global commercial clients was $216.3 million, or approximately 2.6% of our revenue, in fiscal 2022, as compared to $205.8 million, or approximately 2.6% of our revenue, in fiscal 2021.</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Contracts</w:t>
      </w:r>
    </w:p>
    <w:p>
      <w:pPr>
        <w:spacing w:after="0" w:line="98" w:lineRule="exact"/>
        <w:rPr>
          <w:sz w:val="20"/>
          <w:szCs w:val="20"/>
          <w:color w:val="auto"/>
        </w:rPr>
      </w:pPr>
    </w:p>
    <w:p>
      <w:pPr>
        <w:ind w:right="160" w:firstLine="350"/>
        <w:spacing w:after="0" w:line="262" w:lineRule="auto"/>
        <w:rPr>
          <w:sz w:val="20"/>
          <w:szCs w:val="20"/>
          <w:color w:val="auto"/>
        </w:rPr>
      </w:pPr>
      <w:r>
        <w:rPr>
          <w:rFonts w:ascii="Arial" w:cs="Arial" w:eastAsia="Arial" w:hAnsi="Arial"/>
          <w:sz w:val="14"/>
          <w:szCs w:val="14"/>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79% of our revenue for fiscal 2022 was derived from 3,166 active task orders under IDIQ contract vehicles. Our top IDIQ contract vehicle represented approximately 12.0% of our revenue in fiscal 2022. Our largest task order under an IDIQ contract vehicle accounted for approximately 3.6% of our revenue in fiscal 2022. Our largest definite contract represented approximately 3.0% of our revenue in fiscal 2022.</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procures services through two predominant contracting methods: indefinite contract vehicles and definite contracts. Each of these is described below:</w:t>
      </w:r>
    </w:p>
    <w:p>
      <w:pPr>
        <w:spacing w:after="0" w:line="94" w:lineRule="exact"/>
        <w:rPr>
          <w:sz w:val="20"/>
          <w:szCs w:val="20"/>
          <w:color w:val="auto"/>
        </w:rPr>
      </w:pPr>
    </w:p>
    <w:p>
      <w:pPr>
        <w:ind w:left="520" w:right="60" w:hanging="260"/>
        <w:spacing w:after="0" w:line="313" w:lineRule="auto"/>
        <w:tabs>
          <w:tab w:leader="none" w:pos="516"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33" w:lineRule="exact"/>
        <w:rPr>
          <w:rFonts w:ascii="Arial" w:cs="Arial" w:eastAsia="Arial" w:hAnsi="Arial"/>
          <w:sz w:val="12"/>
          <w:szCs w:val="12"/>
          <w:color w:val="auto"/>
        </w:rPr>
      </w:pPr>
    </w:p>
    <w:p>
      <w:pPr>
        <w:ind w:left="520" w:right="100" w:hanging="260"/>
        <w:spacing w:after="0" w:line="26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Listed below are our top IDIQ contracts for fiscal 2022 and the number of active task orders under these contracts as of March 31, 2022</w:t>
      </w:r>
      <w:r>
        <w:rPr>
          <w:rFonts w:ascii="Arial" w:cs="Arial" w:eastAsia="Arial" w:hAnsi="Arial"/>
          <w:sz w:val="12"/>
          <w:szCs w:val="12"/>
          <w:color w:val="auto"/>
        </w:rPr>
        <w:t>.</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2" w:name="page13"/>
    <w:bookmarkEnd w:id="12"/>
    <w:tbl>
      <w:tblPr>
        <w:tblLayout w:type="fixed"/>
        <w:tblInd w:w="200" w:type="dxa"/>
        <w:tblCellMar>
          <w:top w:w="0" w:type="dxa"/>
          <w:left w:w="0" w:type="dxa"/>
          <w:bottom w:w="0" w:type="dxa"/>
          <w:right w:w="0" w:type="dxa"/>
        </w:tblCellMar>
      </w:tblPr>
      <w:tr>
        <w:trPr>
          <w:trHeight w:val="126"/>
        </w:trPr>
        <w:tc>
          <w:tcPr>
            <w:tcW w:w="52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 of</w:t>
            </w:r>
          </w:p>
        </w:tc>
        <w:tc>
          <w:tcPr>
            <w:tcW w:w="14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Number of</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220" w:type="dxa"/>
            <w:vAlign w:val="bottom"/>
          </w:tcPr>
          <w:p>
            <w:pPr>
              <w:spacing w:after="0"/>
              <w:rPr>
                <w:sz w:val="9"/>
                <w:szCs w:val="9"/>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9"/>
              </w:rPr>
              <w:t>Fiscal</w:t>
            </w:r>
          </w:p>
        </w:tc>
        <w:tc>
          <w:tcPr>
            <w:tcW w:w="1080" w:type="dxa"/>
            <w:vAlign w:val="bottom"/>
            <w:gridSpan w:val="2"/>
            <w:vMerge w:val="continue"/>
          </w:tcPr>
          <w:p>
            <w:pPr>
              <w:spacing w:after="0"/>
              <w:rPr>
                <w:sz w:val="9"/>
                <w:szCs w:val="9"/>
                <w:color w:val="auto"/>
              </w:rPr>
            </w:pPr>
          </w:p>
        </w:tc>
        <w:tc>
          <w:tcPr>
            <w:tcW w:w="140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3"/>
              </w:rPr>
              <w:t>Task Orders</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522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08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8"/>
              </w:rPr>
              <w:t>Total</w:t>
            </w:r>
          </w:p>
        </w:tc>
        <w:tc>
          <w:tcPr>
            <w:tcW w:w="140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5"/>
              </w:rPr>
              <w:t>as of</w:t>
            </w:r>
          </w:p>
        </w:tc>
        <w:tc>
          <w:tcPr>
            <w:tcW w:w="152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 xml:space="preserve">Expiration Date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2022 Revenue</w:t>
            </w:r>
          </w:p>
        </w:tc>
        <w:tc>
          <w:tcPr>
            <w:tcW w:w="10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Revenue</w:t>
            </w: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March 31, 2022</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5220" w:type="dxa"/>
            <w:vAlign w:val="bottom"/>
          </w:tcPr>
          <w:p>
            <w:pPr>
              <w:spacing w:after="0"/>
              <w:rPr>
                <w:sz w:val="12"/>
                <w:szCs w:val="12"/>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(in millions)</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One Acquisition Solution for Integrated Services</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9/2/2024</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Booz Allen Engineering Services - Alliant</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650.5</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7.8%</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42</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4/30/2019</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Booz Allen Engineering Services - Alliant 2</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611.4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6/30/2028</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Transformation Twenty-One Total Technology Next Generation</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519.1</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6.2%</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3/6/2026</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Information Technology Schedule 70 (Successor)</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348.7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6/28/2036</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Professional Services Schedule</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345.8</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4.1%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9/30/2035</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DTIC Information Analysis Center Multiple Award Contract</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298.7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3.6%</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9/29/2027</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System Engineering and Analysis/Advanced Technology Support</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280.4</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3.4%</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12/31/2019</w:t>
            </w:r>
          </w:p>
        </w:tc>
        <w:tc>
          <w:tcPr>
            <w:tcW w:w="0" w:type="dxa"/>
            <w:vAlign w:val="bottom"/>
          </w:tcPr>
          <w:p>
            <w:pPr>
              <w:spacing w:after="0"/>
              <w:rPr>
                <w:sz w:val="1"/>
                <w:szCs w:val="1"/>
                <w:color w:val="auto"/>
              </w:rPr>
            </w:pP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Seaport Next Generation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233.0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1/1/2029</w:t>
            </w: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Chief Information Officer - Solutions &amp; Partners 3</w:t>
            </w:r>
          </w:p>
        </w:tc>
        <w:tc>
          <w:tcPr>
            <w:tcW w:w="1560" w:type="dxa"/>
            <w:vAlign w:val="bottom"/>
          </w:tcPr>
          <w:p>
            <w:pPr>
              <w:jc w:val="center"/>
              <w:spacing w:after="0"/>
              <w:rPr>
                <w:sz w:val="20"/>
                <w:szCs w:val="20"/>
                <w:color w:val="auto"/>
              </w:rPr>
            </w:pPr>
            <w:r>
              <w:rPr>
                <w:rFonts w:ascii="Arial" w:cs="Arial" w:eastAsia="Arial" w:hAnsi="Arial"/>
                <w:sz w:val="14"/>
                <w:szCs w:val="14"/>
                <w:color w:val="auto"/>
                <w:w w:val="91"/>
              </w:rPr>
              <w:t>223.5</w:t>
            </w: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2.7%</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5/31/2022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 Expiration date applies to the IDIQ vehicle. Task orders awarded under the IDIQ can run past the expiration of the IDIQ itself.</w:t>
      </w:r>
    </w:p>
    <w:p>
      <w:pPr>
        <w:spacing w:after="0" w:line="94"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Listed below for each specified revenue band is the number of task orders, revenue derived from the task orders, and average duration of the task orders as of March 31, 2022. The table includes revenue earned during fiscal 2022 under all task orders that were active during fiscal 2022 under these IDIQ contracts and the number of active task orders on which this revenue was earned. Average duration reflected in the table below is calculated based on the inception date of the task order, which may be prior to the beginning of fiscal 2022, and the completion date which may have been prior or subsequent to March 31, 2022. As a result, the actual average remaining duration for task orders included in this table may be less than the average duration shown in the table, and task orders included in the table may have been complete on March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Number of Task</w:t>
            </w:r>
          </w:p>
        </w:tc>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5"/>
              </w:rPr>
              <w:t>% of Total</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06"/>
        </w:trPr>
        <w:tc>
          <w:tcPr>
            <w:tcW w:w="38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Segmentation of Task Order by Revenue Fiscal 2022</w:t>
            </w:r>
          </w:p>
        </w:tc>
        <w:tc>
          <w:tcPr>
            <w:tcW w:w="17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Orders Active During Fiscal</w:t>
            </w:r>
          </w:p>
        </w:tc>
        <w:tc>
          <w:tcPr>
            <w:tcW w:w="1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8"/>
              </w:rPr>
              <w:t>Fiscal 2022 Revenue (in millions)</w:t>
            </w:r>
          </w:p>
        </w:tc>
        <w:tc>
          <w:tcPr>
            <w:tcW w:w="1720" w:type="dxa"/>
            <w:vAlign w:val="bottom"/>
            <w:gridSpan w:val="2"/>
            <w:vMerge w:val="continue"/>
          </w:tcPr>
          <w:p>
            <w:pPr>
              <w:spacing w:after="0"/>
              <w:rPr>
                <w:sz w:val="9"/>
                <w:szCs w:val="9"/>
                <w:color w:val="auto"/>
              </w:rPr>
            </w:pPr>
          </w:p>
        </w:tc>
        <w:tc>
          <w:tcPr>
            <w:tcW w:w="166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7"/>
              </w:rPr>
              <w:t>Duration</w:t>
            </w:r>
          </w:p>
        </w:tc>
        <w:tc>
          <w:tcPr>
            <w:tcW w:w="0" w:type="dxa"/>
            <w:vAlign w:val="bottom"/>
          </w:tcPr>
          <w:p>
            <w:pPr>
              <w:spacing w:after="0"/>
              <w:rPr>
                <w:sz w:val="1"/>
                <w:szCs w:val="1"/>
                <w:color w:val="auto"/>
              </w:rPr>
            </w:pPr>
          </w:p>
        </w:tc>
      </w:tr>
      <w:tr>
        <w:trPr>
          <w:trHeight w:val="148"/>
        </w:trPr>
        <w:tc>
          <w:tcPr>
            <w:tcW w:w="3880" w:type="dxa"/>
            <w:vAlign w:val="bottom"/>
            <w:vMerge w:val="continue"/>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Revenue</w:t>
            </w:r>
          </w:p>
        </w:tc>
        <w:tc>
          <w:tcPr>
            <w:tcW w:w="1660" w:type="dxa"/>
            <w:vAlign w:val="bottom"/>
          </w:tcPr>
          <w:p>
            <w:pPr>
              <w:jc w:val="center"/>
              <w:spacing w:after="0"/>
              <w:rPr>
                <w:sz w:val="20"/>
                <w:szCs w:val="20"/>
                <w:color w:val="auto"/>
              </w:rPr>
            </w:pPr>
            <w:r>
              <w:rPr>
                <w:rFonts w:ascii="Arial" w:cs="Arial" w:eastAsia="Arial" w:hAnsi="Arial"/>
                <w:sz w:val="11"/>
                <w:szCs w:val="11"/>
                <w:b w:val="1"/>
                <w:bCs w:val="1"/>
                <w:color w:val="auto"/>
                <w:w w:val="91"/>
              </w:rPr>
              <w:t>(Years)</w:t>
            </w:r>
          </w:p>
        </w:tc>
        <w:tc>
          <w:tcPr>
            <w:tcW w:w="0" w:type="dxa"/>
            <w:vAlign w:val="bottom"/>
          </w:tcPr>
          <w:p>
            <w:pPr>
              <w:spacing w:after="0"/>
              <w:rPr>
                <w:sz w:val="1"/>
                <w:szCs w:val="1"/>
                <w:color w:val="auto"/>
              </w:rPr>
            </w:pPr>
          </w:p>
        </w:tc>
      </w:tr>
      <w:tr>
        <w:trPr>
          <w:trHeight w:val="140"/>
        </w:trPr>
        <w:tc>
          <w:tcPr>
            <w:tcW w:w="388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 million</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2,368</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$399.2</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Between $1 million and $3 million</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407</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85"/>
              </w:rPr>
              <w:t>723.9</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Between $3 million and $5 million</w:t>
            </w: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139</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533.8</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180"/>
        </w:trPr>
        <w:tc>
          <w:tcPr>
            <w:tcW w:w="3880" w:type="dxa"/>
            <w:vAlign w:val="bottom"/>
          </w:tcPr>
          <w:p>
            <w:pPr>
              <w:ind w:left="20"/>
              <w:spacing w:after="0"/>
              <w:rPr>
                <w:sz w:val="20"/>
                <w:szCs w:val="20"/>
                <w:color w:val="auto"/>
              </w:rPr>
            </w:pPr>
            <w:r>
              <w:rPr>
                <w:rFonts w:ascii="Arial" w:cs="Arial" w:eastAsia="Arial" w:hAnsi="Arial"/>
                <w:sz w:val="14"/>
                <w:szCs w:val="14"/>
                <w:color w:val="auto"/>
              </w:rPr>
              <w:t>Between $5 million and $10 million</w:t>
            </w:r>
          </w:p>
        </w:tc>
        <w:tc>
          <w:tcPr>
            <w:tcW w:w="1640" w:type="dxa"/>
            <w:vAlign w:val="bottom"/>
          </w:tcPr>
          <w:p>
            <w:pPr>
              <w:jc w:val="center"/>
              <w:spacing w:after="0"/>
              <w:rPr>
                <w:sz w:val="20"/>
                <w:szCs w:val="20"/>
                <w:color w:val="auto"/>
              </w:rPr>
            </w:pPr>
            <w:r>
              <w:rPr>
                <w:rFonts w:ascii="Arial" w:cs="Arial" w:eastAsia="Arial" w:hAnsi="Arial"/>
                <w:sz w:val="14"/>
                <w:szCs w:val="14"/>
                <w:color w:val="auto"/>
                <w:w w:val="94"/>
              </w:rPr>
              <w:t>132</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85"/>
              </w:rPr>
              <w:t>932.8</w:t>
            </w:r>
          </w:p>
        </w:tc>
        <w:tc>
          <w:tcPr>
            <w:tcW w:w="10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$10 million</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120</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4,012.6</w:t>
            </w:r>
          </w:p>
        </w:tc>
        <w:tc>
          <w:tcPr>
            <w:tcW w:w="10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0" w:type="dxa"/>
            <w:vAlign w:val="bottom"/>
          </w:tcPr>
          <w:p>
            <w:pPr>
              <w:spacing w:after="0"/>
              <w:rPr>
                <w:sz w:val="1"/>
                <w:szCs w:val="1"/>
                <w:color w:val="auto"/>
              </w:rPr>
            </w:pPr>
          </w:p>
        </w:tc>
      </w:tr>
      <w:tr>
        <w:trPr>
          <w:trHeight w:val="171"/>
        </w:trPr>
        <w:tc>
          <w:tcPr>
            <w:tcW w:w="3880" w:type="dxa"/>
            <w:vAlign w:val="bottom"/>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Pr>
          <w:p>
            <w:pPr>
              <w:jc w:val="center"/>
              <w:spacing w:after="0"/>
              <w:rPr>
                <w:sz w:val="20"/>
                <w:szCs w:val="20"/>
                <w:color w:val="auto"/>
              </w:rPr>
            </w:pPr>
            <w:r>
              <w:rPr>
                <w:rFonts w:ascii="Arial" w:cs="Arial" w:eastAsia="Arial" w:hAnsi="Arial"/>
                <w:sz w:val="14"/>
                <w:szCs w:val="14"/>
                <w:color w:val="auto"/>
                <w:w w:val="91"/>
              </w:rPr>
              <w:t>3,166</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1"/>
              </w:rPr>
              <w:t>$6,602.3</w:t>
            </w: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2"/>
              </w:rPr>
              <w:t>79%</w:t>
            </w: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4" w:right="339" w:bottom="1440" w:gutter="0" w:footer="0" w:header="0"/>
        </w:sectPr>
      </w:pPr>
    </w:p>
    <w:bookmarkStart w:id="13" w:name="page14"/>
    <w:bookmarkEnd w:id="13"/>
    <w:p>
      <w:pPr>
        <w:ind w:left="320"/>
        <w:spacing w:after="0"/>
        <w:rPr>
          <w:sz w:val="20"/>
          <w:szCs w:val="20"/>
          <w:color w:val="auto"/>
        </w:rPr>
      </w:pPr>
      <w:r>
        <w:rPr>
          <w:rFonts w:ascii="Arial" w:cs="Arial" w:eastAsia="Arial" w:hAnsi="Arial"/>
          <w:sz w:val="13"/>
          <w:szCs w:val="13"/>
          <w:color w:val="auto"/>
        </w:rPr>
        <w:t>Listed below are our top definite contracts for fiscal 2022 and revenue recognized under these contracts. Classified contracts that cannot be named are noted generically in the table:</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126"/>
        </w:trPr>
        <w:tc>
          <w:tcPr>
            <w:tcW w:w="5260" w:type="dxa"/>
            <w:vAlign w:val="bottom"/>
          </w:tcPr>
          <w:p>
            <w:pPr>
              <w:spacing w:after="0"/>
              <w:rPr>
                <w:sz w:val="10"/>
                <w:szCs w:val="10"/>
                <w:color w:val="auto"/>
              </w:rPr>
            </w:pPr>
          </w:p>
        </w:tc>
        <w:tc>
          <w:tcPr>
            <w:tcW w:w="116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w w:val="89"/>
              </w:rPr>
              <w:t>Fiscal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 of</w:t>
            </w:r>
          </w:p>
        </w:tc>
        <w:tc>
          <w:tcPr>
            <w:tcW w:w="1600" w:type="dxa"/>
            <w:vAlign w:val="bottom"/>
            <w:vMerge w:val="restart"/>
          </w:tcPr>
          <w:p>
            <w:pPr>
              <w:jc w:val="right"/>
              <w:ind w:right="472"/>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06"/>
        </w:trPr>
        <w:tc>
          <w:tcPr>
            <w:tcW w:w="52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1"/>
              </w:rPr>
              <w:t>Total</w:t>
            </w: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60" w:type="dxa"/>
            <w:vAlign w:val="bottom"/>
          </w:tcPr>
          <w:p>
            <w:pPr>
              <w:jc w:val="center"/>
              <w:ind w:left="360"/>
              <w:spacing w:after="0"/>
              <w:rPr>
                <w:sz w:val="20"/>
                <w:szCs w:val="20"/>
                <w:color w:val="auto"/>
              </w:rPr>
            </w:pPr>
            <w:r>
              <w:rPr>
                <w:rFonts w:ascii="Arial" w:cs="Arial" w:eastAsia="Arial" w:hAnsi="Arial"/>
                <w:sz w:val="11"/>
                <w:szCs w:val="11"/>
                <w:b w:val="1"/>
                <w:bCs w:val="1"/>
                <w:color w:val="auto"/>
                <w:w w:val="89"/>
              </w:rPr>
              <w:t>2022 Revenue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Revenue</w:t>
            </w:r>
          </w:p>
        </w:tc>
        <w:tc>
          <w:tcPr>
            <w:tcW w:w="1600" w:type="dxa"/>
            <w:vAlign w:val="bottom"/>
          </w:tcPr>
          <w:p>
            <w:pPr>
              <w:jc w:val="right"/>
              <w:ind w:right="632"/>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1160" w:type="dxa"/>
            <w:vAlign w:val="bottom"/>
            <w:tcBorders>
              <w:top w:val="single" w:sz="8" w:color="auto"/>
            </w:tcBorders>
          </w:tcPr>
          <w:p>
            <w:pPr>
              <w:jc w:val="center"/>
              <w:ind w:left="360"/>
              <w:spacing w:after="0"/>
              <w:rPr>
                <w:sz w:val="20"/>
                <w:szCs w:val="20"/>
                <w:color w:val="auto"/>
              </w:rPr>
            </w:pPr>
            <w:r>
              <w:rPr>
                <w:rFonts w:ascii="Arial" w:cs="Arial" w:eastAsia="Arial" w:hAnsi="Arial"/>
                <w:sz w:val="11"/>
                <w:szCs w:val="11"/>
                <w:b w:val="1"/>
                <w:bCs w:val="1"/>
                <w:color w:val="auto"/>
                <w:w w:val="93"/>
              </w:rPr>
              <w:t>(in millions)</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shd w:val="clear" w:color="auto" w:fill="CCEEFF"/>
          </w:tcPr>
          <w:p>
            <w:pPr>
              <w:jc w:val="right"/>
              <w:ind w:right="102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247.8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9/30/2022</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0.8%</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6/30/2025</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0.6%</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3/7/2023</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R1S Recreation One Stop Support Services</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0.5%</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9/30/2027</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0.5%</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3/31/2025</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9/16/2024</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5/26/2021</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0.3%</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3/31/2024</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0.3%</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4/18/2028</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20"/>
                <w:szCs w:val="20"/>
                <w:color w:val="auto"/>
              </w:rPr>
            </w:pPr>
            <w:r>
              <w:rPr>
                <w:rFonts w:ascii="Arial" w:cs="Arial" w:eastAsia="Arial" w:hAnsi="Arial"/>
                <w:sz w:val="14"/>
                <w:szCs w:val="14"/>
                <w:color w:val="auto"/>
              </w:rPr>
              <w:t>Classified Contract</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0.3%</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8/31/2021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94" w:lineRule="exact"/>
        <w:rPr>
          <w:sz w:val="20"/>
          <w:szCs w:val="20"/>
          <w:color w:val="auto"/>
        </w:rPr>
      </w:pPr>
    </w:p>
    <w:p>
      <w:pPr>
        <w:ind w:left="520" w:right="500" w:hanging="133"/>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color w:val="auto"/>
        </w:rPr>
      </w:pPr>
    </w:p>
    <w:p>
      <w:pPr>
        <w:ind w:left="520" w:right="20" w:hanging="133"/>
        <w:spacing w:after="0" w:line="281" w:lineRule="auto"/>
        <w:tabs>
          <w:tab w:leader="none" w:pos="516"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 appropriated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authorized.</w:t>
      </w:r>
    </w:p>
    <w:p>
      <w:pPr>
        <w:spacing w:after="0" w:line="47" w:lineRule="exact"/>
        <w:rPr>
          <w:rFonts w:ascii="Arial" w:cs="Arial" w:eastAsia="Arial" w:hAnsi="Arial"/>
          <w:sz w:val="14"/>
          <w:szCs w:val="14"/>
          <w:i w:val="1"/>
          <w:iCs w:val="1"/>
          <w:color w:val="auto"/>
        </w:rPr>
      </w:pPr>
    </w:p>
    <w:p>
      <w:pPr>
        <w:ind w:left="520" w:right="20" w:hanging="133"/>
        <w:spacing w:after="0" w:line="281"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funding has not been appropriated or otherwise authorized.</w:t>
      </w:r>
    </w:p>
    <w:p>
      <w:pPr>
        <w:spacing w:after="0" w:line="47" w:lineRule="exact"/>
        <w:rPr>
          <w:sz w:val="20"/>
          <w:szCs w:val="20"/>
          <w:color w:val="auto"/>
        </w:rPr>
      </w:pPr>
    </w:p>
    <w:p>
      <w:pPr>
        <w:ind w:right="260" w:firstLine="350"/>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value of our contract backlog as of the respective dates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As of March 31,</w:t>
            </w:r>
          </w:p>
        </w:tc>
        <w:tc>
          <w:tcPr>
            <w:tcW w:w="1320" w:type="dxa"/>
            <w:vAlign w:val="bottom"/>
            <w:tcBorders>
              <w:bottom w:val="single" w:sz="8" w:color="auto"/>
            </w:tcBorders>
          </w:tcPr>
          <w:p>
            <w:pPr>
              <w:spacing w:after="0"/>
              <w:rPr>
                <w:sz w:val="13"/>
                <w:szCs w:val="13"/>
                <w:color w:val="auto"/>
              </w:rPr>
            </w:pPr>
          </w:p>
        </w:tc>
      </w:tr>
      <w:tr>
        <w:trPr>
          <w:trHeight w:val="142"/>
        </w:trPr>
        <w:tc>
          <w:tcPr>
            <w:tcW w:w="6140" w:type="dxa"/>
            <w:vAlign w:val="bottom"/>
          </w:tcPr>
          <w:p>
            <w:pPr>
              <w:spacing w:after="0"/>
              <w:rPr>
                <w:sz w:val="12"/>
                <w:szCs w:val="12"/>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72"/>
              <w:spacing w:after="0"/>
              <w:rPr>
                <w:sz w:val="20"/>
                <w:szCs w:val="20"/>
                <w:color w:val="auto"/>
              </w:rPr>
            </w:pPr>
            <w:r>
              <w:rPr>
                <w:rFonts w:ascii="Arial" w:cs="Arial" w:eastAsia="Arial" w:hAnsi="Arial"/>
                <w:sz w:val="11"/>
                <w:szCs w:val="11"/>
                <w:b w:val="1"/>
                <w:bCs w:val="1"/>
                <w:color w:val="auto"/>
              </w:rPr>
              <w:t>2021</w:t>
            </w:r>
          </w:p>
        </w:tc>
      </w:tr>
      <w:tr>
        <w:trPr>
          <w:trHeight w:val="139"/>
        </w:trPr>
        <w:tc>
          <w:tcPr>
            <w:tcW w:w="6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3"/>
          </w:tcPr>
          <w:p>
            <w:pPr>
              <w:jc w:val="right"/>
              <w:ind w:right="249"/>
              <w:spacing w:after="0"/>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2"/>
                <w:szCs w:val="12"/>
                <w:color w:val="auto"/>
              </w:rPr>
            </w:pP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w:t>
            </w:r>
          </w:p>
        </w:tc>
        <w:tc>
          <w:tcPr>
            <w:tcW w:w="1260" w:type="dxa"/>
            <w:vAlign w:val="bottom"/>
            <w:shd w:val="clear" w:color="auto" w:fill="CCEEFF"/>
          </w:tcPr>
          <w:p>
            <w:pPr>
              <w:jc w:val="right"/>
              <w:ind w:right="109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Unfunded</w:t>
            </w: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6,086</w:t>
            </w: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Priced options</w:t>
            </w:r>
          </w:p>
        </w:tc>
        <w:tc>
          <w:tcPr>
            <w:tcW w:w="1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14,436</w:t>
            </w: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color w:val="auto"/>
              </w:rPr>
              <w:t>Total backlog</w:t>
            </w:r>
          </w:p>
        </w:tc>
        <w:tc>
          <w:tcPr>
            <w:tcW w:w="12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29,247</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24,032</w:t>
            </w:r>
          </w:p>
        </w:tc>
      </w:tr>
      <w:tr>
        <w:trPr>
          <w:trHeight w:val="20"/>
        </w:trPr>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Operations—Factors and Trends Affecting Our Results of Operations—Sources of Revenue—Contract Backlog” for additional disclosure regarding our backlog. See also “Item 1A. Risk Factors—Industry and Economic Risks—We may not realize the full value of our backlog, which may result in lower than expected revenue.”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200" w:lineRule="exact"/>
        <w:rPr>
          <w:sz w:val="20"/>
          <w:szCs w:val="20"/>
          <w:color w:val="auto"/>
        </w:rPr>
      </w:pPr>
    </w:p>
    <w:p>
      <w:pPr>
        <w:spacing w:after="0" w:line="207"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56" w:right="379" w:bottom="1440" w:gutter="0" w:footer="0" w:header="0"/>
        </w:sectPr>
      </w:pPr>
    </w:p>
    <w:bookmarkStart w:id="14" w:name="page15"/>
    <w:bookmarkEnd w:id="14"/>
    <w:p>
      <w:pPr>
        <w:ind w:right="40" w:firstLine="350"/>
        <w:spacing w:after="0" w:line="262" w:lineRule="auto"/>
        <w:rPr>
          <w:sz w:val="20"/>
          <w:szCs w:val="20"/>
          <w:color w:val="auto"/>
        </w:rPr>
      </w:pPr>
      <w:r>
        <w:rPr>
          <w:rFonts w:ascii="Arial" w:cs="Arial" w:eastAsia="Arial" w:hAnsi="Arial"/>
          <w:sz w:val="14"/>
          <w:szCs w:val="14"/>
          <w:color w:val="auto"/>
        </w:rPr>
        <w:t>Changing government policies and market dynamics are impacting the competitive landscape. In the past, the government’s focus on organizational conflicts of interest has driven divestitures, which have changed the competitive landscape. More recently,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61"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and Proprietary Information</w:t>
      </w:r>
    </w:p>
    <w:p>
      <w:pPr>
        <w:spacing w:after="0" w:line="98" w:lineRule="exact"/>
        <w:rPr>
          <w:sz w:val="20"/>
          <w:szCs w:val="20"/>
          <w:color w:val="auto"/>
        </w:rPr>
      </w:pPr>
    </w:p>
    <w:p>
      <w:pPr>
        <w:ind w:right="80" w:firstLine="350"/>
        <w:spacing w:after="0" w:line="284" w:lineRule="auto"/>
        <w:rPr>
          <w:sz w:val="20"/>
          <w:szCs w:val="20"/>
          <w:color w:val="auto"/>
        </w:rPr>
      </w:pPr>
      <w:r>
        <w:rPr>
          <w:rFonts w:ascii="Arial" w:cs="Arial" w:eastAsia="Arial" w:hAnsi="Arial"/>
          <w:sz w:val="13"/>
          <w:szCs w:val="13"/>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49" w:lineRule="exact"/>
        <w:rPr>
          <w:sz w:val="20"/>
          <w:szCs w:val="20"/>
          <w:color w:val="auto"/>
        </w:rPr>
      </w:pPr>
    </w:p>
    <w:p>
      <w:pPr>
        <w:ind w:right="20" w:firstLine="350"/>
        <w:spacing w:after="0" w:line="313" w:lineRule="auto"/>
        <w:rPr>
          <w:sz w:val="20"/>
          <w:szCs w:val="20"/>
          <w:color w:val="auto"/>
        </w:rPr>
      </w:pPr>
      <w:r>
        <w:rPr>
          <w:rFonts w:ascii="Arial" w:cs="Arial" w:eastAsia="Arial" w:hAnsi="Arial"/>
          <w:sz w:val="12"/>
          <w:szCs w:val="12"/>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trademarks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November 2022, while the earliest renewal for our trademarks outside of the United States is February 2023.</w:t>
      </w:r>
    </w:p>
    <w:p>
      <w:pPr>
        <w:spacing w:after="0" w:line="34"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For our work under U.S. government funded contracts and subcontracts, the U.S. government obtains certain rights to data, software, and related information developed under such contracts or subcontracts. These rights may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39"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98"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57" w:lineRule="exact"/>
        <w:rPr>
          <w:sz w:val="20"/>
          <w:szCs w:val="20"/>
          <w:color w:val="auto"/>
        </w:rPr>
      </w:pPr>
    </w:p>
    <w:p>
      <w:pPr>
        <w:ind w:left="520" w:right="100" w:hanging="260"/>
        <w:spacing w:after="0" w:line="262"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5" w:name="page16"/>
    <w:bookmarkEnd w:id="15"/>
    <w:p>
      <w:pPr>
        <w:ind w:left="520" w:right="28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9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7" w:lineRule="exact"/>
        <w:rPr>
          <w:rFonts w:ascii="Arial" w:cs="Arial" w:eastAsia="Arial" w:hAnsi="Arial"/>
          <w:sz w:val="14"/>
          <w:szCs w:val="14"/>
          <w:color w:val="auto"/>
        </w:rPr>
      </w:pPr>
    </w:p>
    <w:p>
      <w:pPr>
        <w:ind w:left="520" w:right="38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7" w:lineRule="exact"/>
        <w:rPr>
          <w:rFonts w:ascii="Arial" w:cs="Arial" w:eastAsia="Arial" w:hAnsi="Arial"/>
          <w:sz w:val="14"/>
          <w:szCs w:val="14"/>
          <w:color w:val="auto"/>
        </w:rPr>
      </w:pPr>
    </w:p>
    <w:p>
      <w:pPr>
        <w:ind w:left="520" w:right="120" w:hanging="260"/>
        <w:spacing w:after="0" w:line="267"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105"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47" w:lineRule="exact"/>
        <w:rPr>
          <w:rFonts w:ascii="Arial" w:cs="Arial" w:eastAsia="Arial" w:hAnsi="Arial"/>
          <w:sz w:val="14"/>
          <w:szCs w:val="14"/>
          <w:color w:val="auto"/>
        </w:rPr>
      </w:pPr>
    </w:p>
    <w:p>
      <w:pPr>
        <w:ind w:left="520" w:right="180" w:hanging="260"/>
        <w:spacing w:after="0" w:line="267"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116" w:lineRule="exact"/>
        <w:rPr>
          <w:rFonts w:ascii="Arial" w:cs="Arial" w:eastAsia="Arial" w:hAnsi="Arial"/>
          <w:sz w:val="12"/>
          <w:szCs w:val="12"/>
          <w:color w:val="auto"/>
        </w:rPr>
      </w:pPr>
    </w:p>
    <w:p>
      <w:pPr>
        <w:ind w:left="520" w:right="20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color w:val="auto"/>
        </w:rPr>
        <w:t>Given the magnitude of our revenue derived from contracts with the Department of Defense, the Defense Contract Audit Agency (DCAA) is our cognizant government audit agency. The DCAA audits the adequacy of our internal control systems 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of our business systems, such as our purchasing system. See “Item 1A. Risk Factors—Legal and Regulatory Risks—Our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49" w:lineRule="exact"/>
        <w:rPr>
          <w:sz w:val="20"/>
          <w:szCs w:val="20"/>
          <w:color w:val="auto"/>
        </w:rPr>
      </w:pPr>
    </w:p>
    <w:p>
      <w:pPr>
        <w:ind w:right="200" w:firstLine="350"/>
        <w:spacing w:after="0" w:line="262" w:lineRule="auto"/>
        <w:rPr>
          <w:sz w:val="20"/>
          <w:szCs w:val="20"/>
          <w:color w:val="auto"/>
        </w:rPr>
      </w:pPr>
      <w:r>
        <w:rPr>
          <w:rFonts w:ascii="Arial" w:cs="Arial" w:eastAsia="Arial" w:hAnsi="Arial"/>
          <w:sz w:val="14"/>
          <w:szCs w:val="14"/>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6" w:name="page17"/>
    <w:bookmarkEnd w:id="16"/>
    <w:p>
      <w:pPr>
        <w:ind w:right="160" w:firstLine="350"/>
        <w:spacing w:after="0" w:line="288" w:lineRule="auto"/>
        <w:rPr>
          <w:sz w:val="20"/>
          <w:szCs w:val="20"/>
          <w:color w:val="auto"/>
        </w:rPr>
      </w:pPr>
      <w:r>
        <w:rPr>
          <w:rFonts w:ascii="Arial" w:cs="Arial" w:eastAsia="Arial" w:hAnsi="Arial"/>
          <w:sz w:val="13"/>
          <w:szCs w:val="13"/>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46"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46"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See “Item 1A. Risk Factors—Legal and Regulatory Risks—We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8"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We file annual, quarterly, and current reports and other information with the Securities and Exchange Commission (the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Quarterly Reports on Form 10-Q, and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4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Risk Factors</w:t>
      </w:r>
    </w:p>
    <w:p>
      <w:pPr>
        <w:spacing w:after="0" w:line="98"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62"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Industry and Economic Risks</w:t>
      </w:r>
    </w:p>
    <w:p>
      <w:pPr>
        <w:spacing w:after="0" w:line="98" w:lineRule="exact"/>
        <w:rPr>
          <w:sz w:val="20"/>
          <w:szCs w:val="20"/>
          <w:color w:val="auto"/>
        </w:rPr>
      </w:pPr>
    </w:p>
    <w:p>
      <w:pPr>
        <w:ind w:left="500" w:hanging="136"/>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risks relating to our relationships with the U.S. government;</w:t>
      </w:r>
    </w:p>
    <w:p>
      <w:pPr>
        <w:spacing w:after="0" w:line="93" w:lineRule="exact"/>
        <w:rPr>
          <w:rFonts w:ascii="Arial" w:cs="Arial" w:eastAsia="Arial" w:hAnsi="Arial"/>
          <w:sz w:val="14"/>
          <w:szCs w:val="14"/>
          <w:b w:val="1"/>
          <w:bCs w:val="1"/>
          <w:color w:val="auto"/>
        </w:rPr>
      </w:pPr>
    </w:p>
    <w:p>
      <w:pPr>
        <w:ind w:left="520" w:right="480" w:hanging="156"/>
        <w:spacing w:after="0" w:line="281" w:lineRule="auto"/>
        <w:tabs>
          <w:tab w:leader="none" w:pos="515"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U.S. government spending and mission priorities, including due to uncertainty relating to funding of the U.S. government and a possible failure of Congressional efforts to approve such funding and to craft a long-term agreement on the U.S. government’s ability to incur indebtedness in excess of its current limits;</w:t>
      </w:r>
    </w:p>
    <w:p>
      <w:pPr>
        <w:spacing w:after="0" w:line="47" w:lineRule="exact"/>
        <w:rPr>
          <w:rFonts w:ascii="Arial" w:cs="Arial" w:eastAsia="Arial" w:hAnsi="Arial"/>
          <w:sz w:val="14"/>
          <w:szCs w:val="14"/>
          <w:color w:val="auto"/>
        </w:rPr>
      </w:pPr>
    </w:p>
    <w:p>
      <w:pPr>
        <w:ind w:left="500" w:hanging="136"/>
        <w:spacing w:after="0"/>
        <w:tabs>
          <w:tab w:leader="none" w:pos="5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effects of COVID-19 and other pandemics or widespread health epidemics, including disruptions to our workforce and the impact on government spending and demand for our solutions;</w:t>
      </w:r>
    </w:p>
    <w:p>
      <w:pPr>
        <w:spacing w:after="0" w:line="116" w:lineRule="exact"/>
        <w:rPr>
          <w:rFonts w:ascii="Arial" w:cs="Arial" w:eastAsia="Arial" w:hAnsi="Arial"/>
          <w:sz w:val="12"/>
          <w:szCs w:val="12"/>
          <w:color w:val="auto"/>
        </w:rPr>
      </w:pPr>
    </w:p>
    <w:p>
      <w:pPr>
        <w:ind w:left="500" w:hanging="136"/>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105" w:lineRule="exact"/>
        <w:rPr>
          <w:rFonts w:ascii="Arial" w:cs="Arial" w:eastAsia="Arial" w:hAnsi="Arial"/>
          <w:sz w:val="13"/>
          <w:szCs w:val="13"/>
          <w:color w:val="auto"/>
        </w:rPr>
      </w:pPr>
    </w:p>
    <w:p>
      <w:pPr>
        <w:ind w:left="500" w:hanging="136"/>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GWACs;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variable purchasing patterns under GSA schedules, blanket purchase agreements, and IDIQ contracts;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7" w:name="page18"/>
    <w:bookmarkEnd w:id="17"/>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116" w:lineRule="exact"/>
        <w:rPr>
          <w:rFonts w:ascii="Arial" w:cs="Arial" w:eastAsia="Arial" w:hAnsi="Arial"/>
          <w:sz w:val="12"/>
          <w:szCs w:val="12"/>
          <w:color w:val="auto"/>
        </w:rPr>
      </w:pPr>
    </w:p>
    <w:p>
      <w:pPr>
        <w:ind w:left="140" w:hanging="136"/>
        <w:spacing w:after="0"/>
        <w:tabs>
          <w:tab w:leader="none" w:pos="1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 including, but not limited to, those resulting from external or internal cyber attacks on our network and internal systems;</w:t>
      </w:r>
    </w:p>
    <w:p>
      <w:pPr>
        <w:spacing w:after="0" w:line="105" w:lineRule="exact"/>
        <w:rPr>
          <w:rFonts w:ascii="Arial" w:cs="Arial" w:eastAsia="Arial" w:hAnsi="Arial"/>
          <w:sz w:val="13"/>
          <w:szCs w:val="13"/>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risks related to the operation of financial management systems;</w:t>
      </w:r>
    </w:p>
    <w:p>
      <w:pPr>
        <w:spacing w:after="0" w:line="93" w:lineRule="exact"/>
        <w:rPr>
          <w:rFonts w:ascii="Arial" w:cs="Arial" w:eastAsia="Arial" w:hAnsi="Arial"/>
          <w:sz w:val="14"/>
          <w:szCs w:val="14"/>
          <w:color w:val="auto"/>
        </w:rPr>
      </w:pPr>
    </w:p>
    <w:p>
      <w:pPr>
        <w:ind w:left="160" w:right="120" w:hanging="156"/>
        <w:spacing w:after="0" w:line="281" w:lineRule="auto"/>
        <w:tabs>
          <w:tab w:leader="none" w:pos="155"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ability to attract, train, or retain employees with the requisite skills and experience and ensure that employees obtain and maintain necessary security clearances and effectively manage our cost structure;</w:t>
      </w:r>
    </w:p>
    <w:p>
      <w:pPr>
        <w:spacing w:after="0" w:line="47"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risks related to inflation that could impact the cost of doing business and/or reduce customer buying power;</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misconduct or other improper activities from our employees or subcontractors, including the improper use or release of sensitive or classified information;</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impact of increased competition from other companies in our industry;</w:t>
      </w:r>
    </w:p>
    <w:p>
      <w:pPr>
        <w:spacing w:after="0" w:line="93" w:lineRule="exact"/>
        <w:rPr>
          <w:rFonts w:ascii="Arial" w:cs="Arial" w:eastAsia="Arial" w:hAnsi="Arial"/>
          <w:sz w:val="14"/>
          <w:szCs w:val="14"/>
          <w:color w:val="auto"/>
        </w:rPr>
      </w:pPr>
    </w:p>
    <w:p>
      <w:pPr>
        <w:ind w:left="160" w:hanging="156"/>
        <w:spacing w:after="0" w:line="281" w:lineRule="auto"/>
        <w:tabs>
          <w:tab w:leader="none" w:pos="155"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7"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 and</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including our ability to realize the expected benefits from such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98" w:lineRule="exact"/>
        <w:rPr>
          <w:sz w:val="20"/>
          <w:szCs w:val="20"/>
          <w:color w:val="auto"/>
        </w:rPr>
      </w:pPr>
    </w:p>
    <w:p>
      <w:pPr>
        <w:ind w:left="160" w:right="100" w:hanging="156"/>
        <w:spacing w:after="0" w:line="281" w:lineRule="auto"/>
        <w:tabs>
          <w:tab w:leader="none" w:pos="155"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failure to comply with numerous laws and regulations, including FAR, the False Claims Act, the Defense Federal Acquisition Regulation Supplement, and FAR Cost Accounting Standards and Cost Principles;</w:t>
      </w:r>
    </w:p>
    <w:p>
      <w:pPr>
        <w:spacing w:after="0" w:line="47" w:lineRule="exact"/>
        <w:rPr>
          <w:rFonts w:ascii="Arial" w:cs="Arial" w:eastAsia="Arial" w:hAnsi="Arial"/>
          <w:sz w:val="14"/>
          <w:szCs w:val="14"/>
          <w:b w:val="1"/>
          <w:bCs w:val="1"/>
          <w:color w:val="auto"/>
        </w:rPr>
      </w:pPr>
    </w:p>
    <w:p>
      <w:pPr>
        <w:ind w:left="140" w:hanging="136"/>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risks related to our international operations;</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93" w:lineRule="exact"/>
        <w:rPr>
          <w:rFonts w:ascii="Arial" w:cs="Arial" w:eastAsia="Arial" w:hAnsi="Arial"/>
          <w:sz w:val="14"/>
          <w:szCs w:val="14"/>
          <w:color w:val="auto"/>
        </w:rPr>
      </w:pPr>
    </w:p>
    <w:p>
      <w:pPr>
        <w:ind w:left="160" w:right="720" w:hanging="156"/>
        <w:spacing w:after="0" w:line="321" w:lineRule="auto"/>
        <w:tabs>
          <w:tab w:leader="none" w:pos="155"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24" w:lineRule="exact"/>
        <w:rPr>
          <w:rFonts w:ascii="Arial" w:cs="Arial" w:eastAsia="Arial" w:hAnsi="Arial"/>
          <w:sz w:val="13"/>
          <w:szCs w:val="13"/>
          <w:color w:val="auto"/>
        </w:rPr>
      </w:pPr>
    </w:p>
    <w:p>
      <w:pPr>
        <w:ind w:left="140" w:hanging="136"/>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inherent uncertainties and potential adverse developments in legal or regulatory proceedings;</w:t>
      </w:r>
    </w:p>
    <w:p>
      <w:pPr>
        <w:spacing w:after="0" w:line="93" w:lineRule="exact"/>
        <w:rPr>
          <w:rFonts w:ascii="Arial" w:cs="Arial" w:eastAsia="Arial" w:hAnsi="Arial"/>
          <w:sz w:val="14"/>
          <w:szCs w:val="14"/>
          <w:color w:val="auto"/>
        </w:rPr>
      </w:pPr>
    </w:p>
    <w:p>
      <w:pPr>
        <w:ind w:left="160" w:right="160" w:hanging="156"/>
        <w:spacing w:after="0" w:line="281" w:lineRule="auto"/>
        <w:tabs>
          <w:tab w:leader="none" w:pos="15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47" w:lineRule="exact"/>
        <w:rPr>
          <w:rFonts w:ascii="Arial" w:cs="Arial" w:eastAsia="Arial" w:hAnsi="Arial"/>
          <w:sz w:val="14"/>
          <w:szCs w:val="14"/>
          <w:color w:val="auto"/>
        </w:rPr>
      </w:pPr>
    </w:p>
    <w:p>
      <w:pPr>
        <w:ind w:left="140" w:hanging="136"/>
        <w:spacing w:after="0"/>
        <w:tabs>
          <w:tab w:leader="none" w:pos="1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ESG-related risks and climate change generally on our and our clients' businesses and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98" w:lineRule="exact"/>
        <w:rPr>
          <w:sz w:val="20"/>
          <w:szCs w:val="20"/>
          <w:color w:val="auto"/>
        </w:rPr>
      </w:pPr>
    </w:p>
    <w:p>
      <w:pPr>
        <w:ind w:left="140" w:hanging="136"/>
        <w:spacing w:after="0"/>
        <w:tabs>
          <w:tab w:leader="none" w:pos="140" w:val="left"/>
        </w:tabs>
        <w:numPr>
          <w:ilvl w:val="0"/>
          <w:numId w:val="19"/>
        </w:numPr>
        <w:rPr>
          <w:rFonts w:ascii="Arial" w:cs="Arial" w:eastAsia="Arial" w:hAnsi="Arial"/>
          <w:sz w:val="14"/>
          <w:szCs w:val="14"/>
          <w:b w:val="1"/>
          <w:bCs w:val="1"/>
          <w:color w:val="auto"/>
        </w:rPr>
      </w:pPr>
      <w:r>
        <w:rPr>
          <w:rFonts w:ascii="Arial" w:cs="Arial" w:eastAsia="Arial" w:hAnsi="Arial"/>
          <w:sz w:val="14"/>
          <w:szCs w:val="14"/>
          <w:color w:val="auto"/>
        </w:rPr>
        <w:t>the impact of our substantial indebtedness and our ability to service and refinance such indebtedness;</w:t>
      </w:r>
    </w:p>
    <w:p>
      <w:pPr>
        <w:spacing w:after="0" w:line="93" w:lineRule="exact"/>
        <w:rPr>
          <w:rFonts w:ascii="Arial" w:cs="Arial" w:eastAsia="Arial" w:hAnsi="Arial"/>
          <w:sz w:val="14"/>
          <w:szCs w:val="14"/>
          <w:b w:val="1"/>
          <w:bCs w:val="1"/>
          <w:color w:val="auto"/>
        </w:rPr>
      </w:pPr>
    </w:p>
    <w:p>
      <w:pPr>
        <w:ind w:left="140" w:hanging="136"/>
        <w:spacing w:after="0"/>
        <w:tabs>
          <w:tab w:leader="none" w:pos="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restrictions and limitations in the agreements and instruments governing our indebtedness; and</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a substantial portion of our indebtedness being secured by substantially all of our assets.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left="140" w:hanging="136"/>
        <w:spacing w:after="0"/>
        <w:tabs>
          <w:tab w:leader="none" w:pos="140" w:val="left"/>
        </w:tabs>
        <w:numPr>
          <w:ilvl w:val="0"/>
          <w:numId w:val="20"/>
        </w:numPr>
        <w:rPr>
          <w:rFonts w:ascii="Arial" w:cs="Arial" w:eastAsia="Arial" w:hAnsi="Arial"/>
          <w:sz w:val="14"/>
          <w:szCs w:val="14"/>
          <w:b w:val="1"/>
          <w:bCs w:val="1"/>
          <w:color w:val="auto"/>
        </w:rPr>
      </w:pPr>
      <w:r>
        <w:rPr>
          <w:rFonts w:ascii="Arial" w:cs="Arial" w:eastAsia="Arial" w:hAnsi="Arial"/>
          <w:sz w:val="14"/>
          <w:szCs w:val="14"/>
          <w:color w:val="auto"/>
        </w:rPr>
        <w:t>the volatility of the market price of our Class A common stock;</w:t>
      </w:r>
    </w:p>
    <w:p>
      <w:pPr>
        <w:spacing w:after="0" w:line="93" w:lineRule="exact"/>
        <w:rPr>
          <w:rFonts w:ascii="Arial" w:cs="Arial" w:eastAsia="Arial" w:hAnsi="Arial"/>
          <w:sz w:val="14"/>
          <w:szCs w:val="14"/>
          <w:b w:val="1"/>
          <w:bCs w:val="1"/>
          <w:color w:val="auto"/>
        </w:rPr>
      </w:pPr>
    </w:p>
    <w:p>
      <w:pPr>
        <w:ind w:left="140" w:hanging="136"/>
        <w:spacing w:after="0"/>
        <w:tabs>
          <w:tab w:leader="none" w:pos="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timing and amount of our dividends, if any; and</w:t>
      </w:r>
    </w:p>
    <w:p>
      <w:pPr>
        <w:spacing w:after="0" w:line="93" w:lineRule="exact"/>
        <w:rPr>
          <w:rFonts w:ascii="Arial" w:cs="Arial" w:eastAsia="Arial" w:hAnsi="Arial"/>
          <w:sz w:val="14"/>
          <w:szCs w:val="14"/>
          <w:color w:val="auto"/>
        </w:rPr>
      </w:pPr>
    </w:p>
    <w:p>
      <w:pPr>
        <w:ind w:left="140" w:hanging="136"/>
        <w:spacing w:after="0"/>
        <w:tabs>
          <w:tab w:leader="none" w:pos="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fulfilling our obligations incident to being a public company.</w:t>
      </w: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660" w:top="818"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Industry and Economic Risks</w:t>
      </w:r>
    </w:p>
    <w:p>
      <w:pPr>
        <w:spacing w:after="0" w:line="98"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47"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U.S. government is our primary client, with revenue from contracts and task orders, either as a prime or a subcontractor, with U.S. government agencies accounting for 97% of our revenue for fiscal 2022.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the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regardless of accuracy, may harm our reputation among federal government contractors. Due to the sensitive nature of our work and our confidentiality obligations to our customers, we may be unable or limited in our ability to respond to such negative publicity, which could also harm our reputation and business. To the extent our reputation or relationships with U.S. government agencies is impaired, our revenue and operating profits could materially decline.</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U.S. government spending levels and mission priorities could change in a manner that adversely affects our future revenue and limits our growth prospects.</w:t>
      </w:r>
    </w:p>
    <w:p>
      <w:pPr>
        <w:spacing w:after="0" w:line="94"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Our business depends upon continued U.S. government expenditures on defense, intelligence, and civil programs for which we provide support. These expenditures have not remained constant over time, have been reduced in certain periods, and have been affected by the U.S. government’s efforts to improve efficiency and reduce costs affecting U.S. government programs generally. Our business, prospects, financial condition, or operating results could be materially harmed, among other causes, by the following:</w:t>
      </w:r>
    </w:p>
    <w:p>
      <w:pPr>
        <w:spacing w:after="0" w:line="57" w:lineRule="exact"/>
        <w:rPr>
          <w:sz w:val="20"/>
          <w:szCs w:val="20"/>
          <w:color w:val="auto"/>
        </w:rPr>
      </w:pPr>
    </w:p>
    <w:p>
      <w:pPr>
        <w:ind w:left="520" w:righ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budgetary constraints, including Congressionally mandated automatic spending cuts, affecting U.S. government spending generally, or specific agencies in particular, and changes in available funding;</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shift in the permissible federal debt limit;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shift in expenditures away from agencies or programs that we support;</w:t>
      </w:r>
    </w:p>
    <w:p>
      <w:pPr>
        <w:spacing w:after="0" w:line="93" w:lineRule="exact"/>
        <w:rPr>
          <w:rFonts w:ascii="Arial" w:cs="Arial" w:eastAsia="Arial" w:hAnsi="Arial"/>
          <w:sz w:val="14"/>
          <w:szCs w:val="14"/>
          <w:color w:val="auto"/>
        </w:rPr>
      </w:pPr>
    </w:p>
    <w:p>
      <w:pPr>
        <w:ind w:left="520" w:right="380" w:hanging="260"/>
        <w:spacing w:after="0" w:line="321" w:lineRule="auto"/>
        <w:tabs>
          <w:tab w:leader="none" w:pos="516"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24" w:lineRule="exact"/>
        <w:rPr>
          <w:rFonts w:ascii="Arial" w:cs="Arial" w:eastAsia="Arial" w:hAnsi="Arial"/>
          <w:sz w:val="13"/>
          <w:szCs w:val="13"/>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or delays in U.S. government programs that we support or related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U.S. government shutdowns due to, among other reasons, a failure by elected officials to fund the government and other potential delays in the appropriations process;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U.S. government agencies awarding contracts on a technically acceptable/lowest cost basis in order to reduce expenditures;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in the payment of our invoices by government payment offices;</w:t>
      </w:r>
    </w:p>
    <w:p>
      <w:pPr>
        <w:spacing w:after="0" w:line="93"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 inability by the U.S. government to fund its operations as a result of a failure to increase the U.S. government’s debt ceiling, a credit downgrade of U.S. government obligations or for any other reason; and</w:t>
      </w:r>
    </w:p>
    <w:p>
      <w:pPr>
        <w:spacing w:after="0" w:line="47"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the political climate and general economic conditions, including a slowdown of the economy or unstable economic conditions and responses to COVID-19 or other conditions, such as emergency spending, that reduce funds available for other government priorities.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9" w:name="page20"/>
    <w:bookmarkEnd w:id="19"/>
    <w:p>
      <w:pPr>
        <w:ind w:right="340" w:firstLine="318"/>
        <w:spacing w:after="0" w:line="262" w:lineRule="auto"/>
        <w:rPr>
          <w:sz w:val="20"/>
          <w:szCs w:val="20"/>
          <w:color w:val="auto"/>
        </w:rPr>
      </w:pPr>
      <w:r>
        <w:rPr>
          <w:rFonts w:ascii="Arial" w:cs="Arial" w:eastAsia="Arial" w:hAnsi="Arial"/>
          <w:sz w:val="14"/>
          <w:szCs w:val="14"/>
          <w:color w:val="auto"/>
        </w:rPr>
        <w:t>In addition, any disruption in the functioning of U.S. government agencies, including as a result of U.S. government closures and shutdowns, terrorism, war, international conflicts (such as Russia's invasion of Ukraine in 2022), natural disasters, public health crises (such as COVID-19),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61" w:lineRule="exact"/>
        <w:rPr>
          <w:sz w:val="20"/>
          <w:szCs w:val="20"/>
          <w:color w:val="auto"/>
        </w:rPr>
      </w:pPr>
    </w:p>
    <w:p>
      <w:pPr>
        <w:ind w:firstLine="350"/>
        <w:spacing w:after="0" w:line="258" w:lineRule="auto"/>
        <w:rPr>
          <w:sz w:val="20"/>
          <w:szCs w:val="20"/>
          <w:color w:val="auto"/>
        </w:rPr>
      </w:pPr>
      <w:r>
        <w:rPr>
          <w:rFonts w:ascii="Arial" w:cs="Arial" w:eastAsia="Arial" w:hAnsi="Arial"/>
          <w:sz w:val="14"/>
          <w:szCs w:val="14"/>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A reduction in the amount of, or delays or cancellations of funding for, services that we are contracted to provide as a result of any of these related initiatives, legislation, or otherwise could have a material adverse effect on our business and results of operations. In addition, government agencies have reduced management support services spending in recent years. If federal awards for management support services continue to decline, our revenue and operating profits may materially decline and could have a material and adverse effect on our business and results of operations.</w:t>
      </w:r>
    </w:p>
    <w:p>
      <w:pPr>
        <w:spacing w:after="0" w:line="65" w:lineRule="exact"/>
        <w:rPr>
          <w:sz w:val="20"/>
          <w:szCs w:val="20"/>
          <w:color w:val="auto"/>
        </w:rPr>
      </w:pPr>
    </w:p>
    <w:p>
      <w:pPr>
        <w:jc w:val="both"/>
        <w:ind w:right="120" w:firstLine="350"/>
        <w:spacing w:after="0" w:line="331" w:lineRule="auto"/>
        <w:rPr>
          <w:sz w:val="20"/>
          <w:szCs w:val="20"/>
          <w:color w:val="auto"/>
        </w:rPr>
      </w:pPr>
      <w:r>
        <w:rPr>
          <w:rFonts w:ascii="Arial" w:cs="Arial" w:eastAsia="Arial" w:hAnsi="Arial"/>
          <w:sz w:val="12"/>
          <w:szCs w:val="12"/>
          <w:color w:val="auto"/>
        </w:rPr>
        <w:t>If government funding relating to our contracts with the U.S. government or Department of Defense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Department of Defense, as well as delays in program starts or the award of contracts or task orders under contracts.</w:t>
      </w:r>
    </w:p>
    <w:p>
      <w:pPr>
        <w:spacing w:after="0" w:line="23"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effects of a pandemic or widespread health epidemic such as COVID-19 could have a material adverse effect on our business and results of operations.</w:t>
      </w:r>
    </w:p>
    <w:p>
      <w:pPr>
        <w:spacing w:after="0" w:line="94" w:lineRule="exact"/>
        <w:rPr>
          <w:sz w:val="20"/>
          <w:szCs w:val="20"/>
          <w:color w:val="auto"/>
        </w:rPr>
      </w:pPr>
    </w:p>
    <w:p>
      <w:pPr>
        <w:ind w:right="300" w:firstLine="350"/>
        <w:spacing w:after="0" w:line="267" w:lineRule="auto"/>
        <w:rPr>
          <w:sz w:val="20"/>
          <w:szCs w:val="20"/>
          <w:color w:val="auto"/>
        </w:rPr>
      </w:pPr>
      <w:r>
        <w:rPr>
          <w:rFonts w:ascii="Arial" w:cs="Arial" w:eastAsia="Arial" w:hAnsi="Arial"/>
          <w:sz w:val="14"/>
          <w:szCs w:val="14"/>
          <w:color w:val="auto"/>
        </w:rPr>
        <w:t>The COVID-19 pandemic and ongoing attempts to contain and reduce its spread have adversely affected U.S. and global economies, including impacts to supply chains, customer demand, international trade, and capital markets. These effects have adversely affected certain of our business operations, may further adversely affect our business operations, and may materially and adversely affect our financial condition, results of operations, cash flows, and equity.</w:t>
      </w:r>
    </w:p>
    <w:p>
      <w:pPr>
        <w:spacing w:after="0" w:line="57" w:lineRule="exact"/>
        <w:rPr>
          <w:sz w:val="20"/>
          <w:szCs w:val="20"/>
          <w:color w:val="auto"/>
        </w:rPr>
      </w:pPr>
    </w:p>
    <w:p>
      <w:pPr>
        <w:ind w:right="20" w:firstLine="350"/>
        <w:spacing w:after="0" w:line="277" w:lineRule="auto"/>
        <w:rPr>
          <w:sz w:val="20"/>
          <w:szCs w:val="20"/>
          <w:color w:val="auto"/>
        </w:rPr>
      </w:pPr>
      <w:r>
        <w:rPr>
          <w:rFonts w:ascii="Arial" w:cs="Arial" w:eastAsia="Arial" w:hAnsi="Arial"/>
          <w:sz w:val="13"/>
          <w:szCs w:val="13"/>
          <w:color w:val="auto"/>
        </w:rPr>
        <w:t>In light of the uncertain and evolving situation relating to COVID-19, we have taken precautionary measures intended to minimize the risk of the virus to our employees, our clients and the communities in which we operate, which could negatively impact our business. Consistent with public health guidance and Executive Order 14042 regarding COVID-19 vaccination for employees of businesses servicing federal contracts, we have implemented a Company policy requiring full COVID-19 vaccinations of all employees, except for employees who qualify for medical or religious exemptions. This policy could impair our ability to perform certain contractual services, to retain such contracts, and to win new business. See “—We may fail to attract, train, and retain skilled and qualified employees, which may impair our ability to generate revenue, effectively serve our clients, and execute our growth strategy.” In addition, some of our employees, clients, and subcontractors are located in foreign countries, which may be impacted differently from the United States, and we continue to monitor the situation in each of the jurisdictions in which we operate and may adjust our current policies as more information and public health guidance become available. Although the Company has business continuity plans and other safeguards in place, there is no assurance that such plans and safeguards will be effective or that such measures will not adversely affect our operations or long-term plans. In addition, as local conditions and regulations begin to permit the return of employees to business generally, our workforce may not be able to return to work in person immediately, if at all, or may instead choose to pursue competing employment opportunities, including as a result of transportation, childcare, and ongoing health issues, which could negatively affect our business.</w:t>
      </w:r>
    </w:p>
    <w:p>
      <w:pPr>
        <w:spacing w:after="0" w:line="57" w:lineRule="exact"/>
        <w:rPr>
          <w:sz w:val="20"/>
          <w:szCs w:val="20"/>
          <w:color w:val="auto"/>
        </w:rPr>
      </w:pPr>
    </w:p>
    <w:p>
      <w:pPr>
        <w:ind w:right="100" w:firstLine="350"/>
        <w:spacing w:after="0" w:line="257" w:lineRule="auto"/>
        <w:rPr>
          <w:sz w:val="20"/>
          <w:szCs w:val="20"/>
          <w:color w:val="auto"/>
        </w:rPr>
      </w:pPr>
      <w:r>
        <w:rPr>
          <w:rFonts w:ascii="Arial" w:cs="Arial" w:eastAsia="Arial" w:hAnsi="Arial"/>
          <w:sz w:val="14"/>
          <w:szCs w:val="14"/>
          <w:color w:val="auto"/>
        </w:rPr>
        <w:t>In addition, COVID-19 may continue to disrupt the operations of our suppliers, vendors, service providers, and subcontractors, including as a result of travel restrictions, business shutdowns, key material shortages, or lack of access to financial markets, all of which could negatively impact our business and results of operations. Any inability to develop alternative sources of supply on a cost-effective and timely basis could materially impair our ability to manufacture and deliver products, systems, and services to our clients. We are also subject to federal and state laws and regulations enacted in response to the outbreak, such as the Coronavirus Aid, Relief and Economic Security Act (the "CARES Act"), which contains a provision that allows U.S. government contractors to seek specified reimbursement for certain employees who are unable to perform their contract requirements at their designated work locations due to facility closures or restrictions as a result of COVID-19 and cannot perform such work remotely. The legislation enables but does not mandate reimbursement for such costs, and agency guidance has imposed certain restrictions. Further, the relief contemplated under the provision did not extend</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0" w:name="page21"/>
    <w:bookmarkEnd w:id="20"/>
    <w:p>
      <w:pPr>
        <w:ind w:right="120"/>
        <w:spacing w:after="0" w:line="281" w:lineRule="auto"/>
        <w:rPr>
          <w:sz w:val="20"/>
          <w:szCs w:val="20"/>
          <w:color w:val="auto"/>
        </w:rPr>
      </w:pPr>
      <w:r>
        <w:rPr>
          <w:rFonts w:ascii="Arial" w:cs="Arial" w:eastAsia="Arial" w:hAnsi="Arial"/>
          <w:sz w:val="14"/>
          <w:szCs w:val="14"/>
          <w:color w:val="auto"/>
        </w:rPr>
        <w:t>past September 30, 2021. Although we cannot currently predict the overall impact of COVID-19, the longer the duration of the pandemic, the more likely it is that it could have an adverse effect on our business, financial position, results of operations, billable expenses, and/or cash flows.</w:t>
      </w:r>
    </w:p>
    <w:p>
      <w:pPr>
        <w:spacing w:after="0" w:line="47"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color w:val="auto"/>
        </w:rPr>
        <w:t>We expect COVID-19 to continue to negatively impact our business and results of operations and are unable to predict how long or with what degree of severity that impact will continue. The duration and extent of COVID-19 impacts will depend on future developments outside of our control, including the availability of effective treatments, the effectiveness and adoption of available vaccines, and the evolutionary development of COVID-19 or related viruses, including the emergence and spread of new and more transmissible COVID-19 variants such as Delta and Omicron, which are highly uncertain and cannot be predicted.</w:t>
      </w:r>
    </w:p>
    <w:p>
      <w:pPr>
        <w:spacing w:after="0" w:line="61"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47" w:lineRule="exact"/>
        <w:rPr>
          <w:sz w:val="20"/>
          <w:szCs w:val="20"/>
          <w:color w:val="auto"/>
        </w:rPr>
      </w:pPr>
    </w:p>
    <w:p>
      <w:pPr>
        <w:ind w:right="80" w:firstLine="350"/>
        <w:spacing w:after="0" w:line="281" w:lineRule="auto"/>
        <w:rPr>
          <w:sz w:val="20"/>
          <w:szCs w:val="20"/>
          <w:color w:val="auto"/>
        </w:rPr>
      </w:pPr>
      <w:r>
        <w:rPr>
          <w:rFonts w:ascii="Arial" w:cs="Arial" w:eastAsia="Arial" w:hAnsi="Arial"/>
          <w:sz w:val="14"/>
          <w:szCs w:val="14"/>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competitive bidding process involves risk and significant costs to businesses operating in this environment, including:</w:t>
      </w:r>
    </w:p>
    <w:p>
      <w:pPr>
        <w:spacing w:after="0" w:line="94" w:lineRule="exact"/>
        <w:rPr>
          <w:sz w:val="20"/>
          <w:szCs w:val="20"/>
          <w:color w:val="auto"/>
        </w:rPr>
      </w:pPr>
    </w:p>
    <w:p>
      <w:pPr>
        <w:ind w:left="520" w:right="6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substantial cost and managerial time and effort spent to prepare bids and proposals for contracts that may not be awarded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accurately estimate the resources and costs that will be required to service any contract we are awarded;</w:t>
      </w:r>
    </w:p>
    <w:p>
      <w:pPr>
        <w:spacing w:after="0" w:line="93"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opportunity cost of not bidding and winning other contracts we might have otherwise pursued.</w:t>
      </w:r>
    </w:p>
    <w:p>
      <w:pPr>
        <w:spacing w:after="0" w:line="94" w:lineRule="exact"/>
        <w:rPr>
          <w:sz w:val="20"/>
          <w:szCs w:val="20"/>
          <w:color w:val="auto"/>
        </w:rPr>
      </w:pPr>
    </w:p>
    <w:p>
      <w:pPr>
        <w:ind w:right="320" w:firstLine="350"/>
        <w:spacing w:after="0" w:line="262" w:lineRule="auto"/>
        <w:rPr>
          <w:sz w:val="20"/>
          <w:szCs w:val="20"/>
          <w:color w:val="auto"/>
        </w:rPr>
      </w:pPr>
      <w:r>
        <w:rPr>
          <w:rFonts w:ascii="Arial" w:cs="Arial" w:eastAsia="Arial" w:hAnsi="Arial"/>
          <w:sz w:val="14"/>
          <w:szCs w:val="14"/>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61"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We have seen our current competitive environment result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61" w:lineRule="exact"/>
        <w:rPr>
          <w:sz w:val="20"/>
          <w:szCs w:val="20"/>
          <w:color w:val="auto"/>
        </w:rPr>
      </w:pPr>
    </w:p>
    <w:p>
      <w:pPr>
        <w:ind w:right="740" w:firstLine="318"/>
        <w:spacing w:after="0" w:line="281" w:lineRule="auto"/>
        <w:rPr>
          <w:sz w:val="20"/>
          <w:szCs w:val="20"/>
          <w:color w:val="auto"/>
        </w:rPr>
      </w:pPr>
      <w:r>
        <w:rPr>
          <w:rFonts w:ascii="Arial" w:cs="Arial" w:eastAsia="Arial" w:hAnsi="Arial"/>
          <w:sz w:val="14"/>
          <w:szCs w:val="14"/>
          <w:b w:val="1"/>
          <w:bCs w:val="1"/>
          <w:i w:val="1"/>
          <w:iCs w:val="1"/>
          <w:color w:val="auto"/>
        </w:rPr>
        <w:t>A significant majority of our revenue is derived from task orders under indefinite delivery/indefinite quantity, or IDIQ, contract vehicles where we perform in either a prime or subcontractor position.</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believe that one of the key elements of our success is our position as the holder of 3,166 active task orders under IDIQ contract vehicles as of March 31, 2022.</w:t>
      </w:r>
    </w:p>
    <w:p>
      <w:pPr>
        <w:spacing w:after="0" w:line="94"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21" w:name="page22"/>
    <w:bookmarkEnd w:id="21"/>
    <w:p>
      <w:pPr>
        <w:ind w:right="240" w:firstLine="350"/>
        <w:spacing w:after="0" w:line="267" w:lineRule="auto"/>
        <w:rPr>
          <w:sz w:val="20"/>
          <w:szCs w:val="20"/>
          <w:color w:val="auto"/>
        </w:rPr>
      </w:pPr>
      <w:r>
        <w:rPr>
          <w:rFonts w:ascii="Arial" w:cs="Arial" w:eastAsia="Arial" w:hAnsi="Arial"/>
          <w:sz w:val="14"/>
          <w:szCs w:val="14"/>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5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47" w:lineRule="exact"/>
        <w:rPr>
          <w:sz w:val="20"/>
          <w:szCs w:val="20"/>
          <w:color w:val="auto"/>
        </w:rPr>
      </w:pPr>
    </w:p>
    <w:p>
      <w:pPr>
        <w:ind w:right="280" w:firstLine="350"/>
        <w:spacing w:after="0" w:line="267" w:lineRule="auto"/>
        <w:rPr>
          <w:sz w:val="20"/>
          <w:szCs w:val="20"/>
          <w:color w:val="auto"/>
        </w:rPr>
      </w:pPr>
      <w:r>
        <w:rPr>
          <w:rFonts w:ascii="Arial" w:cs="Arial" w:eastAsia="Arial" w:hAnsi="Arial"/>
          <w:sz w:val="14"/>
          <w:szCs w:val="14"/>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57"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ongoing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34"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47"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1"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62"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47"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use estimates in recognizing revenue and if we make changes to estimates used in recognizing revenue, our profitability may be adversely affected.</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2" w:name="page23"/>
    <w:bookmarkEnd w:id="22"/>
    <w:p>
      <w:pPr>
        <w:ind w:right="160" w:firstLine="318"/>
        <w:spacing w:after="0" w:line="260" w:lineRule="auto"/>
        <w:rPr>
          <w:sz w:val="20"/>
          <w:szCs w:val="20"/>
          <w:color w:val="auto"/>
        </w:rPr>
      </w:pPr>
      <w:r>
        <w:rPr>
          <w:rFonts w:ascii="Arial" w:cs="Arial" w:eastAsia="Arial" w:hAnsi="Arial"/>
          <w:sz w:val="14"/>
          <w:szCs w:val="14"/>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62"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not realize the full value of our backlog, which may result in lower than expected revenue.</w:t>
      </w:r>
    </w:p>
    <w:p>
      <w:pPr>
        <w:spacing w:after="0" w:line="94"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 For additional disclosure regarding our backlog, please see "Item 7. Management's Discussion and Analysis of Financial Condition and Results of Operations—Factors and Trends Affecting Our Results of Operations—Sources of Revenue—Contract Backlog."</w:t>
      </w:r>
    </w:p>
    <w:p>
      <w:pPr>
        <w:spacing w:after="0" w:line="57"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color w:val="auto"/>
        </w:rPr>
        <w:t>We historically have not realized all of the revenue included in our total backlog, and we may not realize all of the revenue included in our total backlog in the future.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client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Systems that we develop, integrate, maintain, or otherwise support could experience security breaches which may damage our reputation with our clients and hinder future contract win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rates.</w:t>
      </w:r>
    </w:p>
    <w:p>
      <w:pPr>
        <w:spacing w:after="0" w:line="83" w:lineRule="exact"/>
        <w:rPr>
          <w:sz w:val="20"/>
          <w:szCs w:val="20"/>
          <w:color w:val="auto"/>
        </w:rPr>
      </w:pPr>
    </w:p>
    <w:p>
      <w:pPr>
        <w:ind w:firstLine="350"/>
        <w:spacing w:after="0" w:line="257" w:lineRule="auto"/>
        <w:rPr>
          <w:sz w:val="20"/>
          <w:szCs w:val="20"/>
          <w:color w:val="auto"/>
        </w:rPr>
      </w:pPr>
      <w:r>
        <w:rPr>
          <w:rFonts w:ascii="Arial" w:cs="Arial" w:eastAsia="Arial" w:hAnsi="Arial"/>
          <w:sz w:val="14"/>
          <w:szCs w:val="14"/>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including personally identifiable, health and financial information.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 clients or hinder future contract win rates.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200" w:lineRule="exact"/>
        <w:rPr>
          <w:sz w:val="20"/>
          <w:szCs w:val="20"/>
          <w:color w:val="auto"/>
        </w:rPr>
      </w:pPr>
    </w:p>
    <w:p>
      <w:pPr>
        <w:spacing w:after="0" w:line="21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2"/>
          <w:szCs w:val="12"/>
          <w:b w:val="1"/>
          <w:bCs w:val="1"/>
          <w:i w:val="1"/>
          <w:iCs w:val="1"/>
          <w:color w:val="auto"/>
        </w:rPr>
        <w:t>Certain services we provide and technologies we develop are designed to detect and monitor threats to our clients and may expose our staff to financial loss or physical or reputational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harm.</w:t>
      </w:r>
    </w:p>
    <w:p>
      <w:pPr>
        <w:spacing w:after="0" w:line="83" w:lineRule="exact"/>
        <w:rPr>
          <w:sz w:val="20"/>
          <w:szCs w:val="20"/>
          <w:color w:val="auto"/>
        </w:rPr>
      </w:pPr>
    </w:p>
    <w:p>
      <w:pPr>
        <w:ind w:right="60" w:firstLine="350"/>
        <w:spacing w:after="0" w:line="331" w:lineRule="auto"/>
        <w:rPr>
          <w:sz w:val="20"/>
          <w:szCs w:val="20"/>
          <w:color w:val="auto"/>
        </w:rPr>
      </w:pPr>
      <w:r>
        <w:rPr>
          <w:rFonts w:ascii="Arial" w:cs="Arial" w:eastAsia="Arial" w:hAnsi="Arial"/>
          <w:sz w:val="12"/>
          <w:szCs w:val="12"/>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financial loss, or physical or reputational harm.</w:t>
      </w:r>
    </w:p>
    <w:p>
      <w:pPr>
        <w:spacing w:after="0" w:line="23" w:lineRule="exact"/>
        <w:rPr>
          <w:sz w:val="20"/>
          <w:szCs w:val="20"/>
          <w:color w:val="auto"/>
        </w:rPr>
      </w:pPr>
    </w:p>
    <w:p>
      <w:pPr>
        <w:ind w:right="200" w:firstLine="318"/>
        <w:spacing w:after="0" w:line="321" w:lineRule="auto"/>
        <w:rPr>
          <w:sz w:val="20"/>
          <w:szCs w:val="20"/>
          <w:color w:val="auto"/>
        </w:rPr>
      </w:pPr>
      <w:r>
        <w:rPr>
          <w:rFonts w:ascii="Arial" w:cs="Arial" w:eastAsia="Arial" w:hAnsi="Arial"/>
          <w:sz w:val="13"/>
          <w:szCs w:val="13"/>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24" w:lineRule="exact"/>
        <w:rPr>
          <w:sz w:val="20"/>
          <w:szCs w:val="20"/>
          <w:color w:val="auto"/>
        </w:rPr>
      </w:pPr>
    </w:p>
    <w:p>
      <w:pPr>
        <w:ind w:right="80" w:firstLine="350"/>
        <w:spacing w:after="0" w:line="276" w:lineRule="auto"/>
        <w:rPr>
          <w:sz w:val="20"/>
          <w:szCs w:val="20"/>
          <w:color w:val="auto"/>
        </w:rPr>
      </w:pPr>
      <w:r>
        <w:rPr>
          <w:rFonts w:ascii="Arial" w:cs="Arial" w:eastAsia="Arial" w:hAnsi="Arial"/>
          <w:sz w:val="13"/>
          <w:szCs w:val="13"/>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constantly evolving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The 2022 geopolitical conflict between Russia and Ukraine is an example of the increased potential threat of cybersecurity attacks.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55"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47"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lose revenue due to adverse client reaction;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 required to provide additional services to a client at no charge;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additional costs related to remediation, monitoring, and increasing our cybersecurity;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lose revenue due to the deployment of internal staff for remediation efforts instead of client assignments;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receive negative publicity, which could damage our reputation and adversely affect our ability to attract or retain clients;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be unable to successfully market services that are reliant on the creation and maintaining of secure information technology systems to U.S. government, international, and commercial clients;</w:t>
      </w:r>
    </w:p>
    <w:p>
      <w:pPr>
        <w:spacing w:after="0" w:line="116" w:lineRule="exact"/>
        <w:rPr>
          <w:rFonts w:ascii="Arial" w:cs="Arial" w:eastAsia="Arial" w:hAnsi="Arial"/>
          <w:sz w:val="12"/>
          <w:szCs w:val="12"/>
          <w:color w:val="auto"/>
        </w:rPr>
      </w:pPr>
    </w:p>
    <w:p>
      <w:pPr>
        <w:ind w:left="520" w:right="36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suffer claims by clients or impacted third parties for substantial damages, particularly as a result of any successful network or systems breach and exfiltration of client and/or third party information; or</w:t>
      </w:r>
    </w:p>
    <w:p>
      <w:pPr>
        <w:spacing w:after="0" w:line="47"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significant costs, including fines from government regulators related to complying with applicable federal or state law, including laws pertaining to the security and protection of personal information.</w:t>
      </w:r>
    </w:p>
    <w:p>
      <w:pPr>
        <w:spacing w:after="0" w:line="47" w:lineRule="exact"/>
        <w:rPr>
          <w:sz w:val="20"/>
          <w:szCs w:val="20"/>
          <w:color w:val="auto"/>
        </w:rPr>
      </w:pPr>
    </w:p>
    <w:p>
      <w:pPr>
        <w:ind w:right="400" w:firstLine="350"/>
        <w:spacing w:after="0" w:line="281" w:lineRule="auto"/>
        <w:rPr>
          <w:sz w:val="20"/>
          <w:szCs w:val="20"/>
          <w:color w:val="auto"/>
        </w:rPr>
      </w:pPr>
      <w:r>
        <w:rPr>
          <w:rFonts w:ascii="Arial" w:cs="Arial" w:eastAsia="Arial" w:hAnsi="Arial"/>
          <w:sz w:val="14"/>
          <w:szCs w:val="14"/>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47"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w:t>
      </w:r>
    </w:p>
    <w:p>
      <w:pPr>
        <w:spacing w:after="0" w:line="37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4" w:name="page25"/>
    <w:bookmarkEnd w:id="24"/>
    <w:p>
      <w:pPr>
        <w:ind w:right="80"/>
        <w:spacing w:after="0" w:line="262" w:lineRule="auto"/>
        <w:rPr>
          <w:sz w:val="20"/>
          <w:szCs w:val="20"/>
          <w:color w:val="auto"/>
        </w:rPr>
      </w:pPr>
      <w:r>
        <w:rPr>
          <w:rFonts w:ascii="Arial" w:cs="Arial" w:eastAsia="Arial" w:hAnsi="Arial"/>
          <w:sz w:val="14"/>
          <w:szCs w:val="14"/>
          <w:color w:val="auto"/>
        </w:rPr>
        <w:t>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61"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b w:val="1"/>
          <w:bCs w:val="1"/>
          <w:i w:val="1"/>
          <w:iCs w:val="1"/>
          <w:color w:val="auto"/>
        </w:rPr>
        <w:t>Implementation of and compliance with various data privacy and cybersecurity laws, regulations and standards could require significant investment into ongoing compliance activities, trigger potential liability, and limit our ability to use personal data.</w:t>
      </w:r>
    </w:p>
    <w:p>
      <w:pPr>
        <w:spacing w:after="0" w:line="47"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Any failure by us, our vendors or other business partners to comply with international, federal, state or local laws and regulations regarding data privacy or cybersecurity could result in regulatory actions or lawsuits against us, legal liability, fines, damages and other costs. We may also incur substantial expenses in implementing and maintaining compliance with such laws and regulations, including those that may require certain types of data to be retained on servers within these jurisdictions. Our failure to comply with applicable laws and regulations may result in privacy claims or enforcement actions against us, including liabilities, fines and damage to our reputation, any of which may have a material adverse effect on our results of operations.</w:t>
      </w:r>
    </w:p>
    <w:p>
      <w:pPr>
        <w:spacing w:after="0" w:line="46" w:lineRule="exact"/>
        <w:rPr>
          <w:sz w:val="20"/>
          <w:szCs w:val="20"/>
          <w:color w:val="auto"/>
        </w:rPr>
      </w:pPr>
    </w:p>
    <w:p>
      <w:pPr>
        <w:ind w:right="20" w:firstLine="350"/>
        <w:spacing w:after="0" w:line="256" w:lineRule="auto"/>
        <w:rPr>
          <w:sz w:val="20"/>
          <w:szCs w:val="20"/>
          <w:color w:val="auto"/>
        </w:rPr>
      </w:pPr>
      <w:r>
        <w:rPr>
          <w:rFonts w:ascii="Arial" w:cs="Arial" w:eastAsia="Arial" w:hAnsi="Arial"/>
          <w:sz w:val="14"/>
          <w:szCs w:val="14"/>
          <w:color w:val="auto"/>
        </w:rPr>
        <w:t>For example, the General Data Protection Regulation, or GDPR, has created new compliance obligations for companies that process personal data of people in the European Union, which require investment into ongoing data protection activities and documentation requirements, and create the potential for significantly increased fines for noncompliance. In addition, Virginia, California, and Colorado have enacted comprehensive state privacy laws that provide rights to residents of those respective states. The California Consumer Privacy Act, or CCPA, as amended by the California Privacy Rights and Enforcement Act, or CPRA, the Virginia Consumer Data Protection Act, or VCDPA, and the Colorado Privacy Act, or CPA, provide for consumer rights for residents of those respective states and create corresponding compliance obligations and litigation risks. The impact from these laws to Booz Allen is currently low because most of our personal information is client or employee related and therefore not defined as consumer. It is possible that other states will follow this trend, and laws of this nature will be deemed applicable to some aspects of our business, which would impose new compliance obligations and require additional investment into data protection activities. Any obligations that may be imposed on us under CCPA, CPRA, VCDPA, CPA or similar laws may increase our compliance costs and potential liability, particularly in the event of a data breach, and could have a material adverse effect on our business, including how we use personal information or our results of operations.</w:t>
      </w:r>
    </w:p>
    <w:p>
      <w:pPr>
        <w:spacing w:after="0" w:line="67" w:lineRule="exact"/>
        <w:rPr>
          <w:sz w:val="20"/>
          <w:szCs w:val="20"/>
          <w:color w:val="auto"/>
        </w:rPr>
      </w:pPr>
    </w:p>
    <w:p>
      <w:pPr>
        <w:ind w:right="100" w:firstLine="350"/>
        <w:spacing w:after="0" w:line="278" w:lineRule="auto"/>
        <w:rPr>
          <w:sz w:val="20"/>
          <w:szCs w:val="20"/>
          <w:color w:val="auto"/>
        </w:rPr>
      </w:pPr>
      <w:r>
        <w:rPr>
          <w:rFonts w:ascii="Arial" w:cs="Arial" w:eastAsia="Arial" w:hAnsi="Arial"/>
          <w:sz w:val="13"/>
          <w:szCs w:val="13"/>
          <w:color w:val="auto"/>
        </w:rPr>
        <w:t>The U.S. Congress also is considering federal privacy and cybersecurity legislation that would create requirements similar to or possibly exceeding CCPA, CPRA, VCDPA, and CPA on a 50-state basis. Any federal legislation may or may not preempt the CCPA, CPRA, VCDPA, and CPA or other state laws, creating the possibility of different compliance measures or enforcement risks nationally or on a per-state basis. Any obligations that may be imposed on us under the CCPA, CPRA, VCDPA, CPA or similar laws may be different from or in addition to those required by GDPR, which may cause additional expense for compliance across various jurisdictions. The GDPR and the laws of other U.S. states also impose obligations to maintain and implement an information security program that includes administrative, technical, physical or organizational safeguards, as well as obligations to give notice to affected individuals and to certain regulators in the event of a data breach. We may be required to spend significant resources to comply with these information security and data breach legal requirements. A significant data breach (including various forms of external attack, such as ransomware, as well as data incidents resulting from internal actions or omissions) could also have negative consequences for our business and future prospects, including possible penalties, fines, damages, reduced customer demand, legal claims against and by clients, business partners or other persons claiming to be affected, harm to our systems and operations and harm to our reputation and brand.</w:t>
      </w:r>
    </w:p>
    <w:p>
      <w:pPr>
        <w:spacing w:after="0" w:line="54" w:lineRule="exact"/>
        <w:rPr>
          <w:sz w:val="20"/>
          <w:szCs w:val="20"/>
          <w:color w:val="auto"/>
        </w:rPr>
      </w:pPr>
    </w:p>
    <w:p>
      <w:pPr>
        <w:ind w:firstLine="350"/>
        <w:spacing w:after="0" w:line="255" w:lineRule="auto"/>
        <w:rPr>
          <w:sz w:val="20"/>
          <w:szCs w:val="20"/>
          <w:color w:val="auto"/>
        </w:rPr>
      </w:pPr>
      <w:r>
        <w:rPr>
          <w:rFonts w:ascii="Arial" w:cs="Arial" w:eastAsia="Arial" w:hAnsi="Arial"/>
          <w:sz w:val="14"/>
          <w:szCs w:val="14"/>
          <w:color w:val="auto"/>
        </w:rPr>
        <w:t>In addition, as a contractor supporting defense and national security clients, we are also subject to certain additional regulatory compliance requirements relating to data privacy and cybersecurity. Under the Defense Federal Acquisition Regulation Supplement and other federal regulations, our networks and IT systems are required to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which could have a material adverse effect on our business and financial results and lead to reputational harm. We are also subject to the Department of Defense Cybersecurity Maturity Model Certification, or CMMC, requirements, which will require all contractors to receive specific third-party certifications relating to specified cybersecurity standards in order to be eligible for contract awards. Under “CMMC 1.0”, released in January 2020, there were 5 maturity levels, comprised of 171 requirements and 14 required processes. In March 2021, the Department of Defense initiated an interim review of CMMC’s implementation, which led to a refinement of the overall program and implementation strategy. In November 2021, the Department of Defense announced “CMMC 2.0”, which included updated program structure and requirements. These refinements included a reduction in levels from 5 to 3, which includes the removal of CMMC-unique practices and reliance on the practices set forth in National Institute of Standards and Technology Special Publication 800-171(r2). The Department of Defense announced that CMMC 2.0 will become a contract requirement once rulemaking is completed and indicated that the rulemaking process and timeline would take place within 9 to 24 months of November 2021.</w:t>
      </w:r>
    </w:p>
    <w:p>
      <w:pPr>
        <w:spacing w:after="0" w:line="200" w:lineRule="exact"/>
        <w:rPr>
          <w:sz w:val="20"/>
          <w:szCs w:val="20"/>
          <w:color w:val="auto"/>
        </w:rPr>
      </w:pPr>
    </w:p>
    <w:p>
      <w:pPr>
        <w:spacing w:after="0" w:line="22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5" w:name="page26"/>
    <w:bookmarkEnd w:id="25"/>
    <w:p>
      <w:pPr>
        <w:ind w:right="140"/>
        <w:spacing w:after="0" w:line="258" w:lineRule="auto"/>
        <w:rPr>
          <w:sz w:val="20"/>
          <w:szCs w:val="20"/>
          <w:color w:val="auto"/>
        </w:rPr>
      </w:pPr>
      <w:r>
        <w:rPr>
          <w:rFonts w:ascii="Arial" w:cs="Arial" w:eastAsia="Arial" w:hAnsi="Arial"/>
          <w:sz w:val="14"/>
          <w:szCs w:val="14"/>
          <w:color w:val="auto"/>
        </w:rPr>
        <w:t>We are in the process of preparing for certification against the CMMC program, but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which could adversely impact our revenue and profitability.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operation of financial management systems may have an adverse effect on our business and results of operations.</w:t>
      </w:r>
    </w:p>
    <w:p>
      <w:pPr>
        <w:spacing w:after="0" w:line="94" w:lineRule="exact"/>
        <w:rPr>
          <w:sz w:val="20"/>
          <w:szCs w:val="20"/>
          <w:color w:val="auto"/>
        </w:rPr>
      </w:pPr>
    </w:p>
    <w:p>
      <w:pPr>
        <w:ind w:right="20" w:firstLine="350"/>
        <w:spacing w:after="0" w:line="257" w:lineRule="auto"/>
        <w:rPr>
          <w:sz w:val="20"/>
          <w:szCs w:val="20"/>
          <w:color w:val="auto"/>
        </w:rPr>
      </w:pPr>
      <w:r>
        <w:rPr>
          <w:rFonts w:ascii="Arial" w:cs="Arial" w:eastAsia="Arial" w:hAnsi="Arial"/>
          <w:sz w:val="14"/>
          <w:szCs w:val="14"/>
          <w:color w:val="auto"/>
        </w:rPr>
        <w:t>We, from time to time, modernize and upgrade our management systems. In particular, we launched new financial management systems in fiscal 2022 that are designed to modernize and enhance our financial systems infrastructure and cost accounting practices through minimizing manual processes, increasing automation, and providing enhanced business analytics. Implementation and operation of the new systems required significant investment of human and financial resources. With the implementation of these new systems, we incurred additional expenses and experienced certain one-time impacts to profitability related to the roll-out and operation of the new financial systems, including costs related to training. In addition, any significant difficulties in the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 adverse effect on our business, consolidated financial condition, or results of operations. We also face the challenge of supporting our legacy systems and implementing necessary upgrades to those systems to support routine government and financial audits while and after we implement our new systems.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117"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"—We may fail to obtain and maintain necessary security clearances which may adversely affect our ability to perform on certain contracts."</w:t>
      </w:r>
    </w:p>
    <w:p>
      <w:pPr>
        <w:spacing w:after="0" w:line="62" w:lineRule="exact"/>
        <w:rPr>
          <w:sz w:val="20"/>
          <w:szCs w:val="20"/>
          <w:color w:val="auto"/>
        </w:rPr>
      </w:pPr>
    </w:p>
    <w:p>
      <w:pPr>
        <w:ind w:firstLine="350"/>
        <w:spacing w:after="0" w:line="257" w:lineRule="auto"/>
        <w:rPr>
          <w:sz w:val="20"/>
          <w:szCs w:val="20"/>
          <w:color w:val="auto"/>
        </w:rPr>
      </w:pPr>
      <w:r>
        <w:rPr>
          <w:rFonts w:ascii="Arial" w:cs="Arial" w:eastAsia="Arial" w:hAnsi="Arial"/>
          <w:sz w:val="14"/>
          <w:szCs w:val="14"/>
          <w:color w:val="auto"/>
        </w:rPr>
        <w:t>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Additionally, our ability to attract, hire, and retain skilled and qualified employees may be impacted by COVID-19, including whether an employment opportunity requires work in person and related considerations. See “—The effects of a pandemic or widespread health epidemic such as COVID-19 could have a material adverse effect on our business and results of operations.” In particular, consistent with public health guidance and Executive Order 14042 regarding mandatory vaccinations, we have implemented a Company policy requiring full COVID-19 vaccinations of all employees, except for employees who qualify for medical or religious exemptions.</w:t>
      </w:r>
    </w:p>
    <w:p>
      <w:pPr>
        <w:spacing w:after="0" w:line="66" w:lineRule="exact"/>
        <w:rPr>
          <w:sz w:val="20"/>
          <w:szCs w:val="20"/>
          <w:color w:val="auto"/>
        </w:rPr>
      </w:pPr>
    </w:p>
    <w:p>
      <w:pPr>
        <w:ind w:right="20" w:firstLine="350"/>
        <w:spacing w:after="0" w:line="284" w:lineRule="auto"/>
        <w:rPr>
          <w:sz w:val="20"/>
          <w:szCs w:val="20"/>
          <w:color w:val="auto"/>
        </w:rPr>
      </w:pPr>
      <w:r>
        <w:rPr>
          <w:rFonts w:ascii="Arial" w:cs="Arial" w:eastAsia="Arial" w:hAnsi="Arial"/>
          <w:sz w:val="13"/>
          <w:szCs w:val="13"/>
          <w:color w:val="auto"/>
        </w:rPr>
        <w:t>Adverse labor and economic market conditions and intense competition for skilled personnel may inhibit our ability to recruit new employees, as well as our policy requiring full COVID-19 vaccinations of all employees, except for employees who qualify for medical or religious exemptions, consistent with public health guidance. If we are unable to recruit and retain a sufficient number of qualified employees, or cannot obtain their appropriate security clearances in a timely manner,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49"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4"/>
          <w:szCs w:val="14"/>
          <w:b w:val="1"/>
          <w:bCs w:val="1"/>
          <w:i w:val="1"/>
          <w:iCs w:val="1"/>
          <w:color w:val="auto"/>
        </w:rPr>
        <w:t>We may fail to obtain and maintain necessary security clearances which may adversely affect our ability to perform on certain contracts.</w:t>
      </w:r>
    </w:p>
    <w:p>
      <w:pPr>
        <w:spacing w:after="0" w:line="94"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in a timely manner,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Our profitability could suffer if we are not able to timely and effectively utilize our employees or manage our cost structure.</w:t>
      </w:r>
    </w:p>
    <w:p>
      <w:pPr>
        <w:spacing w:after="0" w:line="94"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47"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transition employees from completed projects to new assignments and to hire, assimilate, and deploy new employees;</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forecast demand for our services and to maintain and deploy headcount that is aligned with demand, including employees with the right mix of skills and experience to support our projects;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employees’ inability to obtain or retain necessary security clearances;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manage attrition;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need to devote time and resources to training, business development, and other non-chargeable activities.</w:t>
      </w:r>
    </w:p>
    <w:p>
      <w:pPr>
        <w:spacing w:after="0" w:line="94" w:lineRule="exact"/>
        <w:rPr>
          <w:sz w:val="20"/>
          <w:szCs w:val="20"/>
          <w:color w:val="auto"/>
        </w:rPr>
      </w:pPr>
    </w:p>
    <w:p>
      <w:pPr>
        <w:ind w:right="480" w:firstLine="350"/>
        <w:spacing w:after="0" w:line="281" w:lineRule="auto"/>
        <w:rPr>
          <w:sz w:val="20"/>
          <w:szCs w:val="20"/>
          <w:color w:val="auto"/>
        </w:rPr>
      </w:pPr>
      <w:r>
        <w:rPr>
          <w:rFonts w:ascii="Arial" w:cs="Arial" w:eastAsia="Arial" w:hAnsi="Arial"/>
          <w:sz w:val="14"/>
          <w:szCs w:val="14"/>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47"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24"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b w:val="1"/>
          <w:bCs w:val="1"/>
          <w:i w:val="1"/>
          <w:iCs w:val="1"/>
          <w:color w:val="auto"/>
        </w:rPr>
        <w:t>Global inflationary pressures have increased the prices of goods and services, which could raise the costs associated with providing our services, diminish our ability to compete for new contracts or task orders and/or reduce customer buying power.</w:t>
      </w:r>
    </w:p>
    <w:p>
      <w:pPr>
        <w:spacing w:after="0" w:line="47" w:lineRule="exact"/>
        <w:rPr>
          <w:sz w:val="20"/>
          <w:szCs w:val="20"/>
          <w:color w:val="auto"/>
        </w:rPr>
      </w:pPr>
    </w:p>
    <w:p>
      <w:pPr>
        <w:ind w:right="20" w:firstLine="318"/>
        <w:spacing w:after="0" w:line="279" w:lineRule="auto"/>
        <w:rPr>
          <w:sz w:val="20"/>
          <w:szCs w:val="20"/>
          <w:color w:val="auto"/>
        </w:rPr>
      </w:pPr>
      <w:r>
        <w:rPr>
          <w:rFonts w:ascii="Arial" w:cs="Arial" w:eastAsia="Arial" w:hAnsi="Arial"/>
          <w:sz w:val="13"/>
          <w:szCs w:val="13"/>
          <w:color w:val="auto"/>
        </w:rPr>
        <w:t>For a variety of reasons, including geopolitical factors and the COVID-19 pandemic, the global economy in which we operate is facing heightened inflationary pressure, impacting the cost of doing business (in both supply and labor markets). These inflationary pressures have been and could continue to be exacerbated by geopolitical turmoil and economic policy actions, and the duration of such pressures is uncertain. We generate revenue through various fixed price and multi-year government contracts, our primary customer being the U.S. government, which has traditionally been viewed as less affected by inflationary pressures. However, with inflation rising at historic levels, our approach to include modest annual price escalations in our bids for multi-year work may be insufficient to counter inflationary cost pressures, which may result in significant cost overruns on each contract. This could result in reduced profits, or even losses, as inflation increases, particularly for fixed 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We may lose one or more members of our senior management team or fail to develop new leaders, which could cause the disruption of the management of our business.</w:t>
      </w:r>
    </w:p>
    <w:p>
      <w:pPr>
        <w:spacing w:after="0" w:line="105"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3"/>
          <w:szCs w:val="13"/>
          <w:b w:val="1"/>
          <w:bCs w:val="1"/>
          <w:i w:val="1"/>
          <w:iCs w:val="1"/>
          <w:color w:val="auto"/>
        </w:rPr>
        <w:t>Our employees or subcontractors may engage in misconduct or other improper activities, which could harm our ability to conduct business with the U.S. government.</w:t>
      </w:r>
    </w:p>
    <w:p>
      <w:pPr>
        <w:spacing w:after="0" w:line="105"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face intense competition from many competitors, which could cause us to lose business, lower prices and suffer employee departures.</w:t>
      </w:r>
    </w:p>
    <w:p>
      <w:pPr>
        <w:spacing w:after="0" w:line="94" w:lineRule="exact"/>
        <w:rPr>
          <w:sz w:val="20"/>
          <w:szCs w:val="20"/>
          <w:color w:val="auto"/>
        </w:rPr>
      </w:pPr>
    </w:p>
    <w:p>
      <w:pPr>
        <w:ind w:right="80" w:firstLine="350"/>
        <w:spacing w:after="0" w:line="288" w:lineRule="auto"/>
        <w:rPr>
          <w:sz w:val="20"/>
          <w:szCs w:val="20"/>
          <w:color w:val="auto"/>
        </w:rPr>
      </w:pPr>
      <w:r>
        <w:rPr>
          <w:rFonts w:ascii="Arial" w:cs="Arial" w:eastAsia="Arial" w:hAnsi="Arial"/>
          <w:sz w:val="13"/>
          <w:szCs w:val="13"/>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4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make acquisitions of businesses, or establish teaming or other agreements among themselves or third parties, that allow them to offer more competitive and comprehensive solutions;</w:t>
      </w:r>
    </w:p>
    <w:p>
      <w:pPr>
        <w:spacing w:after="0" w:line="105" w:lineRule="exact"/>
        <w:rPr>
          <w:rFonts w:ascii="Arial" w:cs="Arial" w:eastAsia="Arial" w:hAnsi="Arial"/>
          <w:sz w:val="13"/>
          <w:szCs w:val="13"/>
          <w:color w:val="auto"/>
        </w:rPr>
      </w:pPr>
    </w:p>
    <w:p>
      <w:pPr>
        <w:ind w:left="520" w:right="56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divert sales from us by winning very large-scale government contracts, a risk that is enhanced by the recent trend in government procurement practices to bundle services into larger contracts;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force us to charge lower prices in order to win or maintain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seek to hire our employees;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adversely affect our relationships with current clients, including our ability to continue to win competitively awarded engagements where we are the incumbent.</w:t>
      </w:r>
    </w:p>
    <w:p>
      <w:pPr>
        <w:spacing w:after="0" w:line="94" w:lineRule="exact"/>
        <w:rPr>
          <w:sz w:val="20"/>
          <w:szCs w:val="20"/>
          <w:color w:val="auto"/>
        </w:rPr>
      </w:pPr>
    </w:p>
    <w:p>
      <w:pPr>
        <w:ind w:right="40" w:firstLine="350"/>
        <w:spacing w:after="0" w:line="262" w:lineRule="auto"/>
        <w:rPr>
          <w:sz w:val="20"/>
          <w:szCs w:val="20"/>
          <w:color w:val="auto"/>
        </w:rPr>
      </w:pPr>
      <w:r>
        <w:rPr>
          <w:rFonts w:ascii="Arial" w:cs="Arial" w:eastAsia="Arial" w:hAnsi="Arial"/>
          <w:sz w:val="14"/>
          <w:szCs w:val="14"/>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61"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b w:val="1"/>
          <w:bCs w:val="1"/>
          <w:i w:val="1"/>
          <w:iCs w:val="1"/>
          <w:color w:val="auto"/>
        </w:rPr>
        <w:t>Our failure to maintain strong relationships with other contractors, or the failure of contractors with which we have entered into a sub- or prime-contractor relationship to meet their obligations to us or our clients, could have a material adverse effect on our business and results of operations.</w:t>
      </w:r>
    </w:p>
    <w:p>
      <w:pPr>
        <w:spacing w:after="0" w:line="47"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62" w:lineRule="exact"/>
        <w:rPr>
          <w:sz w:val="20"/>
          <w:szCs w:val="20"/>
          <w:color w:val="auto"/>
        </w:rPr>
      </w:pPr>
    </w:p>
    <w:p>
      <w:pPr>
        <w:ind w:right="20" w:firstLine="350"/>
        <w:spacing w:after="0" w:line="258" w:lineRule="auto"/>
        <w:rPr>
          <w:sz w:val="20"/>
          <w:szCs w:val="20"/>
          <w:color w:val="auto"/>
        </w:rPr>
      </w:pPr>
      <w:r>
        <w:rPr>
          <w:rFonts w:ascii="Arial" w:cs="Arial" w:eastAsia="Arial" w:hAnsi="Arial"/>
          <w:sz w:val="14"/>
          <w:szCs w:val="14"/>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8" w:name="page29"/>
    <w:bookmarkEnd w:id="28"/>
    <w:p>
      <w:pPr>
        <w:ind w:right="60"/>
        <w:spacing w:after="0" w:line="281" w:lineRule="auto"/>
        <w:rPr>
          <w:sz w:val="20"/>
          <w:szCs w:val="20"/>
          <w:color w:val="auto"/>
        </w:rPr>
      </w:pPr>
      <w:r>
        <w:rPr>
          <w:rFonts w:ascii="Arial" w:cs="Arial" w:eastAsia="Arial" w:hAnsi="Arial"/>
          <w:sz w:val="14"/>
          <w:szCs w:val="14"/>
          <w:color w:val="auto"/>
        </w:rPr>
        <w:t>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47"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106" w:lineRule="exact"/>
        <w:rPr>
          <w:sz w:val="20"/>
          <w:szCs w:val="20"/>
          <w:color w:val="auto"/>
        </w:rPr>
      </w:pPr>
    </w:p>
    <w:p>
      <w:pPr>
        <w:ind w:right="120" w:firstLine="318"/>
        <w:spacing w:after="0" w:line="237" w:lineRule="auto"/>
        <w:rPr>
          <w:sz w:val="20"/>
          <w:szCs w:val="20"/>
          <w:color w:val="auto"/>
        </w:rPr>
      </w:pPr>
      <w:r>
        <w:rPr>
          <w:rFonts w:ascii="Arial" w:cs="Arial" w:eastAsia="Arial" w:hAnsi="Arial"/>
          <w:sz w:val="14"/>
          <w:szCs w:val="14"/>
          <w:color w:val="auto"/>
        </w:rPr>
        <w:t>To the extent the U.S. Congress is unable to approve the annual federal budget on a timely basis, and enacts a continuing resolution, funding for new projects may not be available and funding on contracts we are already performing may be delayed. Any such delays would likely result in new business initiatives being delayed or canceled and a reduction in our backlog, and could have a material adverse effect on our revenue and operating results.</w:t>
      </w:r>
    </w:p>
    <w:p>
      <w:pPr>
        <w:spacing w:after="0" w:line="64"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In addition, a failure to complete the budget process and fund government operations pursuant to a continuing resolution may result in a U.S. government shutdown, which could result in us incurring substantial costs without reimbursement under our contracts and the delay or cancellation of key programs or the delay of contract payments and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face certain significant risk exposures and potential liabilities that may not be adequately covered by indemnity or insurance.</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A significant portion of our business relates to designing, developing, and implementing advanced defense and technology systems and products, including cybersecurity products and services. New technologies may be untested or unproven, and insurance may not be available.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Failure to adequately protect, maintain, or enforce our rights in our intellectual property may adversely limit our competitive position.</w:t>
      </w:r>
    </w:p>
    <w:p>
      <w:pPr>
        <w:spacing w:after="0" w:line="94"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65"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47"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In recent years, there has been significant litigation involving intellectual property rights in technology industries. We may face from time to time, allegations that we or a supplier or customer have violated the rights of third parties, including patent, copyright, trademark, trade secret,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29" w:name="page30"/>
    <w:bookmarkEnd w:id="29"/>
    <w:p>
      <w:pPr>
        <w:jc w:val="both"/>
        <w:ind w:right="80" w:firstLine="318"/>
        <w:spacing w:after="0" w:line="267" w:lineRule="auto"/>
        <w:rPr>
          <w:sz w:val="20"/>
          <w:szCs w:val="20"/>
          <w:color w:val="auto"/>
        </w:rPr>
      </w:pPr>
      <w:r>
        <w:rPr>
          <w:rFonts w:ascii="Arial" w:cs="Arial" w:eastAsia="Arial" w:hAnsi="Arial"/>
          <w:sz w:val="14"/>
          <w:szCs w:val="14"/>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57"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4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and compliance with various data privacy and cybersecurity laws, regulations and standards could require significant investment into ongoing compliance activities, trigger potential liability,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54"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The needs of our customers change and evolve regularly and in particular due to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49"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Our ability to grow our business by leveraging our operating model to efficiently and effectively deploy our people across our client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57" w:lineRule="exact"/>
        <w:rPr>
          <w:sz w:val="20"/>
          <w:szCs w:val="20"/>
          <w:color w:val="auto"/>
        </w:rPr>
      </w:pPr>
    </w:p>
    <w:p>
      <w:pPr>
        <w:ind w:right="20" w:firstLine="350"/>
        <w:spacing w:after="0" w:line="288" w:lineRule="auto"/>
        <w:rPr>
          <w:sz w:val="20"/>
          <w:szCs w:val="20"/>
          <w:color w:val="auto"/>
        </w:rPr>
      </w:pPr>
      <w:r>
        <w:rPr>
          <w:rFonts w:ascii="Arial" w:cs="Arial" w:eastAsia="Arial" w:hAnsi="Arial"/>
          <w:sz w:val="13"/>
          <w:szCs w:val="13"/>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117"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57"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3"/>
          <w:szCs w:val="13"/>
          <w:b w:val="1"/>
          <w:bCs w:val="1"/>
          <w:i w:val="1"/>
          <w:iCs w:val="1"/>
          <w:color w:val="auto"/>
        </w:rPr>
        <w:t>Many of our contracts with the U.S. government are classified or subject to other security restrictions, which may limit investor insight into portions of our business.</w:t>
      </w:r>
    </w:p>
    <w:p>
      <w:pPr>
        <w:spacing w:after="0" w:line="105" w:lineRule="exact"/>
        <w:rPr>
          <w:sz w:val="20"/>
          <w:szCs w:val="20"/>
          <w:color w:val="auto"/>
        </w:rPr>
      </w:pPr>
    </w:p>
    <w:p>
      <w:pPr>
        <w:ind w:right="240" w:firstLine="350"/>
        <w:spacing w:after="0" w:line="284" w:lineRule="auto"/>
        <w:rPr>
          <w:sz w:val="20"/>
          <w:szCs w:val="20"/>
          <w:color w:val="auto"/>
        </w:rPr>
      </w:pPr>
      <w:r>
        <w:rPr>
          <w:rFonts w:ascii="Arial" w:cs="Arial" w:eastAsia="Arial" w:hAnsi="Arial"/>
          <w:sz w:val="13"/>
          <w:szCs w:val="13"/>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4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47" w:lineRule="exact"/>
        <w:rPr>
          <w:sz w:val="20"/>
          <w:szCs w:val="20"/>
          <w:color w:val="auto"/>
        </w:rPr>
      </w:pPr>
    </w:p>
    <w:p>
      <w:pPr>
        <w:ind w:right="140" w:firstLine="350"/>
        <w:spacing w:after="0" w:line="284" w:lineRule="auto"/>
        <w:rPr>
          <w:sz w:val="20"/>
          <w:szCs w:val="20"/>
          <w:color w:val="auto"/>
        </w:rPr>
      </w:pPr>
      <w:r>
        <w:rPr>
          <w:rFonts w:ascii="Arial" w:cs="Arial" w:eastAsia="Arial" w:hAnsi="Arial"/>
          <w:sz w:val="13"/>
          <w:szCs w:val="13"/>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consummate acquisitions, investments, joint ventures and divestitures, which involve numerous risks and uncertainties.</w:t>
      </w:r>
    </w:p>
    <w:p>
      <w:pPr>
        <w:spacing w:after="0" w:line="94" w:lineRule="exact"/>
        <w:rPr>
          <w:sz w:val="20"/>
          <w:szCs w:val="20"/>
          <w:color w:val="auto"/>
        </w:rPr>
      </w:pPr>
    </w:p>
    <w:p>
      <w:pPr>
        <w:ind w:right="380" w:firstLine="350"/>
        <w:spacing w:after="0" w:line="267" w:lineRule="auto"/>
        <w:rPr>
          <w:sz w:val="20"/>
          <w:szCs w:val="20"/>
          <w:color w:val="auto"/>
        </w:rPr>
      </w:pPr>
      <w:r>
        <w:rPr>
          <w:rFonts w:ascii="Arial" w:cs="Arial" w:eastAsia="Arial" w:hAnsi="Arial"/>
          <w:sz w:val="14"/>
          <w:szCs w:val="14"/>
          <w:color w:val="auto"/>
        </w:rPr>
        <w:t>As part of our operating strategy, we continually monitor U.S. government spending and budgetary priorities to align our investments in new capabilities to drive organic growth, and also selectively pursue acquisitions, investments, partnerships, and joint ventures that broaden our domain expertise and service offerings, and/or establish relationships with new customers. These transactions pose many risks, including:</w:t>
      </w:r>
    </w:p>
    <w:p>
      <w:pPr>
        <w:spacing w:after="0" w:line="57"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not be able to identify suitable acquisition and investment candidates at prices we consider attractive;</w:t>
      </w:r>
    </w:p>
    <w:p>
      <w:pPr>
        <w:spacing w:after="0" w:line="93" w:lineRule="exact"/>
        <w:rPr>
          <w:rFonts w:ascii="Arial" w:cs="Arial" w:eastAsia="Arial" w:hAnsi="Arial"/>
          <w:sz w:val="14"/>
          <w:szCs w:val="14"/>
          <w:color w:val="auto"/>
        </w:rPr>
      </w:pPr>
    </w:p>
    <w:p>
      <w:pPr>
        <w:ind w:left="520" w:right="160" w:hanging="260"/>
        <w:spacing w:after="0" w:line="368" w:lineRule="auto"/>
        <w:tabs>
          <w:tab w:leader="none" w:pos="516"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not be able to compete successfully for identified acquisition and investment candidates, complete acquisitions and investments on intended terms and timeline (including, without limitation, by failing to obtain required regulatory or other approvals in a timely manner), or accurately estimate the financial effect of acquisitions and investments on our business;</w:t>
      </w:r>
    </w:p>
    <w:p>
      <w:pPr>
        <w:spacing w:after="0" w:line="1" w:lineRule="exact"/>
        <w:rPr>
          <w:rFonts w:ascii="Arial" w:cs="Arial" w:eastAsia="Arial" w:hAnsi="Arial"/>
          <w:sz w:val="12"/>
          <w:szCs w:val="12"/>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future acquisitions and investments may require us to issue common stock or spend significant cash, resulting in dilution of ownership or additional debt leverage;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have difficulty retaining an acquired company’s key employees or clients;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have difficulty integrating personnel from the acquired company with our people and our core values;</w:t>
      </w:r>
    </w:p>
    <w:p>
      <w:pPr>
        <w:spacing w:after="0" w:line="93" w:lineRule="exact"/>
        <w:rPr>
          <w:rFonts w:ascii="Arial" w:cs="Arial" w:eastAsia="Arial" w:hAnsi="Arial"/>
          <w:sz w:val="14"/>
          <w:szCs w:val="14"/>
          <w:color w:val="auto"/>
        </w:rPr>
      </w:pPr>
    </w:p>
    <w:p>
      <w:pPr>
        <w:ind w:left="520" w:right="34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may have difficulty integrating acquired businesses and investments, resulting in unforeseen difficulties, such as incompatible accounting, information management, or other control systems, and greater expenses than expected;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acquisitions and investments may disrupt our business or distract our management from other responsibilities;</w:t>
      </w:r>
    </w:p>
    <w:p>
      <w:pPr>
        <w:spacing w:after="0" w:line="93"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a result of an acquisition or investment, we may incur additional debt and we may need to record write-downs from future impairments of intangible assets, each of which could reduce our future reported earnings;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may not be able to effectively influence the operations of our joint ventures or partnerships, or we may be exposed to certain liabilities if our partners do not fulfill their obligations.</w:t>
      </w:r>
    </w:p>
    <w:p>
      <w:pPr>
        <w:spacing w:after="0" w:line="105"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61" w:lineRule="exact"/>
        <w:rPr>
          <w:sz w:val="20"/>
          <w:szCs w:val="20"/>
          <w:color w:val="auto"/>
        </w:rPr>
      </w:pPr>
    </w:p>
    <w:p>
      <w:pPr>
        <w:jc w:val="both"/>
        <w:ind w:right="420" w:firstLine="350"/>
        <w:spacing w:after="0" w:line="267" w:lineRule="auto"/>
        <w:rPr>
          <w:sz w:val="20"/>
          <w:szCs w:val="20"/>
          <w:color w:val="auto"/>
        </w:rPr>
      </w:pPr>
      <w:r>
        <w:rPr>
          <w:rFonts w:ascii="Arial" w:cs="Arial" w:eastAsia="Arial" w:hAnsi="Arial"/>
          <w:sz w:val="14"/>
          <w:szCs w:val="14"/>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auto"/>
        </w:rPr>
        <w:t>addition, we may be unable to complete strategic divestitures on satisfactory terms and conditions, including non-competition arrangements, or within expected time frames.</w:t>
      </w:r>
    </w:p>
    <w:p>
      <w:pPr>
        <w:spacing w:after="0" w:line="94"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47"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As of March 31, 2022, the value of our goodwill was $2.0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87"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39" w:lineRule="exact"/>
        <w:rPr>
          <w:sz w:val="20"/>
          <w:szCs w:val="20"/>
          <w:color w:val="auto"/>
        </w:rPr>
      </w:pPr>
    </w:p>
    <w:p>
      <w:pPr>
        <w:ind w:left="520" w:right="120" w:hanging="260"/>
        <w:spacing w:after="0" w:line="262"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60" w:lineRule="exact"/>
        <w:rPr>
          <w:rFonts w:ascii="Arial" w:cs="Arial" w:eastAsia="Arial" w:hAnsi="Arial"/>
          <w:sz w:val="14"/>
          <w:szCs w:val="14"/>
          <w:color w:val="auto"/>
        </w:rPr>
      </w:pPr>
    </w:p>
    <w:p>
      <w:pPr>
        <w:ind w:left="520" w:right="28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9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7" w:lineRule="exact"/>
        <w:rPr>
          <w:rFonts w:ascii="Arial" w:cs="Arial" w:eastAsia="Arial" w:hAnsi="Arial"/>
          <w:sz w:val="14"/>
          <w:szCs w:val="14"/>
          <w:color w:val="auto"/>
        </w:rPr>
      </w:pPr>
    </w:p>
    <w:p>
      <w:pPr>
        <w:ind w:left="520" w:right="38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7"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105" w:lineRule="exact"/>
        <w:rPr>
          <w:rFonts w:ascii="Arial" w:cs="Arial" w:eastAsia="Arial" w:hAnsi="Arial"/>
          <w:sz w:val="13"/>
          <w:szCs w:val="13"/>
          <w:color w:val="auto"/>
        </w:rPr>
      </w:pPr>
    </w:p>
    <w:p>
      <w:pPr>
        <w:ind w:left="520" w:right="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2" w:name="page33"/>
    <w:bookmarkEnd w:id="32"/>
    <w:p>
      <w:pPr>
        <w:ind w:left="520" w:right="180" w:hanging="260"/>
        <w:spacing w:after="0" w:line="267"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116" w:lineRule="exact"/>
        <w:rPr>
          <w:rFonts w:ascii="Arial" w:cs="Arial" w:eastAsia="Arial" w:hAnsi="Arial"/>
          <w:sz w:val="12"/>
          <w:szCs w:val="12"/>
          <w:color w:val="auto"/>
        </w:rPr>
      </w:pPr>
    </w:p>
    <w:p>
      <w:pPr>
        <w:ind w:left="520" w:right="2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7" w:lineRule="exact"/>
        <w:rPr>
          <w:rFonts w:ascii="Arial" w:cs="Arial" w:eastAsia="Arial" w:hAnsi="Arial"/>
          <w:sz w:val="14"/>
          <w:szCs w:val="14"/>
          <w:color w:val="auto"/>
        </w:rPr>
      </w:pPr>
    </w:p>
    <w:p>
      <w:pPr>
        <w:ind w:left="520" w:right="70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57"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53"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Adverse judgments or settlements in legal disputes could result in materially adverse monetary damages or injunctive relief and damage our reputation.</w:t>
      </w:r>
    </w:p>
    <w:p>
      <w:pPr>
        <w:spacing w:after="0" w:line="94" w:lineRule="exact"/>
        <w:rPr>
          <w:sz w:val="20"/>
          <w:szCs w:val="20"/>
          <w:color w:val="auto"/>
        </w:rPr>
      </w:pPr>
    </w:p>
    <w:p>
      <w:pPr>
        <w:ind w:right="60" w:firstLine="350"/>
        <w:spacing w:after="0" w:line="277" w:lineRule="auto"/>
        <w:rPr>
          <w:sz w:val="20"/>
          <w:szCs w:val="20"/>
          <w:color w:val="auto"/>
        </w:rPr>
      </w:pPr>
      <w:r>
        <w:rPr>
          <w:rFonts w:ascii="Arial" w:cs="Arial" w:eastAsia="Arial" w:hAnsi="Arial"/>
          <w:sz w:val="13"/>
          <w:szCs w:val="13"/>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clients and contractors, intellectual property disputes, and</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3" w:name="page34"/>
    <w:bookmarkEnd w:id="33"/>
    <w:p>
      <w:pPr>
        <w:ind w:right="340"/>
        <w:spacing w:after="0" w:line="281" w:lineRule="auto"/>
        <w:rPr>
          <w:sz w:val="20"/>
          <w:szCs w:val="20"/>
          <w:color w:val="auto"/>
        </w:rPr>
      </w:pPr>
      <w:r>
        <w:rPr>
          <w:rFonts w:ascii="Arial" w:cs="Arial" w:eastAsia="Arial" w:hAnsi="Arial"/>
          <w:sz w:val="14"/>
          <w:szCs w:val="14"/>
          <w:color w:val="auto"/>
        </w:rPr>
        <w:t>other business matters. Any such claims, proceedings or investigations may be time-consuming, costly, divert management resources, or otherwise have a material adverse effect on our result of operations.</w:t>
      </w:r>
    </w:p>
    <w:p>
      <w:pPr>
        <w:spacing w:after="0" w:line="47"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legal proceedings described under “Item 3. Legal Proceedings” are subject to future developments and management’s view of these matters may change in the future.</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cannot predict the consequences of future geopolitical events, but they may adversely affect the markets in which we operate and our results of operations.</w:t>
      </w:r>
    </w:p>
    <w:p>
      <w:pPr>
        <w:spacing w:after="0" w:line="94" w:lineRule="exact"/>
        <w:rPr>
          <w:sz w:val="20"/>
          <w:szCs w:val="20"/>
          <w:color w:val="auto"/>
        </w:rPr>
      </w:pPr>
    </w:p>
    <w:p>
      <w:pPr>
        <w:jc w:val="both"/>
        <w:ind w:right="180" w:firstLine="350"/>
        <w:spacing w:after="0" w:line="262" w:lineRule="auto"/>
        <w:rPr>
          <w:sz w:val="20"/>
          <w:szCs w:val="20"/>
          <w:color w:val="auto"/>
        </w:rPr>
      </w:pPr>
      <w:r>
        <w:rPr>
          <w:rFonts w:ascii="Arial" w:cs="Arial" w:eastAsia="Arial" w:hAnsi="Arial"/>
          <w:sz w:val="14"/>
          <w:szCs w:val="14"/>
          <w:color w:val="auto"/>
        </w:rPr>
        <w:t>Ongoing instability and current conflicts in global markets, including in Eastern Europe, the Middle East and Asia, and the potential for other conflicts and future terrorist activities and other recent geopolitical events throughout the world, including Russia’s invasion of Ukraine,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61"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In addition, in connection with the current status of international relations with Russia, particularly in light of the conflict between Russia and Ukraine, the U.S. government has stated it is considering imposing enhanced export controls on certain products and sanctions on certain industry sectors and parties in Russia. The governments of other jurisdictions in which we operate, such as the European Union and Canada, may also implement sanctions or other restrictive measures. These potential sanctions and export controls, as well as any responses from Russia, could adversely affect the Company and/or our supply chain, business partners or customers.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subject to risks associated with operating internationally.</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business operations are subject to a variety of risks associated with conducting business internationally, including:</w:t>
      </w:r>
    </w:p>
    <w:p>
      <w:pPr>
        <w:spacing w:after="0" w:line="94" w:lineRule="exact"/>
        <w:rPr>
          <w:sz w:val="20"/>
          <w:szCs w:val="20"/>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or interpretations of laws or policies that may adversely affect the performance of our services;</w:t>
      </w:r>
    </w:p>
    <w:p>
      <w:pPr>
        <w:spacing w:after="0" w:line="93" w:lineRule="exact"/>
        <w:rPr>
          <w:rFonts w:ascii="Arial" w:cs="Arial" w:eastAsia="Arial" w:hAnsi="Arial"/>
          <w:sz w:val="14"/>
          <w:szCs w:val="14"/>
          <w:color w:val="auto"/>
        </w:rPr>
      </w:pPr>
    </w:p>
    <w:p>
      <w:pPr>
        <w:ind w:left="640" w:right="300" w:hanging="253"/>
        <w:spacing w:after="0" w:line="281"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Political instability in foreign countries and international security concerns, such as those relating to the geopolitical conflict, including in Russia and Ukraine, and potential actions or retaliatory measures taken in respect thereof;</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Imposition of inconsistent or contradictory laws or regulations;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Reliance on the U.S. or other governments to authorize us to export products, technology, and services to clients and other business partners;</w:t>
      </w:r>
    </w:p>
    <w:p>
      <w:pPr>
        <w:spacing w:after="0" w:line="93"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Conducting business in places where laws, business practices, and customs are unfamiliar or unknown;</w:t>
      </w:r>
    </w:p>
    <w:p>
      <w:pPr>
        <w:spacing w:after="0" w:line="93" w:lineRule="exact"/>
        <w:rPr>
          <w:rFonts w:ascii="Arial" w:cs="Arial" w:eastAsia="Arial" w:hAnsi="Arial"/>
          <w:sz w:val="14"/>
          <w:szCs w:val="14"/>
          <w:color w:val="auto"/>
        </w:rPr>
      </w:pPr>
    </w:p>
    <w:p>
      <w:pPr>
        <w:ind w:left="640" w:right="100" w:hanging="253"/>
        <w:spacing w:after="0" w:line="267"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Failure to comply with U.S. government and foreign laws and regulations applicable to international business,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56" w:lineRule="exact"/>
        <w:rPr>
          <w:rFonts w:ascii="Arial" w:cs="Arial" w:eastAsia="Arial" w:hAnsi="Arial"/>
          <w:sz w:val="14"/>
          <w:szCs w:val="14"/>
          <w:color w:val="auto"/>
        </w:rPr>
      </w:pPr>
    </w:p>
    <w:p>
      <w:pPr>
        <w:ind w:left="640" w:hanging="253"/>
        <w:spacing w:after="0" w:line="267"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56"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Imposition of limitations on or increase of withholding and other taxes on payments by foreign subsidiaries or joint ventures;</w:t>
      </w:r>
    </w:p>
    <w:p>
      <w:pPr>
        <w:spacing w:after="0" w:line="93" w:lineRule="exact"/>
        <w:rPr>
          <w:rFonts w:ascii="Arial" w:cs="Arial" w:eastAsia="Arial" w:hAnsi="Arial"/>
          <w:sz w:val="14"/>
          <w:szCs w:val="14"/>
          <w:color w:val="auto"/>
        </w:rPr>
      </w:pPr>
    </w:p>
    <w:p>
      <w:pPr>
        <w:ind w:left="640" w:right="360" w:hanging="253"/>
        <w:spacing w:after="0" w:line="281"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state and federal regulations in state money transmission regulations, anti-money laundering regulations, economic and trade sanctions administered by the U.S. Treasury Department's Office of Foreign Asset Control;</w:t>
      </w:r>
    </w:p>
    <w:p>
      <w:pPr>
        <w:spacing w:after="0" w:line="47" w:lineRule="exact"/>
        <w:rPr>
          <w:rFonts w:ascii="Arial" w:cs="Arial" w:eastAsia="Arial" w:hAnsi="Arial"/>
          <w:sz w:val="14"/>
          <w:szCs w:val="14"/>
          <w:color w:val="auto"/>
        </w:rPr>
      </w:pPr>
    </w:p>
    <w:p>
      <w:pPr>
        <w:ind w:left="640" w:hanging="253"/>
        <w:spacing w:after="0"/>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Volatility resulting from the United Kingdom's withdrawal from the European Union in January 2020, particularly in countries where the Company has substantial activities; and</w:t>
      </w:r>
    </w:p>
    <w:p>
      <w:pPr>
        <w:spacing w:after="0" w:line="105" w:lineRule="exact"/>
        <w:rPr>
          <w:rFonts w:ascii="Arial" w:cs="Arial" w:eastAsia="Arial" w:hAnsi="Arial"/>
          <w:sz w:val="13"/>
          <w:szCs w:val="13"/>
          <w:color w:val="auto"/>
        </w:rPr>
      </w:pPr>
    </w:p>
    <w:p>
      <w:pPr>
        <w:ind w:left="640" w:hanging="253"/>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Imposition of tariffs or embargoes, export controls and other trade restrictions.</w:t>
      </w:r>
    </w:p>
    <w:p>
      <w:pPr>
        <w:spacing w:after="0" w:line="94"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In addition, we are subject to the U.S. Foreign Corrupt Practices Act, or the FCPA, and other laws that prohibit improper payments or offers of payments to foreign government officials and political parties by business entities for the purpose of obtaining or retaining business. We have operations and deal with governmental clients and regulators in countries known to create heightened corruption risk, including certain developing countries in the Middle East and Southeast Asia. Our activities</w:t>
      </w:r>
    </w:p>
    <w:p>
      <w:pPr>
        <w:spacing w:after="0" w:line="200" w:lineRule="exact"/>
        <w:rPr>
          <w:sz w:val="20"/>
          <w:szCs w:val="20"/>
          <w:color w:val="auto"/>
        </w:rPr>
      </w:pPr>
    </w:p>
    <w:p>
      <w:pPr>
        <w:spacing w:after="0" w:line="207"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4" w:name="page35"/>
    <w:bookmarkEnd w:id="34"/>
    <w:p>
      <w:pPr>
        <w:spacing w:after="0" w:line="257" w:lineRule="auto"/>
        <w:rPr>
          <w:sz w:val="20"/>
          <w:szCs w:val="20"/>
          <w:color w:val="auto"/>
        </w:rPr>
      </w:pPr>
      <w:r>
        <w:rPr>
          <w:rFonts w:ascii="Arial" w:cs="Arial" w:eastAsia="Arial" w:hAnsi="Arial"/>
          <w:sz w:val="14"/>
          <w:szCs w:val="14"/>
          <w:color w:val="auto"/>
        </w:rPr>
        <w:t>in these countries create the risk of unauthorized payments or offers of payments by one of our employees or third parties that we work with that could implicate Booz Allen for violations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66"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57" w:lineRule="exact"/>
        <w:rPr>
          <w:sz w:val="20"/>
          <w:szCs w:val="20"/>
          <w:color w:val="auto"/>
        </w:rPr>
      </w:pPr>
    </w:p>
    <w:p>
      <w:pPr>
        <w:ind w:right="160" w:firstLine="350"/>
        <w:spacing w:after="0" w:line="281" w:lineRule="auto"/>
        <w:rPr>
          <w:sz w:val="20"/>
          <w:szCs w:val="20"/>
          <w:color w:val="auto"/>
        </w:rPr>
      </w:pPr>
      <w:r>
        <w:rPr>
          <w:rFonts w:ascii="Arial" w:cs="Arial" w:eastAsia="Arial" w:hAnsi="Arial"/>
          <w:sz w:val="14"/>
          <w:szCs w:val="14"/>
          <w:b w:val="1"/>
          <w:bCs w:val="1"/>
          <w:i w:val="1"/>
          <w:iCs w:val="1"/>
          <w:color w:val="auto"/>
        </w:rPr>
        <w:t>Efforts by the U.S. government to revise its organizational conflict of interest rules could limit our ability to successfully compete for new contracts or task orders, which would adversely affect our results of operations.</w:t>
      </w:r>
    </w:p>
    <w:p>
      <w:pPr>
        <w:spacing w:after="0" w:line="47" w:lineRule="exact"/>
        <w:rPr>
          <w:sz w:val="20"/>
          <w:szCs w:val="20"/>
          <w:color w:val="auto"/>
        </w:rPr>
      </w:pPr>
    </w:p>
    <w:p>
      <w:pPr>
        <w:jc w:val="both"/>
        <w:ind w:right="260" w:firstLine="350"/>
        <w:spacing w:after="0" w:line="267" w:lineRule="auto"/>
        <w:rPr>
          <w:sz w:val="20"/>
          <w:szCs w:val="20"/>
          <w:color w:val="auto"/>
        </w:rPr>
      </w:pPr>
      <w:r>
        <w:rPr>
          <w:rFonts w:ascii="Arial" w:cs="Arial" w:eastAsia="Arial" w:hAnsi="Arial"/>
          <w:sz w:val="14"/>
          <w:szCs w:val="14"/>
          <w:color w:val="auto"/>
        </w:rPr>
        <w:t>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57"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impaired objectivity during performance;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unfair access to non-public information;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ability to set the “ground rules” for another procurement for which the contractor competes.</w:t>
      </w:r>
    </w:p>
    <w:p>
      <w:pPr>
        <w:spacing w:after="0" w:line="94" w:lineRule="exact"/>
        <w:rPr>
          <w:sz w:val="20"/>
          <w:szCs w:val="20"/>
          <w:color w:val="auto"/>
        </w:rPr>
      </w:pPr>
    </w:p>
    <w:p>
      <w:pPr>
        <w:ind w:right="40" w:firstLine="350"/>
        <w:spacing w:after="0" w:line="280" w:lineRule="auto"/>
        <w:rPr>
          <w:sz w:val="20"/>
          <w:szCs w:val="20"/>
          <w:color w:val="auto"/>
        </w:rPr>
      </w:pPr>
      <w:r>
        <w:rPr>
          <w:rFonts w:ascii="Arial" w:cs="Arial" w:eastAsia="Arial" w:hAnsi="Arial"/>
          <w:sz w:val="13"/>
          <w:szCs w:val="13"/>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The U.S. government has not taken action to amend the FAR to address organizational conflicts of interest issues regarding government contractors in Department of Defense and other procurements since the withdrawal of an unsuccessful FAR amendment proposal in March 2021. Continuing reform initiatives in procurement practices may however result in future amendments to the FAR, increasing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tax law or judgments by management related to complex tax matters could adversely impact our results of operations.</w:t>
      </w:r>
    </w:p>
    <w:p>
      <w:pPr>
        <w:spacing w:after="0" w:line="94" w:lineRule="exact"/>
        <w:rPr>
          <w:sz w:val="20"/>
          <w:szCs w:val="20"/>
          <w:color w:val="auto"/>
        </w:rPr>
      </w:pPr>
    </w:p>
    <w:p>
      <w:pPr>
        <w:ind w:right="120" w:firstLine="350"/>
        <w:spacing w:after="0" w:line="279" w:lineRule="auto"/>
        <w:rPr>
          <w:sz w:val="20"/>
          <w:szCs w:val="20"/>
          <w:color w:val="auto"/>
        </w:rPr>
      </w:pPr>
      <w:r>
        <w:rPr>
          <w:rFonts w:ascii="Arial" w:cs="Arial" w:eastAsia="Arial" w:hAnsi="Arial"/>
          <w:sz w:val="13"/>
          <w:szCs w:val="13"/>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effective starting in fiscal 2023, the Tax Cuts and Jobs Act (the "2017 Tax Act") requires the capitalization of research and development costs for tax purposes, which can then be amortized over five or fifteen years. If the current effective date remains in place, the Company's initial assessment, based on the law as currently enacted, is that the Company could experience a material decrease in cash from operations in fiscal 2023, but our net deferred tax assets could also increase by a similar amount. Management is currently evaluating the potential impact of the 2017 Tax Act on our operating cash flows. The actual impact on fiscal 2023 cash from operations and future fiscal years will depend on the amount of research and development costs we incur, whether Congress modifies or repeals this provision of the 2017 Tax Act and on whether new guidance and interpretive rules are issued by the U.S. Treasury, among other factors. For additional information, see "Item 7. Management's Discussion and Analysis of Financial Condition and Results of Operations".</w:t>
      </w:r>
    </w:p>
    <w:p>
      <w:pPr>
        <w:spacing w:after="0" w:line="53"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w:t>
      </w:r>
    </w:p>
    <w:p>
      <w:pPr>
        <w:spacing w:after="0" w:line="396"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5" w:name="page36"/>
    <w:bookmarkEnd w:id="35"/>
    <w:p>
      <w:pPr>
        <w:ind w:right="320"/>
        <w:spacing w:after="0" w:line="262" w:lineRule="auto"/>
        <w:rPr>
          <w:sz w:val="20"/>
          <w:szCs w:val="20"/>
          <w:color w:val="auto"/>
        </w:rPr>
      </w:pPr>
      <w:r>
        <w:rPr>
          <w:rFonts w:ascii="Arial" w:cs="Arial" w:eastAsia="Arial" w:hAnsi="Arial"/>
          <w:sz w:val="14"/>
          <w:szCs w:val="14"/>
          <w:color w:val="auto"/>
        </w:rPr>
        <w:t>materially affect our tax obligations and effective tax rate. For example, during fiscal 2022, we recorded additional uncertain tax positions of approximately $15.5 million related to research and development credits that we have claimed, or will soon claim. Any increase to the liability we established as of March 31, 2022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and Note 13 to our accompanying consolidated financial statements.</w:t>
      </w:r>
    </w:p>
    <w:p>
      <w:pPr>
        <w:spacing w:after="0" w:line="61"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U.S. government contracts contain provisions and are subject to laws and regulations that provide government clients with rights and remedies not typically found in commercial contracts.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rights and remedies allow government clients, among other things, to:</w:t>
      </w:r>
    </w:p>
    <w:p>
      <w:pPr>
        <w:spacing w:after="0" w:line="83"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terminate existing contracts, with short notice, for convenience as well as for default;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reduce orders under or otherwise modify contracts;</w:t>
      </w:r>
    </w:p>
    <w:p>
      <w:pPr>
        <w:spacing w:after="0" w:line="93"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spacing w:after="0" w:line="47" w:lineRule="exact"/>
        <w:rPr>
          <w:rFonts w:ascii="Arial" w:cs="Arial" w:eastAsia="Arial" w:hAnsi="Arial"/>
          <w:sz w:val="14"/>
          <w:szCs w:val="14"/>
          <w:color w:val="auto"/>
        </w:rPr>
      </w:pPr>
    </w:p>
    <w:p>
      <w:pPr>
        <w:ind w:left="520" w:right="340" w:hanging="260"/>
        <w:spacing w:after="0" w:line="267"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terminate our facility security clearances and thereby prevent us from receiving classified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cancel multi-year contracts and related orders if funds for contract performance for any subsequent year become unavailable;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decline to exercise an option to renew a multi-year contract or issue task orders in connection with IDIQ contracts;</w:t>
      </w:r>
    </w:p>
    <w:p>
      <w:pPr>
        <w:spacing w:after="0" w:line="9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47"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47"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suspend or debar us from doing business with the U.S. government;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control or prohibit the export of our services.</w:t>
      </w:r>
    </w:p>
    <w:p>
      <w:pPr>
        <w:spacing w:after="0" w:line="94"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Recent and potential future budget cuts and recent efforts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39"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operations.</w:t>
      </w:r>
    </w:p>
    <w:p>
      <w:pPr>
        <w:spacing w:after="0" w:line="47" w:lineRule="exact"/>
        <w:rPr>
          <w:sz w:val="20"/>
          <w:szCs w:val="20"/>
          <w:color w:val="auto"/>
        </w:rPr>
      </w:pPr>
    </w:p>
    <w:p>
      <w:pPr>
        <w:ind w:right="140" w:firstLine="350"/>
        <w:spacing w:after="0" w:line="260" w:lineRule="auto"/>
        <w:rPr>
          <w:sz w:val="20"/>
          <w:szCs w:val="20"/>
          <w:color w:val="auto"/>
        </w:rPr>
      </w:pPr>
      <w:r>
        <w:rPr>
          <w:rFonts w:ascii="Arial" w:cs="Arial" w:eastAsia="Arial" w:hAnsi="Arial"/>
          <w:sz w:val="14"/>
          <w:szCs w:val="14"/>
          <w:color w:val="auto"/>
        </w:rPr>
        <w:t>U.S. government contractors (including their subcontractors and others with whom they do business) operate in a highly regulated environment and are routinely audited and reviewed by the U.S. government and its agencies, including the DCAA, DCMA, Department of Defense Inspector General, and others.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Defense Federal Acquisition Regulation Supplement ("DFARS") required business systems, which are comprised of our</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36" w:name="page37"/>
    <w:bookmarkEnd w:id="36"/>
    <w:p>
      <w:pPr>
        <w:spacing w:after="0" w:line="276" w:lineRule="auto"/>
        <w:rPr>
          <w:sz w:val="20"/>
          <w:szCs w:val="20"/>
          <w:color w:val="auto"/>
        </w:rPr>
      </w:pPr>
      <w:r>
        <w:rPr>
          <w:rFonts w:ascii="Arial" w:cs="Arial" w:eastAsia="Arial" w:hAnsi="Arial"/>
          <w:sz w:val="13"/>
          <w:szCs w:val="13"/>
          <w:color w:val="auto"/>
        </w:rPr>
        <w:t>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the provision of claimed indirect costs, which is based on management's estimates and assumptions that are inherently uncertain and may not cover actual losses. For example, DCAA audits may result in, and have historically resulted in, the Company's inability to retain certain claimed indirect costs, including executive and employee compensation, due to differing views of the allowability and reasonableness of such costs. As of March 31, 2022, years subsequent to the Company's fiscal year 2011 remained subject to audit and final resolution. As of March 31, 2022, the Company recognized a liability of $290.4 million for estimated adjustments to claimed indirect costs based on its historical DCAA audit results, including the final resolution of such audits with the DCMA. Determining the provision for claimed indirect costs is complex and subject to management's estimate of adjustments to claimed indirect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Moreover, if any of the administrative processes and business systems, some of which are currently certified as effective, are found not to comply with government imposed requirements, we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may be subjected to increased government scrutiny and approval that could delay or otherwise adversely affect our ability to compete for or perform contracts or to be paid timely. Unfavorable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U.S. government audit, review, or investigation results could subject us to civil or criminal penalties or administrative sanctions, require us to retroactively and prospectively adjust previously agreed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to billing or pricing rates for our work, and could harm our reputation and relationships with our clients and impair our ability to be awarded new contracts, which could affect our future sales 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profitability by preventing us, by operation of law or in practice, from receiving new government contracts for some period of time. In addition, if our invoicing system were found to be inadequate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following an audit by the DCAA, our ability to directly invoice U.S. government payment offices could be eliminated. As a result, we would be required to submit each invoice to the DCAA for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approval prior to payment, which could materially increase our accounts receivable days sales outstanding and adversely affect our cash flow. In addition, proposed regulatory changes, if adopted,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would require the Department of Defense’s contracting officers to impose contractual withholdings at no less than certain minimum levels based on assessments of a contractor’s business systems. If</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 government investigation uncovers improper or illegal activities, we may be subject to civil and criminal penalties and administrative sanctions, including termination of contracts, forfeitures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profits, withholding of payments, suspension of payments, fines, and suspension or debarment from doing business with the U.S. government. We could also suffer serious reputational harm if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allegations of impropriety were made against us.</w:t>
      </w:r>
    </w:p>
    <w:p>
      <w:pPr>
        <w:spacing w:after="0" w:line="83" w:lineRule="exact"/>
        <w:rPr>
          <w:sz w:val="20"/>
          <w:szCs w:val="20"/>
          <w:color w:val="auto"/>
        </w:rPr>
      </w:pPr>
    </w:p>
    <w:p>
      <w:pPr>
        <w:jc w:val="both"/>
        <w:ind w:right="160" w:firstLine="350"/>
        <w:spacing w:after="0" w:line="288" w:lineRule="auto"/>
        <w:rPr>
          <w:sz w:val="20"/>
          <w:szCs w:val="20"/>
          <w:color w:val="auto"/>
        </w:rPr>
      </w:pPr>
      <w:r>
        <w:rPr>
          <w:rFonts w:ascii="Arial" w:cs="Arial" w:eastAsia="Arial" w:hAnsi="Arial"/>
          <w:sz w:val="13"/>
          <w:szCs w:val="13"/>
          <w:color w:val="auto"/>
        </w:rPr>
        <w:t>In addition, in fiscal 2022 we launched new financial management systems and have adopted certain changes to our cost accounting practices. This may negatively impact our profitability. In particular, the changes we adopted to our cost accounting practices required us to estimate changes in costs for certain contracts and make payments in connection with such estimates. The changes are subject to audit by the DCAA and negotiation with the DCMA, which could result in additional payments that may be material and not recoverable. To the extent we are unable to fully mitigate the costs associated with changes to our cost accounting practices as we implement the new systems, our business and financial results may be adversely affected.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U.S. government may revise its procurement, contract or other practices in a manner adverse to us.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may:</w:t>
      </w:r>
    </w:p>
    <w:p>
      <w:pPr>
        <w:spacing w:after="0" w:line="94" w:lineRule="exact"/>
        <w:rPr>
          <w:sz w:val="20"/>
          <w:szCs w:val="20"/>
          <w:color w:val="auto"/>
        </w:rPr>
      </w:pPr>
    </w:p>
    <w:p>
      <w:pPr>
        <w:ind w:left="520" w:right="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reduce, delay, or cancel procurement programs resulting from U.S. government efforts to improve procurement practices and efficiency;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limit the creation of new government-wide or agency-specific multiple award contracts;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7" w:name="page38"/>
    <w:bookmarkEnd w:id="37"/>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face restrictions or pressure from government employees and their unions regarding the amount of services the U.S. government may obtain from private contractors;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award contracts on a technically acceptable/lowest cost basis in order to reduce expenditures, and we may not be the lowest cost provider of services;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adopt new socio-economic requirements, including setting aside procurement opportunities to small, disadvantaged businesses;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 the basis upon which it reimburses our compensation and other expenses or otherwise limit such reimbursements;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at its option, terminate or decline to renew our contracts.</w:t>
      </w:r>
    </w:p>
    <w:p>
      <w:pPr>
        <w:spacing w:after="0" w:line="94"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U.S. government may prefer minority-owned, small and small disadvantaged businesses; therefore, we may have fewer opportunities to bid for.</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61"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b w:val="1"/>
          <w:bCs w:val="1"/>
          <w:i w:val="1"/>
          <w:iCs w:val="1"/>
          <w:color w:val="auto"/>
        </w:rPr>
        <w:t>Increasing scrutiny and changing expectations from governmental organizations, clients and our employees with respect to our ESG related practices may impose additional costs on us or expose us to new or additional risks.</w:t>
      </w:r>
    </w:p>
    <w:p>
      <w:pPr>
        <w:spacing w:after="0" w:line="47" w:lineRule="exact"/>
        <w:rPr>
          <w:sz w:val="20"/>
          <w:szCs w:val="20"/>
          <w:color w:val="auto"/>
        </w:rPr>
      </w:pPr>
    </w:p>
    <w:p>
      <w:pPr>
        <w:ind w:right="20" w:firstLine="350"/>
        <w:spacing w:after="0" w:line="276" w:lineRule="auto"/>
        <w:rPr>
          <w:sz w:val="20"/>
          <w:szCs w:val="20"/>
          <w:color w:val="auto"/>
        </w:rPr>
      </w:pPr>
      <w:r>
        <w:rPr>
          <w:rFonts w:ascii="Arial" w:cs="Arial" w:eastAsia="Arial" w:hAnsi="Arial"/>
          <w:sz w:val="13"/>
          <w:szCs w:val="13"/>
          <w:color w:val="auto"/>
        </w:rPr>
        <w:t>There is increased scrutiny from governmental organizations, clients and employees on environmental, social and governance ("ESG") issues such as diversity, equity and inclusion, workplace culture, community investment, environmental management, climate impact and information security. We have expended and may further expend resources to monitor, report and adopt policies and practices that we believe will improve alignment with our evolving ESG goals, as well as third-party imposed ESG-related standards and expectations. If our ESG practices, including our goals for diversity and inclusion, environmental sustainability and information security, do not meet evolving rules and regulations or investor expectations and standards (or if we are viewed negatively based on positions we do or do not take or work we do or do not perform for certain clients and industries), then our reputation, our ability to attract or retain leading experts, employees and other professionals and our ability to attract new business and clients could be negatively impacted, as could our attractiveness as an investment, service provider or business partner. Similarly, our failure or perceived failure in our efforts to fulfill our current or future ESG-related goals, targets and objectives or to satisfy various reporting standards within the timelines we announce, or at all, could also result in similar negative impacts. Organizations that provide information to investors on corporate governance and related matters have developed ratings processes for evaluating companies on their approach to ESG matters, and unfavorable ratings of our ESG efforts may lead to negative investor sentiment, diversion of investment to other companies and difficulty in hiring skilled employees. In addition, existing or future ESG legislation and regulations applicable to our business and operations, including related to greenhouse gas emissions, climate change, or other matters, by federal state, local, and foreign regulatory bodies and agencies could cause us to incur additional compliance and operational costs or actions if we fail to comply. If our responses to these new or evolving legal and regulatory requirements or other sustainability concerns are unsuccessful or perceived as inadequate, we may also suffer damage to our reputation, which could adversely affect our business.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We are exposed to certain physical and regulatory risks, and could incur additional costs, related to climate change and other natural disasters.</w:t>
      </w:r>
    </w:p>
    <w:p>
      <w:pPr>
        <w:spacing w:after="0" w:line="94" w:lineRule="exact"/>
        <w:rPr>
          <w:sz w:val="20"/>
          <w:szCs w:val="20"/>
          <w:color w:val="auto"/>
        </w:rPr>
      </w:pPr>
    </w:p>
    <w:p>
      <w:pPr>
        <w:ind w:right="80" w:firstLine="350"/>
        <w:spacing w:after="0" w:line="258" w:lineRule="auto"/>
        <w:rPr>
          <w:sz w:val="20"/>
          <w:szCs w:val="20"/>
          <w:color w:val="auto"/>
        </w:rPr>
      </w:pPr>
      <w:r>
        <w:rPr>
          <w:rFonts w:ascii="Arial" w:cs="Arial" w:eastAsia="Arial" w:hAnsi="Arial"/>
          <w:sz w:val="14"/>
          <w:szCs w:val="14"/>
          <w:color w:val="auto"/>
        </w:rPr>
        <w:t>Due to the global nature of our business, we are exposed to a variety of physical risks related to climate change, including rising temperatures, sea levels rising, extreme heat and weather events. Our worldwide operations and the operations of our customers could be subject to natural disasters (including those as a result of climate change) such as hurricanes, typhoons, tsunamis, floods, earthquakes, fires, water shortages and prolonged drought. Such events could disrupt our operations or those of our customers and suppliers, including through the inability of employees to work, destruction of facilities, loss of life, and adverse effects on supply chains, power, infrastructure and the integrity of information technology systems, all of which could materially increase our costs and expenses, delay or decrease revenue from our customers and disrupt our ability to maintain business continuity. We could incur significant costs to improve the climate-related resiliency of our infrastructure and</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8" w:name="page39"/>
    <w:bookmarkEnd w:id="38"/>
    <w:p>
      <w:pPr>
        <w:ind w:right="220"/>
        <w:spacing w:after="0" w:line="281" w:lineRule="auto"/>
        <w:rPr>
          <w:sz w:val="20"/>
          <w:szCs w:val="20"/>
          <w:color w:val="auto"/>
        </w:rPr>
      </w:pPr>
      <w:r>
        <w:rPr>
          <w:rFonts w:ascii="Arial" w:cs="Arial" w:eastAsia="Arial" w:hAnsi="Arial"/>
          <w:sz w:val="14"/>
          <w:szCs w:val="14"/>
          <w:color w:val="auto"/>
        </w:rPr>
        <w:t>otherwise prepare for, respond to, and mitigate the effects of climate change. Additionally, if insurance or other risk transfer mechanisms are unavailable or insufficient to recover all costs or if we experience a significant disruption to our business due to a natural disaster, our results of operations could be adversely affected.</w:t>
      </w:r>
    </w:p>
    <w:p>
      <w:pPr>
        <w:spacing w:after="0" w:line="47"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We may also face operational costs and transition risks due to decisions we make to conduct or change our activities in response to considerations relating to climate change, such as our goal to eventually reach net-zero greenhouse gas emissions.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98" w:lineRule="exact"/>
        <w:rPr>
          <w:sz w:val="20"/>
          <w:szCs w:val="20"/>
          <w:color w:val="auto"/>
        </w:rPr>
      </w:pPr>
    </w:p>
    <w:p>
      <w:pPr>
        <w:ind w:right="40" w:firstLine="139"/>
        <w:spacing w:after="0" w:line="281" w:lineRule="auto"/>
        <w:rPr>
          <w:sz w:val="20"/>
          <w:szCs w:val="20"/>
          <w:color w:val="auto"/>
        </w:rPr>
      </w:pPr>
      <w:r>
        <w:rPr>
          <w:rFonts w:ascii="Arial" w:cs="Arial" w:eastAsia="Arial" w:hAnsi="Arial"/>
          <w:sz w:val="14"/>
          <w:szCs w:val="14"/>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47" w:lineRule="exact"/>
        <w:rPr>
          <w:sz w:val="20"/>
          <w:szCs w:val="20"/>
          <w:color w:val="auto"/>
        </w:rPr>
      </w:pPr>
    </w:p>
    <w:p>
      <w:pPr>
        <w:ind w:right="120" w:firstLine="141"/>
        <w:spacing w:after="0" w:line="267" w:lineRule="auto"/>
        <w:rPr>
          <w:sz w:val="20"/>
          <w:szCs w:val="20"/>
          <w:color w:val="auto"/>
        </w:rPr>
      </w:pPr>
      <w:r>
        <w:rPr>
          <w:rFonts w:ascii="Arial" w:cs="Arial" w:eastAsia="Arial" w:hAnsi="Arial"/>
          <w:sz w:val="14"/>
          <w:szCs w:val="14"/>
          <w:color w:val="auto"/>
        </w:rPr>
        <w:t>As of March 31, 2022, we had total indebtedness of approximately $2.8 billion and $999.0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57" w:lineRule="exact"/>
        <w:rPr>
          <w:sz w:val="20"/>
          <w:szCs w:val="20"/>
          <w:color w:val="auto"/>
        </w:rPr>
      </w:pPr>
    </w:p>
    <w:p>
      <w:pPr>
        <w:ind w:left="520" w:right="20" w:hanging="260"/>
        <w:spacing w:after="0" w:line="262" w:lineRule="auto"/>
        <w:tabs>
          <w:tab w:leader="none" w:pos="517"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making it more difficult for us to satisfy our obligations with respect to our Secured Credit Facility, consisting of a $1.2 billion term loan facility (“Term Loan A”), a $380 million term loan facility (“Term Loan B” and, together with Term Loan A, the “Term Loans”), a $1.0 billion Revolving Credit Facility, with a sublimit for letters of credit of $200 million, our $700 million in aggregate principal amount of 3.875% Senior Notes due 2028 (the “Senior Notes due 2028”), our $500 million in aggregate principal amount of 4.000% Senior Notes due 2029 (the “Senior Notes due 2029”, and together with the Senior Notes due 2028, the “Senior Notes”) and our other debt;</w:t>
      </w:r>
    </w:p>
    <w:p>
      <w:pPr>
        <w:spacing w:after="0" w:line="60"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7"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increasing our vulnerability to general adverse economic and industry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exposing us to the risk of increased interest rates as certain of our borrowings, including under the Secured Credit Facility, are at variable rates of interest;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limiting our flexibility in planning for and reacting to changes in the industry in which we compete;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placing us at a disadvantage compared to other, less leveraged competitors or competitors with comparable debt and more favorable terms and thereby affecting our ability to compete; and</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Although the Secured Credit Facility and the indentures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$1.0 billion, which as of March 31, 2022, had availability of $999.0 million. Additionally, the used portion as it pertains to open standby letters of credit and bank guarantees totaled $1.0 million. Furthermore, subject to specified conditions, without the consent of the then-existing lenders (but subject to the receipt of commitments), the indebtedness under the Secured Credit Facility may be increased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the pro forma consolidated net secured leverage ratio is equal to or less than 3.50:1.00. If new debt is added to our current debt levels, the related risks that we and the guarantors now face would increase and we may not be able to meet all our debt obligations, including the repayment of the Senior Notes.</w:t>
      </w:r>
    </w:p>
    <w:p>
      <w:pPr>
        <w:spacing w:after="0" w:line="53" w:lineRule="exact"/>
        <w:rPr>
          <w:sz w:val="20"/>
          <w:szCs w:val="20"/>
          <w:color w:val="auto"/>
        </w:rPr>
      </w:pPr>
    </w:p>
    <w:p>
      <w:pPr>
        <w:ind w:right="520" w:firstLine="139"/>
        <w:spacing w:after="0" w:line="28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47"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Indebtedness.”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9" w:name="page40"/>
    <w:bookmarkEnd w:id="39"/>
    <w:p>
      <w:pPr>
        <w:jc w:val="both"/>
        <w:ind w:right="60" w:firstLine="350"/>
        <w:spacing w:after="0" w:line="297" w:lineRule="auto"/>
        <w:rPr>
          <w:sz w:val="20"/>
          <w:szCs w:val="20"/>
          <w:color w:val="auto"/>
        </w:rPr>
      </w:pPr>
      <w:r>
        <w:rPr>
          <w:rFonts w:ascii="Arial" w:cs="Arial" w:eastAsia="Arial" w:hAnsi="Arial"/>
          <w:sz w:val="13"/>
          <w:szCs w:val="13"/>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39"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47" w:lineRule="exact"/>
        <w:rPr>
          <w:sz w:val="20"/>
          <w:szCs w:val="20"/>
          <w:color w:val="auto"/>
        </w:rPr>
      </w:pPr>
    </w:p>
    <w:p>
      <w:pPr>
        <w:jc w:val="both"/>
        <w:ind w:right="20" w:firstLine="350"/>
        <w:spacing w:after="0" w:line="297" w:lineRule="auto"/>
        <w:rPr>
          <w:sz w:val="20"/>
          <w:szCs w:val="20"/>
          <w:color w:val="auto"/>
        </w:rPr>
      </w:pPr>
      <w:r>
        <w:rPr>
          <w:rFonts w:ascii="Arial" w:cs="Arial" w:eastAsia="Arial" w:hAnsi="Arial"/>
          <w:sz w:val="13"/>
          <w:szCs w:val="13"/>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39"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4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If we cannot make scheduled payments on our debt, we would be in default and the following events could occur: lenders under our Secured Credit Facility and holders of the Senior Notes could declare all outstanding principal and interest to be due and payable; lenders under the Revolving Credit Facility could terminate their commitments to provide loans; and lenders could foreclose against the assets securing their loans. All of these events could force us into bankruptcy or liquidation and result in investors' losing some or all of the value of their investment.</w:t>
      </w:r>
    </w:p>
    <w:p>
      <w:pPr>
        <w:spacing w:after="0" w:line="39" w:lineRule="exact"/>
        <w:rPr>
          <w:sz w:val="20"/>
          <w:szCs w:val="20"/>
          <w:color w:val="auto"/>
        </w:rPr>
      </w:pPr>
    </w:p>
    <w:p>
      <w:pPr>
        <w:ind w:right="60" w:firstLine="141"/>
        <w:spacing w:after="0" w:line="281" w:lineRule="auto"/>
        <w:rPr>
          <w:sz w:val="20"/>
          <w:szCs w:val="20"/>
          <w:color w:val="auto"/>
        </w:rPr>
      </w:pPr>
      <w:r>
        <w:rPr>
          <w:rFonts w:ascii="Arial" w:cs="Arial" w:eastAsia="Arial" w:hAnsi="Arial"/>
          <w:sz w:val="14"/>
          <w:szCs w:val="14"/>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47"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The Secured Credit Facility and the indentures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47"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incur additional indebtedness, guarantee indebtedness or issue disqualified stock or preferred stock;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pay dividends on or make other distributions in respect of, or repurchase or redeem, our capital stock;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prepay, redeem or repurchase subordinated indebtedness;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sell or otherwise dispose of assets;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incur liens securing indebtedness;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enter into agreements restricting our subsidiaries’ ability to pay dividends to us or the guarantors or make other intercompany transfers;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consolidate, merge or sell all or substantially all of our or any guarantor’s assets;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designate our subsidiaries as unrestricted subsidiaries;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enter into certain lines of business.</w:t>
      </w:r>
    </w:p>
    <w:p>
      <w:pPr>
        <w:spacing w:after="0" w:line="62" w:lineRule="exact"/>
        <w:rPr>
          <w:sz w:val="20"/>
          <w:szCs w:val="20"/>
          <w:color w:val="auto"/>
        </w:rPr>
      </w:pPr>
    </w:p>
    <w:p>
      <w:pPr>
        <w:ind w:right="240" w:firstLine="139"/>
        <w:spacing w:after="0" w:line="267" w:lineRule="auto"/>
        <w:rPr>
          <w:sz w:val="20"/>
          <w:szCs w:val="20"/>
          <w:color w:val="auto"/>
        </w:rPr>
      </w:pPr>
      <w:r>
        <w:rPr>
          <w:rFonts w:ascii="Arial" w:cs="Arial" w:eastAsia="Arial" w:hAnsi="Arial"/>
          <w:sz w:val="14"/>
          <w:szCs w:val="14"/>
          <w:color w:val="auto"/>
        </w:rPr>
        <w:t>These covenants are subject to a number of important exceptions and qualifications. In addition, the restrictive covenants in the Secured Credit Facility require us to maintain a consolidated net total leverage ratio and a consolidated net interest coverage ratio that will each be tested at the end of each fiscal quarter. Our ability to satisfy such financial ratio tests may be affected by events beyond our control.</w:t>
      </w:r>
    </w:p>
    <w:p>
      <w:pPr>
        <w:spacing w:after="0" w:line="25" w:lineRule="exact"/>
        <w:rPr>
          <w:sz w:val="20"/>
          <w:szCs w:val="20"/>
          <w:color w:val="auto"/>
        </w:rPr>
      </w:pPr>
    </w:p>
    <w:p>
      <w:pPr>
        <w:ind w:right="300" w:firstLine="134"/>
        <w:spacing w:after="0" w:line="260" w:lineRule="auto"/>
        <w:rPr>
          <w:sz w:val="20"/>
          <w:szCs w:val="20"/>
          <w:color w:val="auto"/>
        </w:rPr>
      </w:pPr>
      <w:r>
        <w:rPr>
          <w:rFonts w:ascii="Arial" w:cs="Arial" w:eastAsia="Arial" w:hAnsi="Arial"/>
          <w:sz w:val="14"/>
          <w:szCs w:val="14"/>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0" w:name="page41"/>
    <w:bookmarkEnd w:id="40"/>
    <w:p>
      <w:pPr>
        <w:ind w:left="140"/>
        <w:spacing w:after="0"/>
        <w:rPr>
          <w:sz w:val="20"/>
          <w:szCs w:val="20"/>
          <w:color w:val="auto"/>
        </w:rPr>
      </w:pPr>
      <w:r>
        <w:rPr>
          <w:rFonts w:ascii="Arial" w:cs="Arial" w:eastAsia="Arial" w:hAnsi="Arial"/>
          <w:sz w:val="14"/>
          <w:szCs w:val="14"/>
          <w:color w:val="auto"/>
        </w:rPr>
        <w:t>As a result of all of these restrictions, we may be:</w:t>
      </w:r>
    </w:p>
    <w:p>
      <w:pPr>
        <w:spacing w:after="0" w:line="94" w:lineRule="exact"/>
        <w:rPr>
          <w:sz w:val="20"/>
          <w:szCs w:val="20"/>
          <w:color w:val="auto"/>
        </w:rPr>
      </w:pPr>
    </w:p>
    <w:p>
      <w:pPr>
        <w:ind w:left="500" w:hanging="136"/>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limited in how we conduct our business;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unable to raise additional debt or equity financing to operate during general economic or business downturns; or</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unable to compete effectively or to take advantage of new business opportunities.</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These restrictions might hinder our ability to grow in accordance with our strategy.</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right="160" w:firstLine="141"/>
        <w:spacing w:after="0" w:line="267" w:lineRule="auto"/>
        <w:rPr>
          <w:sz w:val="20"/>
          <w:szCs w:val="20"/>
          <w:color w:val="auto"/>
        </w:rPr>
      </w:pPr>
      <w:r>
        <w:rPr>
          <w:rFonts w:ascii="Arial" w:cs="Arial" w:eastAsia="Arial" w:hAnsi="Arial"/>
          <w:sz w:val="14"/>
          <w:szCs w:val="14"/>
          <w:color w:val="auto"/>
        </w:rPr>
        <w:t>Borrowings under the Secured Credit Facility are at variable rates of interest and expose us to interest rate risk. While interest rates are currently at historically low levels, if interest rates were to increase,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57" w:lineRule="exact"/>
        <w:rPr>
          <w:sz w:val="20"/>
          <w:szCs w:val="20"/>
          <w:color w:val="auto"/>
        </w:rPr>
      </w:pPr>
    </w:p>
    <w:p>
      <w:pPr>
        <w:ind w:right="120" w:firstLine="141"/>
        <w:spacing w:after="0" w:line="253" w:lineRule="auto"/>
        <w:rPr>
          <w:sz w:val="20"/>
          <w:szCs w:val="20"/>
          <w:color w:val="auto"/>
        </w:rPr>
      </w:pPr>
      <w:r>
        <w:rPr>
          <w:rFonts w:ascii="Arial" w:cs="Arial" w:eastAsia="Arial" w:hAnsi="Arial"/>
          <w:sz w:val="14"/>
          <w:szCs w:val="14"/>
          <w:color w:val="auto"/>
        </w:rPr>
        <w:t>Based on Term Loans outstanding as of March 31, 2022 and assuming all revolving loans are fully drawn, and after considering interest rate swaps that fixed the interest rate on $700 million of principal of our variable rate debt each quarter point change in interest rates would result in a $4.8 million change in our projected annual interest expense on our indebtedness under the Secured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2" w:lineRule="exact"/>
        <w:rPr>
          <w:sz w:val="20"/>
          <w:szCs w:val="20"/>
          <w:color w:val="auto"/>
        </w:rPr>
      </w:pPr>
    </w:p>
    <w:p>
      <w:pPr>
        <w:ind w:firstLine="141"/>
        <w:spacing w:after="0" w:line="239" w:lineRule="auto"/>
        <w:rPr>
          <w:sz w:val="20"/>
          <w:szCs w:val="20"/>
          <w:color w:val="auto"/>
        </w:rPr>
      </w:pPr>
      <w:r>
        <w:rPr>
          <w:rFonts w:ascii="Arial" w:cs="Arial" w:eastAsia="Arial" w:hAnsi="Arial"/>
          <w:sz w:val="13"/>
          <w:szCs w:val="13"/>
          <w:color w:val="auto"/>
        </w:rPr>
        <w:t>In addition, a transition away from the London Interbank Offering Rate (“LIBOR”) as a benchmark for establishing the applicable interest rate may affect the cost of servicing our debt under the Secured Credit Facility and the Revolving Credit Facility. As of March 31, 2022, we had $2.8 billion outstanding under the Secured Credit Facility and $999.0 million of availability under the Revolving Credit Facility, each of which incurs interest based on LIBOR. In addition, we had interest rate swaps with an aggregate notional amount of $700.0 million which are based on one-month LIBOR. No modification has been made to our Credit Agreement or interest rate swaps relating to the applicable benchmarks, although such changes may be required or otherwise made in the future. On March 5, 2021, the ICE Benchmark Administration, which administers LIBOR, and the Financial Conduct Authority announced that all LIBOR settings will either cease to be provided by any administrator, or no longer be representative, immediately after December 31, 2021 for all non-U.S. dollar LIBOR settings and one-week and two-month U.S. dollar LIBOR settings, and immediately after June 30, 2023, for the remaining U.S. dollar LIBOR settings. The potential consequences from discontinuation, modification, or reform of LIBOR, implementation of alternative reference rates, and any interest rate transition process cannot be fully predicted and may have an adverse impact on values of LIBOR-linked securities and other financial obligations or extensions of credit and may involve among other things, increased volatility or illiquidity in markets for instruments that rely on LIBOR, reductions in effectiveness of related transactions such as hedges, increased borrowing costs, uncertainty under applicable documentation, or difficult and costly consent processes. Once LIBOR ceases to be published, it is uncertain whether it will continue to be viewed as an acceptable market benchmark, what rate or rates may become accepted alternatives to LIBOR or what the effect of any such changes in views or alternatives may be on the markets for LIBOR-indexed financial instruments. For example, if any alternative base rate or means of calculating interest with respect to our outstanding variable rate indebtedness leads to an increase in the interest rates charged, it could result in an increase in the cost of such indebtedness, impact our ability to refinance some or all of our existing indebtedness or otherwise have a material adverse impact on our business, financial condition and results of operations.</w:t>
      </w:r>
    </w:p>
    <w:p>
      <w:pPr>
        <w:spacing w:after="0" w:line="6" w:lineRule="exact"/>
        <w:rPr>
          <w:sz w:val="20"/>
          <w:szCs w:val="20"/>
          <w:color w:val="auto"/>
        </w:rPr>
      </w:pPr>
    </w:p>
    <w:p>
      <w:pPr>
        <w:ind w:right="240" w:firstLine="318"/>
        <w:spacing w:after="0" w:line="263" w:lineRule="auto"/>
        <w:rPr>
          <w:sz w:val="20"/>
          <w:szCs w:val="20"/>
          <w:color w:val="auto"/>
        </w:rPr>
      </w:pPr>
      <w:r>
        <w:rPr>
          <w:rFonts w:ascii="Arial" w:cs="Arial" w:eastAsia="Arial" w:hAnsi="Arial"/>
          <w:sz w:val="14"/>
          <w:szCs w:val="14"/>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28" w:lineRule="exact"/>
        <w:rPr>
          <w:sz w:val="20"/>
          <w:szCs w:val="20"/>
          <w:color w:val="auto"/>
        </w:rPr>
      </w:pPr>
    </w:p>
    <w:p>
      <w:pPr>
        <w:ind w:right="180" w:firstLine="141"/>
        <w:spacing w:after="0" w:line="262" w:lineRule="auto"/>
        <w:rPr>
          <w:sz w:val="20"/>
          <w:szCs w:val="20"/>
          <w:color w:val="auto"/>
        </w:rPr>
      </w:pPr>
      <w:r>
        <w:rPr>
          <w:rFonts w:ascii="Arial" w:cs="Arial" w:eastAsia="Arial" w:hAnsi="Arial"/>
          <w:sz w:val="14"/>
          <w:szCs w:val="14"/>
          <w:color w:val="auto"/>
        </w:rPr>
        <w:t>Our indebtedness has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47" w:lineRule="exact"/>
        <w:rPr>
          <w:sz w:val="20"/>
          <w:szCs w:val="20"/>
          <w:color w:val="auto"/>
        </w:rPr>
      </w:pPr>
    </w:p>
    <w:p>
      <w:pPr>
        <w:ind w:right="280" w:firstLine="350"/>
        <w:spacing w:after="0" w:line="321" w:lineRule="auto"/>
        <w:rPr>
          <w:sz w:val="20"/>
          <w:szCs w:val="20"/>
          <w:color w:val="auto"/>
        </w:rPr>
      </w:pPr>
      <w:r>
        <w:rPr>
          <w:rFonts w:ascii="Arial" w:cs="Arial" w:eastAsia="Arial" w:hAnsi="Arial"/>
          <w:sz w:val="13"/>
          <w:szCs w:val="13"/>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indentures governing the Senior</w:t>
      </w:r>
    </w:p>
    <w:p>
      <w:pPr>
        <w:spacing w:after="0" w:line="37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87" w:right="339" w:bottom="1440" w:gutter="0" w:footer="0" w:header="0"/>
        </w:sectPr>
      </w:pPr>
    </w:p>
    <w:bookmarkStart w:id="41" w:name="page42"/>
    <w:bookmarkEnd w:id="41"/>
    <w:p>
      <w:pPr>
        <w:ind w:right="240"/>
        <w:spacing w:after="0" w:line="281" w:lineRule="auto"/>
        <w:rPr>
          <w:sz w:val="20"/>
          <w:szCs w:val="20"/>
          <w:color w:val="auto"/>
        </w:rPr>
      </w:pPr>
      <w:r>
        <w:rPr>
          <w:rFonts w:ascii="Arial" w:cs="Arial" w:eastAsia="Arial" w:hAnsi="Arial"/>
          <w:sz w:val="14"/>
          <w:szCs w:val="14"/>
          <w:color w:val="auto"/>
        </w:rPr>
        <w:t>Notes significantly restrict the ability of our subsidiaries to pay dividends or otherwise transfer assets to us. In addition, Delaware law may impose requirements that may restrict our ability to pay dividends to holders of our common stock.</w:t>
      </w:r>
    </w:p>
    <w:p>
      <w:pPr>
        <w:spacing w:after="0" w:line="47"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47" w:lineRule="exact"/>
        <w:rPr>
          <w:sz w:val="20"/>
          <w:szCs w:val="20"/>
          <w:color w:val="auto"/>
        </w:rPr>
      </w:pPr>
    </w:p>
    <w:p>
      <w:pPr>
        <w:ind w:right="240" w:firstLine="350"/>
        <w:spacing w:after="0" w:line="368" w:lineRule="auto"/>
        <w:rPr>
          <w:sz w:val="20"/>
          <w:szCs w:val="20"/>
          <w:color w:val="auto"/>
        </w:rPr>
      </w:pPr>
      <w:r>
        <w:rPr>
          <w:rFonts w:ascii="Arial" w:cs="Arial" w:eastAsia="Arial" w:hAnsi="Arial"/>
          <w:sz w:val="12"/>
          <w:szCs w:val="12"/>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1" w:lineRule="exact"/>
        <w:rPr>
          <w:sz w:val="20"/>
          <w:szCs w:val="20"/>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any cause of reduction or delay in U.S. government funding;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fluctuations in revenue earned on existing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commencement, completion, or termination of contracts during a particular period;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potential decline in our overall profit margins if our other direct costs and subcontract revenue grow at a faster rate than labor-related revenue;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strategic decisions by us or our competitors, such as changes to business strategy, strategic investments, acquisitions, divestitures, spin offs, and joint ventures;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change in our contract mix to less profitable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policy or budgetary measures that adversely affect U.S. government contracts in general;</w:t>
      </w:r>
    </w:p>
    <w:p>
      <w:pPr>
        <w:spacing w:after="0" w:line="93" w:lineRule="exact"/>
        <w:rPr>
          <w:rFonts w:ascii="Arial" w:cs="Arial" w:eastAsia="Arial" w:hAnsi="Arial"/>
          <w:sz w:val="14"/>
          <w:szCs w:val="14"/>
          <w:color w:val="auto"/>
        </w:rPr>
      </w:pPr>
    </w:p>
    <w:p>
      <w:pPr>
        <w:ind w:left="520" w:right="500" w:hanging="260"/>
        <w:spacing w:after="0" w:line="28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GSA schedules, blanket purchase agreements, which are agreements that fulfill repetitive needs under GSA schedules, and IDIQ contracts;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demand for our services and solutions;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fluctuations in the degree to which we are able to utilize our professionals;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seasonality associated with the U.S. government’s fiscal year;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 inability to utilize existing or future tax benefits for any reason, including a change in law;</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alterations to contract requirements;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adverse judgments or settlements in legal disputes.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cannot assure you that we will pay special or regular dividends on our stock in the future.</w:t>
      </w:r>
    </w:p>
    <w:p>
      <w:pPr>
        <w:spacing w:after="0" w:line="94"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Our board of directors (the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52" w:lineRule="exact"/>
        <w:rPr>
          <w:sz w:val="20"/>
          <w:szCs w:val="20"/>
          <w:color w:val="auto"/>
        </w:rPr>
      </w:pPr>
    </w:p>
    <w:p>
      <w:pPr>
        <w:ind w:right="140" w:firstLine="318"/>
        <w:spacing w:after="0" w:line="368" w:lineRule="auto"/>
        <w:rPr>
          <w:sz w:val="20"/>
          <w:szCs w:val="20"/>
          <w:color w:val="auto"/>
        </w:rPr>
      </w:pPr>
      <w:r>
        <w:rPr>
          <w:rFonts w:ascii="Arial" w:cs="Arial" w:eastAsia="Arial" w:hAnsi="Arial"/>
          <w:sz w:val="12"/>
          <w:szCs w:val="12"/>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1" w:lineRule="exact"/>
        <w:rPr>
          <w:sz w:val="20"/>
          <w:szCs w:val="20"/>
          <w:color w:val="auto"/>
        </w:rPr>
      </w:pPr>
    </w:p>
    <w:p>
      <w:pPr>
        <w:ind w:right="120" w:firstLine="350"/>
        <w:spacing w:after="0" w:line="284" w:lineRule="auto"/>
        <w:rPr>
          <w:sz w:val="20"/>
          <w:szCs w:val="20"/>
          <w:color w:val="auto"/>
        </w:rPr>
      </w:pPr>
      <w:r>
        <w:rPr>
          <w:rFonts w:ascii="Arial" w:cs="Arial" w:eastAsia="Arial" w:hAnsi="Arial"/>
          <w:sz w:val="13"/>
          <w:szCs w:val="13"/>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including our financial, accounting, and information systems.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2" w:name="page43"/>
    <w:bookmarkEnd w:id="42"/>
    <w:p>
      <w:pPr>
        <w:ind w:firstLine="350"/>
        <w:spacing w:after="0" w:line="277" w:lineRule="auto"/>
        <w:rPr>
          <w:sz w:val="20"/>
          <w:szCs w:val="20"/>
          <w:color w:val="auto"/>
        </w:rPr>
      </w:pPr>
      <w:r>
        <w:rPr>
          <w:rFonts w:ascii="Arial" w:cs="Arial" w:eastAsia="Arial" w:hAnsi="Arial"/>
          <w:sz w:val="13"/>
          <w:szCs w:val="13"/>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Any failure by such third parties to provide us with accurate or timely information or implement and maintain effective controls may cause us to fail to meet our reporting obligations as a publicly traded company. In addition, as we implement new financial management systems, we could experience deficiencies in its operation that could have an adverse effect on the effectiveness of our internal control over financial reporting.</w:t>
      </w:r>
    </w:p>
    <w:p>
      <w:pPr>
        <w:spacing w:after="0" w:line="57"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Provisions in our organizational documents and in the Delaware General Corporation Law may prevent takeover attempts that could be beneficial to our stockholders.</w:t>
      </w:r>
    </w:p>
    <w:p>
      <w:pPr>
        <w:spacing w:after="0" w:line="105"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47"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granting to the Board the sole power to set the number of directors and to fill any vacancy on the Board;</w:t>
      </w:r>
    </w:p>
    <w:p>
      <w:pPr>
        <w:spacing w:after="0" w:line="93"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granting to the Board the ability to designate and issue one or more series of preferred stock without stockholder approval, the terms of which may be determined at the sole discretion of the Board;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prohibition on stockholders from calling special meetings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establishment of advance notice requirements for stockholder proposals and nominations for election to the Board at stockholder meetings;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prohibiting our stockholders from acting by written consent.</w:t>
      </w:r>
    </w:p>
    <w:p>
      <w:pPr>
        <w:spacing w:after="0" w:line="94" w:lineRule="exact"/>
        <w:rPr>
          <w:sz w:val="20"/>
          <w:szCs w:val="20"/>
          <w:color w:val="auto"/>
        </w:rPr>
      </w:pPr>
    </w:p>
    <w:p>
      <w:pPr>
        <w:ind w:right="420" w:firstLine="350"/>
        <w:spacing w:after="0" w:line="262" w:lineRule="auto"/>
        <w:rPr>
          <w:sz w:val="20"/>
          <w:szCs w:val="20"/>
          <w:color w:val="auto"/>
        </w:rPr>
      </w:pPr>
      <w:r>
        <w:rPr>
          <w:rFonts w:ascii="Arial" w:cs="Arial" w:eastAsia="Arial" w:hAnsi="Arial"/>
          <w:sz w:val="14"/>
          <w:szCs w:val="14"/>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61" w:lineRule="exact"/>
        <w:rPr>
          <w:sz w:val="20"/>
          <w:szCs w:val="20"/>
          <w:color w:val="auto"/>
        </w:rPr>
      </w:pPr>
    </w:p>
    <w:p>
      <w:pPr>
        <w:ind w:right="240" w:firstLine="350"/>
        <w:spacing w:after="0" w:line="321" w:lineRule="auto"/>
        <w:rPr>
          <w:sz w:val="20"/>
          <w:szCs w:val="20"/>
          <w:color w:val="auto"/>
        </w:rPr>
      </w:pPr>
      <w:r>
        <w:rPr>
          <w:rFonts w:ascii="Arial" w:cs="Arial" w:eastAsia="Arial" w:hAnsi="Arial"/>
          <w:sz w:val="13"/>
          <w:szCs w:val="13"/>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market for our Class A Common Stock may be adversely affected by the performance of other companies in the government services market.</w:t>
      </w:r>
    </w:p>
    <w:p>
      <w:pPr>
        <w:spacing w:after="0" w:line="94"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3" w:name="page44"/>
    <w:bookmarkEnd w:id="43"/>
    <w:p>
      <w:pPr>
        <w:ind w:right="40" w:firstLine="350"/>
        <w:spacing w:after="0" w:line="368"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current or former directors, officers, or stockholders.</w:t>
      </w:r>
    </w:p>
    <w:p>
      <w:pPr>
        <w:spacing w:after="0" w:line="1" w:lineRule="exact"/>
        <w:rPr>
          <w:sz w:val="20"/>
          <w:szCs w:val="20"/>
          <w:color w:val="auto"/>
        </w:rPr>
      </w:pPr>
    </w:p>
    <w:p>
      <w:pPr>
        <w:ind w:firstLine="350"/>
        <w:spacing w:after="0" w:line="278" w:lineRule="auto"/>
        <w:rPr>
          <w:sz w:val="20"/>
          <w:szCs w:val="20"/>
          <w:color w:val="auto"/>
        </w:rPr>
      </w:pPr>
      <w:r>
        <w:rPr>
          <w:rFonts w:ascii="Arial" w:cs="Arial" w:eastAsia="Arial" w:hAnsi="Arial"/>
          <w:sz w:val="13"/>
          <w:szCs w:val="13"/>
          <w:color w:val="auto"/>
        </w:rPr>
        <w:t>Our fifth amended and restated certificate of incorporation requires that the Court of Chancery of the State of Delaware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Delaware General Corporation Law, the Company's fifth amended and restated certificate of incorporation or the Company's bylaws, or (iv) any action asserting a claim against the Company governed by the internal affairs doctrine. 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and that investors cannot waive compliance with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Properties</w:t>
      </w:r>
    </w:p>
    <w:p>
      <w:pPr>
        <w:spacing w:after="0" w:line="98" w:lineRule="exact"/>
        <w:rPr>
          <w:sz w:val="20"/>
          <w:szCs w:val="20"/>
          <w:color w:val="auto"/>
        </w:rPr>
      </w:pPr>
    </w:p>
    <w:p>
      <w:pPr>
        <w:ind w:right="80" w:firstLine="350"/>
        <w:spacing w:after="0" w:line="304" w:lineRule="auto"/>
        <w:rPr>
          <w:sz w:val="20"/>
          <w:szCs w:val="20"/>
          <w:color w:val="auto"/>
        </w:rPr>
      </w:pPr>
      <w:r>
        <w:rPr>
          <w:rFonts w:ascii="Arial" w:cs="Arial" w:eastAsia="Arial" w:hAnsi="Arial"/>
          <w:sz w:val="12"/>
          <w:szCs w:val="12"/>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Bethesda, Maryland; Laurel, Maryland;</w:t>
      </w:r>
    </w:p>
    <w:p>
      <w:pPr>
        <w:ind w:right="160"/>
        <w:spacing w:after="0" w:line="288" w:lineRule="auto"/>
        <w:rPr>
          <w:sz w:val="20"/>
          <w:szCs w:val="20"/>
          <w:color w:val="auto"/>
        </w:rPr>
      </w:pPr>
      <w:r>
        <w:rPr>
          <w:rFonts w:ascii="Arial" w:cs="Arial" w:eastAsia="Arial" w:hAnsi="Arial"/>
          <w:sz w:val="13"/>
          <w:szCs w:val="13"/>
          <w:color w:val="auto"/>
        </w:rPr>
        <w:t>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2.50 million square feet. We believe our facilities meet our current needs.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Legal Proceedings</w:t>
      </w:r>
    </w:p>
    <w:p>
      <w:pPr>
        <w:spacing w:after="0" w:line="98" w:lineRule="exact"/>
        <w:rPr>
          <w:sz w:val="20"/>
          <w:szCs w:val="20"/>
          <w:color w:val="auto"/>
        </w:rPr>
      </w:pPr>
    </w:p>
    <w:p>
      <w:pPr>
        <w:ind w:firstLine="350"/>
        <w:spacing w:after="0" w:line="291" w:lineRule="auto"/>
        <w:rPr>
          <w:sz w:val="20"/>
          <w:szCs w:val="20"/>
          <w:color w:val="auto"/>
        </w:rPr>
      </w:pPr>
      <w:r>
        <w:rPr>
          <w:rFonts w:ascii="Arial" w:cs="Arial" w:eastAsia="Arial" w:hAnsi="Arial"/>
          <w:sz w:val="12"/>
          <w:szCs w:val="12"/>
          <w:color w:val="auto"/>
        </w:rPr>
        <w:t>The Company is involved in legal proceedings and investigations arising in the ordinary course of business, including those relating to employment matters, relationships with clients and contractors, intellectual property disputes, compliance with various laws and regulations, and other business matters. We have provided information about these legal proceedings and investigations in "Note 20—Commitments and Contingencies" of the notes to the consolidated financial statements contained within this Annual Report on Form 10-K.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2022 and 2021, there were no material amounts accrued in the consolidated financial statements related to these proceedings.</w:t>
      </w:r>
    </w:p>
    <w:p>
      <w:pPr>
        <w:spacing w:after="0" w:line="36" w:lineRule="exact"/>
        <w:rPr>
          <w:sz w:val="20"/>
          <w:szCs w:val="20"/>
          <w:color w:val="auto"/>
        </w:rPr>
      </w:pPr>
    </w:p>
    <w:p>
      <w:pPr>
        <w:ind w:right="4080" w:firstLine="350"/>
        <w:spacing w:after="0" w:line="297" w:lineRule="auto"/>
        <w:rPr>
          <w:sz w:val="20"/>
          <w:szCs w:val="20"/>
          <w:color w:val="auto"/>
        </w:rPr>
      </w:pPr>
      <w:r>
        <w:rPr>
          <w:rFonts w:ascii="Arial" w:cs="Arial" w:eastAsia="Arial" w:hAnsi="Arial"/>
          <w:sz w:val="12"/>
          <w:szCs w:val="12"/>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w:t>
      </w:r>
    </w:p>
    <w:p>
      <w:pPr>
        <w:spacing w:after="0" w:line="1" w:lineRule="exact"/>
        <w:rPr>
          <w:sz w:val="20"/>
          <w:szCs w:val="20"/>
          <w:color w:val="auto"/>
        </w:rPr>
      </w:pPr>
    </w:p>
    <w:p>
      <w:pPr>
        <w:ind w:right="440"/>
        <w:spacing w:after="0" w:line="266" w:lineRule="auto"/>
        <w:rPr>
          <w:sz w:val="20"/>
          <w:szCs w:val="20"/>
          <w:color w:val="auto"/>
        </w:rPr>
      </w:pPr>
      <w:r>
        <w:rPr>
          <w:rFonts w:ascii="Arial" w:cs="Arial" w:eastAsia="Arial" w:hAnsi="Arial"/>
          <w:sz w:val="14"/>
          <w:szCs w:val="14"/>
          <w:color w:val="auto"/>
        </w:rPr>
        <w:t>relevant government parties. On May 12, 2021, the Company was informed that the DOJ has closed its criminal investigation. The total cost associated with these matters will depend on many factors, including the duration of these matters and any related</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findings. At this stage, the Company is not able to reasonably estimate the expected amount or range of cost or any loss associated with these matters.</w:t>
      </w:r>
    </w:p>
    <w:p>
      <w:pPr>
        <w:spacing w:after="0" w:line="94" w:lineRule="exact"/>
        <w:rPr>
          <w:sz w:val="20"/>
          <w:szCs w:val="20"/>
          <w:color w:val="auto"/>
        </w:rPr>
      </w:pPr>
    </w:p>
    <w:p>
      <w:pPr>
        <w:ind w:right="4060" w:firstLine="350"/>
        <w:spacing w:after="0" w:line="276" w:lineRule="auto"/>
        <w:rPr>
          <w:sz w:val="20"/>
          <w:szCs w:val="20"/>
          <w:color w:val="auto"/>
        </w:rPr>
      </w:pPr>
      <w:r>
        <w:rPr>
          <w:rFonts w:ascii="Arial" w:cs="Arial" w:eastAsia="Arial" w:hAnsi="Arial"/>
          <w:sz w:val="13"/>
          <w:szCs w:val="13"/>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4060" w:firstLine="350"/>
        <w:spacing w:after="0" w:line="297" w:lineRule="auto"/>
        <w:rPr>
          <w:sz w:val="20"/>
          <w:szCs w:val="20"/>
          <w:color w:val="auto"/>
        </w:rPr>
      </w:pPr>
      <w:r>
        <w:rPr>
          <w:rFonts w:ascii="Arial" w:cs="Arial" w:eastAsia="Arial" w:hAnsi="Arial"/>
          <w:sz w:val="12"/>
          <w:szCs w:val="12"/>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w:t>
      </w:r>
    </w:p>
    <w:p>
      <w:pPr>
        <w:spacing w:after="0" w:line="3"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stay remain in effect and ordered the parties to submit periodic status reports. On May 27, 2020, November 23, 2020, May 24, 2021, and November 22,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5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information about our executive officers as of the date hereof:</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800" w:type="dxa"/>
            <w:vAlign w:val="bottom"/>
          </w:tcPr>
          <w:p>
            <w:pPr>
              <w:jc w:val="center"/>
              <w:ind w:left="591"/>
              <w:spacing w:after="0"/>
              <w:rPr>
                <w:sz w:val="20"/>
                <w:szCs w:val="20"/>
                <w:color w:val="auto"/>
              </w:rPr>
            </w:pPr>
            <w:r>
              <w:rPr>
                <w:rFonts w:ascii="Arial" w:cs="Arial" w:eastAsia="Arial" w:hAnsi="Arial"/>
                <w:sz w:val="11"/>
                <w:szCs w:val="11"/>
                <w:b w:val="1"/>
                <w:bCs w:val="1"/>
                <w:color w:val="auto"/>
                <w:w w:val="86"/>
              </w:rPr>
              <w:t>Age</w:t>
            </w:r>
          </w:p>
        </w:tc>
        <w:tc>
          <w:tcPr>
            <w:tcW w:w="3660" w:type="dxa"/>
            <w:vAlign w:val="bottom"/>
          </w:tcPr>
          <w:p>
            <w:pPr>
              <w:ind w:left="460"/>
              <w:spacing w:after="0"/>
              <w:rPr>
                <w:sz w:val="20"/>
                <w:szCs w:val="20"/>
                <w:color w:val="auto"/>
              </w:rPr>
            </w:pPr>
            <w:r>
              <w:rPr>
                <w:rFonts w:ascii="Arial" w:cs="Arial" w:eastAsia="Arial" w:hAnsi="Arial"/>
                <w:sz w:val="11"/>
                <w:szCs w:val="11"/>
                <w:b w:val="1"/>
                <w:bCs w:val="1"/>
                <w:color w:val="auto"/>
              </w:rPr>
              <w:t>Position</w:t>
            </w:r>
          </w:p>
        </w:tc>
      </w:tr>
      <w:tr>
        <w:trPr>
          <w:trHeight w:val="188"/>
        </w:trPr>
        <w:tc>
          <w:tcPr>
            <w:tcW w:w="2580" w:type="dxa"/>
            <w:vAlign w:val="bottom"/>
          </w:tcPr>
          <w:p>
            <w:pPr>
              <w:spacing w:after="0"/>
              <w:rPr>
                <w:sz w:val="20"/>
                <w:szCs w:val="20"/>
                <w:color w:val="auto"/>
              </w:rPr>
            </w:pPr>
            <w:r>
              <w:rPr>
                <w:rFonts w:ascii="Arial" w:cs="Arial" w:eastAsia="Arial" w:hAnsi="Arial"/>
                <w:sz w:val="14"/>
                <w:szCs w:val="14"/>
                <w:color w:val="auto"/>
              </w:rPr>
              <w:t>Horacio D. Rozanski</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54</w:t>
            </w:r>
          </w:p>
        </w:tc>
        <w:tc>
          <w:tcPr>
            <w:tcW w:w="3660" w:type="dxa"/>
            <w:vAlign w:val="bottom"/>
          </w:tcPr>
          <w:p>
            <w:pPr>
              <w:ind w:left="46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Lloyd W. Howell, Jr.</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56</w:t>
            </w:r>
          </w:p>
        </w:tc>
        <w:tc>
          <w:tcPr>
            <w:tcW w:w="3660" w:type="dxa"/>
            <w:vAlign w:val="bottom"/>
          </w:tcPr>
          <w:p>
            <w:pPr>
              <w:ind w:left="460"/>
              <w:spacing w:after="0"/>
              <w:rPr>
                <w:sz w:val="20"/>
                <w:szCs w:val="20"/>
                <w:color w:val="auto"/>
              </w:rPr>
            </w:pPr>
            <w:r>
              <w:rPr>
                <w:rFonts w:ascii="Arial" w:cs="Arial" w:eastAsia="Arial" w:hAnsi="Arial"/>
                <w:sz w:val="14"/>
                <w:szCs w:val="14"/>
                <w:color w:val="auto"/>
                <w:w w:val="98"/>
              </w:rPr>
              <w:t>Executive Vice President and Chief Financial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Kristine Martin Anderson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53</w:t>
            </w:r>
          </w:p>
        </w:tc>
        <w:tc>
          <w:tcPr>
            <w:tcW w:w="366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Karen M. Dahut</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58</w:t>
            </w:r>
          </w:p>
        </w:tc>
        <w:tc>
          <w:tcPr>
            <w:tcW w:w="366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Judith Dotson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58</w:t>
            </w:r>
          </w:p>
        </w:tc>
        <w:tc>
          <w:tcPr>
            <w:tcW w:w="366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Nancy J. Laben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60</w:t>
            </w:r>
          </w:p>
        </w:tc>
        <w:tc>
          <w:tcPr>
            <w:tcW w:w="3660" w:type="dxa"/>
            <w:vAlign w:val="bottom"/>
          </w:tcPr>
          <w:p>
            <w:pPr>
              <w:ind w:left="460"/>
              <w:spacing w:after="0"/>
              <w:rPr>
                <w:sz w:val="20"/>
                <w:szCs w:val="20"/>
                <w:color w:val="auto"/>
              </w:rPr>
            </w:pPr>
            <w:r>
              <w:rPr>
                <w:rFonts w:ascii="Arial" w:cs="Arial" w:eastAsia="Arial" w:hAnsi="Arial"/>
                <w:sz w:val="14"/>
                <w:szCs w:val="14"/>
                <w:color w:val="auto"/>
              </w:rPr>
              <w:t>Executive Vice President and Chief Legal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Susan L. Penfield</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60</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Executive Vice President and Chief Technology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Elizabeth M. Thompson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67</w:t>
            </w:r>
          </w:p>
        </w:tc>
        <w:tc>
          <w:tcPr>
            <w:tcW w:w="3660" w:type="dxa"/>
            <w:vAlign w:val="bottom"/>
          </w:tcPr>
          <w:p>
            <w:pPr>
              <w:ind w:left="460"/>
              <w:spacing w:after="0"/>
              <w:rPr>
                <w:sz w:val="20"/>
                <w:szCs w:val="20"/>
                <w:color w:val="auto"/>
              </w:rPr>
            </w:pPr>
            <w:r>
              <w:rPr>
                <w:rFonts w:ascii="Arial" w:cs="Arial" w:eastAsia="Arial" w:hAnsi="Arial"/>
                <w:sz w:val="14"/>
                <w:szCs w:val="14"/>
                <w:color w:val="auto"/>
              </w:rPr>
              <w:t>Executive Vice President and Chief People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Scott M. Murphy</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42</w:t>
            </w:r>
          </w:p>
        </w:tc>
        <w:tc>
          <w:tcPr>
            <w:tcW w:w="3660" w:type="dxa"/>
            <w:vAlign w:val="bottom"/>
          </w:tcPr>
          <w:p>
            <w:pPr>
              <w:ind w:left="460"/>
              <w:spacing w:after="0"/>
              <w:rPr>
                <w:sz w:val="20"/>
                <w:szCs w:val="20"/>
                <w:color w:val="auto"/>
              </w:rPr>
            </w:pPr>
            <w:r>
              <w:rPr>
                <w:rFonts w:ascii="Arial" w:cs="Arial" w:eastAsia="Arial" w:hAnsi="Arial"/>
                <w:sz w:val="14"/>
                <w:szCs w:val="14"/>
                <w:color w:val="auto"/>
                <w:w w:val="93"/>
              </w:rPr>
              <w:t>Vice President, Chief Accounting Officer and Controller</w:t>
            </w:r>
          </w:p>
        </w:tc>
      </w:tr>
    </w:tbl>
    <w:p>
      <w:pPr>
        <w:spacing w:after="0" w:line="75"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i w:val="1"/>
          <w:iCs w:val="1"/>
          <w:color w:val="auto"/>
        </w:rPr>
        <w:t xml:space="preserve">Horacio D. Rozanski </w:t>
      </w:r>
      <w:r>
        <w:rPr>
          <w:rFonts w:ascii="Arial" w:cs="Arial" w:eastAsia="Arial" w:hAnsi="Arial"/>
          <w:sz w:val="12"/>
          <w:szCs w:val="12"/>
          <w:color w:val="auto"/>
        </w:rPr>
        <w:t>is our President and Chief Executive Officer. A respected authority and leader in the consulting industry, Mr. Rozanski has expertise in business strategy, technology and</w:t>
      </w:r>
      <w:r>
        <w:rPr>
          <w:rFonts w:ascii="Arial" w:cs="Arial" w:eastAsia="Arial" w:hAnsi="Arial"/>
          <w:sz w:val="12"/>
          <w:szCs w:val="12"/>
          <w:i w:val="1"/>
          <w:iCs w:val="1"/>
          <w:color w:val="auto"/>
        </w:rPr>
        <w:t xml:space="preserve"> </w:t>
      </w:r>
      <w:r>
        <w:rPr>
          <w:rFonts w:ascii="Arial" w:cs="Arial" w:eastAsia="Arial" w:hAnsi="Arial"/>
          <w:sz w:val="12"/>
          <w:szCs w:val="12"/>
          <w:color w:val="auto"/>
        </w:rPr>
        <w:t>operations, talent and diversity, and the future of consulting. He joined Booz Allen in 1992 as a consultant to commercial clients, was elected vice president in 1999, and served as our Chief Personnel Officer, Chief Strategy and Talent Officer, Chief Operating Officer, and President before becoming Chief Executive Officer in 2015. He also is a member of our board of directors. Mr. Rozanski currently serves as Chair of the board of directors for Children’s National Medical Center and is a member of the board of directors at Marriott International, Inc. (NASDAQ: MAR) and CARE. He is also a member of the Business Roundtable and the United States Holocaust Memorial Museum’s Committee on Conscience, and Vice Chair of the Kennedy Center Corporate Fund Board.</w:t>
      </w:r>
    </w:p>
    <w:p>
      <w:pPr>
        <w:spacing w:after="0" w:line="34" w:lineRule="exact"/>
        <w:rPr>
          <w:sz w:val="20"/>
          <w:szCs w:val="20"/>
          <w:color w:val="auto"/>
        </w:rPr>
      </w:pPr>
    </w:p>
    <w:p>
      <w:pPr>
        <w:ind w:right="420" w:firstLine="350"/>
        <w:spacing w:after="0" w:line="321" w:lineRule="auto"/>
        <w:rPr>
          <w:sz w:val="20"/>
          <w:szCs w:val="20"/>
          <w:color w:val="auto"/>
        </w:rPr>
      </w:pPr>
      <w:r>
        <w:rPr>
          <w:rFonts w:ascii="Arial" w:cs="Arial" w:eastAsia="Arial" w:hAnsi="Arial"/>
          <w:sz w:val="13"/>
          <w:szCs w:val="13"/>
          <w:i w:val="1"/>
          <w:iCs w:val="1"/>
          <w:color w:val="auto"/>
        </w:rPr>
        <w:t xml:space="preserve">Lloyd W. Howell, Jr. </w:t>
      </w:r>
      <w:r>
        <w:rPr>
          <w:rFonts w:ascii="Arial" w:cs="Arial" w:eastAsia="Arial" w:hAnsi="Arial"/>
          <w:sz w:val="13"/>
          <w:szCs w:val="13"/>
          <w:color w:val="auto"/>
        </w:rPr>
        <w:t>is an Executive Vice President of our Company and our Chief Financial Officer since July 2016. Mr. Howell previously served as our Treasurer from July 2016 until</w:t>
      </w:r>
      <w:r>
        <w:rPr>
          <w:rFonts w:ascii="Arial" w:cs="Arial" w:eastAsia="Arial" w:hAnsi="Arial"/>
          <w:sz w:val="13"/>
          <w:szCs w:val="13"/>
          <w:i w:val="1"/>
          <w:iCs w:val="1"/>
          <w:color w:val="auto"/>
        </w:rPr>
        <w:t xml:space="preserve"> </w:t>
      </w:r>
      <w:r>
        <w:rPr>
          <w:rFonts w:ascii="Arial" w:cs="Arial" w:eastAsia="Arial" w:hAnsi="Arial"/>
          <w:sz w:val="13"/>
          <w:szCs w:val="13"/>
          <w:color w:val="auto"/>
        </w:rPr>
        <w:t>February 2022 and as the group leader for our Civil Commercial Group. Mr. Howell joined our Company in 1988, left in 1991, rejoined in 1995 and became an Executive Vice</w:t>
      </w:r>
    </w:p>
    <w:p>
      <w:pPr>
        <w:spacing w:after="0" w:line="37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5" w:name="page46"/>
    <w:bookmarkEnd w:id="45"/>
    <w:p>
      <w:pPr>
        <w:ind w:right="20"/>
        <w:spacing w:after="0" w:line="262" w:lineRule="auto"/>
        <w:rPr>
          <w:sz w:val="20"/>
          <w:szCs w:val="20"/>
          <w:color w:val="auto"/>
        </w:rPr>
      </w:pPr>
      <w:r>
        <w:rPr>
          <w:rFonts w:ascii="Arial" w:cs="Arial" w:eastAsia="Arial" w:hAnsi="Arial"/>
          <w:sz w:val="14"/>
          <w:szCs w:val="14"/>
          <w:color w:val="auto"/>
        </w:rPr>
        <w:t>President in 2005. He served as chairman of our Ethics &amp; Compliance Committee for over seven years, until April 2014. Mr. Howell serves on the board of directors of Moody’s Corporation (NYSE: MCO) since March 2021 and is a member of the Senior Advisory Board of TowerBrook Capital Partners. Mr. Howell also serves on the board of trustees at the University of Pennsylvania, the board of advisors for the School of Engineering and Applied Science at the University of Pennsylvania, and is a member of the Washington, D.C. Economics Club. In addition, Mr. Howell previously served on the board of directors of Integra Life Sciences from 2013 to February 2021.</w:t>
      </w:r>
    </w:p>
    <w:p>
      <w:pPr>
        <w:spacing w:after="0" w:line="61"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i w:val="1"/>
          <w:iCs w:val="1"/>
          <w:color w:val="auto"/>
        </w:rPr>
        <w:t xml:space="preserve">Kristine Martin Anderson </w:t>
      </w:r>
      <w:r>
        <w:rPr>
          <w:rFonts w:ascii="Arial" w:cs="Arial" w:eastAsia="Arial" w:hAnsi="Arial"/>
          <w:sz w:val="14"/>
          <w:szCs w:val="14"/>
          <w:color w:val="auto"/>
        </w:rPr>
        <w:t>is an Executive Vice President and is President for the Company's Civil sector. She has led the Civil sector since April 2018, after leading the Company's civil health</w:t>
      </w:r>
      <w:r>
        <w:rPr>
          <w:rFonts w:ascii="Arial" w:cs="Arial" w:eastAsia="Arial" w:hAnsi="Arial"/>
          <w:sz w:val="14"/>
          <w:szCs w:val="14"/>
          <w:i w:val="1"/>
          <w:iCs w:val="1"/>
          <w:color w:val="auto"/>
        </w:rPr>
        <w:t xml:space="preserve"> </w:t>
      </w:r>
      <w:r>
        <w:rPr>
          <w:rFonts w:ascii="Arial" w:cs="Arial" w:eastAsia="Arial" w:hAnsi="Arial"/>
          <w:sz w:val="14"/>
          <w:szCs w:val="14"/>
          <w:color w:val="auto"/>
        </w:rPr>
        <w:t>business since April 2015. Prior to joining Booz Allen in 2006, she was Vice President for Operations and Strategy at CareScience, a software solutions company. Ms. Anderson currently serves as treasurer of the Executives for Health Innovation (formerly the eHealth Initiative) board of directors. In addition, she serves as co-chair of the Cost and Resource Use Standing Committee of the National Quality Forum.</w:t>
      </w:r>
    </w:p>
    <w:p>
      <w:pPr>
        <w:spacing w:after="0" w:line="61"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i w:val="1"/>
          <w:iCs w:val="1"/>
          <w:color w:val="auto"/>
        </w:rPr>
        <w:t xml:space="preserve">Karen M. Dahut </w:t>
      </w:r>
      <w:r>
        <w:rPr>
          <w:rFonts w:ascii="Arial" w:cs="Arial" w:eastAsia="Arial" w:hAnsi="Arial"/>
          <w:sz w:val="14"/>
          <w:szCs w:val="14"/>
          <w:color w:val="auto"/>
        </w:rPr>
        <w:t>is an Executive Vice President and is President for the Company's Global Defense sector. Ms. Dahut joined our Company in 2002 and became a Senior Vice President in 2004.</w:t>
      </w:r>
      <w:r>
        <w:rPr>
          <w:rFonts w:ascii="Arial" w:cs="Arial" w:eastAsia="Arial" w:hAnsi="Arial"/>
          <w:sz w:val="14"/>
          <w:szCs w:val="14"/>
          <w:i w:val="1"/>
          <w:iCs w:val="1"/>
          <w:color w:val="auto"/>
        </w:rPr>
        <w:t xml:space="preserve"> </w:t>
      </w:r>
      <w:r>
        <w:rPr>
          <w:rFonts w:ascii="Arial" w:cs="Arial" w:eastAsia="Arial" w:hAnsi="Arial"/>
          <w:sz w:val="14"/>
          <w:szCs w:val="14"/>
          <w:color w:val="auto"/>
        </w:rPr>
        <w:t>Ms. Dahut led the Company's Strategic Innovations Group from 2012 to April 2016 and the Civil Commercial Group from 2016 to March 2018. Previously, she also led the Company's Analytics business and its US Navy and Marine Corps business. Ms. Dahut has served as a board member of DexCom, Inc. since August 2020. She also serves on the board of the Smithsonian National Air and Space Museum and the Eisner Amper Advisory Group.</w:t>
      </w:r>
    </w:p>
    <w:p>
      <w:pPr>
        <w:spacing w:after="0" w:line="61"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i w:val="1"/>
          <w:iCs w:val="1"/>
          <w:color w:val="auto"/>
        </w:rPr>
        <w:t xml:space="preserve">Judith Dotson </w:t>
      </w:r>
      <w:r>
        <w:rPr>
          <w:rFonts w:ascii="Arial" w:cs="Arial" w:eastAsia="Arial" w:hAnsi="Arial"/>
          <w:sz w:val="13"/>
          <w:szCs w:val="13"/>
          <w:color w:val="auto"/>
        </w:rPr>
        <w:t>is an Executive Vice President and is President for the Company's National Security sector. Ms. Dotson joined our Company in 1989 and became a Senior Vice President in 2004.</w:t>
      </w:r>
      <w:r>
        <w:rPr>
          <w:rFonts w:ascii="Arial" w:cs="Arial" w:eastAsia="Arial" w:hAnsi="Arial"/>
          <w:sz w:val="13"/>
          <w:szCs w:val="13"/>
          <w:i w:val="1"/>
          <w:iCs w:val="1"/>
          <w:color w:val="auto"/>
        </w:rPr>
        <w:t xml:space="preserve"> </w:t>
      </w:r>
      <w:r>
        <w:rPr>
          <w:rFonts w:ascii="Arial" w:cs="Arial" w:eastAsia="Arial" w:hAnsi="Arial"/>
          <w:sz w:val="13"/>
          <w:szCs w:val="13"/>
          <w:color w:val="auto"/>
        </w:rPr>
        <w:t>Ms. Dotson led the Company's Finance, Economic Development, and Energy business from 2014 to March 2017 and the Joint Combatant Command business from 2017 to March 2020. Previously, she led the Company's Enterprise Integration Capability Development Team, the Defense System Development Capability Team, and the Environment &amp; Energy Technology Team. Ms. Dotson previously served on the board of directors for the Nature Generation, a not-for-profit that inspires and empowers environmental stewardship in youth.</w:t>
      </w:r>
    </w:p>
    <w:p>
      <w:pPr>
        <w:spacing w:after="0" w:line="46" w:lineRule="exact"/>
        <w:rPr>
          <w:sz w:val="20"/>
          <w:szCs w:val="20"/>
          <w:color w:val="auto"/>
        </w:rPr>
      </w:pPr>
    </w:p>
    <w:p>
      <w:pPr>
        <w:jc w:val="both"/>
        <w:ind w:right="100" w:firstLine="350"/>
        <w:spacing w:after="0" w:line="262" w:lineRule="auto"/>
        <w:rPr>
          <w:sz w:val="20"/>
          <w:szCs w:val="20"/>
          <w:color w:val="auto"/>
        </w:rPr>
      </w:pPr>
      <w:r>
        <w:rPr>
          <w:rFonts w:ascii="Arial" w:cs="Arial" w:eastAsia="Arial" w:hAnsi="Arial"/>
          <w:sz w:val="14"/>
          <w:szCs w:val="14"/>
          <w:i w:val="1"/>
          <w:iCs w:val="1"/>
          <w:color w:val="auto"/>
        </w:rPr>
        <w:t xml:space="preserve">Nancy J. Laben </w:t>
      </w:r>
      <w:r>
        <w:rPr>
          <w:rFonts w:ascii="Arial" w:cs="Arial" w:eastAsia="Arial" w:hAnsi="Arial"/>
          <w:sz w:val="14"/>
          <w:szCs w:val="14"/>
          <w:color w:val="auto"/>
        </w:rPr>
        <w:t>is an Executive Vice President of our Company and our Chief Legal Officer. She also served as the Secretary until August 2019. Ms. Laben joined our Company in September</w:t>
      </w:r>
      <w:r>
        <w:rPr>
          <w:rFonts w:ascii="Arial" w:cs="Arial" w:eastAsia="Arial" w:hAnsi="Arial"/>
          <w:sz w:val="14"/>
          <w:szCs w:val="14"/>
          <w:i w:val="1"/>
          <w:iCs w:val="1"/>
          <w:color w:val="auto"/>
        </w:rPr>
        <w:t xml:space="preserve"> </w:t>
      </w:r>
      <w:r>
        <w:rPr>
          <w:rFonts w:ascii="Arial" w:cs="Arial" w:eastAsia="Arial" w:hAnsi="Arial"/>
          <w:sz w:val="14"/>
          <w:szCs w:val="14"/>
          <w:color w:val="auto"/>
        </w:rPr>
        <w:t>2013. She oversees the Legal functions, Ethics &amp; Compliance, and Corporate Affairs.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61" w:lineRule="exact"/>
        <w:rPr>
          <w:sz w:val="20"/>
          <w:szCs w:val="20"/>
          <w:color w:val="auto"/>
        </w:rPr>
      </w:pPr>
    </w:p>
    <w:p>
      <w:pPr>
        <w:ind w:right="40" w:firstLine="350"/>
        <w:spacing w:after="0" w:line="284" w:lineRule="auto"/>
        <w:rPr>
          <w:sz w:val="20"/>
          <w:szCs w:val="20"/>
          <w:color w:val="auto"/>
        </w:rPr>
      </w:pPr>
      <w:r>
        <w:rPr>
          <w:rFonts w:ascii="Arial" w:cs="Arial" w:eastAsia="Arial" w:hAnsi="Arial"/>
          <w:sz w:val="13"/>
          <w:szCs w:val="13"/>
          <w:i w:val="1"/>
          <w:iCs w:val="1"/>
          <w:color w:val="auto"/>
        </w:rPr>
        <w:t xml:space="preserve">Susan L. Penfield </w:t>
      </w:r>
      <w:r>
        <w:rPr>
          <w:rFonts w:ascii="Arial" w:cs="Arial" w:eastAsia="Arial" w:hAnsi="Arial"/>
          <w:sz w:val="13"/>
          <w:szCs w:val="13"/>
          <w:color w:val="auto"/>
        </w:rPr>
        <w:t>is an Executive Vice President and our Chief Technology Officer, and leads our Strategic Innovation Group. Prior to her role as Chief Technology Officer, she served as our</w:t>
      </w:r>
      <w:r>
        <w:rPr>
          <w:rFonts w:ascii="Arial" w:cs="Arial" w:eastAsia="Arial" w:hAnsi="Arial"/>
          <w:sz w:val="13"/>
          <w:szCs w:val="13"/>
          <w:i w:val="1"/>
          <w:iCs w:val="1"/>
          <w:color w:val="auto"/>
        </w:rPr>
        <w:t xml:space="preserve"> </w:t>
      </w:r>
      <w:r>
        <w:rPr>
          <w:rFonts w:ascii="Arial" w:cs="Arial" w:eastAsia="Arial" w:hAnsi="Arial"/>
          <w:sz w:val="13"/>
          <w:szCs w:val="13"/>
          <w:color w:val="auto"/>
        </w:rPr>
        <w:t>Chief Innovation Officer. Ms. Penfield joined the Company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as Chair of the board of directors of the Children's Inn at the National Institutes of Health, and also on the board of directors of Seed Spot Inc. and the Northern Virginia Technology Council. Ms. Penfield is a member of the National Association for Female Executives (NAFE), and was recognized by the NAFE as its 2015 Digital Trailblazer.</w:t>
      </w:r>
    </w:p>
    <w:p>
      <w:pPr>
        <w:spacing w:after="0" w:line="49" w:lineRule="exact"/>
        <w:rPr>
          <w:sz w:val="20"/>
          <w:szCs w:val="20"/>
          <w:color w:val="auto"/>
        </w:rPr>
      </w:pPr>
    </w:p>
    <w:p>
      <w:pPr>
        <w:ind w:right="280" w:firstLine="350"/>
        <w:spacing w:after="0" w:line="281" w:lineRule="auto"/>
        <w:rPr>
          <w:sz w:val="20"/>
          <w:szCs w:val="20"/>
          <w:color w:val="auto"/>
        </w:rPr>
      </w:pPr>
      <w:r>
        <w:rPr>
          <w:rFonts w:ascii="Arial" w:cs="Arial" w:eastAsia="Arial" w:hAnsi="Arial"/>
          <w:sz w:val="14"/>
          <w:szCs w:val="14"/>
          <w:i w:val="1"/>
          <w:iCs w:val="1"/>
          <w:color w:val="auto"/>
        </w:rPr>
        <w:t xml:space="preserve">Elizabeth M. Thompson </w:t>
      </w:r>
      <w:r>
        <w:rPr>
          <w:rFonts w:ascii="Arial" w:cs="Arial" w:eastAsia="Arial" w:hAnsi="Arial"/>
          <w:sz w:val="14"/>
          <w:szCs w:val="14"/>
          <w:color w:val="auto"/>
        </w:rPr>
        <w:t>is an Executive Vice President of our Company and serves as our Chief People Officer. Ms. Thompson joined our Company in 2008. Ms. Thompson served as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Human Resources for Fannie Mae from 2000 to 2008. Ms. Thompson sits on the board of the Society for Human Resource Management.</w:t>
      </w:r>
    </w:p>
    <w:p>
      <w:pPr>
        <w:spacing w:after="0" w:line="47" w:lineRule="exact"/>
        <w:rPr>
          <w:sz w:val="20"/>
          <w:szCs w:val="20"/>
          <w:color w:val="auto"/>
        </w:rPr>
      </w:pPr>
    </w:p>
    <w:p>
      <w:pPr>
        <w:ind w:right="260" w:firstLine="350"/>
        <w:spacing w:after="0" w:line="297" w:lineRule="auto"/>
        <w:rPr>
          <w:sz w:val="20"/>
          <w:szCs w:val="20"/>
          <w:color w:val="auto"/>
        </w:rPr>
      </w:pPr>
      <w:r>
        <w:rPr>
          <w:rFonts w:ascii="Arial" w:cs="Arial" w:eastAsia="Arial" w:hAnsi="Arial"/>
          <w:sz w:val="13"/>
          <w:szCs w:val="13"/>
          <w:i w:val="1"/>
          <w:iCs w:val="1"/>
          <w:color w:val="auto"/>
        </w:rPr>
        <w:t xml:space="preserve">Scott M. Murphy </w:t>
      </w:r>
      <w:r>
        <w:rPr>
          <w:rFonts w:ascii="Arial" w:cs="Arial" w:eastAsia="Arial" w:hAnsi="Arial"/>
          <w:sz w:val="13"/>
          <w:szCs w:val="13"/>
          <w:color w:val="auto"/>
        </w:rPr>
        <w:t>is a Vice President of our Company and our Chief Accounting Officer and Controller. Mr. Murphy joined Booz Allen in May 2021 as the Company's Controller, and has</w:t>
      </w:r>
      <w:r>
        <w:rPr>
          <w:rFonts w:ascii="Arial" w:cs="Arial" w:eastAsia="Arial" w:hAnsi="Arial"/>
          <w:sz w:val="13"/>
          <w:szCs w:val="13"/>
          <w:i w:val="1"/>
          <w:iCs w:val="1"/>
          <w:color w:val="auto"/>
        </w:rPr>
        <w:t xml:space="preserve"> </w:t>
      </w:r>
      <w:r>
        <w:rPr>
          <w:rFonts w:ascii="Arial" w:cs="Arial" w:eastAsia="Arial" w:hAnsi="Arial"/>
          <w:sz w:val="13"/>
          <w:szCs w:val="13"/>
          <w:color w:val="auto"/>
        </w:rPr>
        <w:t>served as the Company’s Chief Accounting Officer since February 2022. Prior to joining Booz Allen, Mr. Murphy spent 11 years at Iron Mountain Incorporated, where he most recently served as their Americas Controller and Global Controller. Prior to joining Iron Mountain Incorporated, Mr. Murphy spent seven years at Ernst &amp; Young, LLP in the assurance practice.</w:t>
      </w:r>
    </w:p>
    <w:p>
      <w:pPr>
        <w:spacing w:after="0" w:line="38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Our Class A Common Stock began trading on the New York Stock Exchange on November 17, 2010. On May 16, 2022, there were 258,250 beneficial holders of our Class A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New York Stock Exchange under the ticker symbol "BAH".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9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and will depend, among other factors, upon our earnings, liquidity, financial condition, alternate capital allocation opportunities, or any other factors the Board deems relevant. On May 20, 2022, the Company announced that the Board had declared a quarterly cash dividend of $0.43 per share. Payment of the dividend will be made on June 30, 2022 to stockholders of record at the close of business on June 15, 2022.</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 shows the share repurchase activity for each of the three months in the quarter ended March 31,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9"/>
              </w:rPr>
              <w:t>Shares that May Yet Be</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1660"/>
              <w:spacing w:after="0"/>
              <w:rPr>
                <w:sz w:val="20"/>
                <w:szCs w:val="20"/>
                <w:color w:val="auto"/>
              </w:rPr>
            </w:pPr>
            <w:r>
              <w:rPr>
                <w:rFonts w:ascii="Arial" w:cs="Arial" w:eastAsia="Arial" w:hAnsi="Arial"/>
                <w:sz w:val="13"/>
                <w:szCs w:val="13"/>
                <w:b w:val="1"/>
                <w:bCs w:val="1"/>
                <w:color w:val="auto"/>
              </w:rPr>
              <w:t>Period</w:t>
            </w:r>
          </w:p>
        </w:tc>
        <w:tc>
          <w:tcPr>
            <w:tcW w:w="1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Average Price Paid per Share</w:t>
            </w:r>
          </w:p>
        </w:tc>
        <w:tc>
          <w:tcPr>
            <w:tcW w:w="18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8"/>
              </w:rPr>
              <w:t>Purchased Under the Plans or</w:t>
            </w:r>
          </w:p>
        </w:tc>
        <w:tc>
          <w:tcPr>
            <w:tcW w:w="0" w:type="dxa"/>
            <w:vAlign w:val="bottom"/>
          </w:tcPr>
          <w:p>
            <w:pPr>
              <w:spacing w:after="0"/>
              <w:rPr>
                <w:sz w:val="1"/>
                <w:szCs w:val="1"/>
                <w:color w:val="auto"/>
              </w:rPr>
            </w:pPr>
          </w:p>
        </w:tc>
      </w:tr>
      <w:tr>
        <w:trPr>
          <w:trHeight w:val="168"/>
        </w:trPr>
        <w:tc>
          <w:tcPr>
            <w:tcW w:w="376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Purchased</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87"/>
              </w:rPr>
              <w:t>Announced Plans or 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Programs (1)</w:t>
            </w:r>
          </w:p>
        </w:tc>
        <w:tc>
          <w:tcPr>
            <w:tcW w:w="0" w:type="dxa"/>
            <w:vAlign w:val="bottom"/>
          </w:tcPr>
          <w:p>
            <w:pPr>
              <w:spacing w:after="0"/>
              <w:rPr>
                <w:sz w:val="1"/>
                <w:szCs w:val="1"/>
                <w:color w:val="auto"/>
              </w:rPr>
            </w:pPr>
          </w:p>
        </w:tc>
      </w:tr>
      <w:tr>
        <w:trPr>
          <w:trHeight w:val="17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2022</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369,144</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$81.27</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369,144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727,555,903</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February 2022</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655,526</w:t>
            </w:r>
          </w:p>
        </w:tc>
        <w:tc>
          <w:tcPr>
            <w:tcW w:w="186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$76.27</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0"/>
              </w:rPr>
              <w:t>655,526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675,251,659</w:t>
            </w:r>
          </w:p>
        </w:tc>
        <w:tc>
          <w:tcPr>
            <w:tcW w:w="0" w:type="dxa"/>
            <w:vAlign w:val="bottom"/>
          </w:tcPr>
          <w:p>
            <w:pPr>
              <w:spacing w:after="0"/>
              <w:rPr>
                <w:sz w:val="1"/>
                <w:szCs w:val="1"/>
                <w:color w:val="auto"/>
              </w:rPr>
            </w:pPr>
          </w:p>
        </w:tc>
      </w:tr>
      <w:tr>
        <w:trPr>
          <w:trHeight w:val="181"/>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2022</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287,734</w:t>
            </w:r>
          </w:p>
        </w:tc>
        <w:tc>
          <w:tcPr>
            <w:tcW w:w="18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$82.10</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287,734</w:t>
            </w:r>
          </w:p>
        </w:tc>
        <w:tc>
          <w:tcPr>
            <w:tcW w:w="10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651,627,902</w:t>
            </w:r>
          </w:p>
        </w:tc>
        <w:tc>
          <w:tcPr>
            <w:tcW w:w="0" w:type="dxa"/>
            <w:vAlign w:val="bottom"/>
          </w:tcPr>
          <w:p>
            <w:pPr>
              <w:spacing w:after="0"/>
              <w:rPr>
                <w:sz w:val="1"/>
                <w:szCs w:val="1"/>
                <w:color w:val="auto"/>
              </w:rPr>
            </w:pPr>
          </w:p>
        </w:tc>
      </w:tr>
      <w:tr>
        <w:trPr>
          <w:trHeight w:val="171"/>
        </w:trPr>
        <w:tc>
          <w:tcPr>
            <w:tcW w:w="376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1,312,404</w:t>
            </w: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1,312,404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520" w:right="40" w:hanging="515"/>
        <w:spacing w:after="0" w:line="262" w:lineRule="auto"/>
        <w:tabs>
          <w:tab w:leader="none" w:pos="515"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December 12, 2011, the Board of Directors approved a share repurchase program, which was most recently increased to $2,160.0 million on January 26, 2022. As of March 31, 2022, the Company had approximately $651.6 million remaining under the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Registered Securities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Performance</w:t>
      </w:r>
    </w:p>
    <w:p>
      <w:pPr>
        <w:spacing w:after="0" w:line="87"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The graph set forth below compares the cumulative shareholder return on our Class A Common Stock between March 31, 2017 and March 31, 2022,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2017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32385</wp:posOffset>
            </wp:positionV>
            <wp:extent cx="4594860" cy="2870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94860"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ASSUMES $100 INVESTED ON MARCH 31, 2017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ASSUMES DIVIDEND REINVESTED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Company/Market/Peer Group</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3/31/2017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3/31/2018</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3/31/2019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3/31/2020</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3/31/2021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3/31/2022</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Booz Allen Hamilton Holding Corp.</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203.84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242.91</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269.94</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Russell 1000 Index</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113.98</w:t>
            </w:r>
          </w:p>
        </w:tc>
        <w:tc>
          <w:tcPr>
            <w:tcW w:w="1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124.58</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114.58</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184.00</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208.42</w:t>
            </w: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Software &amp; Services Select Industry Index</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142.54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274.29</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257.72</w:t>
            </w:r>
          </w:p>
        </w:tc>
      </w:tr>
    </w:tbl>
    <w:p>
      <w:pPr>
        <w:spacing w:after="0" w:line="53"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8" w:name="page49"/>
    <w:bookmarkEnd w:id="48"/>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87" w:lineRule="exact"/>
        <w:rPr>
          <w:sz w:val="20"/>
          <w:szCs w:val="20"/>
          <w:color w:val="auto"/>
        </w:rPr>
      </w:pPr>
    </w:p>
    <w:p>
      <w:pPr>
        <w:ind w:right="20" w:firstLine="350"/>
        <w:spacing w:after="0" w:line="331" w:lineRule="auto"/>
        <w:rPr>
          <w:sz w:val="20"/>
          <w:szCs w:val="20"/>
          <w:color w:val="auto"/>
        </w:rPr>
      </w:pPr>
      <w:r>
        <w:rPr>
          <w:rFonts w:ascii="Arial" w:cs="Arial" w:eastAsia="Arial" w:hAnsi="Arial"/>
          <w:sz w:val="12"/>
          <w:szCs w:val="12"/>
          <w:i w:val="1"/>
          <w:iCs w:val="1"/>
          <w:color w:val="auto"/>
        </w:rPr>
        <w:t>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Annual Report, and Part II, Item 7 "Management's Discussion and Analysis of Financial Condition and Results of Operations" of our Form 10-K for the fiscal year ended March 31, 2021, which provides additional information on comparisons of fiscal 2021 and 2020 .</w:t>
      </w:r>
    </w:p>
    <w:p>
      <w:pPr>
        <w:spacing w:after="0" w:line="66" w:lineRule="exact"/>
        <w:rPr>
          <w:sz w:val="20"/>
          <w:szCs w:val="20"/>
          <w:color w:val="auto"/>
        </w:rPr>
      </w:pPr>
    </w:p>
    <w:p>
      <w:pPr>
        <w:jc w:val="both"/>
        <w:ind w:right="220" w:firstLine="350"/>
        <w:spacing w:after="0" w:line="262" w:lineRule="auto"/>
        <w:rPr>
          <w:sz w:val="20"/>
          <w:szCs w:val="20"/>
          <w:color w:val="auto"/>
        </w:rPr>
      </w:pPr>
      <w:r>
        <w:rPr>
          <w:rFonts w:ascii="Arial" w:cs="Arial" w:eastAsia="Arial" w:hAnsi="Arial"/>
          <w:sz w:val="14"/>
          <w:szCs w:val="14"/>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3" w:lineRule="exact"/>
        <w:rPr>
          <w:sz w:val="20"/>
          <w:szCs w:val="20"/>
          <w:color w:val="auto"/>
        </w:rPr>
      </w:pPr>
    </w:p>
    <w:p>
      <w:pPr>
        <w:ind w:right="1980" w:firstLine="350"/>
        <w:spacing w:after="0" w:line="379" w:lineRule="auto"/>
        <w:rPr>
          <w:sz w:val="20"/>
          <w:szCs w:val="20"/>
          <w:color w:val="auto"/>
        </w:rPr>
      </w:pPr>
      <w:r>
        <w:rPr>
          <w:rFonts w:ascii="Arial" w:cs="Arial" w:eastAsia="Arial" w:hAnsi="Arial"/>
          <w:sz w:val="14"/>
          <w:szCs w:val="14"/>
          <w:i w:val="1"/>
          <w:iCs w:val="1"/>
          <w:color w:val="auto"/>
        </w:rPr>
        <w:t xml:space="preserve">Our fiscal year ends March 31 and, unless otherwise noted, references to years or fiscal are for fiscal years ended March 31. See “— Results of Operations.” </w:t>
      </w:r>
      <w:r>
        <w:rPr>
          <w:rFonts w:ascii="Arial" w:cs="Arial" w:eastAsia="Arial" w:hAnsi="Arial"/>
          <w:sz w:val="14"/>
          <w:szCs w:val="14"/>
          <w:b w:val="1"/>
          <w:bCs w:val="1"/>
          <w:color w:val="auto"/>
        </w:rPr>
        <w:t>Overview</w:t>
      </w:r>
    </w:p>
    <w:p>
      <w:pPr>
        <w:spacing w:after="0" w:line="1" w:lineRule="exact"/>
        <w:rPr>
          <w:sz w:val="20"/>
          <w:szCs w:val="20"/>
          <w:color w:val="auto"/>
        </w:rPr>
      </w:pPr>
    </w:p>
    <w:p>
      <w:pPr>
        <w:ind w:right="280" w:firstLine="318"/>
        <w:spacing w:after="0" w:line="288" w:lineRule="auto"/>
        <w:rPr>
          <w:sz w:val="20"/>
          <w:szCs w:val="20"/>
          <w:color w:val="auto"/>
        </w:rPr>
      </w:pPr>
      <w:r>
        <w:rPr>
          <w:rFonts w:ascii="Arial" w:cs="Arial" w:eastAsia="Arial" w:hAnsi="Arial"/>
          <w:sz w:val="13"/>
          <w:szCs w:val="13"/>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29,300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46" w:lineRule="exact"/>
        <w:rPr>
          <w:sz w:val="20"/>
          <w:szCs w:val="20"/>
          <w:color w:val="auto"/>
        </w:rPr>
      </w:pPr>
    </w:p>
    <w:p>
      <w:pPr>
        <w:ind w:right="40" w:firstLine="318"/>
        <w:spacing w:after="0" w:line="313" w:lineRule="auto"/>
        <w:rPr>
          <w:sz w:val="20"/>
          <w:szCs w:val="20"/>
          <w:color w:val="auto"/>
        </w:rPr>
      </w:pPr>
      <w:r>
        <w:rPr>
          <w:rFonts w:ascii="Arial" w:cs="Arial" w:eastAsia="Arial" w:hAnsi="Arial"/>
          <w:sz w:val="12"/>
          <w:szCs w:val="12"/>
          <w:color w:val="auto"/>
        </w:rPr>
        <w:t>Through our dedication to our clients' missions, and a commitment to evolving our business to address their needs, we have longstanding relationships with our clients, the longest of which is more than 80 years. We support critical missions for a diverse base of federal government clients, including nearly all of the U.S. government's cabinet-level departments, as well as for commercial clients, both domestically and internationally.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and Other Highlights</w:t>
      </w:r>
    </w:p>
    <w:p>
      <w:pPr>
        <w:spacing w:after="0" w:line="98"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During fiscal 2022, the Company generated year over year revenue growth and increased client staff headcount for the year. Revenue increased 6.4% from fiscal 2021 to fiscal 2022 primarily driven by the impact of acquisitions and strong demand, partially offset by reduced staff utilization.</w:t>
      </w:r>
    </w:p>
    <w:p>
      <w:pPr>
        <w:spacing w:after="0" w:line="47"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Operating income decreased 9.2% to $685.2 million in fiscal 2022 from $754.4 million in fiscal 2021, which reflects a decrease in operating margin to 8.2% from 9.6% in the comparable year. The decrease in operating income and operating margin were impacted by acquisition and divestiture costs of $97.5 million primarily related to our acquisitions during fiscal 2022. Increases in depreciation and amortization (primarily due to the recent acquisitions) year over year also contributed to the decline in operating income. These decreases were partially offset by profitable contract level performance and mix, which includes inorganic contributions, as well as prudent cost management. In addition, fiscal 2021 operating income was impacted by approximately $24.0 million by the inability to recognize revenue on, or bill for, fee on certain contracts involving a ready workforce.</w:t>
      </w:r>
    </w:p>
    <w:p>
      <w:pPr>
        <w:spacing w:after="0" w:line="62" w:lineRule="exact"/>
        <w:rPr>
          <w:sz w:val="20"/>
          <w:szCs w:val="20"/>
          <w:color w:val="auto"/>
        </w:rPr>
      </w:pPr>
    </w:p>
    <w:p>
      <w:pPr>
        <w:ind w:firstLine="318"/>
        <w:spacing w:after="0" w:line="297" w:lineRule="auto"/>
        <w:rPr>
          <w:sz w:val="20"/>
          <w:szCs w:val="20"/>
          <w:color w:val="auto"/>
        </w:rPr>
      </w:pPr>
      <w:r>
        <w:rPr>
          <w:rFonts w:ascii="Arial" w:cs="Arial" w:eastAsia="Arial" w:hAnsi="Arial"/>
          <w:sz w:val="13"/>
          <w:szCs w:val="13"/>
          <w:color w:val="auto"/>
        </w:rPr>
        <w:t>The Company also incurred incremental legal costs during fiscal 2022 and 2021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39"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We are monitoring the evolving situation related to COVID-19, and we continue to work with our stakeholders to assess further possible implications to our business. We could be impacted by the implementation of our Company policy requiring full COVID-19 vaccinations of all employees, except for employees who qualify for medical or religious exemptions. Although we cannot currently predict the overall impact of COVID-19, the longer the duration the more likely it is that it could have an adverse effect on our business, financial position, results of operations, billable expenses, and/or cash flows.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9" w:name="page50"/>
    <w:bookmarkEnd w:id="49"/>
    <w:p>
      <w:pPr>
        <w:ind w:left="520"/>
        <w:spacing w:after="0"/>
        <w:rPr>
          <w:sz w:val="20"/>
          <w:szCs w:val="20"/>
          <w:color w:val="auto"/>
        </w:rPr>
      </w:pPr>
      <w:r>
        <w:rPr>
          <w:rFonts w:ascii="Arial" w:cs="Arial" w:eastAsia="Arial" w:hAnsi="Arial"/>
          <w:sz w:val="14"/>
          <w:szCs w:val="14"/>
          <w:b w:val="1"/>
          <w:bCs w:val="1"/>
          <w:color w:val="auto"/>
        </w:rPr>
        <w:t>Non-GAAP Measures</w:t>
      </w:r>
    </w:p>
    <w:p>
      <w:pPr>
        <w:spacing w:after="0" w:line="98" w:lineRule="exact"/>
        <w:rPr>
          <w:sz w:val="20"/>
          <w:szCs w:val="20"/>
          <w:color w:val="auto"/>
        </w:rPr>
      </w:pPr>
    </w:p>
    <w:p>
      <w:pPr>
        <w:ind w:firstLine="318"/>
        <w:spacing w:after="0" w:line="300" w:lineRule="auto"/>
        <w:rPr>
          <w:sz w:val="20"/>
          <w:szCs w:val="20"/>
          <w:color w:val="auto"/>
        </w:rPr>
      </w:pPr>
      <w:r>
        <w:rPr>
          <w:rFonts w:ascii="Arial" w:cs="Arial" w:eastAsia="Arial" w:hAnsi="Arial"/>
          <w:sz w:val="12"/>
          <w:szCs w:val="12"/>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139" w:lineRule="exact"/>
        <w:rPr>
          <w:sz w:val="20"/>
          <w:szCs w:val="20"/>
          <w:color w:val="auto"/>
        </w:rPr>
      </w:pPr>
    </w:p>
    <w:p>
      <w:pPr>
        <w:ind w:right="20" w:firstLine="5"/>
        <w:spacing w:after="0" w:line="257" w:lineRule="auto"/>
        <w:tabs>
          <w:tab w:leader="none" w:pos="208" w:val="left"/>
        </w:tabs>
        <w:numPr>
          <w:ilvl w:val="0"/>
          <w:numId w:val="40"/>
        </w:numPr>
        <w:rPr>
          <w:rFonts w:ascii="Arial" w:cs="Arial" w:eastAsia="Arial" w:hAnsi="Arial"/>
          <w:sz w:val="14"/>
          <w:szCs w:val="14"/>
          <w:color w:val="auto"/>
        </w:rPr>
      </w:pPr>
      <w:r>
        <w:rPr>
          <w:rFonts w:ascii="Arial" w:cs="Arial" w:eastAsia="Arial" w:hAnsi="Arial"/>
          <w:sz w:val="14"/>
          <w:szCs w:val="14"/>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4" w:lineRule="exact"/>
        <w:rPr>
          <w:rFonts w:ascii="Arial" w:cs="Arial" w:eastAsia="Arial" w:hAnsi="Arial"/>
          <w:sz w:val="14"/>
          <w:szCs w:val="14"/>
          <w:color w:val="auto"/>
        </w:rPr>
      </w:pPr>
    </w:p>
    <w:p>
      <w:pPr>
        <w:ind w:left="1020" w:right="280" w:hanging="506"/>
        <w:spacing w:after="0" w:line="267" w:lineRule="auto"/>
        <w:tabs>
          <w:tab w:leader="none" w:pos="1016" w:val="left"/>
        </w:tabs>
        <w:numPr>
          <w:ilvl w:val="1"/>
          <w:numId w:val="40"/>
        </w:numPr>
        <w:rPr>
          <w:rFonts w:ascii="Arial" w:cs="Arial" w:eastAsia="Arial" w:hAnsi="Arial"/>
          <w:sz w:val="14"/>
          <w:szCs w:val="14"/>
          <w:color w:val="auto"/>
        </w:rPr>
      </w:pPr>
      <w:r>
        <w:rPr>
          <w:rFonts w:ascii="Arial" w:cs="Arial" w:eastAsia="Arial" w:hAnsi="Arial"/>
          <w:sz w:val="14"/>
          <w:szCs w:val="14"/>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client staff headcount and our overall direct labor, which management believes provides useful information to our investors about our core operations.</w:t>
      </w:r>
    </w:p>
    <w:p>
      <w:pPr>
        <w:spacing w:after="0" w:line="56" w:lineRule="exact"/>
        <w:rPr>
          <w:rFonts w:ascii="Arial" w:cs="Arial" w:eastAsia="Arial" w:hAnsi="Arial"/>
          <w:sz w:val="14"/>
          <w:szCs w:val="14"/>
          <w:color w:val="auto"/>
        </w:rPr>
      </w:pPr>
    </w:p>
    <w:p>
      <w:pPr>
        <w:ind w:left="1020" w:right="140" w:hanging="506"/>
        <w:spacing w:after="0" w:line="297" w:lineRule="auto"/>
        <w:tabs>
          <w:tab w:leader="none" w:pos="1016" w:val="left"/>
        </w:tabs>
        <w:numPr>
          <w:ilvl w:val="1"/>
          <w:numId w:val="40"/>
        </w:numPr>
        <w:rPr>
          <w:rFonts w:ascii="Arial" w:cs="Arial" w:eastAsia="Arial" w:hAnsi="Arial"/>
          <w:sz w:val="13"/>
          <w:szCs w:val="13"/>
          <w:color w:val="auto"/>
        </w:rPr>
      </w:pPr>
      <w:r>
        <w:rPr>
          <w:rFonts w:ascii="Arial" w:cs="Arial" w:eastAsia="Arial" w:hAnsi="Arial"/>
          <w:sz w:val="13"/>
          <w:szCs w:val="13"/>
          <w:color w:val="auto"/>
        </w:rPr>
        <w:t>"Adjusted Operating Income" represents operating income before acquisition and divestiture costs, financing transaction costs, supplemental employee benefits due to COVID-19, significant acquisition amortization, and restructuring costs.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39" w:lineRule="exact"/>
        <w:rPr>
          <w:rFonts w:ascii="Arial" w:cs="Arial" w:eastAsia="Arial" w:hAnsi="Arial"/>
          <w:sz w:val="13"/>
          <w:szCs w:val="13"/>
          <w:color w:val="auto"/>
        </w:rPr>
      </w:pPr>
    </w:p>
    <w:p>
      <w:pPr>
        <w:ind w:left="1020" w:hanging="506"/>
        <w:spacing w:after="0" w:line="258" w:lineRule="auto"/>
        <w:tabs>
          <w:tab w:leader="none" w:pos="1016" w:val="left"/>
        </w:tabs>
        <w:numPr>
          <w:ilvl w:val="1"/>
          <w:numId w:val="40"/>
        </w:numPr>
        <w:rPr>
          <w:rFonts w:ascii="Arial" w:cs="Arial" w:eastAsia="Arial" w:hAnsi="Arial"/>
          <w:sz w:val="14"/>
          <w:szCs w:val="14"/>
          <w:color w:val="auto"/>
        </w:rPr>
      </w:pPr>
      <w:r>
        <w:rPr>
          <w:rFonts w:ascii="Arial" w:cs="Arial" w:eastAsia="Arial" w:hAnsi="Arial"/>
          <w:sz w:val="14"/>
          <w:szCs w:val="14"/>
          <w:color w:val="auto"/>
        </w:rPr>
        <w:t>"Adjusted EBITDA" represents net income before income taxes, net interest and other expense and depreciation and amortization and before certain other items, including acquisition and divestiture costs, financing transaction costs, supplemental employee benefits due to COVID-19, and restructuring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5" w:lineRule="exact"/>
        <w:rPr>
          <w:rFonts w:ascii="Arial" w:cs="Arial" w:eastAsia="Arial" w:hAnsi="Arial"/>
          <w:sz w:val="14"/>
          <w:szCs w:val="14"/>
          <w:color w:val="auto"/>
        </w:rPr>
      </w:pPr>
    </w:p>
    <w:p>
      <w:pPr>
        <w:ind w:left="1000" w:hanging="486"/>
        <w:spacing w:after="0"/>
        <w:tabs>
          <w:tab w:leader="none" w:pos="10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"Adjusted Net Income" represents net income before: (i) acquisition and divestiture costs, (ii) financing transaction costs, (iii) supplemental employee benefits due to COVID-19,</w:t>
      </w:r>
    </w:p>
    <w:p>
      <w:pPr>
        <w:spacing w:after="0" w:line="30" w:lineRule="exact"/>
        <w:rPr>
          <w:rFonts w:ascii="Arial" w:cs="Arial" w:eastAsia="Arial" w:hAnsi="Arial"/>
          <w:sz w:val="13"/>
          <w:szCs w:val="13"/>
          <w:color w:val="auto"/>
        </w:rPr>
      </w:pPr>
    </w:p>
    <w:p>
      <w:pPr>
        <w:ind w:left="1020" w:right="60" w:firstLine="3"/>
        <w:spacing w:after="0" w:line="305" w:lineRule="auto"/>
        <w:tabs>
          <w:tab w:leader="none" w:pos="1260" w:val="left"/>
        </w:tabs>
        <w:numPr>
          <w:ilvl w:val="2"/>
          <w:numId w:val="40"/>
        </w:numPr>
        <w:rPr>
          <w:rFonts w:ascii="Arial" w:cs="Arial" w:eastAsia="Arial" w:hAnsi="Arial"/>
          <w:sz w:val="13"/>
          <w:szCs w:val="13"/>
          <w:color w:val="auto"/>
        </w:rPr>
      </w:pPr>
      <w:r>
        <w:rPr>
          <w:rFonts w:ascii="Arial" w:cs="Arial" w:eastAsia="Arial" w:hAnsi="Arial"/>
          <w:sz w:val="13"/>
          <w:szCs w:val="13"/>
          <w:color w:val="auto"/>
        </w:rPr>
        <w:t>significant acquisition amortization, (v) restructuring costs, (vi) gain associated with equity method investment activity, (vii) research and development tax credits, (viii) release of income tax reserves, (ix) loss on debt extinguishment, (x) remeasurement of deferred tax assets/liabilities, and (xi) amortization or write-off of debt issuance costs</w:t>
      </w:r>
    </w:p>
    <w:p>
      <w:pPr>
        <w:spacing w:after="0" w:line="38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0" w:name="page51"/>
    <w:bookmarkEnd w:id="50"/>
    <w:p>
      <w:pPr>
        <w:ind w:left="506"/>
        <w:spacing w:after="0" w:line="319" w:lineRule="auto"/>
        <w:rPr>
          <w:sz w:val="20"/>
          <w:szCs w:val="20"/>
          <w:color w:val="auto"/>
        </w:rPr>
      </w:pPr>
      <w:r>
        <w:rPr>
          <w:rFonts w:ascii="Arial" w:cs="Arial" w:eastAsia="Arial" w:hAnsi="Arial"/>
          <w:sz w:val="12"/>
          <w:szCs w:val="12"/>
          <w:color w:val="auto"/>
        </w:rPr>
        <w:t>and debt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an important indicator of performance consistent with the manner in which management measures and forecasts the Company's performance and the way in which management is incentivized to perform.</w:t>
      </w:r>
    </w:p>
    <w:p>
      <w:pPr>
        <w:spacing w:after="0" w:line="30" w:lineRule="exact"/>
        <w:rPr>
          <w:sz w:val="20"/>
          <w:szCs w:val="20"/>
          <w:color w:val="auto"/>
        </w:rPr>
      </w:pPr>
    </w:p>
    <w:p>
      <w:pPr>
        <w:ind w:left="506" w:right="320" w:hanging="506"/>
        <w:spacing w:after="0" w:line="281" w:lineRule="auto"/>
        <w:tabs>
          <w:tab w:leader="none" w:pos="502"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47" w:lineRule="exact"/>
        <w:rPr>
          <w:rFonts w:ascii="Arial" w:cs="Arial" w:eastAsia="Arial" w:hAnsi="Arial"/>
          <w:sz w:val="14"/>
          <w:szCs w:val="14"/>
          <w:color w:val="auto"/>
        </w:rPr>
      </w:pPr>
    </w:p>
    <w:p>
      <w:pPr>
        <w:ind w:left="506" w:hanging="506"/>
        <w:spacing w:after="0"/>
        <w:tabs>
          <w:tab w:leader="none" w:pos="50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5"/>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6"/>
          </w:cols>
          <w:pgMar w:left="814" w:top="818" w:right="339" w:bottom="1440" w:gutter="0" w:footer="0" w:header="0"/>
        </w:sectPr>
      </w:pPr>
    </w:p>
    <w:bookmarkStart w:id="51" w:name="page52"/>
    <w:bookmarkEnd w:id="51"/>
    <w:p>
      <w:pPr>
        <w:ind w:right="160" w:firstLine="318"/>
        <w:spacing w:after="0" w:line="266" w:lineRule="auto"/>
        <w:rPr>
          <w:sz w:val="20"/>
          <w:szCs w:val="20"/>
          <w:color w:val="auto"/>
        </w:rPr>
      </w:pPr>
      <w:r>
        <w:rPr>
          <w:rFonts w:ascii="Arial" w:cs="Arial" w:eastAsia="Arial" w:hAnsi="Arial"/>
          <w:sz w:val="14"/>
          <w:szCs w:val="14"/>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tbl>
      <w:tblPr>
        <w:tblLayout w:type="fixed"/>
        <w:tblInd w:w="0" w:type="dxa"/>
        <w:tblCellMar>
          <w:top w:w="0" w:type="dxa"/>
          <w:left w:w="0" w:type="dxa"/>
          <w:bottom w:w="0" w:type="dxa"/>
          <w:right w:w="0" w:type="dxa"/>
        </w:tblCellMar>
      </w:tblPr>
      <w:tr>
        <w:trPr>
          <w:trHeight w:val="144"/>
        </w:trPr>
        <w:tc>
          <w:tcPr>
            <w:tcW w:w="4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March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3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right"/>
              <w:ind w:right="149"/>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340"/>
              <w:spacing w:after="0"/>
              <w:rPr>
                <w:sz w:val="20"/>
                <w:szCs w:val="20"/>
                <w:color w:val="auto"/>
              </w:rPr>
            </w:pPr>
            <w:r>
              <w:rPr>
                <w:rFonts w:ascii="Arial" w:cs="Arial" w:eastAsia="Arial" w:hAnsi="Arial"/>
                <w:sz w:val="14"/>
                <w:szCs w:val="14"/>
                <w:b w:val="1"/>
                <w:bCs w:val="1"/>
                <w:i w:val="1"/>
                <w:iCs w:val="1"/>
                <w:color w:val="auto"/>
              </w:rPr>
              <w:t>Revenue, Excluding Billable Expenses</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Revenue</w:t>
            </w:r>
          </w:p>
        </w:tc>
        <w:tc>
          <w:tcPr>
            <w:tcW w:w="6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8,363,700</w:t>
            </w:r>
          </w:p>
        </w:tc>
        <w:tc>
          <w:tcPr>
            <w:tcW w:w="7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7,858,938</w:t>
            </w:r>
          </w:p>
        </w:tc>
        <w:tc>
          <w:tcPr>
            <w:tcW w:w="1020" w:type="dxa"/>
            <w:vAlign w:val="bottom"/>
            <w:gridSpan w:val="3"/>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7,463,841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Less: Billable expenses</w:t>
            </w:r>
          </w:p>
        </w:tc>
        <w:tc>
          <w:tcPr>
            <w:tcW w:w="6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2,474,163</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2,325,888</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2,298,413</w:t>
            </w: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680"/>
              <w:spacing w:after="0"/>
              <w:rPr>
                <w:sz w:val="20"/>
                <w:szCs w:val="20"/>
                <w:color w:val="auto"/>
              </w:rPr>
            </w:pPr>
            <w:r>
              <w:rPr>
                <w:rFonts w:ascii="Arial" w:cs="Arial" w:eastAsia="Arial" w:hAnsi="Arial"/>
                <w:sz w:val="14"/>
                <w:szCs w:val="14"/>
                <w:color w:val="auto"/>
              </w:rPr>
              <w:t>Revenue, Excluding Billable Expenses</w:t>
            </w: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5,889,537</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5,533,050</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5,165,428</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6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b w:val="1"/>
                <w:bCs w:val="1"/>
                <w:i w:val="1"/>
                <w:iCs w:val="1"/>
                <w:color w:val="auto"/>
              </w:rPr>
              <w:t>Adjusted Operating Income</w:t>
            </w:r>
          </w:p>
        </w:tc>
        <w:tc>
          <w:tcPr>
            <w:tcW w:w="6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Operating Income</w:t>
            </w:r>
          </w:p>
        </w:tc>
        <w:tc>
          <w:tcPr>
            <w:tcW w:w="6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685,181</w:t>
            </w:r>
          </w:p>
        </w:tc>
        <w:tc>
          <w:tcPr>
            <w:tcW w:w="7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754,371</w:t>
            </w:r>
          </w:p>
        </w:tc>
        <w:tc>
          <w:tcPr>
            <w:tcW w:w="1020" w:type="dxa"/>
            <w:vAlign w:val="bottom"/>
            <w:gridSpan w:val="3"/>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669,202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divestiture costs (a)</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97,485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411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Financing transaction costs (b)</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2,348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1,069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COVID-19 supplemental employee benefits (c)</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577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2,722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Significant acquisition amortization (d)</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38,295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Restructuring costs (e)</w:t>
            </w:r>
          </w:p>
        </w:tc>
        <w:tc>
          <w:tcPr>
            <w:tcW w:w="6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4,164</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680"/>
              <w:spacing w:after="0"/>
              <w:rPr>
                <w:sz w:val="20"/>
                <w:szCs w:val="20"/>
                <w:color w:val="auto"/>
              </w:rPr>
            </w:pPr>
            <w:r>
              <w:rPr>
                <w:rFonts w:ascii="Arial" w:cs="Arial" w:eastAsia="Arial" w:hAnsi="Arial"/>
                <w:sz w:val="14"/>
                <w:szCs w:val="14"/>
                <w:color w:val="auto"/>
              </w:rPr>
              <w:t>Adjusted Operating Income</w:t>
            </w: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827,473</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755,359</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672,993</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860" w:type="dxa"/>
            <w:vAlign w:val="bottom"/>
            <w:shd w:val="clear" w:color="auto" w:fill="CCEEFF"/>
          </w:tcPr>
          <w:p>
            <w:pPr>
              <w:ind w:left="340"/>
              <w:spacing w:after="0" w:line="100" w:lineRule="exact"/>
              <w:rPr>
                <w:sz w:val="20"/>
                <w:szCs w:val="20"/>
                <w:color w:val="auto"/>
              </w:rPr>
            </w:pPr>
            <w:r>
              <w:rPr>
                <w:rFonts w:ascii="Arial" w:cs="Arial" w:eastAsia="Arial" w:hAnsi="Arial"/>
                <w:sz w:val="11"/>
                <w:szCs w:val="11"/>
                <w:b w:val="1"/>
                <w:bCs w:val="1"/>
                <w:i w:val="1"/>
                <w:iCs w:val="1"/>
                <w:color w:val="auto"/>
              </w:rPr>
              <w:t>EBITDA, Adjusted EBITDA, Adjusted EBITDA Margin on Revenue &amp;</w:t>
            </w:r>
          </w:p>
        </w:tc>
        <w:tc>
          <w:tcPr>
            <w:tcW w:w="6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 Margin on Revenue, Excluding Billable Expenses</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6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466,577</w:t>
            </w:r>
          </w:p>
        </w:tc>
        <w:tc>
          <w:tcPr>
            <w:tcW w:w="7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608,958</w:t>
            </w:r>
          </w:p>
        </w:tc>
        <w:tc>
          <w:tcPr>
            <w:tcW w:w="1020" w:type="dxa"/>
            <w:vAlign w:val="bottom"/>
            <w:gridSpan w:val="3"/>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482,603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Income tax expense</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137,466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53,481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96,831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Interest and other, net (f)</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81,138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91,932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89,768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145,747</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84,315</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81,081</w:t>
            </w: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860" w:type="dxa"/>
            <w:vAlign w:val="bottom"/>
          </w:tcPr>
          <w:p>
            <w:pPr>
              <w:ind w:left="680"/>
              <w:spacing w:after="0"/>
              <w:rPr>
                <w:sz w:val="20"/>
                <w:szCs w:val="20"/>
                <w:color w:val="auto"/>
              </w:rPr>
            </w:pPr>
            <w:r>
              <w:rPr>
                <w:rFonts w:ascii="Arial" w:cs="Arial" w:eastAsia="Arial" w:hAnsi="Arial"/>
                <w:sz w:val="14"/>
                <w:szCs w:val="14"/>
                <w:color w:val="auto"/>
              </w:rPr>
              <w:t>EBITDA</w:t>
            </w:r>
          </w:p>
        </w:tc>
        <w:tc>
          <w:tcPr>
            <w:tcW w:w="660" w:type="dxa"/>
            <w:vAlign w:val="bottom"/>
          </w:tcPr>
          <w:p>
            <w:pPr>
              <w:spacing w:after="0"/>
              <w:rPr>
                <w:sz w:val="14"/>
                <w:szCs w:val="14"/>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830,928</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838,686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750,283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divestiture costs (a)</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97,485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411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Financing transaction costs (b)</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2,348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1,069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COVID-19 supplemental employee benefits (c)</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577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2,722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Restructuring costs (e)</w:t>
            </w:r>
          </w:p>
        </w:tc>
        <w:tc>
          <w:tcPr>
            <w:tcW w:w="6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4,164</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Adjusted EBITDA</w:t>
            </w:r>
          </w:p>
        </w:tc>
        <w:tc>
          <w:tcPr>
            <w:tcW w:w="6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934,925</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839,674</w:t>
            </w:r>
          </w:p>
        </w:tc>
        <w:tc>
          <w:tcPr>
            <w:tcW w:w="1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754,074</w:t>
            </w:r>
          </w:p>
        </w:tc>
        <w:tc>
          <w:tcPr>
            <w:tcW w:w="1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4"/>
                <w:szCs w:val="14"/>
                <w:color w:val="auto"/>
              </w:rPr>
              <w:t>Adjusted EBITDA Margin on Revenue</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tcPr>
          <w:p>
            <w:pPr>
              <w:jc w:val="right"/>
              <w:ind w:right="109"/>
              <w:spacing w:after="0" w:line="143"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right"/>
              <w:ind w:right="269"/>
              <w:spacing w:after="0" w:line="143" w:lineRule="exact"/>
              <w:rPr>
                <w:sz w:val="20"/>
                <w:szCs w:val="20"/>
                <w:color w:val="auto"/>
              </w:rPr>
            </w:pPr>
            <w:r>
              <w:rPr>
                <w:rFonts w:ascii="Arial" w:cs="Arial" w:eastAsia="Arial" w:hAnsi="Arial"/>
                <w:sz w:val="14"/>
                <w:szCs w:val="14"/>
                <w:color w:val="auto"/>
              </w:rPr>
              <w:t>10.7</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Pr>
          <w:p>
            <w:pPr>
              <w:jc w:val="right"/>
              <w:ind w:right="249"/>
              <w:spacing w:after="0" w:line="143" w:lineRule="exact"/>
              <w:rPr>
                <w:sz w:val="20"/>
                <w:szCs w:val="20"/>
                <w:color w:val="auto"/>
              </w:rPr>
            </w:pPr>
            <w:r>
              <w:rPr>
                <w:rFonts w:ascii="Arial" w:cs="Arial" w:eastAsia="Arial" w:hAnsi="Arial"/>
                <w:sz w:val="14"/>
                <w:szCs w:val="14"/>
                <w:color w:val="auto"/>
              </w:rPr>
              <w:t>10.1</w:t>
            </w:r>
          </w:p>
        </w:tc>
        <w:tc>
          <w:tcPr>
            <w:tcW w:w="160" w:type="dxa"/>
            <w:vAlign w:val="bottom"/>
          </w:tcPr>
          <w:p>
            <w:pPr>
              <w:jc w:val="right"/>
              <w:spacing w:after="0" w:line="143"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9"/>
              </w:rPr>
              <w:t>Adjusted EBITDA Margin on Revenue, Excluding Billable Expenses</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15.2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0"/>
        </w:trPr>
        <w:tc>
          <w:tcPr>
            <w:tcW w:w="4860" w:type="dxa"/>
            <w:vAlign w:val="bottom"/>
          </w:tcPr>
          <w:p>
            <w:pPr>
              <w:ind w:left="340"/>
              <w:spacing w:after="0"/>
              <w:rPr>
                <w:sz w:val="20"/>
                <w:szCs w:val="20"/>
                <w:color w:val="auto"/>
              </w:rPr>
            </w:pPr>
            <w:r>
              <w:rPr>
                <w:rFonts w:ascii="Arial" w:cs="Arial" w:eastAsia="Arial" w:hAnsi="Arial"/>
                <w:sz w:val="14"/>
                <w:szCs w:val="14"/>
                <w:b w:val="1"/>
                <w:bCs w:val="1"/>
                <w:i w:val="1"/>
                <w:iCs w:val="1"/>
                <w:color w:val="auto"/>
              </w:rPr>
              <w:t>Adjusted Net Income</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income</w:t>
            </w:r>
          </w:p>
        </w:tc>
        <w:tc>
          <w:tcPr>
            <w:tcW w:w="6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466,577</w:t>
            </w:r>
          </w:p>
        </w:tc>
        <w:tc>
          <w:tcPr>
            <w:tcW w:w="76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608,958</w:t>
            </w:r>
          </w:p>
        </w:tc>
        <w:tc>
          <w:tcPr>
            <w:tcW w:w="1020" w:type="dxa"/>
            <w:vAlign w:val="bottom"/>
            <w:gridSpan w:val="3"/>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482,603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divestiture costs (a)</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97,485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411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Financing transaction costs (b)</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2,348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1,069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COVID-19 supplemental employee benefits (c)</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577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2,722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Significant acquisition amortization (d)</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38,295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Restructuring costs (e)</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4,164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associated with equity method investment activities (g)</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(12,761)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Research and development tax credits (h)</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29"/>
              <w:spacing w:after="0"/>
              <w:rPr>
                <w:sz w:val="20"/>
                <w:szCs w:val="20"/>
                <w:color w:val="auto"/>
              </w:rPr>
            </w:pPr>
            <w:r>
              <w:rPr>
                <w:rFonts w:ascii="Arial" w:cs="Arial" w:eastAsia="Arial" w:hAnsi="Arial"/>
                <w:sz w:val="14"/>
                <w:szCs w:val="14"/>
                <w:color w:val="auto"/>
              </w:rPr>
              <w:t>(2,928)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29"/>
              <w:spacing w:after="0"/>
              <w:rPr>
                <w:sz w:val="20"/>
                <w:szCs w:val="20"/>
                <w:color w:val="auto"/>
              </w:rPr>
            </w:pPr>
            <w:r>
              <w:rPr>
                <w:rFonts w:ascii="Arial" w:cs="Arial" w:eastAsia="Arial" w:hAnsi="Arial"/>
                <w:sz w:val="14"/>
                <w:szCs w:val="14"/>
                <w:color w:val="auto"/>
              </w:rPr>
              <w:t>(38,395)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Release of income tax reserves (i)</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Loss on debt extinguishment (j)</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13,239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Remeasurement of deferred tax assets/liabilities (k)</w:t>
            </w:r>
          </w:p>
        </w:tc>
        <w:tc>
          <w:tcPr>
            <w:tcW w:w="6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(76,767)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60" w:type="dxa"/>
            <w:vAlign w:val="bottom"/>
          </w:tcPr>
          <w:p>
            <w:pPr>
              <w:ind w:left="500"/>
              <w:spacing w:after="0"/>
              <w:rPr>
                <w:sz w:val="20"/>
                <w:szCs w:val="20"/>
                <w:color w:val="auto"/>
              </w:rPr>
            </w:pPr>
            <w:r>
              <w:rPr>
                <w:rFonts w:ascii="Arial" w:cs="Arial" w:eastAsia="Arial" w:hAnsi="Arial"/>
                <w:sz w:val="14"/>
                <w:szCs w:val="14"/>
                <w:color w:val="auto"/>
              </w:rPr>
              <w:t>Amortization or write-off of debt issuance costs and debt discount</w:t>
            </w:r>
          </w:p>
        </w:tc>
        <w:tc>
          <w:tcPr>
            <w:tcW w:w="66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2,402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jc w:val="right"/>
              <w:ind w:right="249"/>
              <w:spacing w:after="0"/>
              <w:rPr>
                <w:sz w:val="20"/>
                <w:szCs w:val="20"/>
                <w:color w:val="auto"/>
              </w:rPr>
            </w:pPr>
            <w:r>
              <w:rPr>
                <w:rFonts w:ascii="Arial" w:cs="Arial" w:eastAsia="Arial" w:hAnsi="Arial"/>
                <w:sz w:val="14"/>
                <w:szCs w:val="14"/>
                <w:color w:val="auto"/>
              </w:rPr>
              <w:t>2,395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9"/>
        </w:trPr>
        <w:tc>
          <w:tcPr>
            <w:tcW w:w="4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jc w:val="right"/>
              <w:ind w:right="6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52" w:name="page53"/>
    <w:bookmarkEnd w:id="52"/>
    <w:tbl>
      <w:tblPr>
        <w:tblLayout w:type="fixed"/>
        <w:tblInd w:w="320" w:type="dxa"/>
        <w:tblCellMar>
          <w:top w:w="0" w:type="dxa"/>
          <w:left w:w="0" w:type="dxa"/>
          <w:bottom w:w="0" w:type="dxa"/>
          <w:right w:w="0" w:type="dxa"/>
        </w:tblCellMar>
      </w:tblPr>
      <w:tr>
        <w:trPr>
          <w:trHeight w:val="180"/>
        </w:trPr>
        <w:tc>
          <w:tcPr>
            <w:tcW w:w="5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for tax effect (l)</w:t>
            </w:r>
          </w:p>
        </w:tc>
        <w:tc>
          <w:tcPr>
            <w:tcW w:w="6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(31,399)</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5540" w:type="dxa"/>
            <w:vAlign w:val="bottom"/>
          </w:tcPr>
          <w:p>
            <w:pPr>
              <w:ind w:left="680"/>
              <w:spacing w:after="0"/>
              <w:rPr>
                <w:sz w:val="20"/>
                <w:szCs w:val="20"/>
                <w:color w:val="auto"/>
              </w:rPr>
            </w:pPr>
            <w:r>
              <w:rPr>
                <w:rFonts w:ascii="Arial" w:cs="Arial" w:eastAsia="Arial" w:hAnsi="Arial"/>
                <w:sz w:val="14"/>
                <w:szCs w:val="14"/>
                <w:color w:val="auto"/>
              </w:rPr>
              <w:t>Adjusted Net Income</w:t>
            </w: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568,049</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541,539</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b w:val="1"/>
                <w:bCs w:val="1"/>
                <w:i w:val="1"/>
                <w:iCs w:val="1"/>
                <w:color w:val="auto"/>
              </w:rPr>
              <w:t>Adjusted Diluted Earnings Per Share</w:t>
            </w:r>
          </w:p>
        </w:tc>
        <w:tc>
          <w:tcPr>
            <w:tcW w:w="6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Weighted-average number of diluted shares outstanding</w:t>
            </w: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134,850,808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138,703,220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Adjusted Net Income Per Diluted Share (m)</w:t>
            </w:r>
          </w:p>
        </w:tc>
        <w:tc>
          <w:tcPr>
            <w:tcW w:w="6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4.21</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4"/>
                <w:szCs w:val="14"/>
                <w:b w:val="1"/>
                <w:bCs w:val="1"/>
                <w:i w:val="1"/>
                <w:iCs w:val="1"/>
                <w:color w:val="auto"/>
              </w:rPr>
              <w:t>Free Cash Flow</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5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5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6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736,526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718,684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Less: Purchases of property, equipment and software</w:t>
            </w: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(79,964)</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(87,210)</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Free Cash Flow</w:t>
            </w:r>
          </w:p>
        </w:tc>
        <w:tc>
          <w:tcPr>
            <w:tcW w:w="6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656,562</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631,474</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520" w:right="180" w:hanging="515"/>
        <w:spacing w:after="0" w:line="260" w:lineRule="auto"/>
        <w:tabs>
          <w:tab w:leader="none" w:pos="518"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costs associated with the acquisition and divestiture efforts of the Company related to transactions for which the Company has entered into a letter of intent to either acquire a controlling financial interest in the target entity or divest a portion of our business. Acquisition and divestiture costs primarily include costs associated with (i) buy-side and sell-side due diligence activities, (ii) compensation expenses associated with employee retention, and (iii) legal and advisory fees, primarily associated with the acquisitions of Liberty IT Solutions, LLC ("Liberty"), Tracepoint Holdings, LLC ("Tracepoint") and EverWatch Corp. ("EverWatch"), as well as the planned divestiture of our management consulting business serving the Middle East and North Africa (the "MENA Divestiture"), as disclosed in Note 5.</w:t>
      </w:r>
    </w:p>
    <w:p>
      <w:pPr>
        <w:spacing w:after="0" w:line="19" w:lineRule="exact"/>
        <w:rPr>
          <w:rFonts w:ascii="Arial" w:cs="Arial" w:eastAsia="Arial" w:hAnsi="Arial"/>
          <w:sz w:val="14"/>
          <w:szCs w:val="14"/>
          <w:color w:val="auto"/>
        </w:rPr>
      </w:pPr>
    </w:p>
    <w:p>
      <w:pPr>
        <w:ind w:left="500" w:hanging="495"/>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expenses associated with debt financing activities incurred during the first quarter of fiscal 2022.</w:t>
      </w:r>
    </w:p>
    <w:p>
      <w:pPr>
        <w:spacing w:after="0" w:line="51" w:lineRule="exact"/>
        <w:rPr>
          <w:rFonts w:ascii="Arial" w:cs="Arial" w:eastAsia="Arial" w:hAnsi="Arial"/>
          <w:sz w:val="14"/>
          <w:szCs w:val="14"/>
          <w:color w:val="auto"/>
        </w:rPr>
      </w:pPr>
    </w:p>
    <w:p>
      <w:pPr>
        <w:ind w:left="520" w:hanging="515"/>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supplemental contribution to employees' dependent care FSA accounts in response to COVID-19.</w:t>
      </w:r>
    </w:p>
    <w:p>
      <w:pPr>
        <w:spacing w:after="0" w:line="51" w:lineRule="exact"/>
        <w:rPr>
          <w:rFonts w:ascii="Arial" w:cs="Arial" w:eastAsia="Arial" w:hAnsi="Arial"/>
          <w:sz w:val="14"/>
          <w:szCs w:val="14"/>
          <w:color w:val="auto"/>
        </w:rPr>
      </w:pPr>
    </w:p>
    <w:p>
      <w:pPr>
        <w:ind w:left="520" w:right="240" w:hanging="515"/>
        <w:spacing w:after="0" w:line="306" w:lineRule="auto"/>
        <w:tabs>
          <w:tab w:leader="none" w:pos="515"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Amortization expense associated with acquired intangibles from significant acquisitions. Significant acquisitions include acquisitions which the Company considers to be beyond the scope of our normal operations. Significant acquisition amortization includes amortization expense associated with the acquisition of Liberty in the first quarter of fiscal 2022.</w:t>
      </w:r>
    </w:p>
    <w:p>
      <w:pPr>
        <w:ind w:left="520" w:right="660" w:hanging="515"/>
        <w:spacing w:after="0" w:line="281" w:lineRule="auto"/>
        <w:tabs>
          <w:tab w:leader="none" w:pos="518"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restructuring charges of $8.3 million incurred during the fourth quarter of fiscal 2022, net of approximately $4.2 million of revenue recognized on recoverable expenses, associated with severance costs of a restructuring plan to reduce certain executive administrative personnel costs.</w:t>
      </w:r>
    </w:p>
    <w:p>
      <w:pPr>
        <w:spacing w:after="0" w:line="4" w:lineRule="exact"/>
        <w:rPr>
          <w:rFonts w:ascii="Arial" w:cs="Arial" w:eastAsia="Arial" w:hAnsi="Arial"/>
          <w:sz w:val="14"/>
          <w:szCs w:val="14"/>
          <w:color w:val="auto"/>
        </w:rPr>
      </w:pPr>
    </w:p>
    <w:p>
      <w:pPr>
        <w:ind w:left="500" w:hanging="495"/>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combination of Interest expense and Other income (expense), net from the consolidated statement of operations.</w:t>
      </w:r>
    </w:p>
    <w:p>
      <w:pPr>
        <w:spacing w:after="0" w:line="51" w:lineRule="exact"/>
        <w:rPr>
          <w:rFonts w:ascii="Arial" w:cs="Arial" w:eastAsia="Arial" w:hAnsi="Arial"/>
          <w:sz w:val="14"/>
          <w:szCs w:val="14"/>
          <w:color w:val="auto"/>
        </w:rPr>
      </w:pPr>
    </w:p>
    <w:p>
      <w:pPr>
        <w:ind w:left="520" w:right="260" w:hanging="515"/>
        <w:spacing w:after="0" w:line="281" w:lineRule="auto"/>
        <w:tabs>
          <w:tab w:leader="none" w:pos="515"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 a gain in the second quarter of fiscal 2022 associated with the Company's previously held equity method investment in Tracepoint and (ii) a gain in the third quarter of fiscal 2022 associated with the divestiture of a controlling financial interest of a certain product offering.</w:t>
      </w:r>
    </w:p>
    <w:p>
      <w:pPr>
        <w:spacing w:after="0" w:line="4" w:lineRule="exact"/>
        <w:rPr>
          <w:rFonts w:ascii="Arial" w:cs="Arial" w:eastAsia="Arial" w:hAnsi="Arial"/>
          <w:sz w:val="14"/>
          <w:szCs w:val="14"/>
          <w:color w:val="auto"/>
        </w:rPr>
      </w:pPr>
    </w:p>
    <w:p>
      <w:pPr>
        <w:ind w:left="520" w:right="120" w:hanging="515"/>
        <w:spacing w:after="0" w:line="281" w:lineRule="auto"/>
        <w:tabs>
          <w:tab w:leader="none" w:pos="515"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tax credits, net of reserves for uncertain tax positions, recognized in fiscal 2021 and 2020 related to an increase in research and development credits available for fiscal years 2016 to 2019 and fiscal years 2016 to 2020, respectively.</w:t>
      </w:r>
    </w:p>
    <w:p>
      <w:pPr>
        <w:spacing w:after="0" w:line="4" w:lineRule="exact"/>
        <w:rPr>
          <w:rFonts w:ascii="Arial" w:cs="Arial" w:eastAsia="Arial" w:hAnsi="Arial"/>
          <w:sz w:val="14"/>
          <w:szCs w:val="14"/>
          <w:color w:val="auto"/>
        </w:rPr>
      </w:pPr>
    </w:p>
    <w:p>
      <w:pPr>
        <w:ind w:left="500" w:hanging="495"/>
        <w:spacing w:after="0"/>
        <w:tabs>
          <w:tab w:leader="none" w:pos="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Release of pre-acquisition income tax reserves assumed by the Company in connection with the Carlyle Acquisition.</w:t>
      </w:r>
    </w:p>
    <w:p>
      <w:pPr>
        <w:spacing w:after="0" w:line="51" w:lineRule="exact"/>
        <w:rPr>
          <w:rFonts w:ascii="Arial" w:cs="Arial" w:eastAsia="Arial" w:hAnsi="Arial"/>
          <w:sz w:val="14"/>
          <w:szCs w:val="14"/>
          <w:color w:val="auto"/>
        </w:rPr>
      </w:pPr>
    </w:p>
    <w:p>
      <w:pPr>
        <w:ind w:left="520" w:right="100" w:hanging="515"/>
        <w:spacing w:after="0" w:line="281" w:lineRule="auto"/>
        <w:tabs>
          <w:tab w:leader="none" w:pos="515"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loss on debt extinguishment resulting from the redemption of Booz Allen Hamilton Inc.'s 5.125% Senior Notes due 2025 (the "2025 Senior Notes"), including $9.0 million of the premium paid at redemption, and write-off of the unamortized debt issuance cost.</w:t>
      </w:r>
    </w:p>
    <w:p>
      <w:pPr>
        <w:spacing w:after="0" w:line="4" w:lineRule="exact"/>
        <w:rPr>
          <w:rFonts w:ascii="Arial" w:cs="Arial" w:eastAsia="Arial" w:hAnsi="Arial"/>
          <w:sz w:val="14"/>
          <w:szCs w:val="14"/>
          <w:color w:val="auto"/>
        </w:rPr>
      </w:pPr>
    </w:p>
    <w:p>
      <w:pPr>
        <w:ind w:left="520" w:right="80" w:hanging="515"/>
        <w:spacing w:after="0" w:line="306" w:lineRule="auto"/>
        <w:tabs>
          <w:tab w:leader="none" w:pos="515"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Reflects the income tax benefit associated with tax losses generated during fiscal 2021 as a result of a change in certain tax methods of accounting. The Company intends to carry these losses back to fiscal 2016 and subsequent periods under the Coronavirus Aid Relief and Economic Security Act and has re-measured the fiscal 2021 loss accordingly.</w:t>
      </w:r>
    </w:p>
    <w:p>
      <w:pPr>
        <w:ind w:left="520" w:right="280" w:hanging="515"/>
        <w:spacing w:after="0" w:line="281" w:lineRule="auto"/>
        <w:tabs>
          <w:tab w:leader="none" w:pos="515"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4" w:lineRule="exact"/>
        <w:rPr>
          <w:rFonts w:ascii="Arial" w:cs="Arial" w:eastAsia="Arial" w:hAnsi="Arial"/>
          <w:sz w:val="14"/>
          <w:szCs w:val="14"/>
          <w:color w:val="auto"/>
        </w:rPr>
      </w:pPr>
    </w:p>
    <w:p>
      <w:pPr>
        <w:ind w:left="520" w:right="120" w:hanging="515"/>
        <w:spacing w:after="0" w:line="281" w:lineRule="auto"/>
        <w:tabs>
          <w:tab w:leader="none" w:pos="5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Excludes an adjustment of approximately $3.1 million, $3.5 million, and $1.6 million of net earnings for fiscal 2022, 2021, and 2020, respectively, associated with the application of the two-class method for computing diluted earnings per share.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and Trends Affecting Our Results of Operations</w:t>
      </w:r>
    </w:p>
    <w:p>
      <w:pPr>
        <w:spacing w:after="0" w:line="98"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765" w:right="2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i w:val="1"/>
          <w:iCs w:val="1"/>
          <w:color w:val="auto"/>
        </w:rPr>
        <w:t>Business Environment and Key Trends in Our Markets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We believe that the following trends and developments in the U.S. government services industry and our markets may influence our future results of operations:</w:t>
      </w:r>
    </w:p>
    <w:p>
      <w:pPr>
        <w:spacing w:after="0" w:line="94" w:lineRule="exact"/>
        <w:rPr>
          <w:sz w:val="20"/>
          <w:szCs w:val="20"/>
          <w:color w:val="auto"/>
        </w:rPr>
      </w:pPr>
    </w:p>
    <w:p>
      <w:pPr>
        <w:ind w:left="820" w:right="20" w:hanging="506"/>
        <w:spacing w:after="0" w:line="258"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the Coronavirus Aid, Relief, and Economic Security Act (the "CARES Act"), and the Consolidated Appropriations Act of 2021, and address the ability of Congress to determine how to allocate the available budget authority and pass appropriations bills to fund both U.S. government departments and agencies that are, and those that are not, subject to the caps;</w:t>
      </w:r>
    </w:p>
    <w:p>
      <w:pPr>
        <w:spacing w:after="0" w:line="65" w:lineRule="exact"/>
        <w:rPr>
          <w:rFonts w:ascii="Arial" w:cs="Arial" w:eastAsia="Arial" w:hAnsi="Arial"/>
          <w:sz w:val="14"/>
          <w:szCs w:val="14"/>
          <w:color w:val="auto"/>
        </w:rPr>
      </w:pPr>
    </w:p>
    <w:p>
      <w:pPr>
        <w:ind w:left="820" w:right="460" w:hanging="506"/>
        <w:spacing w:after="0" w:line="281"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47" w:lineRule="exact"/>
        <w:rPr>
          <w:rFonts w:ascii="Arial" w:cs="Arial" w:eastAsia="Arial" w:hAnsi="Arial"/>
          <w:sz w:val="14"/>
          <w:szCs w:val="14"/>
          <w:color w:val="auto"/>
        </w:rPr>
      </w:pPr>
    </w:p>
    <w:p>
      <w:pPr>
        <w:ind w:left="820" w:hanging="506"/>
        <w:spacing w:after="0" w:line="280" w:lineRule="auto"/>
        <w:tabs>
          <w:tab w:leader="none" w:pos="816"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2" w:lineRule="exact"/>
        <w:rPr>
          <w:rFonts w:ascii="Arial" w:cs="Arial" w:eastAsia="Arial" w:hAnsi="Arial"/>
          <w:sz w:val="13"/>
          <w:szCs w:val="13"/>
          <w:color w:val="auto"/>
        </w:rPr>
      </w:pPr>
    </w:p>
    <w:p>
      <w:pPr>
        <w:ind w:left="820" w:right="80" w:hanging="506"/>
        <w:spacing w:after="0" w:line="281"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delays in the completion of future U.S. government’s budget processes, which have in the past and could in the future delay procurement of the products, services, and solutions we provide;</w:t>
      </w:r>
    </w:p>
    <w:p>
      <w:pPr>
        <w:spacing w:after="0" w:line="47" w:lineRule="exact"/>
        <w:rPr>
          <w:rFonts w:ascii="Arial" w:cs="Arial" w:eastAsia="Arial" w:hAnsi="Arial"/>
          <w:sz w:val="14"/>
          <w:szCs w:val="14"/>
          <w:color w:val="auto"/>
        </w:rPr>
      </w:pPr>
    </w:p>
    <w:p>
      <w:pPr>
        <w:ind w:left="820" w:right="60" w:hanging="506"/>
        <w:spacing w:after="0" w:line="297" w:lineRule="auto"/>
        <w:tabs>
          <w:tab w:leader="none" w:pos="816" w:val="left"/>
        </w:tabs>
        <w:numPr>
          <w:ilvl w:val="0"/>
          <w:numId w:val="43"/>
        </w:numPr>
        <w:rPr>
          <w:rFonts w:ascii="Arial" w:cs="Arial" w:eastAsia="Arial" w:hAnsi="Arial"/>
          <w:sz w:val="13"/>
          <w:szCs w:val="13"/>
          <w:color w:val="auto"/>
        </w:rPr>
      </w:pPr>
      <w:r>
        <w:rPr>
          <w:rFonts w:ascii="Arial" w:cs="Arial" w:eastAsia="Arial" w:hAnsi="Arial"/>
          <w:sz w:val="13"/>
          <w:szCs w:val="13"/>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39" w:lineRule="exact"/>
        <w:rPr>
          <w:rFonts w:ascii="Arial" w:cs="Arial" w:eastAsia="Arial" w:hAnsi="Arial"/>
          <w:sz w:val="13"/>
          <w:szCs w:val="13"/>
          <w:color w:val="auto"/>
        </w:rPr>
      </w:pPr>
    </w:p>
    <w:p>
      <w:pPr>
        <w:ind w:left="820" w:right="40" w:hanging="506"/>
        <w:spacing w:after="0" w:line="297" w:lineRule="auto"/>
        <w:tabs>
          <w:tab w:leader="none" w:pos="816"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 as well as the impact of our Company policy requiring full COVID-19 vaccinations of all employees, except for employees who qualify for medical or religious exemptions;</w:t>
      </w:r>
    </w:p>
    <w:p>
      <w:pPr>
        <w:spacing w:after="0" w:line="39" w:lineRule="exact"/>
        <w:rPr>
          <w:rFonts w:ascii="Arial" w:cs="Arial" w:eastAsia="Arial" w:hAnsi="Arial"/>
          <w:sz w:val="13"/>
          <w:szCs w:val="13"/>
          <w:color w:val="auto"/>
        </w:rPr>
      </w:pPr>
    </w:p>
    <w:p>
      <w:pPr>
        <w:ind w:left="820" w:hanging="506"/>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increased inflationary pressure that could impact the cost of doing business and/or reduce customer buying power;</w:t>
      </w:r>
    </w:p>
    <w:p>
      <w:pPr>
        <w:spacing w:after="0" w:line="93" w:lineRule="exact"/>
        <w:rPr>
          <w:rFonts w:ascii="Arial" w:cs="Arial" w:eastAsia="Arial" w:hAnsi="Arial"/>
          <w:sz w:val="14"/>
          <w:szCs w:val="14"/>
          <w:color w:val="auto"/>
        </w:rPr>
      </w:pPr>
    </w:p>
    <w:p>
      <w:pPr>
        <w:ind w:left="820" w:right="120" w:hanging="506"/>
        <w:spacing w:after="0" w:line="267"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6" w:lineRule="exact"/>
        <w:rPr>
          <w:rFonts w:ascii="Arial" w:cs="Arial" w:eastAsia="Arial" w:hAnsi="Arial"/>
          <w:sz w:val="14"/>
          <w:szCs w:val="14"/>
          <w:color w:val="auto"/>
        </w:rPr>
      </w:pPr>
    </w:p>
    <w:p>
      <w:pPr>
        <w:ind w:left="820" w:hanging="506"/>
        <w:spacing w:after="0"/>
        <w:tabs>
          <w:tab w:leader="none" w:pos="8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efforts by the U.S. government to address organizational conflicts of interest and related issues and the impact of those efforts on us and our competitors;</w:t>
      </w:r>
    </w:p>
    <w:p>
      <w:pPr>
        <w:spacing w:after="0" w:line="93" w:lineRule="exact"/>
        <w:rPr>
          <w:rFonts w:ascii="Arial" w:cs="Arial" w:eastAsia="Arial" w:hAnsi="Arial"/>
          <w:sz w:val="14"/>
          <w:szCs w:val="14"/>
          <w:color w:val="auto"/>
        </w:rPr>
      </w:pPr>
    </w:p>
    <w:p>
      <w:pPr>
        <w:ind w:left="820" w:right="120" w:hanging="506"/>
        <w:spacing w:after="0" w:line="281"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7" w:lineRule="exact"/>
        <w:rPr>
          <w:rFonts w:ascii="Arial" w:cs="Arial" w:eastAsia="Arial" w:hAnsi="Arial"/>
          <w:sz w:val="14"/>
          <w:szCs w:val="14"/>
          <w:color w:val="auto"/>
        </w:rPr>
      </w:pPr>
    </w:p>
    <w:p>
      <w:pPr>
        <w:ind w:left="820" w:right="540" w:hanging="506"/>
        <w:spacing w:after="0" w:line="281" w:lineRule="auto"/>
        <w:tabs>
          <w:tab w:leader="none" w:pos="8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500" w:top="818" w:right="319" w:bottom="1440" w:gutter="0" w:footer="0" w:header="0"/>
        </w:sectPr>
      </w:pPr>
    </w:p>
    <w:bookmarkStart w:id="54" w:name="page55"/>
    <w:bookmarkEnd w:id="54"/>
    <w:p>
      <w:pPr>
        <w:ind w:left="1020" w:right="540" w:hanging="506"/>
        <w:spacing w:after="0" w:line="281" w:lineRule="auto"/>
        <w:tabs>
          <w:tab w:leader="none" w:pos="10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U.S. government agencies awarding contracts on a technically acceptable/lowest cost basis, which could have a negative impact on our ability to win certain contracts;</w:t>
      </w:r>
    </w:p>
    <w:p>
      <w:pPr>
        <w:spacing w:after="0" w:line="105" w:lineRule="exact"/>
        <w:rPr>
          <w:rFonts w:ascii="Arial" w:cs="Arial" w:eastAsia="Arial" w:hAnsi="Arial"/>
          <w:sz w:val="13"/>
          <w:szCs w:val="13"/>
          <w:color w:val="auto"/>
        </w:rPr>
      </w:pPr>
    </w:p>
    <w:p>
      <w:pPr>
        <w:ind w:left="1020" w:right="320" w:hanging="506"/>
        <w:spacing w:after="0" w:line="281" w:lineRule="auto"/>
        <w:tabs>
          <w:tab w:leader="none" w:pos="10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7" w:lineRule="exact"/>
        <w:rPr>
          <w:rFonts w:ascii="Arial" w:cs="Arial" w:eastAsia="Arial" w:hAnsi="Arial"/>
          <w:sz w:val="14"/>
          <w:szCs w:val="14"/>
          <w:color w:val="auto"/>
        </w:rPr>
      </w:pPr>
    </w:p>
    <w:p>
      <w:pPr>
        <w:ind w:left="1020" w:right="160" w:hanging="506"/>
        <w:spacing w:after="0" w:line="267" w:lineRule="auto"/>
        <w:tabs>
          <w:tab w:leader="none" w:pos="10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6" w:lineRule="exact"/>
        <w:rPr>
          <w:rFonts w:ascii="Arial" w:cs="Arial" w:eastAsia="Arial" w:hAnsi="Arial"/>
          <w:sz w:val="14"/>
          <w:szCs w:val="14"/>
          <w:color w:val="auto"/>
        </w:rPr>
      </w:pPr>
    </w:p>
    <w:p>
      <w:pPr>
        <w:ind w:left="1020" w:right="300" w:hanging="506"/>
        <w:spacing w:after="0" w:line="281" w:lineRule="auto"/>
        <w:tabs>
          <w:tab w:leader="none" w:pos="10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47" w:lineRule="exact"/>
        <w:rPr>
          <w:rFonts w:ascii="Arial" w:cs="Arial" w:eastAsia="Arial" w:hAnsi="Arial"/>
          <w:sz w:val="14"/>
          <w:szCs w:val="14"/>
          <w:color w:val="auto"/>
        </w:rPr>
      </w:pPr>
    </w:p>
    <w:p>
      <w:pPr>
        <w:ind w:left="1020" w:hanging="506"/>
        <w:spacing w:after="0" w:line="267" w:lineRule="auto"/>
        <w:tabs>
          <w:tab w:leader="none" w:pos="10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increasingly complex requirements and enforcement and reporting landscapes of the Department of Defense and the U.S. intelligence community, including cybersecurity, managing federal health care cost growth, competition, and focus on reforming existing government regulation of various sectors of the economy, such as financial regulation and healthcare; and</w:t>
      </w:r>
    </w:p>
    <w:p>
      <w:pPr>
        <w:spacing w:after="0" w:line="56" w:lineRule="exact"/>
        <w:rPr>
          <w:rFonts w:ascii="Arial" w:cs="Arial" w:eastAsia="Arial" w:hAnsi="Arial"/>
          <w:sz w:val="14"/>
          <w:szCs w:val="14"/>
          <w:color w:val="auto"/>
        </w:rPr>
      </w:pPr>
    </w:p>
    <w:p>
      <w:pPr>
        <w:ind w:left="1020" w:right="180" w:hanging="506"/>
        <w:spacing w:after="0" w:line="368" w:lineRule="auto"/>
        <w:tabs>
          <w:tab w:leader="none" w:pos="1016"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Sources of Revenue</w:t>
      </w:r>
    </w:p>
    <w:p>
      <w:pPr>
        <w:spacing w:after="0" w:line="94"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Substantially all of our revenue is derived from services provided under contracts and task orders with the U.S. government, primarily by our client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originally required nine automatic spending cuts (referred to as “sequestration”) of $109 billion annually from 2013 to 2021, half of which was intended to come from defense programs, though less than $1 billion has been cut for defense programs per year under the BCA. Mandatory sequestrations under the BCA were subsequently extended by the Bipartisan Budget Act of 2013, the Bipartisan Budget Act of 2015, the Bipartisan Budget Act of 2018, the Bipartisan Budget Act of 2019, the CARES Act and the Consolidated Appropriations Act of 2021, which did not specify an amount of savings required to be achieved through sequestration after 2021 but apply an 8.3% reduction in defense spending in each year from 2021 to 2030.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Types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hanging="517"/>
        <w:spacing w:after="0" w:line="282" w:lineRule="auto"/>
        <w:tabs>
          <w:tab w:leader="none" w:pos="1536" w:val="left"/>
        </w:tabs>
        <w:numPr>
          <w:ilvl w:val="0"/>
          <w:numId w:val="45"/>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Cost-Reimbursable Contracts. </w:t>
      </w:r>
      <w:r>
        <w:rPr>
          <w:rFonts w:ascii="Arial" w:cs="Arial" w:eastAsia="Arial" w:hAnsi="Arial"/>
          <w:sz w:val="13"/>
          <w:szCs w:val="13"/>
          <w:color w:val="auto"/>
        </w:rPr>
        <w:t>Cost-reimbursable contracts provide for the payment of allowable costs incurred during performance of the contract, up to a ceiling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w:t>
      </w: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55" w:name="page56"/>
    <w:bookmarkEnd w:id="55"/>
    <w:p>
      <w:pPr>
        <w:ind w:left="1540"/>
        <w:spacing w:after="0"/>
        <w:rPr>
          <w:sz w:val="20"/>
          <w:szCs w:val="20"/>
          <w:color w:val="auto"/>
        </w:rPr>
      </w:pPr>
      <w:r>
        <w:rPr>
          <w:rFonts w:ascii="Arial" w:cs="Arial" w:eastAsia="Arial" w:hAnsi="Arial"/>
          <w:sz w:val="14"/>
          <w:szCs w:val="14"/>
          <w:color w:val="auto"/>
        </w:rPr>
        <w:t>assessment of our performance against a predetermined set of criteria, such as targets for factors like cost, quality, schedule, and performance.</w:t>
      </w:r>
    </w:p>
    <w:p>
      <w:pPr>
        <w:spacing w:after="0" w:line="94" w:lineRule="exact"/>
        <w:rPr>
          <w:sz w:val="20"/>
          <w:szCs w:val="20"/>
          <w:color w:val="auto"/>
        </w:rPr>
      </w:pPr>
    </w:p>
    <w:p>
      <w:pPr>
        <w:ind w:left="1540" w:right="180" w:hanging="517"/>
        <w:spacing w:after="0" w:line="288" w:lineRule="auto"/>
        <w:tabs>
          <w:tab w:leader="none" w:pos="1536"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Time-and-Materials Contracts. </w:t>
      </w:r>
      <w:r>
        <w:rPr>
          <w:rFonts w:ascii="Arial" w:cs="Arial" w:eastAsia="Arial" w:hAnsi="Arial"/>
          <w:sz w:val="13"/>
          <w:szCs w:val="13"/>
          <w:color w:val="auto"/>
        </w:rPr>
        <w:t>Under contracts in this category, we are paid a fixed hourly rate for each direct labor hour expended, and we are reimbursed for billable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46" w:lineRule="exact"/>
        <w:rPr>
          <w:rFonts w:ascii="Arial" w:cs="Arial" w:eastAsia="Arial" w:hAnsi="Arial"/>
          <w:sz w:val="13"/>
          <w:szCs w:val="13"/>
          <w:i w:val="1"/>
          <w:iCs w:val="1"/>
          <w:color w:val="auto"/>
        </w:rPr>
      </w:pPr>
    </w:p>
    <w:p>
      <w:pPr>
        <w:jc w:val="both"/>
        <w:ind w:left="1540" w:right="20" w:hanging="517"/>
        <w:spacing w:after="0" w:line="288" w:lineRule="auto"/>
        <w:tabs>
          <w:tab w:leader="none" w:pos="1536" w:val="left"/>
        </w:tabs>
        <w:numPr>
          <w:ilvl w:val="0"/>
          <w:numId w:val="46"/>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Fixed-Price Contracts. </w:t>
      </w:r>
      <w:r>
        <w:rPr>
          <w:rFonts w:ascii="Arial" w:cs="Arial" w:eastAsia="Arial" w:hAnsi="Arial"/>
          <w:sz w:val="13"/>
          <w:szCs w:val="13"/>
          <w:color w:val="auto"/>
        </w:rPr>
        <w:t>Under a fixed-price contract, we agree to perform the specified work for a predetermined price. To the extent our actual direct and allocated indirect</w:t>
      </w:r>
      <w:r>
        <w:rPr>
          <w:rFonts w:ascii="Arial" w:cs="Arial" w:eastAsia="Arial" w:hAnsi="Arial"/>
          <w:sz w:val="13"/>
          <w:szCs w:val="13"/>
          <w:i w:val="1"/>
          <w:iCs w:val="1"/>
          <w:color w:val="auto"/>
        </w:rPr>
        <w:t xml:space="preserve"> </w:t>
      </w:r>
      <w:r>
        <w:rPr>
          <w:rFonts w:ascii="Arial" w:cs="Arial" w:eastAsia="Arial" w:hAnsi="Arial"/>
          <w:sz w:val="13"/>
          <w:szCs w:val="13"/>
          <w:color w:val="auto"/>
        </w:rPr>
        <w:t>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46"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presents the percentage of total revenue for each type of contract:</w:t>
      </w:r>
    </w:p>
    <w:p>
      <w:pPr>
        <w:spacing w:after="0" w:line="185" w:lineRule="exact"/>
        <w:rPr>
          <w:sz w:val="20"/>
          <w:szCs w:val="20"/>
          <w:color w:val="auto"/>
        </w:rPr>
      </w:pPr>
    </w:p>
    <w:p>
      <w:pPr>
        <w:ind w:left="8540"/>
        <w:spacing w:after="0"/>
        <w:rPr>
          <w:sz w:val="20"/>
          <w:szCs w:val="20"/>
          <w:color w:val="auto"/>
        </w:rPr>
      </w:pPr>
      <w:r>
        <w:rPr>
          <w:rFonts w:ascii="Arial" w:cs="Arial" w:eastAsia="Arial" w:hAnsi="Arial"/>
          <w:sz w:val="11"/>
          <w:szCs w:val="11"/>
          <w:b w:val="1"/>
          <w:bCs w:val="1"/>
          <w:color w:val="auto"/>
        </w:rPr>
        <w:t>Fiscal Year Ended</w:t>
      </w:r>
    </w:p>
    <w:p>
      <w:pPr>
        <w:ind w:left="874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47"/>
        </w:trPr>
        <w:tc>
          <w:tcPr>
            <w:tcW w:w="666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2022</w:t>
            </w:r>
          </w:p>
        </w:tc>
        <w:tc>
          <w:tcPr>
            <w:tcW w:w="8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top w:val="single" w:sz="8" w:color="auto"/>
              <w:bottom w:val="single" w:sz="8" w:color="CCEEFF"/>
            </w:tcBorders>
          </w:tcPr>
          <w:p>
            <w:pPr>
              <w:spacing w:after="0"/>
              <w:rPr>
                <w:sz w:val="12"/>
                <w:szCs w:val="12"/>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2020</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Cost-reimbursable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54%</w:t>
            </w: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57%</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Time-and-materials</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23%</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Fixed-price</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22%</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w:t>
            </w:r>
          </w:p>
        </w:tc>
      </w:tr>
    </w:tbl>
    <w:p>
      <w:pPr>
        <w:spacing w:after="0" w:line="3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Diversity and Revenue Mix</w:t>
      </w:r>
    </w:p>
    <w:p>
      <w:pPr>
        <w:spacing w:after="0" w:line="94"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3.6% of our revenue in fiscal 2022. No single definite contract accounted for more than 3.0% of our revenue in fiscal 2022.</w:t>
      </w:r>
    </w:p>
    <w:p>
      <w:pPr>
        <w:spacing w:after="0" w:line="65"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2022, 2021, and 2020, 94%, 93%, and 92%, respectively, of our revenue was generated by contracts and task orders for which we served as a prime contractor; 6%, 7%, and 8%, respectively, of our revenue was generated by contracts and task orders for which we served as a subcontractor; and 24%, 25%, and 24%, respectively, of our revenue was generated by services provided by our subcontractors. The mix of these types of revenue affects our operating margin. Substantially all of our operating margin is derived from direct client staff labor as the portion of our operating margin derived from fees we earn on services provided by our subcontractors is not significant. We view growth in direct client staff</w:t>
      </w:r>
    </w:p>
    <w:p>
      <w:pPr>
        <w:spacing w:after="0" w:line="200" w:lineRule="exact"/>
        <w:rPr>
          <w:sz w:val="20"/>
          <w:szCs w:val="20"/>
          <w:color w:val="auto"/>
        </w:rPr>
      </w:pPr>
    </w:p>
    <w:p>
      <w:pPr>
        <w:spacing w:after="0" w:line="21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labor as the primary driver of earnings growth. Direct client staff labor growth is driven by client staff headcount growth, after attrition, and total backlog growth.</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Our People</w:t>
      </w:r>
    </w:p>
    <w:p>
      <w:pPr>
        <w:spacing w:after="0" w:line="94"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2"/>
          <w:szCs w:val="12"/>
          <w:color w:val="auto"/>
        </w:rPr>
        <w:t>Revenue from our contracts is derived from services delivered by client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2022, 2021, and 2020, we employed approximately 29,300, 27,700, and 27,200 people, respectively, of which approximately 26,300, 24,800, and 24,200, respectively, were client staff.</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Backlog</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94" w:lineRule="exact"/>
        <w:rPr>
          <w:sz w:val="20"/>
          <w:szCs w:val="20"/>
          <w:color w:val="auto"/>
        </w:rPr>
      </w:pPr>
    </w:p>
    <w:p>
      <w:pPr>
        <w:ind w:left="1020" w:right="60" w:hanging="506"/>
        <w:spacing w:after="0" w:line="281" w:lineRule="auto"/>
        <w:tabs>
          <w:tab w:leader="none" w:pos="1016"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color w:val="auto"/>
        </w:rPr>
      </w:pPr>
    </w:p>
    <w:p>
      <w:pPr>
        <w:ind w:left="1020" w:right="480" w:hanging="506"/>
        <w:spacing w:after="0" w:line="281" w:lineRule="auto"/>
        <w:tabs>
          <w:tab w:leader="none" w:pos="1016"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appropriated or otherwise authorized.</w:t>
      </w:r>
    </w:p>
    <w:p>
      <w:pPr>
        <w:spacing w:after="0" w:line="47" w:lineRule="exact"/>
        <w:rPr>
          <w:rFonts w:ascii="Arial" w:cs="Arial" w:eastAsia="Arial" w:hAnsi="Arial"/>
          <w:sz w:val="14"/>
          <w:szCs w:val="14"/>
          <w:color w:val="auto"/>
        </w:rPr>
      </w:pPr>
    </w:p>
    <w:p>
      <w:pPr>
        <w:ind w:left="1020" w:right="20" w:hanging="506"/>
        <w:spacing w:after="0" w:line="281" w:lineRule="auto"/>
        <w:tabs>
          <w:tab w:leader="none" w:pos="1016"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for which funding has not been appropriated or otherwise authorized.</w:t>
      </w:r>
    </w:p>
    <w:p>
      <w:pPr>
        <w:spacing w:after="0" w:line="47"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value of our contract backlog at the respective dates presented:</w:t>
      </w:r>
    </w:p>
    <w:p>
      <w:pPr>
        <w:spacing w:after="0" w:line="185" w:lineRule="exact"/>
        <w:rPr>
          <w:sz w:val="20"/>
          <w:szCs w:val="20"/>
          <w:color w:val="auto"/>
        </w:rPr>
      </w:pPr>
    </w:p>
    <w:p>
      <w:pPr>
        <w:ind w:left="8240"/>
        <w:spacing w:after="0"/>
        <w:rPr>
          <w:sz w:val="20"/>
          <w:szCs w:val="20"/>
          <w:color w:val="auto"/>
        </w:rPr>
      </w:pPr>
      <w:r>
        <w:rPr>
          <w:rFonts w:ascii="Arial" w:cs="Arial" w:eastAsia="Arial" w:hAnsi="Arial"/>
          <w:sz w:val="11"/>
          <w:szCs w:val="11"/>
          <w:b w:val="1"/>
          <w:bCs w:val="1"/>
          <w:color w:val="auto"/>
        </w:rPr>
        <w:t>Fiscal Year Ended</w:t>
      </w:r>
    </w:p>
    <w:p>
      <w:pPr>
        <w:ind w:left="846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60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2020</w:t>
            </w:r>
          </w:p>
        </w:tc>
      </w:tr>
      <w:tr>
        <w:trPr>
          <w:trHeight w:val="138"/>
        </w:trPr>
        <w:tc>
          <w:tcPr>
            <w:tcW w:w="6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2"/>
        </w:trPr>
        <w:tc>
          <w:tcPr>
            <w:tcW w:w="6080" w:type="dxa"/>
            <w:vAlign w:val="bottom"/>
          </w:tcPr>
          <w:p>
            <w:pPr>
              <w:ind w:left="20"/>
              <w:spacing w:after="0"/>
              <w:rPr>
                <w:sz w:val="20"/>
                <w:szCs w:val="20"/>
                <w:color w:val="auto"/>
              </w:rPr>
            </w:pPr>
            <w:r>
              <w:rPr>
                <w:rFonts w:ascii="Arial" w:cs="Arial" w:eastAsia="Arial" w:hAnsi="Arial"/>
                <w:sz w:val="14"/>
                <w:szCs w:val="14"/>
                <w:color w:val="auto"/>
              </w:rPr>
              <w:t>Backlog:</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Funded</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r>
      <w:tr>
        <w:trPr>
          <w:trHeight w:val="180"/>
        </w:trPr>
        <w:tc>
          <w:tcPr>
            <w:tcW w:w="6080" w:type="dxa"/>
            <w:vAlign w:val="bottom"/>
          </w:tcPr>
          <w:p>
            <w:pPr>
              <w:ind w:left="260"/>
              <w:spacing w:after="0"/>
              <w:rPr>
                <w:sz w:val="20"/>
                <w:szCs w:val="20"/>
                <w:color w:val="auto"/>
              </w:rPr>
            </w:pPr>
            <w:r>
              <w:rPr>
                <w:rFonts w:ascii="Arial" w:cs="Arial" w:eastAsia="Arial" w:hAnsi="Arial"/>
                <w:sz w:val="14"/>
                <w:szCs w:val="14"/>
                <w:color w:val="auto"/>
              </w:rPr>
              <w:t>Unfunded</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4,518</w:t>
            </w:r>
          </w:p>
        </w:tc>
      </w:tr>
      <w:tr>
        <w:trPr>
          <w:trHeight w:val="181"/>
        </w:trPr>
        <w:tc>
          <w:tcPr>
            <w:tcW w:w="6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Priced options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12,796</w:t>
            </w:r>
          </w:p>
        </w:tc>
      </w:tr>
      <w:tr>
        <w:trPr>
          <w:trHeight w:val="171"/>
        </w:trPr>
        <w:tc>
          <w:tcPr>
            <w:tcW w:w="6080" w:type="dxa"/>
            <w:vAlign w:val="bottom"/>
          </w:tcPr>
          <w:p>
            <w:pPr>
              <w:ind w:left="520"/>
              <w:spacing w:after="0"/>
              <w:rPr>
                <w:sz w:val="20"/>
                <w:szCs w:val="20"/>
                <w:color w:val="auto"/>
              </w:rPr>
            </w:pPr>
            <w:r>
              <w:rPr>
                <w:rFonts w:ascii="Arial" w:cs="Arial" w:eastAsia="Arial" w:hAnsi="Arial"/>
                <w:sz w:val="14"/>
                <w:szCs w:val="14"/>
                <w:color w:val="auto"/>
              </w:rPr>
              <w:t>Total backlog</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29,247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w:t>
            </w: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80" w:right="520" w:hanging="375"/>
        <w:spacing w:after="0" w:line="281" w:lineRule="auto"/>
        <w:tabs>
          <w:tab w:leader="none" w:pos="304"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Backlog presented as of March 31, 2022 includes backlog acquired from the Company's acquisitions made during the twelve months ended March 31, 2022. Total backlog acquired was approximately $2.6 billion as of March 31, 2022</w:t>
      </w:r>
    </w:p>
    <w:p>
      <w:pPr>
        <w:spacing w:after="0" w:line="47"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Our total backlog consists of remaining performance obligations, certain orders under contracts for which the period of performance has expired, and unexercised option period and other unexercised optional orders. As of March 31, 2022 and March 31, 2021, the Company had $7.4 billion and $6.7 billion of remaining performance obligations, respectively, and we expect to recognize approximately 70% of the remaining performance obligations as of March 31, 2022 as revenue over the next 12 months, and approximately 85%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We view growth in total backlog and client staff headcount as the two key measures of our potential business growth. Growing and deploying client staff is the primary means by which we are able to achieve profitable revenue growth. To the extent that we are able to hire additional client staff and deploy them against funded backlog, we generally recognize increased revenue. Total backlog increased by 21.7% from March 31, 2021 to March 31, 2022 and increased by 15.9% from March 31,</w:t>
      </w:r>
    </w:p>
    <w:p>
      <w:pPr>
        <w:spacing w:after="0" w:line="200" w:lineRule="exact"/>
        <w:rPr>
          <w:sz w:val="20"/>
          <w:szCs w:val="20"/>
          <w:color w:val="auto"/>
        </w:r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57" w:name="page58"/>
    <w:bookmarkEnd w:id="57"/>
    <w:p>
      <w:pPr>
        <w:jc w:val="both"/>
        <w:ind w:right="400"/>
        <w:spacing w:after="0" w:line="267" w:lineRule="auto"/>
        <w:rPr>
          <w:sz w:val="20"/>
          <w:szCs w:val="20"/>
          <w:color w:val="auto"/>
        </w:rPr>
      </w:pPr>
      <w:r>
        <w:rPr>
          <w:rFonts w:ascii="Arial" w:cs="Arial" w:eastAsia="Arial" w:hAnsi="Arial"/>
          <w:sz w:val="14"/>
          <w:szCs w:val="14"/>
          <w:color w:val="auto"/>
        </w:rPr>
        <w:t>2020 to March 31, 2021. Additions to funded backlog during fiscal 2022 and 2021 totaled $8.6 billion and $8.0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57" w:lineRule="exact"/>
        <w:rPr>
          <w:sz w:val="20"/>
          <w:szCs w:val="20"/>
          <w:color w:val="auto"/>
        </w:rPr>
      </w:pPr>
    </w:p>
    <w:p>
      <w:pPr>
        <w:ind w:firstLine="318"/>
        <w:spacing w:after="0" w:line="304" w:lineRule="auto"/>
        <w:rPr>
          <w:sz w:val="20"/>
          <w:szCs w:val="20"/>
          <w:color w:val="auto"/>
        </w:rPr>
      </w:pPr>
      <w:r>
        <w:rPr>
          <w:rFonts w:ascii="Arial" w:cs="Arial" w:eastAsia="Arial" w:hAnsi="Arial"/>
          <w:sz w:val="12"/>
          <w:szCs w:val="12"/>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client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40"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5.1% of total backlog as of March 31, 2022 and any of the four preceding fiscal quarters.</w:t>
      </w:r>
    </w:p>
    <w:p>
      <w:pPr>
        <w:spacing w:after="0" w:line="61"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We expect to recognize revenue from a substantial portion of funded backlog as of March 31, 2022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Operating Costs and Expenses</w:t>
      </w:r>
    </w:p>
    <w:p>
      <w:pPr>
        <w:spacing w:after="0" w:line="94" w:lineRule="exact"/>
        <w:rPr>
          <w:sz w:val="20"/>
          <w:szCs w:val="20"/>
          <w:color w:val="auto"/>
        </w:rPr>
      </w:pPr>
    </w:p>
    <w:p>
      <w:pPr>
        <w:jc w:val="both"/>
        <w:ind w:right="160" w:firstLine="318"/>
        <w:spacing w:after="0" w:line="267" w:lineRule="auto"/>
        <w:rPr>
          <w:sz w:val="20"/>
          <w:szCs w:val="20"/>
          <w:color w:val="auto"/>
        </w:rPr>
      </w:pPr>
      <w:r>
        <w:rPr>
          <w:rFonts w:ascii="Arial" w:cs="Arial" w:eastAsia="Arial" w:hAnsi="Arial"/>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most significant operating costs and expenses are described below.</w:t>
      </w:r>
    </w:p>
    <w:p>
      <w:pPr>
        <w:spacing w:after="0" w:line="94" w:lineRule="exact"/>
        <w:rPr>
          <w:sz w:val="20"/>
          <w:szCs w:val="20"/>
          <w:color w:val="auto"/>
        </w:rPr>
      </w:pPr>
    </w:p>
    <w:p>
      <w:pPr>
        <w:ind w:left="1020" w:right="780" w:hanging="506"/>
        <w:spacing w:after="0" w:line="281" w:lineRule="auto"/>
        <w:tabs>
          <w:tab w:leader="none" w:pos="1016"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includes direct labor, related employee benefits, and overhead. Overhead consists of indirect costs, including indirect labor relating to</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management and administration, and other expenses.</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Billable Expenses. </w:t>
      </w:r>
      <w:r>
        <w:rPr>
          <w:rFonts w:ascii="Arial" w:cs="Arial" w:eastAsia="Arial" w:hAnsi="Arial"/>
          <w:sz w:val="14"/>
          <w:szCs w:val="14"/>
          <w:color w:val="auto"/>
        </w:rPr>
        <w:t>Billable expenses include direct subcontractor expenses, travel expenses, and other expenses incurred to perform on contracts.</w:t>
      </w:r>
    </w:p>
    <w:p>
      <w:pPr>
        <w:spacing w:after="0" w:line="93" w:lineRule="exact"/>
        <w:rPr>
          <w:rFonts w:ascii="Arial" w:cs="Arial" w:eastAsia="Arial" w:hAnsi="Arial"/>
          <w:sz w:val="14"/>
          <w:szCs w:val="14"/>
          <w:color w:val="auto"/>
        </w:rPr>
      </w:pPr>
    </w:p>
    <w:p>
      <w:pPr>
        <w:ind w:left="1020" w:right="140" w:hanging="506"/>
        <w:spacing w:after="0" w:line="281" w:lineRule="auto"/>
        <w:tabs>
          <w:tab w:leader="none" w:pos="1016"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include indirect labor of executive management and corporate administrative functions, marketing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bid and proposal costs, and other discretionary spending.</w:t>
      </w:r>
    </w:p>
    <w:p>
      <w:pPr>
        <w:spacing w:after="0" w:line="47" w:lineRule="exact"/>
        <w:rPr>
          <w:rFonts w:ascii="Arial" w:cs="Arial" w:eastAsia="Arial" w:hAnsi="Arial"/>
          <w:sz w:val="14"/>
          <w:szCs w:val="14"/>
          <w:color w:val="auto"/>
        </w:rPr>
      </w:pPr>
    </w:p>
    <w:p>
      <w:pPr>
        <w:ind w:left="1020" w:right="40" w:hanging="506"/>
        <w:spacing w:after="0" w:line="321" w:lineRule="auto"/>
        <w:tabs>
          <w:tab w:leader="none" w:pos="1016" w:val="left"/>
        </w:tabs>
        <w:numPr>
          <w:ilvl w:val="0"/>
          <w:numId w:val="49"/>
        </w:numPr>
        <w:rPr>
          <w:rFonts w:ascii="Arial" w:cs="Arial" w:eastAsia="Arial" w:hAnsi="Arial"/>
          <w:sz w:val="13"/>
          <w:szCs w:val="13"/>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includes the depreciation of computers, leasehold improvements, furniture and other equipment, and the amortization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internally developed software, as well as third-party software that we use internally, and of identifiable long-lived intangible assets over their estimated useful lives.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Seasonality</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58" w:name="page59"/>
    <w:bookmarkEnd w:id="58"/>
    <w:p>
      <w:pPr>
        <w:ind w:right="740"/>
        <w:spacing w:after="0" w:line="321" w:lineRule="auto"/>
        <w:rPr>
          <w:sz w:val="20"/>
          <w:szCs w:val="20"/>
          <w:color w:val="auto"/>
        </w:rPr>
      </w:pPr>
      <w:r>
        <w:rPr>
          <w:rFonts w:ascii="Arial" w:cs="Arial" w:eastAsia="Arial" w:hAnsi="Arial"/>
          <w:sz w:val="13"/>
          <w:szCs w:val="13"/>
          <w:color w:val="auto"/>
        </w:rPr>
        <w:t>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4" w:lineRule="exact"/>
        <w:rPr>
          <w:sz w:val="20"/>
          <w:szCs w:val="20"/>
          <w:color w:val="auto"/>
        </w:rPr>
      </w:pPr>
    </w:p>
    <w:p>
      <w:pPr>
        <w:ind w:right="1840" w:firstLine="318"/>
        <w:spacing w:after="0" w:line="379" w:lineRule="auto"/>
        <w:rPr>
          <w:sz w:val="20"/>
          <w:szCs w:val="20"/>
          <w:color w:val="auto"/>
        </w:rPr>
      </w:pPr>
      <w:r>
        <w:rPr>
          <w:rFonts w:ascii="Arial" w:cs="Arial" w:eastAsia="Arial" w:hAnsi="Arial"/>
          <w:sz w:val="14"/>
          <w:szCs w:val="14"/>
          <w:color w:val="auto"/>
        </w:rPr>
        <w:t xml:space="preserve">Seasonality is just one of a number of factors, many of which are outside of our control, which may affect our results in any period. See "Item 1A. Risk Factors." </w:t>
      </w:r>
      <w:r>
        <w:rPr>
          <w:rFonts w:ascii="Arial" w:cs="Arial" w:eastAsia="Arial" w:hAnsi="Arial"/>
          <w:sz w:val="14"/>
          <w:szCs w:val="14"/>
          <w:b w:val="1"/>
          <w:bCs w:val="1"/>
          <w:color w:val="auto"/>
        </w:rPr>
        <w:t>Critical Accounting Estimates and Policies</w:t>
      </w:r>
    </w:p>
    <w:p>
      <w:pPr>
        <w:spacing w:after="0" w:line="1"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62"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Revenue Recognition and Cost Estimation</w:t>
      </w:r>
    </w:p>
    <w:p>
      <w:pPr>
        <w:spacing w:after="0" w:line="94"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time-and-materials contracts, and fixed-price contracts.</w:t>
      </w:r>
    </w:p>
    <w:p>
      <w:pPr>
        <w:spacing w:after="0" w:line="57" w:lineRule="exact"/>
        <w:rPr>
          <w:sz w:val="20"/>
          <w:szCs w:val="20"/>
          <w:color w:val="auto"/>
        </w:rPr>
      </w:pPr>
    </w:p>
    <w:p>
      <w:pPr>
        <w:ind w:right="80" w:firstLine="139"/>
        <w:spacing w:after="0" w:line="260" w:lineRule="auto"/>
        <w:rPr>
          <w:sz w:val="20"/>
          <w:szCs w:val="20"/>
          <w:color w:val="auto"/>
        </w:rPr>
      </w:pPr>
      <w:r>
        <w:rPr>
          <w:rFonts w:ascii="Arial" w:cs="Arial" w:eastAsia="Arial" w:hAnsi="Arial"/>
          <w:sz w:val="14"/>
          <w:szCs w:val="14"/>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 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6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62"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w:t>
      </w:r>
    </w:p>
    <w:p>
      <w:pPr>
        <w:spacing w:after="0" w:line="400"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59" w:name="page60"/>
    <w:bookmarkEnd w:id="59"/>
    <w:p>
      <w:pPr>
        <w:ind w:right="20"/>
        <w:spacing w:after="0" w:line="284" w:lineRule="auto"/>
        <w:rPr>
          <w:sz w:val="20"/>
          <w:szCs w:val="20"/>
          <w:color w:val="auto"/>
        </w:rPr>
      </w:pPr>
      <w:r>
        <w:rPr>
          <w:rFonts w:ascii="Arial" w:cs="Arial" w:eastAsia="Arial" w:hAnsi="Arial"/>
          <w:sz w:val="13"/>
          <w:szCs w:val="13"/>
          <w:color w:val="auto"/>
        </w:rPr>
        <w:t>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49"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We generally include both funded and unfunded portions of customer contracts in this estimation process.</w:t>
      </w:r>
    </w:p>
    <w:p>
      <w:pPr>
        <w:spacing w:after="0" w:line="53" w:lineRule="exact"/>
        <w:rPr>
          <w:sz w:val="20"/>
          <w:szCs w:val="20"/>
          <w:color w:val="auto"/>
        </w:rPr>
      </w:pPr>
    </w:p>
    <w:p>
      <w:pPr>
        <w:jc w:val="both"/>
        <w:ind w:right="20" w:firstLine="318"/>
        <w:spacing w:after="0" w:line="284" w:lineRule="auto"/>
        <w:rPr>
          <w:sz w:val="20"/>
          <w:szCs w:val="20"/>
          <w:color w:val="auto"/>
        </w:rPr>
      </w:pPr>
      <w:r>
        <w:rPr>
          <w:rFonts w:ascii="Arial" w:cs="Arial" w:eastAsia="Arial" w:hAnsi="Arial"/>
          <w:sz w:val="13"/>
          <w:szCs w:val="13"/>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49"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49"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2022, 2021, and 2020, the aggregate impact of adjustments in contract estimates was not material.</w:t>
      </w:r>
    </w:p>
    <w:p>
      <w:pPr>
        <w:spacing w:after="0" w:line="66" w:lineRule="exact"/>
        <w:rPr>
          <w:sz w:val="20"/>
          <w:szCs w:val="20"/>
          <w:color w:val="auto"/>
        </w:rPr>
      </w:pPr>
    </w:p>
    <w:p>
      <w:pPr>
        <w:ind w:right="460" w:firstLine="318"/>
        <w:spacing w:after="0" w:line="368" w:lineRule="auto"/>
        <w:rPr>
          <w:sz w:val="20"/>
          <w:szCs w:val="20"/>
          <w:color w:val="auto"/>
        </w:rPr>
      </w:pPr>
      <w:r>
        <w:rPr>
          <w:rFonts w:ascii="Arial" w:cs="Arial" w:eastAsia="Arial" w:hAnsi="Arial"/>
          <w:sz w:val="12"/>
          <w:szCs w:val="12"/>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35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0" w:name="page61"/>
    <w:bookmarkEnd w:id="60"/>
    <w:p>
      <w:pPr>
        <w:ind w:left="1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Goodwill and Intangible Assets Impairment</w:t>
      </w:r>
    </w:p>
    <w:p>
      <w:pPr>
        <w:spacing w:after="0" w:line="94" w:lineRule="exact"/>
        <w:rPr>
          <w:sz w:val="20"/>
          <w:szCs w:val="20"/>
          <w:color w:val="auto"/>
        </w:rPr>
      </w:pPr>
    </w:p>
    <w:p>
      <w:pPr>
        <w:ind w:right="40" w:firstLine="350"/>
        <w:spacing w:after="0" w:line="284" w:lineRule="auto"/>
        <w:rPr>
          <w:sz w:val="20"/>
          <w:szCs w:val="20"/>
          <w:color w:val="auto"/>
        </w:rPr>
      </w:pPr>
      <w:r>
        <w:rPr>
          <w:rFonts w:ascii="Arial" w:cs="Arial" w:eastAsia="Arial" w:hAnsi="Arial"/>
          <w:sz w:val="13"/>
          <w:szCs w:val="13"/>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 We do not consider goodwill, trade name, or any other amortizable intangible assets at risk of impairment. A 10% change in our enterprise value would not result in a goodwill or trade name impairment.</w:t>
      </w:r>
    </w:p>
    <w:p>
      <w:pPr>
        <w:spacing w:after="0" w:line="49" w:lineRule="exact"/>
        <w:rPr>
          <w:sz w:val="20"/>
          <w:szCs w:val="20"/>
          <w:color w:val="auto"/>
        </w:rPr>
      </w:pPr>
    </w:p>
    <w:p>
      <w:pPr>
        <w:ind w:right="100" w:firstLine="350"/>
        <w:spacing w:after="0" w:line="262" w:lineRule="auto"/>
        <w:rPr>
          <w:sz w:val="20"/>
          <w:szCs w:val="20"/>
          <w:color w:val="auto"/>
        </w:rPr>
      </w:pPr>
      <w:r>
        <w:rPr>
          <w:rFonts w:ascii="Arial" w:cs="Arial" w:eastAsia="Arial" w:hAnsi="Arial"/>
          <w:sz w:val="14"/>
          <w:szCs w:val="14"/>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61" w:lineRule="exact"/>
        <w:rPr>
          <w:sz w:val="20"/>
          <w:szCs w:val="20"/>
          <w:color w:val="auto"/>
        </w:rPr>
      </w:pPr>
    </w:p>
    <w:p>
      <w:pPr>
        <w:ind w:left="160" w:right="1620" w:firstLine="191"/>
        <w:spacing w:after="0" w:line="379" w:lineRule="auto"/>
        <w:rPr>
          <w:sz w:val="20"/>
          <w:szCs w:val="20"/>
          <w:color w:val="auto"/>
        </w:rPr>
      </w:pPr>
      <w:r>
        <w:rPr>
          <w:rFonts w:ascii="Arial" w:cs="Arial" w:eastAsia="Arial" w:hAnsi="Arial"/>
          <w:sz w:val="14"/>
          <w:szCs w:val="14"/>
          <w:color w:val="auto"/>
        </w:rPr>
        <w:t xml:space="preserve">During the fiscal years ended March 31, 2022, March 31, 2021, and March 31, 2020, the Company did not record any impairment of goodwill and intangible assets. </w:t>
      </w:r>
      <w:r>
        <w:rPr>
          <w:rFonts w:ascii="Arial" w:cs="Arial" w:eastAsia="Arial" w:hAnsi="Arial"/>
          <w:sz w:val="14"/>
          <w:szCs w:val="14"/>
          <w:b w:val="1"/>
          <w:bCs w:val="1"/>
          <w:i w:val="1"/>
          <w:iCs w:val="1"/>
          <w:color w:val="auto"/>
        </w:rPr>
        <w:t>Accounting for Income Taxes</w:t>
      </w:r>
    </w:p>
    <w:p>
      <w:pPr>
        <w:spacing w:after="0" w:line="1"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39"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62" w:lineRule="exact"/>
        <w:rPr>
          <w:sz w:val="20"/>
          <w:szCs w:val="20"/>
          <w:color w:val="auto"/>
        </w:rPr>
      </w:pPr>
    </w:p>
    <w:p>
      <w:pPr>
        <w:ind w:firstLine="350"/>
        <w:spacing w:after="0" w:line="368" w:lineRule="auto"/>
        <w:rPr>
          <w:sz w:val="20"/>
          <w:szCs w:val="20"/>
          <w:color w:val="auto"/>
        </w:rPr>
      </w:pPr>
      <w:r>
        <w:rPr>
          <w:rFonts w:ascii="Arial" w:cs="Arial" w:eastAsia="Arial" w:hAnsi="Arial"/>
          <w:sz w:val="12"/>
          <w:szCs w:val="12"/>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40" w:lineRule="exact"/>
        <w:rPr>
          <w:sz w:val="20"/>
          <w:szCs w:val="20"/>
          <w:color w:val="auto"/>
        </w:rPr>
      </w:pPr>
    </w:p>
    <w:p>
      <w:pPr>
        <w:ind w:right="400" w:firstLine="350"/>
        <w:spacing w:after="0" w:line="262" w:lineRule="auto"/>
        <w:rPr>
          <w:sz w:val="20"/>
          <w:szCs w:val="20"/>
          <w:color w:val="auto"/>
        </w:rPr>
      </w:pPr>
      <w:r>
        <w:rPr>
          <w:rFonts w:ascii="Arial" w:cs="Arial" w:eastAsia="Arial" w:hAnsi="Arial"/>
          <w:sz w:val="14"/>
          <w:szCs w:val="14"/>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Basis of Presentation</w:t>
      </w:r>
    </w:p>
    <w:p>
      <w:pPr>
        <w:spacing w:after="0" w:line="140"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4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57"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2022 and 2021 and the Company’s results of operations for fiscal 2022, fiscal 2021, and fiscal 2020.</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amounts reported in the Company's prior year consolidated financial statements have been reclassified to conform to the current year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items from our consolidated statements of operations for the periods indicated: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4"/>
              </w:rPr>
              <w:t>Fiscal Year Ended March 31,</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Fiscal 2022</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1"/>
              </w:rPr>
              <w:t>Fiscal 2021</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87"/>
              </w:rPr>
              <w:t>Versus</w:t>
            </w:r>
          </w:p>
        </w:tc>
        <w:tc>
          <w:tcPr>
            <w:tcW w:w="138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auto"/>
                <w:w w:val="87"/>
              </w:rPr>
              <w:t>Versus</w:t>
            </w:r>
          </w:p>
        </w:tc>
        <w:tc>
          <w:tcPr>
            <w:tcW w:w="0" w:type="dxa"/>
            <w:vAlign w:val="bottom"/>
          </w:tcPr>
          <w:p>
            <w:pPr>
              <w:spacing w:after="0"/>
              <w:rPr>
                <w:sz w:val="1"/>
                <w:szCs w:val="1"/>
                <w:color w:val="auto"/>
              </w:rPr>
            </w:pPr>
          </w:p>
        </w:tc>
      </w:tr>
      <w:tr>
        <w:trPr>
          <w:trHeight w:val="44"/>
        </w:trPr>
        <w:tc>
          <w:tcPr>
            <w:tcW w:w="4180" w:type="dxa"/>
            <w:vAlign w:val="bottom"/>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restart"/>
          </w:tcPr>
          <w:p>
            <w:pPr>
              <w:jc w:val="center"/>
              <w:ind w:right="123"/>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vMerge w:val="restart"/>
          </w:tcPr>
          <w:p>
            <w:pPr>
              <w:jc w:val="right"/>
              <w:ind w:right="4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Fiscal 2021</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1"/>
              </w:rPr>
              <w:t>Fiscal 2020</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(In thousands)</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8,363,700</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7,858,938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7,463,841</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6.4 %</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20"/>
                <w:szCs w:val="20"/>
                <w:color w:val="auto"/>
              </w:rPr>
            </w:pPr>
            <w:r>
              <w:rPr>
                <w:rFonts w:ascii="Arial" w:cs="Arial" w:eastAsia="Arial" w:hAnsi="Arial"/>
                <w:sz w:val="11"/>
                <w:szCs w:val="11"/>
                <w:color w:val="auto"/>
              </w:rPr>
              <w:t>Operating costs and expenses:</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Cost of revenue</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3,899,622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3,657,530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3,379,180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8.2 %</w:t>
            </w:r>
          </w:p>
        </w:tc>
        <w:tc>
          <w:tcPr>
            <w:tcW w:w="0" w:type="dxa"/>
            <w:vAlign w:val="bottom"/>
          </w:tcPr>
          <w:p>
            <w:pPr>
              <w:spacing w:after="0"/>
              <w:rPr>
                <w:sz w:val="1"/>
                <w:szCs w:val="1"/>
                <w:color w:val="auto"/>
              </w:rPr>
            </w:pPr>
          </w:p>
        </w:tc>
      </w:tr>
      <w:tr>
        <w:trPr>
          <w:trHeight w:val="147"/>
        </w:trPr>
        <w:tc>
          <w:tcPr>
            <w:tcW w:w="4180" w:type="dxa"/>
            <w:vAlign w:val="bottom"/>
          </w:tcPr>
          <w:p>
            <w:pPr>
              <w:ind w:left="260"/>
              <w:spacing w:after="0"/>
              <w:rPr>
                <w:sz w:val="20"/>
                <w:szCs w:val="20"/>
                <w:color w:val="auto"/>
              </w:rPr>
            </w:pPr>
            <w:r>
              <w:rPr>
                <w:rFonts w:ascii="Arial" w:cs="Arial" w:eastAsia="Arial" w:hAnsi="Arial"/>
                <w:sz w:val="11"/>
                <w:szCs w:val="11"/>
                <w:color w:val="auto"/>
              </w:rPr>
              <w:t>Billable expenses</w:t>
            </w:r>
          </w:p>
        </w:tc>
        <w:tc>
          <w:tcPr>
            <w:tcW w:w="76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w w:val="93"/>
              </w:rPr>
              <w:t>2,474,163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2,325,888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2,298,413</w:t>
            </w: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6.4 %</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General and administrative expenses</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1,158,987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1,036,834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1,035,965</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Depreciation and amortization</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145,747</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84,315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81,081</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72.9 %</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1"/>
        </w:trPr>
        <w:tc>
          <w:tcPr>
            <w:tcW w:w="41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operating costs and expenses</w:t>
            </w:r>
          </w:p>
        </w:tc>
        <w:tc>
          <w:tcPr>
            <w:tcW w:w="7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3"/>
              </w:rPr>
              <w:t>7,678,519</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7,104,567</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6,794,639</w:t>
            </w:r>
          </w:p>
        </w:tc>
        <w:tc>
          <w:tcPr>
            <w:tcW w:w="8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8.1 %</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0" w:type="dxa"/>
            <w:vAlign w:val="bottom"/>
          </w:tcPr>
          <w:p>
            <w:pPr>
              <w:spacing w:after="0"/>
              <w:rPr>
                <w:sz w:val="1"/>
                <w:szCs w:val="1"/>
                <w:color w:val="auto"/>
              </w:rPr>
            </w:pPr>
          </w:p>
        </w:tc>
      </w:tr>
      <w:tr>
        <w:trPr>
          <w:trHeight w:val="137"/>
        </w:trPr>
        <w:tc>
          <w:tcPr>
            <w:tcW w:w="4180" w:type="dxa"/>
            <w:vAlign w:val="bottom"/>
          </w:tcPr>
          <w:p>
            <w:pPr>
              <w:spacing w:after="0" w:line="125" w:lineRule="exact"/>
              <w:rPr>
                <w:sz w:val="20"/>
                <w:szCs w:val="20"/>
                <w:color w:val="auto"/>
              </w:rPr>
            </w:pPr>
            <w:r>
              <w:rPr>
                <w:rFonts w:ascii="Arial" w:cs="Arial" w:eastAsia="Arial" w:hAnsi="Arial"/>
                <w:sz w:val="11"/>
                <w:szCs w:val="11"/>
                <w:color w:val="auto"/>
              </w:rPr>
              <w:t>Operating income</w:t>
            </w:r>
          </w:p>
        </w:tc>
        <w:tc>
          <w:tcPr>
            <w:tcW w:w="760" w:type="dxa"/>
            <w:vAlign w:val="bottom"/>
          </w:tcPr>
          <w:p>
            <w:pPr>
              <w:spacing w:after="0"/>
              <w:rPr>
                <w:sz w:val="11"/>
                <w:szCs w:val="11"/>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685,181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754,371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669,202</w:t>
            </w:r>
          </w:p>
        </w:tc>
        <w:tc>
          <w:tcPr>
            <w:tcW w:w="8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(9.2)%</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12.7 %</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(92,352)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(96,960)</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13.6 %</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20"/>
                <w:szCs w:val="20"/>
                <w:color w:val="auto"/>
              </w:rPr>
            </w:pPr>
            <w:r>
              <w:rPr>
                <w:rFonts w:ascii="Arial" w:cs="Arial" w:eastAsia="Arial" w:hAnsi="Arial"/>
                <w:sz w:val="11"/>
                <w:szCs w:val="11"/>
                <w:color w:val="auto"/>
              </w:rPr>
              <w:t>Other income (expense), net</w:t>
            </w:r>
          </w:p>
        </w:tc>
        <w:tc>
          <w:tcPr>
            <w:tcW w:w="76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11,214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(10,662)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2"/>
                <w:szCs w:val="12"/>
                <w:color w:val="auto"/>
              </w:rPr>
            </w:pPr>
          </w:p>
        </w:tc>
        <w:tc>
          <w:tcPr>
            <w:tcW w:w="1500" w:type="dxa"/>
            <w:vAlign w:val="bottom"/>
            <w:gridSpan w:val="2"/>
          </w:tcPr>
          <w:p>
            <w:pPr>
              <w:ind w:left="1200"/>
              <w:spacing w:after="0"/>
              <w:rPr>
                <w:sz w:val="20"/>
                <w:szCs w:val="20"/>
                <w:color w:val="auto"/>
              </w:rPr>
            </w:pPr>
            <w:r>
              <w:rPr>
                <w:rFonts w:ascii="Arial" w:cs="Arial" w:eastAsia="Arial" w:hAnsi="Arial"/>
                <w:sz w:val="11"/>
                <w:szCs w:val="11"/>
                <w:color w:val="auto"/>
              </w:rPr>
              <w:t>NM</w:t>
            </w:r>
          </w:p>
        </w:tc>
        <w:tc>
          <w:tcPr>
            <w:tcW w:w="13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1"/>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7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604,043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662,439</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579,434</w:t>
            </w:r>
          </w:p>
        </w:tc>
        <w:tc>
          <w:tcPr>
            <w:tcW w:w="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14.3 %</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expense</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137,466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53,481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96,831</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157.0 %</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0" w:type="dxa"/>
            <w:vAlign w:val="bottom"/>
          </w:tcPr>
          <w:p>
            <w:pPr>
              <w:spacing w:after="0"/>
              <w:rPr>
                <w:sz w:val="1"/>
                <w:szCs w:val="1"/>
                <w:color w:val="auto"/>
              </w:rPr>
            </w:pPr>
          </w:p>
        </w:tc>
      </w:tr>
      <w:tr>
        <w:trPr>
          <w:trHeight w:val="141"/>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466,577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608,958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482,603</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26.2 %</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loss attributable to non-controlling interest</w:t>
            </w:r>
          </w:p>
        </w:tc>
        <w:tc>
          <w:tcPr>
            <w:tcW w:w="760" w:type="dxa"/>
            <w:vAlign w:val="bottom"/>
            <w:tcBorders>
              <w:bottom w:val="single" w:sz="8" w:color="auto"/>
            </w:tcBorders>
          </w:tcPr>
          <w:p>
            <w:pPr>
              <w:jc w:val="right"/>
              <w:ind w:right="64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w:t>
            </w:r>
          </w:p>
        </w:tc>
        <w:tc>
          <w:tcPr>
            <w:tcW w:w="2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1"/>
                <w:szCs w:val="11"/>
                <w:color w:val="auto"/>
              </w:rPr>
              <w:t>$</w:t>
            </w: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500" w:type="dxa"/>
            <w:vAlign w:val="bottom"/>
            <w:tcBorders>
              <w:bottom w:val="single" w:sz="8" w:color="auto"/>
            </w:tcBorders>
            <w:gridSpan w:val="2"/>
          </w:tcPr>
          <w:p>
            <w:pPr>
              <w:ind w:left="1200"/>
              <w:spacing w:after="0"/>
              <w:rPr>
                <w:sz w:val="20"/>
                <w:szCs w:val="20"/>
                <w:color w:val="auto"/>
              </w:rPr>
            </w:pPr>
            <w:r>
              <w:rPr>
                <w:rFonts w:ascii="Arial" w:cs="Arial" w:eastAsia="Arial" w:hAnsi="Arial"/>
                <w:sz w:val="11"/>
                <w:szCs w:val="11"/>
                <w:color w:val="auto"/>
              </w:rPr>
              <w:t>NM</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income attributable to common stockholders</w:t>
            </w: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466,740</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608,958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482,603</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2022 Compared to Fiscal 2021</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Revenue</w:t>
      </w:r>
    </w:p>
    <w:p>
      <w:pPr>
        <w:spacing w:after="0" w:line="51"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Revenue increased to $8,363.7 million from $7,858.9 million, or a 6.4% increase, primarily driven by the impact of acquisitions during fiscal 2022 of approximately $340.1 million and strong demand, partially offset by reduced staff utilization.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Cost of Revenue</w:t>
      </w:r>
    </w:p>
    <w:p>
      <w:pPr>
        <w:spacing w:after="0" w:line="51"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Cost of revenue increased to $3,899.6 million from $3,657.5 million, or a 6.6% increase, and remained relatively flat as a percentage of revenue at 46.6% and 46.5% for fiscal 2022 and 2021, respectively. This increase was primarily due to an increase in salaries and salary-related benefits of $251.8 million, driven by an increase in headcount (including the impact of acquisitions) and annual base salary increases, as well as increases in other direct costs of $29.3 million.</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Billable Expenses</w:t>
      </w:r>
    </w:p>
    <w:p>
      <w:pPr>
        <w:spacing w:after="0" w:line="51"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Billable expenses increased to $2,474.2 million from $2,325.9 million, or a 6.4% increase, and remained flat as a percentage of revenue at 29.6%. This increase was primarily attributable to an increase in the use of subcontractors driven by</w:t>
      </w:r>
    </w:p>
    <w:p>
      <w:pPr>
        <w:spacing w:after="0" w:line="398"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62" w:name="page63"/>
    <w:bookmarkEnd w:id="62"/>
    <w:p>
      <w:pPr>
        <w:ind w:right="260"/>
        <w:spacing w:after="0" w:line="281" w:lineRule="auto"/>
        <w:rPr>
          <w:sz w:val="20"/>
          <w:szCs w:val="20"/>
          <w:color w:val="auto"/>
        </w:rPr>
      </w:pPr>
      <w:r>
        <w:rPr>
          <w:rFonts w:ascii="Arial" w:cs="Arial" w:eastAsia="Arial" w:hAnsi="Arial"/>
          <w:sz w:val="14"/>
          <w:szCs w:val="14"/>
          <w:color w:val="auto"/>
        </w:rPr>
        <w:t>client demand and timing of client needs as well as increases in expenses from contracts that require the Company to incur other direct expenses and travel on behalf of clients as compared to the prior year.</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51" w:lineRule="exact"/>
        <w:rPr>
          <w:sz w:val="20"/>
          <w:szCs w:val="20"/>
          <w:color w:val="auto"/>
        </w:rPr>
      </w:pPr>
    </w:p>
    <w:p>
      <w:pPr>
        <w:ind w:right="220" w:firstLine="350"/>
        <w:spacing w:after="0" w:line="297" w:lineRule="auto"/>
        <w:rPr>
          <w:sz w:val="20"/>
          <w:szCs w:val="20"/>
          <w:color w:val="auto"/>
        </w:rPr>
      </w:pPr>
      <w:r>
        <w:rPr>
          <w:rFonts w:ascii="Arial" w:cs="Arial" w:eastAsia="Arial" w:hAnsi="Arial"/>
          <w:sz w:val="13"/>
          <w:szCs w:val="13"/>
          <w:color w:val="auto"/>
        </w:rPr>
        <w:t>General and administrative expenses increased to $1,159.0 million from $1,036.8 million, or an 11.8% increase and increased as a percentage of revenue to 13.9% from 13.2%. General and administrative expenses were impacted by approximately $95.5 million of acquisition costs primarily associated with our acquisitions of Liberty and Tracepoint incurred during fiscal 2022. In addition, salaries and salary related benefits increased $34.7 million, driven by an increase in headcount and annual base salary increases.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Depreciation and Amortization</w:t>
      </w:r>
    </w:p>
    <w:p>
      <w:pPr>
        <w:spacing w:after="0" w:line="51" w:lineRule="exact"/>
        <w:rPr>
          <w:sz w:val="20"/>
          <w:szCs w:val="20"/>
          <w:color w:val="auto"/>
        </w:rPr>
      </w:pPr>
    </w:p>
    <w:p>
      <w:pPr>
        <w:ind w:right="140" w:firstLine="350"/>
        <w:spacing w:after="0" w:line="281" w:lineRule="auto"/>
        <w:rPr>
          <w:sz w:val="20"/>
          <w:szCs w:val="20"/>
          <w:color w:val="auto"/>
        </w:rPr>
      </w:pPr>
      <w:r>
        <w:rPr>
          <w:rFonts w:ascii="Arial" w:cs="Arial" w:eastAsia="Arial" w:hAnsi="Arial"/>
          <w:sz w:val="14"/>
          <w:szCs w:val="14"/>
          <w:color w:val="auto"/>
        </w:rPr>
        <w:t>Depreciation and amortization expense increased to $145.7 million from $84.3 million, or a 72.9% increase, primarily due to increases in intangible amortization related to the acquisitions in fiscal 2022, and depreciation expense resulting from the implementation of our new financial management systems on April 1, 2021.</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Interest Expense</w:t>
      </w:r>
    </w:p>
    <w:p>
      <w:pPr>
        <w:spacing w:after="0" w:line="51"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Interest expense increased to $92.4 million from $81.3 million, or a 13.6% increase, primarily due to increased expense related to the issuance of the Senior Notes due 2029 in fiscal 2022 and the Senior Notes due 2028 in fiscal 2021.</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Other (Income) Expense, net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(income) expense, net increased to an $11.2 million net other income from $10.7 million of net other expense primarily due to the following:</w:t>
      </w:r>
    </w:p>
    <w:p>
      <w:pPr>
        <w:spacing w:after="0" w:line="94" w:lineRule="exact"/>
        <w:rPr>
          <w:sz w:val="20"/>
          <w:szCs w:val="20"/>
          <w:color w:val="auto"/>
        </w:rPr>
      </w:pPr>
    </w:p>
    <w:p>
      <w:pPr>
        <w:ind w:left="520" w:right="40" w:hanging="260"/>
        <w:spacing w:after="0" w:line="281"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net gain of $7.1 million recognized from a transaction in the third quarter of fiscal 2022 in which the Company transferred all assets related to SnapAttack™ to a new cyber threat hunting and detection company and disposed of the controlling interest to an unrelated third party and retained an equity method investment;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$5.7 million gain from the Company’s remeasurement of its previously held equity method investment in Tracepoint in the second quarter of fiscal 2022; and</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A $13.2 million loss on debt extinguishment resulting from the redemption of Booz Allen Hamilton Inc.'s 5.125% Senior Notes due 2025 (the "2017 Senior Notes") recognized in the second quarter of fiscal 2021, not present in the current year.</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Income Tax Expense</w:t>
      </w:r>
    </w:p>
    <w:p>
      <w:pPr>
        <w:spacing w:after="0" w:line="51"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Income tax expense increased to $137.5 million from $53.5 million. The effective tax rate increased to 22.8% in fiscal 2022 from 8.1% in fiscal 2021. The increase was primarily due to a $76.8 million income tax benefit recognized in the fourth quarter of fiscal 2021 related to the re-measurement of net operating losses that were carried back to fiscal 2016 and subsequent years.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As of March 31, 2022, our total liquidity was $1.7 billion, consisting of $695.9 million of cash and cash equivalents and $999.0 million available under the Revolving Credit Facility. To date, COVID-19 has not had a significant impact on our liquidity, cash flows or capital resources. However,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200" w:lineRule="exact"/>
        <w:rPr>
          <w:sz w:val="20"/>
          <w:szCs w:val="20"/>
          <w:color w:val="auto"/>
        </w:rPr>
      </w:pPr>
    </w:p>
    <w:p>
      <w:pPr>
        <w:spacing w:after="0" w:line="297"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6" w:right="359" w:bottom="1440" w:gutter="0" w:footer="0" w:header="0"/>
        </w:sectPr>
      </w:pPr>
    </w:p>
    <w:bookmarkStart w:id="63" w:name="page64"/>
    <w:bookmarkEnd w:id="63"/>
    <w:p>
      <w:pPr>
        <w:ind w:left="320"/>
        <w:spacing w:after="0"/>
        <w:rPr>
          <w:sz w:val="20"/>
          <w:szCs w:val="20"/>
          <w:color w:val="auto"/>
        </w:rPr>
      </w:pPr>
      <w:r>
        <w:rPr>
          <w:rFonts w:ascii="Arial" w:cs="Arial" w:eastAsia="Arial" w:hAnsi="Arial"/>
          <w:sz w:val="14"/>
          <w:szCs w:val="14"/>
          <w:color w:val="auto"/>
        </w:rPr>
        <w:t>The following table presents selected financial information for the periods presented:</w:t>
      </w:r>
    </w:p>
    <w:p>
      <w:pPr>
        <w:spacing w:after="0" w:line="185" w:lineRule="exact"/>
        <w:rPr>
          <w:sz w:val="20"/>
          <w:szCs w:val="20"/>
          <w:color w:val="auto"/>
        </w:rPr>
      </w:pPr>
    </w:p>
    <w:p>
      <w:pPr>
        <w:ind w:left="8280"/>
        <w:spacing w:after="0"/>
        <w:rPr>
          <w:sz w:val="20"/>
          <w:szCs w:val="20"/>
          <w:color w:val="auto"/>
        </w:rPr>
      </w:pPr>
      <w:r>
        <w:rPr>
          <w:rFonts w:ascii="Arial" w:cs="Arial" w:eastAsia="Arial" w:hAnsi="Arial"/>
          <w:sz w:val="11"/>
          <w:szCs w:val="11"/>
          <w:b w:val="1"/>
          <w:bCs w:val="1"/>
          <w:color w:val="auto"/>
        </w:rPr>
        <w:t>Fiscal Year Ended</w:t>
      </w:r>
    </w:p>
    <w:p>
      <w:pPr>
        <w:ind w:left="850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147"/>
        </w:trPr>
        <w:tc>
          <w:tcPr>
            <w:tcW w:w="6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139"/>
        </w:trPr>
        <w:tc>
          <w:tcPr>
            <w:tcW w:w="6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ind w:left="160"/>
              <w:spacing w:after="0"/>
              <w:rPr>
                <w:sz w:val="20"/>
                <w:szCs w:val="20"/>
                <w:color w:val="auto"/>
              </w:rPr>
            </w:pPr>
            <w:r>
              <w:rPr>
                <w:rFonts w:ascii="Arial" w:cs="Arial" w:eastAsia="Arial" w:hAnsi="Arial"/>
                <w:sz w:val="11"/>
                <w:szCs w:val="11"/>
                <w:b w:val="1"/>
                <w:bCs w:val="1"/>
                <w:color w:val="auto"/>
              </w:rPr>
              <w:t>(In thousands)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695,910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741,901</w:t>
            </w: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2,800,072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2,356,596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2,185,844</w:t>
            </w:r>
          </w:p>
        </w:tc>
      </w:tr>
      <w:tr>
        <w:trPr>
          <w:trHeight w:val="202"/>
        </w:trPr>
        <w:tc>
          <w:tcPr>
            <w:tcW w:w="6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0"/>
        </w:trPr>
        <w:tc>
          <w:tcPr>
            <w:tcW w:w="61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736,526</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718,684</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551,428</w:t>
            </w:r>
          </w:p>
        </w:tc>
      </w:tr>
      <w:tr>
        <w:trPr>
          <w:trHeight w:val="18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(867,725)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(128,079)</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(163,846)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(311,346)</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34,562</w:t>
            </w: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(decrease) increase in cash and cash equivalents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(295,045)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249,054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457,911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61"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52" w:lineRule="exact"/>
        <w:rPr>
          <w:sz w:val="20"/>
          <w:szCs w:val="20"/>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operating expenses, including salaries;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working capital requirements to fund both organic and inorganic growth of our business;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capital expenditures which primarily relate to the purchase of computers, business systems, furniture and leasehold improvements to support our operations;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on-going maintenance around all financial management systems;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commitments and other discretionary investments;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debt service requirements for borrowings under our Secured Credit Facility and interest payments for the Senior Notes;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cash taxes to be paid.</w:t>
      </w:r>
    </w:p>
    <w:p>
      <w:pPr>
        <w:spacing w:after="0" w:line="94"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24"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In the fourth quarter of fiscal 2022, the Company announced that it had entered into a definitive agreement to acquire EverWatch Corp., a leading provider of advanced solutions to the defense and intelligence communities for approximately $440.0 million, subject to customary adjustments. The Company expects to fund the acquisition with cash on hand. The transaction is expected to close in fiscal 2023.</w:t>
      </w:r>
    </w:p>
    <w:p>
      <w:pPr>
        <w:spacing w:after="0" w:line="200" w:lineRule="exact"/>
        <w:rPr>
          <w:sz w:val="20"/>
          <w:szCs w:val="20"/>
          <w:color w:val="auto"/>
        </w:rPr>
      </w:pPr>
    </w:p>
    <w:p>
      <w:pPr>
        <w:spacing w:after="0" w:line="292"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8" w:right="399" w:bottom="1440" w:gutter="0" w:footer="0" w:header="0"/>
        </w:sectPr>
      </w:pPr>
    </w:p>
    <w:bookmarkStart w:id="64" w:name="page65"/>
    <w:bookmarkEnd w:id="64"/>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4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Operating Cash Flow</w:t>
      </w:r>
    </w:p>
    <w:p>
      <w:pPr>
        <w:spacing w:after="0" w:line="9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2"/>
          <w:szCs w:val="12"/>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$736.5 million in fiscal 2022 compared to $718.7 million in fiscal 2021, or a</w:t>
      </w:r>
    </w:p>
    <w:p>
      <w:pPr>
        <w:jc w:val="both"/>
        <w:spacing w:after="0" w:line="266" w:lineRule="auto"/>
        <w:rPr>
          <w:sz w:val="20"/>
          <w:szCs w:val="20"/>
          <w:color w:val="auto"/>
        </w:rPr>
      </w:pPr>
      <w:r>
        <w:rPr>
          <w:rFonts w:ascii="Arial" w:cs="Arial" w:eastAsia="Arial" w:hAnsi="Arial"/>
          <w:sz w:val="14"/>
          <w:szCs w:val="14"/>
          <w:color w:val="auto"/>
        </w:rPr>
        <w:t>2.5% increase. The increase in operating cash flow over the prior year was primarily driven by strong working capital management, partially offset by approximately $97.5 million of acquisition costs incurred and paid during fiscal 2022, primarily associated with our acquisitions of Liberty and Tracepoint.</w:t>
      </w:r>
    </w:p>
    <w:p>
      <w:pPr>
        <w:spacing w:after="0" w:line="5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Effective fiscal 2023, the Tax Cuts and Jobs Act of 2017 requires the capitalization of research and development costs for tax purposes, which can then be amortized over five years and 15 years for domestic and foreign costs, respectively. Congress has proposed tax legislation to delay the effective date of this change to 2026, but it is uncertain whether the proposed delay will ultimately be enacted into law. Based upon the analysis performed to date and our interpretation of the legislation, the Company estimates that we will incur approximately $150.0 million in cash taxes in fiscal 2023 if the current effective date remains in place, but our deferred tax liability would be offset by a corresponding amount.</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Investing Cash Flow</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Net cash used in investing activities was $867.7 million in fiscal 2022 compared to $158.3 million in the prior year. The increase in net cash used in investing activities was primarily due to the Company's acquisitions of Liberty and Tracepoint, partially offset by the initial 40% minority investment in Tracepoint of $74.2 million in the prior year.</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Financing Cash Flow</w:t>
      </w:r>
    </w:p>
    <w:p>
      <w:pPr>
        <w:spacing w:after="0" w:line="94" w:lineRule="exact"/>
        <w:rPr>
          <w:sz w:val="20"/>
          <w:szCs w:val="20"/>
          <w:color w:val="auto"/>
        </w:rPr>
      </w:pPr>
    </w:p>
    <w:p>
      <w:pPr>
        <w:ind w:right="220" w:firstLine="318"/>
        <w:spacing w:after="0" w:line="281" w:lineRule="auto"/>
        <w:rPr>
          <w:sz w:val="20"/>
          <w:szCs w:val="20"/>
          <w:color w:val="auto"/>
        </w:rPr>
      </w:pPr>
      <w:r>
        <w:rPr>
          <w:rFonts w:ascii="Arial" w:cs="Arial" w:eastAsia="Arial" w:hAnsi="Arial"/>
          <w:sz w:val="14"/>
          <w:szCs w:val="14"/>
          <w:color w:val="auto"/>
        </w:rPr>
        <w:t>Net cash used in financing activities was $163.8 million in fiscal 2022 compared to $311.3 million in the prior year, or a 47.4% decrease. The decrease in net cash used in financing activities was primarily due to the following:</w:t>
      </w:r>
    </w:p>
    <w:p>
      <w:pPr>
        <w:spacing w:after="0" w:line="47" w:lineRule="exact"/>
        <w:rPr>
          <w:sz w:val="20"/>
          <w:szCs w:val="20"/>
          <w:color w:val="auto"/>
        </w:rPr>
      </w:pPr>
    </w:p>
    <w:p>
      <w:pPr>
        <w:ind w:left="580" w:hanging="257"/>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increase of $152.2 million in net proceeds from the issuance of bonds in fiscal 2022 (Senior Notes due 2029) as compared to fiscal 2021 (Senior Notes due 2028);</w:t>
      </w:r>
    </w:p>
    <w:p>
      <w:pPr>
        <w:spacing w:after="0" w:line="93" w:lineRule="exact"/>
        <w:rPr>
          <w:rFonts w:ascii="Arial" w:cs="Arial" w:eastAsia="Arial" w:hAnsi="Arial"/>
          <w:sz w:val="14"/>
          <w:szCs w:val="14"/>
          <w:color w:val="auto"/>
        </w:rPr>
      </w:pPr>
    </w:p>
    <w:p>
      <w:pPr>
        <w:ind w:left="580" w:hanging="257"/>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decrease of $25.6 million in payments on the Company's Term Loans;</w:t>
      </w:r>
    </w:p>
    <w:p>
      <w:pPr>
        <w:spacing w:after="0" w:line="93" w:lineRule="exact"/>
        <w:rPr>
          <w:rFonts w:ascii="Arial" w:cs="Arial" w:eastAsia="Arial" w:hAnsi="Arial"/>
          <w:sz w:val="14"/>
          <w:szCs w:val="14"/>
          <w:color w:val="auto"/>
        </w:rPr>
      </w:pPr>
    </w:p>
    <w:p>
      <w:pPr>
        <w:ind w:left="580" w:hanging="257"/>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 $100.0 million net repayment on the Revolving Credit Facility paid in the prior year;</w:t>
      </w:r>
    </w:p>
    <w:p>
      <w:pPr>
        <w:spacing w:after="0" w:line="93" w:lineRule="exact"/>
        <w:rPr>
          <w:rFonts w:ascii="Arial" w:cs="Arial" w:eastAsia="Arial" w:hAnsi="Arial"/>
          <w:sz w:val="14"/>
          <w:szCs w:val="14"/>
          <w:color w:val="auto"/>
        </w:rPr>
      </w:pPr>
    </w:p>
    <w:p>
      <w:pPr>
        <w:ind w:left="580" w:hanging="257"/>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above was partially offset by an increase in share repurchases of $105.5 million and an increase in dividends paid of $28.0 million as compared to the prior year.</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Dividends and Share Repurchases</w:t>
      </w:r>
    </w:p>
    <w:p>
      <w:pPr>
        <w:spacing w:after="0" w:line="9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 paid $1.54 in dividends per share to shareholders of record in fiscal 2022. On May 20, 2022, the Company announced a regular quarterly cash dividend in the amount of $0.43 per share. The quarterly dividend is payable on June 30, 2022 to stockholders of record on June 15, 2022.</w:t>
      </w:r>
    </w:p>
    <w:p>
      <w:pPr>
        <w:spacing w:after="0" w:line="200" w:lineRule="exact"/>
        <w:rPr>
          <w:sz w:val="20"/>
          <w:szCs w:val="20"/>
          <w:color w:val="auto"/>
        </w:rPr>
      </w:pPr>
    </w:p>
    <w:p>
      <w:pPr>
        <w:spacing w:after="0" w:line="28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5" w:name="page66"/>
    <w:bookmarkEnd w:id="65"/>
    <w:p>
      <w:pPr>
        <w:ind w:left="32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185" w:lineRule="exact"/>
        <w:rPr>
          <w:sz w:val="20"/>
          <w:szCs w:val="20"/>
          <w:color w:val="auto"/>
        </w:rPr>
      </w:pPr>
    </w:p>
    <w:p>
      <w:pPr>
        <w:ind w:left="8700"/>
        <w:spacing w:after="0"/>
        <w:rPr>
          <w:sz w:val="20"/>
          <w:szCs w:val="20"/>
          <w:color w:val="auto"/>
        </w:rPr>
      </w:pPr>
      <w:r>
        <w:rPr>
          <w:rFonts w:ascii="Arial" w:cs="Arial" w:eastAsia="Arial" w:hAnsi="Arial"/>
          <w:sz w:val="11"/>
          <w:szCs w:val="11"/>
          <w:b w:val="1"/>
          <w:bCs w:val="1"/>
          <w:color w:val="auto"/>
        </w:rPr>
        <w:t>Fiscal Year Ended</w:t>
      </w:r>
    </w:p>
    <w:p>
      <w:pPr>
        <w:ind w:left="892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280" w:type="dxa"/>
        <w:tblCellMar>
          <w:top w:w="0" w:type="dxa"/>
          <w:left w:w="0" w:type="dxa"/>
          <w:bottom w:w="0" w:type="dxa"/>
          <w:right w:w="0" w:type="dxa"/>
        </w:tblCellMar>
      </w:tblPr>
      <w:tr>
        <w:trPr>
          <w:trHeight w:val="147"/>
        </w:trPr>
        <w:tc>
          <w:tcPr>
            <w:tcW w:w="70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2020</w:t>
            </w:r>
          </w:p>
        </w:tc>
      </w:tr>
      <w:tr>
        <w:trPr>
          <w:trHeight w:val="139"/>
        </w:trPr>
        <w:tc>
          <w:tcPr>
            <w:tcW w:w="7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19"/>
              <w:spacing w:after="0"/>
              <w:rPr>
                <w:sz w:val="20"/>
                <w:szCs w:val="20"/>
                <w:color w:val="auto"/>
              </w:rPr>
            </w:pPr>
            <w:r>
              <w:rPr>
                <w:rFonts w:ascii="Arial" w:cs="Arial" w:eastAsia="Arial" w:hAnsi="Arial"/>
                <w:sz w:val="11"/>
                <w:szCs w:val="11"/>
                <w:b w:val="1"/>
                <w:bCs w:val="1"/>
                <w:color w:val="auto"/>
                <w:w w:val="92"/>
              </w:rPr>
              <w:t>(In thousands)</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1"/>
        </w:trPr>
        <w:tc>
          <w:tcPr>
            <w:tcW w:w="7000" w:type="dxa"/>
            <w:vAlign w:val="bottom"/>
            <w:shd w:val="clear" w:color="auto" w:fill="BFE4FF"/>
          </w:tcPr>
          <w:p>
            <w:pPr>
              <w:spacing w:after="0"/>
              <w:rPr>
                <w:sz w:val="20"/>
                <w:szCs w:val="20"/>
                <w:color w:val="auto"/>
              </w:rPr>
            </w:pPr>
            <w:r>
              <w:rPr>
                <w:rFonts w:ascii="Arial" w:cs="Arial" w:eastAsia="Arial" w:hAnsi="Arial"/>
                <w:sz w:val="14"/>
                <w:szCs w:val="14"/>
                <w:color w:val="auto"/>
              </w:rPr>
              <w:t>Recurring dividends (1)</w:t>
            </w:r>
          </w:p>
        </w:tc>
        <w:tc>
          <w:tcPr>
            <w:tcW w:w="280" w:type="dxa"/>
            <w:vAlign w:val="bottom"/>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BFE4FF"/>
          </w:tcPr>
          <w:p>
            <w:pPr>
              <w:jc w:val="right"/>
              <w:ind w:right="16"/>
              <w:spacing w:after="0"/>
              <w:rPr>
                <w:sz w:val="20"/>
                <w:szCs w:val="20"/>
                <w:color w:val="auto"/>
              </w:rPr>
            </w:pPr>
            <w:r>
              <w:rPr>
                <w:rFonts w:ascii="Arial" w:cs="Arial" w:eastAsia="Arial" w:hAnsi="Arial"/>
                <w:sz w:val="14"/>
                <w:szCs w:val="14"/>
                <w:color w:val="auto"/>
              </w:rPr>
              <w:t>209,057</w:t>
            </w:r>
          </w:p>
        </w:tc>
        <w:tc>
          <w:tcPr>
            <w:tcW w:w="240" w:type="dxa"/>
            <w:vAlign w:val="bottom"/>
            <w:shd w:val="clear" w:color="auto" w:fill="BFE4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BFE4FF"/>
          </w:tcPr>
          <w:p>
            <w:pPr>
              <w:jc w:val="right"/>
              <w:ind w:right="19"/>
              <w:spacing w:after="0"/>
              <w:rPr>
                <w:sz w:val="20"/>
                <w:szCs w:val="20"/>
                <w:color w:val="auto"/>
              </w:rPr>
            </w:pPr>
            <w:r>
              <w:rPr>
                <w:rFonts w:ascii="Arial" w:cs="Arial" w:eastAsia="Arial" w:hAnsi="Arial"/>
                <w:sz w:val="14"/>
                <w:szCs w:val="14"/>
                <w:color w:val="auto"/>
              </w:rPr>
              <w:t>181,066</w:t>
            </w:r>
          </w:p>
        </w:tc>
        <w:tc>
          <w:tcPr>
            <w:tcW w:w="360" w:type="dxa"/>
            <w:vAlign w:val="bottom"/>
            <w:shd w:val="clear" w:color="auto" w:fill="BFE4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146,602</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(1) Amounts represent recurring dividends that were declared and paid for during each quarter of fiscal 2022, 2021, and 2020, respectively.</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On December 12, 2011, the Board of Directors approved a share repurchase program, which was most recently increased to $2,160.0 million in January 26, 2022. The Company may repurchase shares pursuant to the program by means of open market repurchases, directly negotiated repurchases or through agents acting pursuant to negotiated repurchase agreements. During fiscal 2022 and 2021, the Company purchased 4.7 million and 3.8 million shares of the Company’s Class A Common Stock, respectively, for an aggregate of $389.9 million and $293.4 million, respectively. As of March 31, 2022, the Company had approximately $651.6 million remaining under the repurchase program.</w:t>
      </w:r>
    </w:p>
    <w:p>
      <w:pPr>
        <w:spacing w:after="0" w:line="61"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4"/>
          <w:szCs w:val="14"/>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Indebtedness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Our debt totaled $2.8 billion and $2.4 billion as of March 31, 2022 and 2021, respectively. Our debt bears interest at specified rates (see Note 10 to our consolidated financial statements).</w:t>
      </w:r>
    </w:p>
    <w:p>
      <w:pPr>
        <w:spacing w:after="0" w:line="95" w:lineRule="exact"/>
        <w:rPr>
          <w:sz w:val="20"/>
          <w:szCs w:val="20"/>
          <w:color w:val="auto"/>
        </w:rPr>
      </w:pPr>
    </w:p>
    <w:p>
      <w:pPr>
        <w:ind w:right="60" w:firstLine="318"/>
        <w:spacing w:after="0" w:line="248" w:lineRule="auto"/>
        <w:rPr>
          <w:sz w:val="20"/>
          <w:szCs w:val="20"/>
          <w:color w:val="auto"/>
        </w:rPr>
      </w:pPr>
      <w:r>
        <w:rPr>
          <w:rFonts w:ascii="Arial" w:cs="Arial" w:eastAsia="Arial" w:hAnsi="Arial"/>
          <w:sz w:val="13"/>
          <w:szCs w:val="13"/>
          <w:color w:val="auto"/>
        </w:rPr>
        <w:t>On June 24, 2021, Booz Allen Hamilton Inc. ("Booz Allen Hamilton"), Booz Allen Hamilton Investor Corporation ("Investor"),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Term Loan B ("Term Loan B" and, together with Term Loan A, the "Term Loans") remained unchanged.</w:t>
      </w:r>
    </w:p>
    <w:p>
      <w:pPr>
        <w:spacing w:after="0" w:line="49" w:lineRule="exact"/>
        <w:rPr>
          <w:sz w:val="20"/>
          <w:szCs w:val="20"/>
          <w:color w:val="auto"/>
        </w:rPr>
      </w:pPr>
    </w:p>
    <w:p>
      <w:pPr>
        <w:ind w:right="140" w:firstLine="318"/>
        <w:spacing w:after="0" w:line="229" w:lineRule="auto"/>
        <w:rPr>
          <w:sz w:val="20"/>
          <w:szCs w:val="20"/>
          <w:color w:val="auto"/>
        </w:rPr>
      </w:pPr>
      <w:r>
        <w:rPr>
          <w:rFonts w:ascii="Arial" w:cs="Arial" w:eastAsia="Arial" w:hAnsi="Arial"/>
          <w:sz w:val="14"/>
          <w:szCs w:val="14"/>
          <w:color w:val="auto"/>
        </w:rPr>
        <w:t>Prior to the Eighth Amendment, approximately $1,289.8 million was outstanding under Term Loan A (the "Existing Tranche A Term Loans"). Pursuant to the Eighth Amendment, certain lenders under the Existing Credit Agreement converted their Existing Tranche A Term Loans into a new tranche of tranche A term loans (the “New Refinancing Tranche A Term Loans”) in an aggregate amount, along with the New Refinancing Tranche A Term Loans advanced by certain new lenders, of approximately $1,289.8 million. The proceeds from the new lenders were used to prepay in full all of the Existing Tranche A Term Loans that were not converted into the New Refinancing Tranche A Term Loans. Voluntary prepayments of the New Refinancing Tranche A Term Loans are permitted at any time, in minimum principal amounts, without premium or penalty. The other terms of the New Refinancing Tranche A Term Loans are generally the same as the Existing Tranche A Term Loans prior to the Eighth Amendment.</w:t>
      </w:r>
    </w:p>
    <w:p>
      <w:pPr>
        <w:spacing w:after="0" w:line="54" w:lineRule="exact"/>
        <w:rPr>
          <w:sz w:val="20"/>
          <w:szCs w:val="20"/>
          <w:color w:val="auto"/>
        </w:rPr>
      </w:pPr>
    </w:p>
    <w:p>
      <w:pPr>
        <w:ind w:right="80" w:firstLine="318"/>
        <w:spacing w:after="0" w:line="233" w:lineRule="auto"/>
        <w:rPr>
          <w:sz w:val="20"/>
          <w:szCs w:val="20"/>
          <w:color w:val="auto"/>
        </w:rPr>
      </w:pPr>
      <w:r>
        <w:rPr>
          <w:rFonts w:ascii="Arial" w:cs="Arial" w:eastAsia="Arial" w:hAnsi="Arial"/>
          <w:sz w:val="14"/>
          <w:szCs w:val="14"/>
          <w:color w:val="auto"/>
        </w:rPr>
        <w:t>Prior to the Eighth Amendment, approximately $500.0 million of revolving commitments (the “Existing Revolving Commitments”) were available under the Existing Credit Agreement, with a sublimit for letters of credit of $100.0 million. Pursuant to the Eighth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$1,000 million, with a sublimit for letters of credit of $200.0 million.</w:t>
      </w:r>
    </w:p>
    <w:p>
      <w:pPr>
        <w:spacing w:after="0" w:line="64"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As of March 31, 2022, the Credit Agreement provided Booz Allen Hamilton with a $1,241.4 million Term Loan A, a $380.3 million Term Loan B, and $1,000 million Revolving Credit Facility with a sub-limit for letters of credit of $200.0 million (collectively, the "Secured Credit Facility"). As of March 31, 2022, the maturity date of Term Loan A and the termination date for the Revolving Credit Facility was June 24, 2026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w:t>
      </w:r>
    </w:p>
    <w:p>
      <w:pPr>
        <w:spacing w:after="0" w:line="39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6" w:name="page67"/>
    <w:bookmarkEnd w:id="66"/>
    <w:p>
      <w:pPr>
        <w:ind w:right="320"/>
        <w:spacing w:after="0" w:line="297" w:lineRule="auto"/>
        <w:rPr>
          <w:sz w:val="20"/>
          <w:szCs w:val="20"/>
          <w:color w:val="auto"/>
        </w:rPr>
      </w:pPr>
      <w:r>
        <w:rPr>
          <w:rFonts w:ascii="Arial" w:cs="Arial" w:eastAsia="Arial" w:hAnsi="Arial"/>
          <w:sz w:val="13"/>
          <w:szCs w:val="13"/>
          <w:color w:val="auto"/>
        </w:rPr>
        <w:t>Loans or the Revolving Credit Facility may be expanded (or a new term loan facility or revolving credit facility added to the existing facilities) by up to (i) the greater of (x) $909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39"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1.13% to 2.00% for LIBOR loans and 0.13%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0.18% to 0.35% based on Booz Allen Hamilton’s consolidated total net leverage ratio.</w:t>
      </w:r>
    </w:p>
    <w:p>
      <w:pPr>
        <w:spacing w:after="0" w:line="49" w:lineRule="exact"/>
        <w:rPr>
          <w:sz w:val="20"/>
          <w:szCs w:val="20"/>
          <w:color w:val="auto"/>
        </w:rPr>
      </w:pPr>
    </w:p>
    <w:p>
      <w:pPr>
        <w:jc w:val="both"/>
        <w:ind w:right="240" w:firstLine="318"/>
        <w:spacing w:after="0" w:line="297" w:lineRule="auto"/>
        <w:rPr>
          <w:sz w:val="20"/>
          <w:szCs w:val="20"/>
          <w:color w:val="auto"/>
        </w:rPr>
      </w:pPr>
      <w:r>
        <w:rPr>
          <w:rFonts w:ascii="Arial" w:cs="Arial" w:eastAsia="Arial" w:hAnsi="Arial"/>
          <w:sz w:val="13"/>
          <w:szCs w:val="13"/>
          <w:color w:val="auto"/>
        </w:rPr>
        <w:t>Booz Allen Hamilton occasionally borrows under the Revolving Credit Facility in anticipation of cash demands. During fiscal 2022, Booz Allen Hamilton accessed no amounts of its $500.0 million Revolving Credit Facility. During fiscal 2021, Booz Allen Hamilton accessed a total of $100.0 million of its $500.0 million Revolving Credit Facility. As of March 31, 2022, there was no outstanding balance on the Revolving Credit Facility. As of March 31, 2021,$100.0 million was outstanding on the Revolving Credit Facility, which was repaid in June 2021.</w:t>
      </w:r>
    </w:p>
    <w:p>
      <w:pPr>
        <w:spacing w:after="0" w:line="3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Booz Allen Hamilton also has agreed to pay customary letter of credit and agency fees. As of March 31, 2022 and 2021, Booz Allen Hamilton was contingently liable under open standby letters of credit and bank guarantees issued by its banks in favor of third parties that totaled $8.4 million and $9.8 million, respectively. These letters of credit and bank guarantees primarily support insurance and bid and performance obligations. For both March 31, 2022 and 2021, approximately $1.0 million, of these instruments reduced our available borrowings under the Revolving Credit Facility. The remainder is guaranteed under a separate $20.0 million facility, of which $12.6 million and $11.1 million, respectively, was available to Booz Allen Hamilton at March 31, 2022 and 2021. As of March 31, 2022, we had $999.0 million of capacity available for additional borrowings under the Revolving Credit Facility.</w:t>
      </w:r>
    </w:p>
    <w:p>
      <w:pPr>
        <w:spacing w:after="0" w:line="49"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2022, we were compliant with these covenants.</w:t>
      </w:r>
    </w:p>
    <w:p>
      <w:pPr>
        <w:spacing w:after="0" w:line="6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During fiscal 2022, interest payments of $19.6 million and $7.2 million were made for the Term Loan A and Term Loan B facilities, respectively. During fiscal 2021, interest payments of $23.6 million and $7.8 million were made for the Term Loan A and Term Loan B facilities, respectively.</w:t>
      </w:r>
    </w:p>
    <w:p>
      <w:pPr>
        <w:spacing w:after="0" w:line="47"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total outstanding debt balance is recorded in the accompanying consolidated balance sheets net of unamortized discount and debt issuance costs of $21.6 million and $17.4 million as of March 31, 2022 and 2021, respectively.</w:t>
      </w:r>
    </w:p>
    <w:p>
      <w:pPr>
        <w:spacing w:after="0" w:line="47" w:lineRule="exact"/>
        <w:rPr>
          <w:sz w:val="20"/>
          <w:szCs w:val="20"/>
          <w:color w:val="auto"/>
        </w:rPr>
      </w:pPr>
    </w:p>
    <w:p>
      <w:pPr>
        <w:ind w:firstLine="509"/>
        <w:spacing w:after="0" w:line="260" w:lineRule="auto"/>
        <w:rPr>
          <w:sz w:val="20"/>
          <w:szCs w:val="20"/>
          <w:color w:val="auto"/>
        </w:rPr>
      </w:pPr>
      <w:r>
        <w:rPr>
          <w:rFonts w:ascii="Arial" w:cs="Arial" w:eastAsia="Arial" w:hAnsi="Arial"/>
          <w:sz w:val="14"/>
          <w:szCs w:val="14"/>
          <w:color w:val="auto"/>
        </w:rPr>
        <w:t>On August 24, 2020, Booz Allen Hamilton issued $700 million aggregate principal amount of its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A portion of the net proceeds from the sale of the Senior Notes was used to redeem in full $350 million aggregate principal amount of the outstanding 2017 Senior Notes at a redemption price of 102.56% of the principal amount thereof, plus accrued and unpaid interest thereon to (but excluding) the redemption date, and to pay all fees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7" w:name="page68"/>
    <w:bookmarkEnd w:id="67"/>
    <w:p>
      <w:pPr>
        <w:ind w:right="60"/>
        <w:spacing w:after="0" w:line="321" w:lineRule="auto"/>
        <w:rPr>
          <w:sz w:val="20"/>
          <w:szCs w:val="20"/>
          <w:color w:val="auto"/>
        </w:rPr>
      </w:pPr>
      <w:r>
        <w:rPr>
          <w:rFonts w:ascii="Arial" w:cs="Arial" w:eastAsia="Arial" w:hAnsi="Arial"/>
          <w:sz w:val="13"/>
          <w:szCs w:val="13"/>
          <w:color w:val="auto"/>
        </w:rPr>
        <w:t>and expenses related to the foregoing. Booz Allen Hamilton intends to use the remaining net proceeds from the sale of the Senior Notes for working capital and other general corporate purposes (see Note 10 in our consolidated financial statements). For fiscal 2022 and 2021, total interest payments of $37.9 million and $28.7 million were made for the Senior Notes, respectively.</w:t>
      </w:r>
    </w:p>
    <w:p>
      <w:pPr>
        <w:spacing w:after="0" w:line="2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Borrowings under the Term Loans and, if used, the Revolving Credit Facility, incur interest at a variable rate. In accordance with our risk management strategy between April 6, 2017 and April 4, 2019, Booz Allen Hamilton executed a series of interest rate swaps. As of March 31, 2022, we had interest rate swaps with an aggregate notional amount of $700.0 million. These instruments hedge the variability of cash outflows for interest payments on the floating portion of our debt. The Company's objectives in using cash flow hedges are to reduce volatility due to interest rate movements and to add stability to interest expense (see Note 11 in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Structure and Resources</w:t>
      </w:r>
    </w:p>
    <w:p>
      <w:pPr>
        <w:spacing w:after="0" w:line="140"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Our stockholders’ equity amounted to $1,046.7 million as of March 31, 2022, a decrease of $25.1 million compared to stockholders’ equity of $1,071.2 million as of March 31, 2021. The decrease was primarily due to $419.3 million in treasury stock resulting from the repurchase of shares of our Class A Common Stock and $209.2 million in aggregate quarterly dividend payments in fiscal 2022, partially offset by net income of $466.6 million in fiscal 2022 and stock-based compensation expense of $69.8 million.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140"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2022 and 2021 were $80.0 million and $87.2 million, respectively. The decrease in capital expenditures was primarily driven by lower spend related to the implementation of our new financial management system on April 1, 2021 as compared to the prior year period, as well as lower facilities expenses reflecting the investment in technology and tools needed to support the virtual work environment.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40"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We are subject to a number of reviews, investigations, claims, lawsuits, and other uncertainties related to our business. For a discussion of these items, refer to Note 20 to our consolidated financial statements.</w:t>
      </w:r>
    </w:p>
    <w:p>
      <w:pPr>
        <w:spacing w:after="0" w:line="398"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68" w:name="page69"/>
    <w:bookmarkEnd w:id="68"/>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87"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Market risk is the potential loss arising from adverse changes in market rates and market prices such as those related to interest rates. Due to the wide-ranging adverse impacts on global financial markets and the current economic crisis caused by COVID-19,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36"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90"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color w:val="auto"/>
        </w:rPr>
        <w:t>Our exposure to market risk for changes in interest rates related to our outstanding debt will impact our Secured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Secured Credit Facility by approximately $4.8 million in fiscal 2022 and $2.9 million in fiscal 2021, and likewise decreased our income and cash flows. The year over year increase in interest expense was primarily due to the June 2021 issuance of the Senior Notes due 2029.</w:t>
      </w:r>
    </w:p>
    <w:p>
      <w:pPr>
        <w:spacing w:after="0" w:line="103" w:lineRule="exact"/>
        <w:rPr>
          <w:sz w:val="20"/>
          <w:szCs w:val="20"/>
          <w:color w:val="auto"/>
        </w:rPr>
      </w:pPr>
    </w:p>
    <w:p>
      <w:pPr>
        <w:jc w:val="both"/>
        <w:ind w:right="100" w:firstLine="350"/>
        <w:spacing w:after="0" w:line="267" w:lineRule="auto"/>
        <w:rPr>
          <w:sz w:val="20"/>
          <w:szCs w:val="20"/>
          <w:color w:val="auto"/>
        </w:rPr>
      </w:pPr>
      <w:r>
        <w:rPr>
          <w:rFonts w:ascii="Arial" w:cs="Arial" w:eastAsia="Arial" w:hAnsi="Arial"/>
          <w:sz w:val="14"/>
          <w:szCs w:val="14"/>
          <w:color w:val="auto"/>
        </w:rPr>
        <w:t>As of March 31, 2022 and 2021, we had $695.9 million and $991.0 million, respectively, in cash and cash equivalents. Due to a near zero interest rate environment over the last 12 months, the interest income returns on our cash and cash equivalents balances were nominal on a comparative basis. As of March 31, 2022 and 2021 the interest income on balance sheet cash was less than 1%. Therefore, the corresponding impact to our interest income, and likewise to our income and cash flow, was not material.</w:t>
      </w:r>
    </w:p>
    <w:p>
      <w:pPr>
        <w:spacing w:after="0" w:line="99" w:lineRule="exact"/>
        <w:rPr>
          <w:sz w:val="20"/>
          <w:szCs w:val="20"/>
          <w:color w:val="auto"/>
        </w:rPr>
      </w:pPr>
    </w:p>
    <w:p>
      <w:pPr>
        <w:jc w:val="both"/>
        <w:ind w:right="200" w:firstLine="350"/>
        <w:spacing w:after="0" w:line="301" w:lineRule="auto"/>
        <w:rPr>
          <w:sz w:val="20"/>
          <w:szCs w:val="20"/>
          <w:color w:val="auto"/>
        </w:rPr>
      </w:pPr>
      <w:r>
        <w:rPr>
          <w:rFonts w:ascii="Arial" w:cs="Arial" w:eastAsia="Arial" w:hAnsi="Arial"/>
          <w:sz w:val="12"/>
          <w:szCs w:val="12"/>
          <w:color w:val="auto"/>
        </w:rPr>
        <w:t>Pursuant to our interest rate risk management strategies, we use interest rate cash flow hedges to add stability to our incurrence of interest rate expense and to manage our exposure to related interest rate movement. See Note 11 to our consolidated financial statements for further discussion. As of March 31, 2022, we had interest rate swaps with an aggregate notional amount of $700.0 million. These derivative instruments hedge the variability of cash outflows for interest payments on our variable rate debt and are recorded at fair value on our consolidated balance sheet. As</w:t>
      </w:r>
    </w:p>
    <w:p>
      <w:pPr>
        <w:ind w:right="20"/>
        <w:spacing w:after="0" w:line="266" w:lineRule="auto"/>
        <w:rPr>
          <w:sz w:val="20"/>
          <w:szCs w:val="20"/>
          <w:color w:val="auto"/>
        </w:rPr>
      </w:pPr>
      <w:r>
        <w:rPr>
          <w:rFonts w:ascii="Arial" w:cs="Arial" w:eastAsia="Arial" w:hAnsi="Arial"/>
          <w:sz w:val="14"/>
          <w:szCs w:val="14"/>
          <w:color w:val="auto"/>
        </w:rPr>
        <w:t>of March 31, 2022, a 25 basis point increase in interest rates would increase the fair value of our interest rate swaps by approximately $3.0 million and a 25 basis point decrease in interest rates would decrease the fair value of our interest rate swaps by approximately $3.0 million.</w:t>
      </w:r>
    </w:p>
    <w:p>
      <w:pPr>
        <w:spacing w:after="0" w:line="57"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During fiscal 2019, we established a Rabbi trust to provide for the payment of benefits under our non-qualified deferred compensation plan. As of March 31, 2022, fund assets totaled $16.5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 18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9360" w:type="dxa"/>
            <w:vAlign w:val="bottom"/>
            <w:gridSpan w:val="9"/>
          </w:tcPr>
          <w:p>
            <w:pPr>
              <w:ind w:left="80"/>
              <w:spacing w:after="0"/>
              <w:rPr>
                <w:sz w:val="20"/>
                <w:szCs w:val="20"/>
                <w:color w:val="auto"/>
              </w:rPr>
            </w:pPr>
            <w:r>
              <w:rPr>
                <w:rFonts w:ascii="Arial" w:cs="Arial" w:eastAsia="Arial" w:hAnsi="Arial"/>
                <w:sz w:val="14"/>
                <w:szCs w:val="14"/>
                <w:b w:val="1"/>
                <w:bCs w:val="1"/>
                <w:color w:val="auto"/>
              </w:rPr>
              <w:t>Item 8</w:t>
            </w:r>
            <w:r>
              <w:rPr>
                <w:rFonts w:ascii="Arial" w:cs="Arial" w:eastAsia="Arial" w:hAnsi="Arial"/>
                <w:sz w:val="14"/>
                <w:szCs w:val="14"/>
                <w:b w:val="1"/>
                <w:bCs w:val="1"/>
                <w:i w:val="1"/>
                <w:iCs w:val="1"/>
                <w:color w:val="auto"/>
              </w:rPr>
              <w:t>.  Financial Statements and Supplementary Data</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61"/>
        </w:trPr>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5"/>
          </w:tcPr>
          <w:p>
            <w:pPr>
              <w:ind w:left="560"/>
              <w:spacing w:after="0"/>
              <w:rPr>
                <w:sz w:val="20"/>
                <w:szCs w:val="20"/>
                <w:color w:val="auto"/>
              </w:rPr>
            </w:pPr>
            <w:r>
              <w:rPr>
                <w:rFonts w:ascii="Arial" w:cs="Arial" w:eastAsia="Arial" w:hAnsi="Arial"/>
                <w:sz w:val="14"/>
                <w:szCs w:val="14"/>
                <w:b w:val="1"/>
                <w:bCs w:val="1"/>
                <w:color w:val="auto"/>
              </w:rPr>
              <w:t>INDEX TO THE CONSOLIDATED FINANCIAL STATEMENTS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2"/>
        </w:trPr>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0" w:type="dxa"/>
            <w:vAlign w:val="bottom"/>
            <w:gridSpan w:val="5"/>
          </w:tcPr>
          <w:p>
            <w:pPr>
              <w:jc w:val="center"/>
              <w:ind w:right="1520"/>
              <w:spacing w:after="0"/>
              <w:rPr>
                <w:sz w:val="20"/>
                <w:szCs w:val="20"/>
                <w:color w:val="auto"/>
              </w:rPr>
            </w:pPr>
            <w:r>
              <w:rPr>
                <w:rFonts w:ascii="Arial" w:cs="Arial" w:eastAsia="Arial" w:hAnsi="Arial"/>
                <w:sz w:val="14"/>
                <w:szCs w:val="14"/>
                <w:b w:val="1"/>
                <w:bCs w:val="1"/>
                <w:color w:val="auto"/>
                <w:w w:val="83"/>
              </w:rPr>
              <w:t>Page</w:t>
            </w:r>
          </w:p>
        </w:tc>
      </w:tr>
      <w:tr>
        <w:trPr>
          <w:trHeight w:val="140"/>
        </w:trPr>
        <w:tc>
          <w:tcPr>
            <w:tcW w:w="9360" w:type="dxa"/>
            <w:vAlign w:val="bottom"/>
            <w:gridSpan w:val="9"/>
          </w:tcPr>
          <w:p>
            <w:pPr>
              <w:ind w:left="20"/>
              <w:spacing w:after="0" w:line="140" w:lineRule="exact"/>
              <w:rPr>
                <w:rFonts w:ascii="Arial" w:cs="Arial" w:eastAsia="Arial" w:hAnsi="Arial"/>
                <w:sz w:val="14"/>
                <w:szCs w:val="14"/>
                <w:color w:val="0000FF"/>
              </w:rPr>
            </w:pPr>
            <w:hyperlink w:anchor="page70">
              <w:r>
                <w:rPr>
                  <w:rFonts w:ascii="Arial" w:cs="Arial" w:eastAsia="Arial" w:hAnsi="Arial"/>
                  <w:sz w:val="14"/>
                  <w:szCs w:val="14"/>
                  <w:color w:val="0000FF"/>
                </w:rPr>
                <w:t xml:space="preserve">dependent Registered Public Accounting Firm </w:t>
              </w:r>
            </w:hyperlink>
            <w:r>
              <w:rPr>
                <w:rFonts w:ascii="Arial" w:cs="Arial" w:eastAsia="Arial" w:hAnsi="Arial"/>
                <w:sz w:val="14"/>
                <w:szCs w:val="14"/>
                <w:color w:val="000000"/>
              </w:rPr>
              <w:t>(PCAOB</w:t>
            </w:r>
            <w:r>
              <w:rPr>
                <w:rFonts w:ascii="Arial" w:cs="Arial" w:eastAsia="Arial" w:hAnsi="Arial"/>
                <w:sz w:val="14"/>
                <w:szCs w:val="14"/>
                <w:color w:val="0000FF"/>
              </w:rPr>
              <w:t xml:space="preserve"> </w:t>
            </w:r>
            <w:r>
              <w:rPr>
                <w:rFonts w:ascii="Arial" w:cs="Arial" w:eastAsia="Arial" w:hAnsi="Arial"/>
                <w:sz w:val="14"/>
                <w:szCs w:val="14"/>
                <w:color w:val="000000"/>
              </w:rPr>
              <w:t>ID#00042)</w:t>
            </w:r>
          </w:p>
        </w:tc>
        <w:tc>
          <w:tcPr>
            <w:tcW w:w="280" w:type="dxa"/>
            <w:vAlign w:val="bottom"/>
            <w:tcBorders>
              <w:top w:val="single" w:sz="8" w:color="auto"/>
            </w:tcBorders>
            <w:gridSpan w:val="3"/>
          </w:tcPr>
          <w:p>
            <w:pPr>
              <w:jc w:val="center"/>
              <w:spacing w:after="0" w:line="140" w:lineRule="exact"/>
              <w:rPr>
                <w:rFonts w:ascii="Arial" w:cs="Arial" w:eastAsia="Arial" w:hAnsi="Arial"/>
                <w:sz w:val="14"/>
                <w:szCs w:val="14"/>
                <w:color w:val="0000FF"/>
              </w:rPr>
            </w:pPr>
            <w:hyperlink w:anchor="page70">
              <w:r>
                <w:rPr>
                  <w:rFonts w:ascii="Arial" w:cs="Arial" w:eastAsia="Arial" w:hAnsi="Arial"/>
                  <w:sz w:val="14"/>
                  <w:szCs w:val="14"/>
                  <w:color w:val="0000FF"/>
                </w:rPr>
                <w:t>2</w:t>
              </w:r>
            </w:hyperlink>
          </w:p>
        </w:tc>
        <w:tc>
          <w:tcPr>
            <w:tcW w:w="96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18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2780" w:type="dxa"/>
            <w:vAlign w:val="bottom"/>
            <w:tcBorders>
              <w:bottom w:val="single" w:sz="8" w:color="0000FF"/>
            </w:tcBorders>
            <w:gridSpan w:val="4"/>
          </w:tcPr>
          <w:p>
            <w:pPr>
              <w:ind w:left="20"/>
              <w:spacing w:after="0"/>
              <w:rPr>
                <w:rFonts w:ascii="Arial" w:cs="Arial" w:eastAsia="Arial" w:hAnsi="Arial"/>
                <w:sz w:val="14"/>
                <w:szCs w:val="14"/>
                <w:color w:val="0000FF"/>
                <w:w w:val="89"/>
              </w:rPr>
            </w:pPr>
            <w:hyperlink w:anchor="page74">
              <w:r>
                <w:rPr>
                  <w:rFonts w:ascii="Arial" w:cs="Arial" w:eastAsia="Arial" w:hAnsi="Arial"/>
                  <w:sz w:val="14"/>
                  <w:szCs w:val="14"/>
                  <w:color w:val="0000FF"/>
                  <w:w w:val="89"/>
                </w:rPr>
                <w:t>d Balance Sheets as of March 31, 2022 and 2021</w:t>
              </w:r>
            </w:hyperlink>
          </w:p>
        </w:tc>
        <w:tc>
          <w:tcPr>
            <w:tcW w:w="6580" w:type="dxa"/>
            <w:vAlign w:val="bottom"/>
            <w:gridSpan w:val="5"/>
          </w:tcPr>
          <w:p>
            <w:pPr>
              <w:spacing w:after="0"/>
              <w:rPr>
                <w:sz w:val="17"/>
                <w:szCs w:val="17"/>
                <w:color w:val="auto"/>
              </w:rPr>
            </w:pPr>
          </w:p>
        </w:tc>
        <w:tc>
          <w:tcPr>
            <w:tcW w:w="20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rFonts w:ascii="Arial" w:cs="Arial" w:eastAsia="Arial" w:hAnsi="Arial"/>
                <w:sz w:val="14"/>
                <w:szCs w:val="14"/>
                <w:color w:val="0000FF"/>
              </w:rPr>
            </w:pPr>
            <w:hyperlink w:anchor="page74">
              <w:r>
                <w:rPr>
                  <w:rFonts w:ascii="Arial" w:cs="Arial" w:eastAsia="Arial" w:hAnsi="Arial"/>
                  <w:sz w:val="14"/>
                  <w:szCs w:val="14"/>
                  <w:color w:val="0000FF"/>
                </w:rPr>
                <w:t>6</w:t>
              </w:r>
            </w:hyperlink>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9360" w:type="dxa"/>
            <w:vAlign w:val="bottom"/>
            <w:gridSpan w:val="9"/>
          </w:tcPr>
          <w:p>
            <w:pPr>
              <w:ind w:left="20"/>
              <w:spacing w:after="0"/>
              <w:rPr>
                <w:rFonts w:ascii="Arial" w:cs="Arial" w:eastAsia="Arial" w:hAnsi="Arial"/>
                <w:sz w:val="14"/>
                <w:szCs w:val="14"/>
                <w:color w:val="0000FF"/>
              </w:rPr>
            </w:pPr>
            <w:hyperlink w:anchor="page75">
              <w:r>
                <w:rPr>
                  <w:rFonts w:ascii="Arial" w:cs="Arial" w:eastAsia="Arial" w:hAnsi="Arial"/>
                  <w:sz w:val="14"/>
                  <w:szCs w:val="14"/>
                  <w:color w:val="0000FF"/>
                </w:rPr>
                <w:t>d Statements of Operations for the Fiscal Years Ended March 31, 2022, 2021 and 2020</w:t>
              </w:r>
            </w:hyperlink>
          </w:p>
        </w:tc>
        <w:tc>
          <w:tcPr>
            <w:tcW w:w="280" w:type="dxa"/>
            <w:vAlign w:val="bottom"/>
            <w:gridSpan w:val="3"/>
          </w:tcPr>
          <w:p>
            <w:pPr>
              <w:jc w:val="center"/>
              <w:ind w:left="129"/>
              <w:spacing w:after="0"/>
              <w:rPr>
                <w:rFonts w:ascii="Arial" w:cs="Arial" w:eastAsia="Arial" w:hAnsi="Arial"/>
                <w:sz w:val="14"/>
                <w:szCs w:val="14"/>
                <w:color w:val="0000FF"/>
              </w:rPr>
            </w:pPr>
            <w:hyperlink w:anchor="page75">
              <w:r>
                <w:rPr>
                  <w:rFonts w:ascii="Arial" w:cs="Arial" w:eastAsia="Arial" w:hAnsi="Arial"/>
                  <w:sz w:val="14"/>
                  <w:szCs w:val="14"/>
                  <w:color w:val="0000FF"/>
                </w:rPr>
                <w:t>7</w:t>
              </w:r>
            </w:hyperlink>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1800" w:type="dxa"/>
            <w:vAlign w:val="bottom"/>
            <w:gridSpan w:val="2"/>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5"/>
        </w:trPr>
        <w:tc>
          <w:tcPr>
            <w:tcW w:w="9360" w:type="dxa"/>
            <w:vAlign w:val="bottom"/>
            <w:gridSpan w:val="9"/>
          </w:tcPr>
          <w:p>
            <w:pPr>
              <w:ind w:left="20"/>
              <w:spacing w:after="0"/>
              <w:rPr>
                <w:rFonts w:ascii="Arial" w:cs="Arial" w:eastAsia="Arial" w:hAnsi="Arial"/>
                <w:sz w:val="14"/>
                <w:szCs w:val="14"/>
                <w:color w:val="0000FF"/>
              </w:rPr>
            </w:pPr>
            <w:hyperlink w:anchor="page76">
              <w:r>
                <w:rPr>
                  <w:rFonts w:ascii="Arial" w:cs="Arial" w:eastAsia="Arial" w:hAnsi="Arial"/>
                  <w:sz w:val="14"/>
                  <w:szCs w:val="14"/>
                  <w:color w:val="0000FF"/>
                </w:rPr>
                <w:t>d Statements of Comprehensive Income for the Fiscal Years Ended March 31, 2022, 2021 and 2020</w:t>
              </w:r>
            </w:hyperlink>
          </w:p>
        </w:tc>
        <w:tc>
          <w:tcPr>
            <w:tcW w:w="280" w:type="dxa"/>
            <w:vAlign w:val="bottom"/>
            <w:gridSpan w:val="3"/>
          </w:tcPr>
          <w:p>
            <w:pPr>
              <w:jc w:val="center"/>
              <w:ind w:left="129"/>
              <w:spacing w:after="0"/>
              <w:rPr>
                <w:rFonts w:ascii="Arial" w:cs="Arial" w:eastAsia="Arial" w:hAnsi="Arial"/>
                <w:sz w:val="14"/>
                <w:szCs w:val="14"/>
                <w:color w:val="0000FF"/>
              </w:rPr>
            </w:pPr>
            <w:hyperlink w:anchor="page76">
              <w:r>
                <w:rPr>
                  <w:rFonts w:ascii="Arial" w:cs="Arial" w:eastAsia="Arial" w:hAnsi="Arial"/>
                  <w:sz w:val="14"/>
                  <w:szCs w:val="14"/>
                  <w:color w:val="0000FF"/>
                </w:rPr>
                <w:t>8</w:t>
              </w:r>
            </w:hyperlink>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5"/>
        </w:trPr>
        <w:tc>
          <w:tcPr>
            <w:tcW w:w="5640" w:type="dxa"/>
            <w:vAlign w:val="bottom"/>
            <w:tcBorders>
              <w:top w:val="single" w:sz="8" w:color="0000FF"/>
            </w:tcBorders>
            <w:gridSpan w:val="8"/>
          </w:tcPr>
          <w:p>
            <w:pPr>
              <w:ind w:left="20"/>
              <w:spacing w:after="0"/>
              <w:rPr>
                <w:rFonts w:ascii="Arial" w:cs="Arial" w:eastAsia="Arial" w:hAnsi="Arial"/>
                <w:sz w:val="14"/>
                <w:szCs w:val="14"/>
                <w:color w:val="0000FF"/>
              </w:rPr>
            </w:pPr>
            <w:hyperlink w:anchor="page77">
              <w:r>
                <w:rPr>
                  <w:rFonts w:ascii="Arial" w:cs="Arial" w:eastAsia="Arial" w:hAnsi="Arial"/>
                  <w:sz w:val="14"/>
                  <w:szCs w:val="14"/>
                  <w:color w:val="0000FF"/>
                </w:rPr>
                <w:t>d Statements of Cash Flows for the Fiscal Years Ended March 31, 2022, 2021 and 2020</w:t>
              </w:r>
            </w:hyperlink>
          </w:p>
        </w:tc>
        <w:tc>
          <w:tcPr>
            <w:tcW w:w="372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80" w:type="dxa"/>
            <w:vAlign w:val="bottom"/>
            <w:tcBorders>
              <w:top w:val="single" w:sz="8" w:color="0000FF"/>
            </w:tcBorders>
          </w:tcPr>
          <w:p>
            <w:pPr>
              <w:jc w:val="center"/>
              <w:spacing w:after="0"/>
              <w:rPr>
                <w:rFonts w:ascii="Arial" w:cs="Arial" w:eastAsia="Arial" w:hAnsi="Arial"/>
                <w:sz w:val="14"/>
                <w:szCs w:val="14"/>
                <w:color w:val="0000FF"/>
              </w:rPr>
            </w:pPr>
            <w:hyperlink w:anchor="page77">
              <w:r>
                <w:rPr>
                  <w:rFonts w:ascii="Arial" w:cs="Arial" w:eastAsia="Arial" w:hAnsi="Arial"/>
                  <w:sz w:val="14"/>
                  <w:szCs w:val="14"/>
                  <w:color w:val="0000FF"/>
                </w:rPr>
                <w:t>9</w:t>
              </w:r>
            </w:hyperlink>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0"/>
        </w:trPr>
        <w:tc>
          <w:tcPr>
            <w:tcW w:w="1800" w:type="dxa"/>
            <w:vAlign w:val="bottom"/>
            <w:gridSpan w:val="2"/>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5480" w:type="dxa"/>
            <w:vAlign w:val="bottom"/>
            <w:gridSpan w:val="7"/>
          </w:tcPr>
          <w:p>
            <w:pPr>
              <w:ind w:left="20"/>
              <w:spacing w:after="0"/>
              <w:rPr>
                <w:rFonts w:ascii="Arial" w:cs="Arial" w:eastAsia="Arial" w:hAnsi="Arial"/>
                <w:sz w:val="14"/>
                <w:szCs w:val="14"/>
                <w:color w:val="0000FF"/>
                <w:w w:val="90"/>
              </w:rPr>
            </w:pPr>
            <w:hyperlink w:anchor="page78">
              <w:r>
                <w:rPr>
                  <w:rFonts w:ascii="Arial" w:cs="Arial" w:eastAsia="Arial" w:hAnsi="Arial"/>
                  <w:sz w:val="14"/>
                  <w:szCs w:val="14"/>
                  <w:color w:val="0000FF"/>
                  <w:w w:val="90"/>
                </w:rPr>
                <w:t>d Statements of Stockholders' Equity for the Fiscal Years Ended March 31, 2022, 2021 and 2020</w:t>
              </w:r>
            </w:hyperlink>
          </w:p>
        </w:tc>
        <w:tc>
          <w:tcPr>
            <w:tcW w:w="3880" w:type="dxa"/>
            <w:vAlign w:val="bottom"/>
            <w:gridSpan w:val="2"/>
          </w:tcPr>
          <w:p>
            <w:pPr>
              <w:spacing w:after="0"/>
              <w:rPr>
                <w:sz w:val="17"/>
                <w:szCs w:val="17"/>
                <w:color w:val="auto"/>
              </w:rPr>
            </w:pPr>
          </w:p>
        </w:tc>
        <w:tc>
          <w:tcPr>
            <w:tcW w:w="1240" w:type="dxa"/>
            <w:vAlign w:val="bottom"/>
            <w:gridSpan w:val="4"/>
          </w:tcPr>
          <w:p>
            <w:pPr>
              <w:jc w:val="center"/>
              <w:ind w:right="740"/>
              <w:spacing w:after="0"/>
              <w:rPr>
                <w:rFonts w:ascii="Arial" w:cs="Arial" w:eastAsia="Arial" w:hAnsi="Arial"/>
                <w:sz w:val="14"/>
                <w:szCs w:val="14"/>
                <w:color w:val="0000FF"/>
                <w:w w:val="89"/>
              </w:rPr>
            </w:pPr>
            <w:hyperlink w:anchor="page78">
              <w:r>
                <w:rPr>
                  <w:rFonts w:ascii="Arial" w:cs="Arial" w:eastAsia="Arial" w:hAnsi="Arial"/>
                  <w:sz w:val="14"/>
                  <w:szCs w:val="14"/>
                  <w:color w:val="0000FF"/>
                  <w:w w:val="89"/>
                </w:rPr>
                <w:t>10</w:t>
              </w:r>
            </w:hyperlink>
          </w:p>
        </w:tc>
        <w:tc>
          <w:tcPr>
            <w:tcW w:w="760" w:type="dxa"/>
            <w:vAlign w:val="bottom"/>
          </w:tcPr>
          <w:p>
            <w:pPr>
              <w:spacing w:after="0"/>
              <w:rPr>
                <w:sz w:val="17"/>
                <w:szCs w:val="17"/>
                <w:color w:val="auto"/>
              </w:rPr>
            </w:pPr>
          </w:p>
        </w:tc>
      </w:tr>
      <w:tr>
        <w:trPr>
          <w:trHeight w:val="20"/>
        </w:trPr>
        <w:tc>
          <w:tcPr>
            <w:tcW w:w="1800" w:type="dxa"/>
            <w:vAlign w:val="bottom"/>
            <w:gridSpan w:val="2"/>
            <w:shd w:val="clear" w:color="auto" w:fill="0000FF"/>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3"/>
        </w:trPr>
        <w:tc>
          <w:tcPr>
            <w:tcW w:w="5480" w:type="dxa"/>
            <w:vAlign w:val="bottom"/>
            <w:gridSpan w:val="7"/>
          </w:tcPr>
          <w:p>
            <w:pPr>
              <w:ind w:left="20"/>
              <w:spacing w:after="0"/>
              <w:rPr>
                <w:rFonts w:ascii="Arial" w:cs="Arial" w:eastAsia="Arial" w:hAnsi="Arial"/>
                <w:sz w:val="14"/>
                <w:szCs w:val="14"/>
                <w:color w:val="0000FF"/>
              </w:rPr>
            </w:pPr>
            <w:hyperlink w:anchor="page79">
              <w:r>
                <w:rPr>
                  <w:rFonts w:ascii="Arial" w:cs="Arial" w:eastAsia="Arial" w:hAnsi="Arial"/>
                  <w:sz w:val="14"/>
                  <w:szCs w:val="14"/>
                  <w:color w:val="0000FF"/>
                </w:rPr>
                <w:t>nsolidated Financial Statements</w:t>
              </w:r>
            </w:hyperlink>
          </w:p>
        </w:tc>
        <w:tc>
          <w:tcPr>
            <w:tcW w:w="3880" w:type="dxa"/>
            <w:vAlign w:val="bottom"/>
            <w:gridSpan w:val="2"/>
          </w:tcPr>
          <w:p>
            <w:pPr>
              <w:spacing w:after="0"/>
              <w:rPr>
                <w:sz w:val="17"/>
                <w:szCs w:val="17"/>
                <w:color w:val="auto"/>
              </w:rPr>
            </w:pPr>
          </w:p>
        </w:tc>
        <w:tc>
          <w:tcPr>
            <w:tcW w:w="280" w:type="dxa"/>
            <w:vAlign w:val="bottom"/>
            <w:gridSpan w:val="3"/>
          </w:tcPr>
          <w:p>
            <w:pPr>
              <w:jc w:val="center"/>
              <w:ind w:left="69"/>
              <w:spacing w:after="0"/>
              <w:rPr>
                <w:rFonts w:ascii="Arial" w:cs="Arial" w:eastAsia="Arial" w:hAnsi="Arial"/>
                <w:sz w:val="14"/>
                <w:szCs w:val="14"/>
                <w:color w:val="0000FF"/>
                <w:w w:val="89"/>
              </w:rPr>
            </w:pPr>
            <w:hyperlink w:anchor="page79">
              <w:r>
                <w:rPr>
                  <w:rFonts w:ascii="Arial" w:cs="Arial" w:eastAsia="Arial" w:hAnsi="Arial"/>
                  <w:sz w:val="14"/>
                  <w:szCs w:val="14"/>
                  <w:color w:val="0000FF"/>
                  <w:w w:val="89"/>
                </w:rPr>
                <w:t>11</w:t>
              </w:r>
            </w:hyperlink>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81"/>
        </w:trPr>
        <w:tc>
          <w:tcPr>
            <w:tcW w:w="8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80" w:type="dxa"/>
            <w:vAlign w:val="bottom"/>
            <w:gridSpan w:val="2"/>
          </w:tcPr>
          <w:p>
            <w:pPr>
              <w:ind w:left="140"/>
              <w:spacing w:after="0"/>
              <w:rPr>
                <w:sz w:val="20"/>
                <w:szCs w:val="20"/>
                <w:color w:val="auto"/>
              </w:rPr>
            </w:pPr>
            <w:r>
              <w:rPr>
                <w:rFonts w:ascii="Arial" w:cs="Arial" w:eastAsia="Arial" w:hAnsi="Arial"/>
                <w:sz w:val="14"/>
                <w:szCs w:val="14"/>
                <w:color w:val="auto"/>
              </w:rPr>
              <w:t>F-1</w:t>
            </w: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80" w:type="dxa"/>
            <w:vAlign w:val="bottom"/>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7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7196455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730"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We have audited the accompanying consolidated balance sheets of Booz Allen Hamilton Holding Corporation (the Company) as of March 31, 2022 and 2021, the related consolidated statements of</w:t>
      </w:r>
    </w:p>
    <w:p>
      <w:pPr>
        <w:spacing w:after="0" w:line="21" w:lineRule="exact"/>
        <w:rPr>
          <w:sz w:val="20"/>
          <w:szCs w:val="20"/>
          <w:color w:val="auto"/>
        </w:rPr>
      </w:pPr>
    </w:p>
    <w:p>
      <w:pPr>
        <w:ind w:right="200"/>
        <w:spacing w:after="0" w:line="259" w:lineRule="auto"/>
        <w:rPr>
          <w:sz w:val="20"/>
          <w:szCs w:val="20"/>
          <w:color w:val="auto"/>
        </w:rPr>
      </w:pPr>
      <w:r>
        <w:rPr>
          <w:rFonts w:ascii="Arial" w:cs="Arial" w:eastAsia="Arial" w:hAnsi="Arial"/>
          <w:sz w:val="13"/>
          <w:szCs w:val="13"/>
          <w:color w:val="auto"/>
        </w:rPr>
        <w:t>operations, comprehensive income</w:t>
      </w:r>
      <w:r>
        <w:rPr>
          <w:rFonts w:ascii="Arial" w:cs="Arial" w:eastAsia="Arial" w:hAnsi="Arial"/>
          <w:sz w:val="15"/>
          <w:szCs w:val="15"/>
          <w:b w:val="1"/>
          <w:bCs w:val="1"/>
          <w:color w:val="auto"/>
        </w:rPr>
        <w:t>,</w:t>
      </w:r>
      <w:r>
        <w:rPr>
          <w:rFonts w:ascii="Arial" w:cs="Arial" w:eastAsia="Arial" w:hAnsi="Arial"/>
          <w:sz w:val="13"/>
          <w:szCs w:val="13"/>
          <w:color w:val="auto"/>
        </w:rPr>
        <w:t xml:space="preserve"> stockholders' equity and cash flows for each of the three years in the period ended March 31, 2022, and the related notes</w:t>
      </w:r>
      <w:r>
        <w:rPr>
          <w:sz w:val="1"/>
          <w:szCs w:val="1"/>
          <w:color w:val="auto"/>
        </w:rPr>
        <w:drawing>
          <wp:inline distT="0" distB="0" distL="0" distR="0">
            <wp:extent cx="20320" cy="7429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320" cy="74295"/>
                    </a:xfrm>
                    <a:prstGeom prst="rect">
                      <a:avLst/>
                    </a:prstGeom>
                    <a:noFill/>
                    <a:ln>
                      <a:noFill/>
                    </a:ln>
                  </pic:spPr>
                </pic:pic>
              </a:graphicData>
            </a:graphic>
          </wp:inline>
        </w:drawing>
      </w:r>
      <w:r>
        <w:rPr>
          <w:rFonts w:ascii="Arial" w:cs="Arial" w:eastAsia="Arial" w:hAnsi="Arial"/>
          <w:sz w:val="13"/>
          <w:szCs w:val="13"/>
          <w:color w:val="auto"/>
        </w:rPr>
        <w:t>(collectively referred to as the “consolidated financial statements”). In our opinion, the consolidated financial statements present fairly, in all material respects, the financial position of the Company at March 31, 2022 and 2021, and the results of its operations and its cash flows for each of the three years in the period ended March 31, 2022, in conformity with U.S.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Company's internal control over financial reporting as of</w:t>
      </w:r>
    </w:p>
    <w:p>
      <w:pPr>
        <w:spacing w:after="0" w:line="31" w:lineRule="exact"/>
        <w:rPr>
          <w:sz w:val="20"/>
          <w:szCs w:val="20"/>
          <w:color w:val="auto"/>
        </w:rPr>
      </w:pPr>
    </w:p>
    <w:p>
      <w:pPr>
        <w:ind w:right="200"/>
        <w:spacing w:after="0" w:line="249" w:lineRule="auto"/>
        <w:rPr>
          <w:sz w:val="20"/>
          <w:szCs w:val="20"/>
          <w:color w:val="auto"/>
        </w:rPr>
      </w:pPr>
      <w:r>
        <w:rPr>
          <w:rFonts w:ascii="Arial" w:cs="Arial" w:eastAsia="Arial" w:hAnsi="Arial"/>
          <w:sz w:val="14"/>
          <w:szCs w:val="14"/>
          <w:color w:val="auto"/>
        </w:rPr>
        <w:t>March 31, 2022, based on criteria established in Internal Control-Integrated Framework issued by the Committee of Sponsoring Organizations of the Treadway Commission (2013 framework) and our report dated May 20, 2022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93" w:lineRule="exact"/>
        <w:rPr>
          <w:sz w:val="20"/>
          <w:szCs w:val="20"/>
          <w:color w:val="auto"/>
        </w:rPr>
      </w:pPr>
    </w:p>
    <w:p>
      <w:pPr>
        <w:ind w:right="240"/>
        <w:spacing w:after="0" w:line="23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93"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71" w:name="page72"/>
    <w:bookmarkEnd w:id="71"/>
    <w:p>
      <w:pPr>
        <w:ind w:left="1140"/>
        <w:spacing w:after="0"/>
        <w:rPr>
          <w:sz w:val="20"/>
          <w:szCs w:val="20"/>
          <w:color w:val="auto"/>
        </w:rPr>
      </w:pPr>
      <w:r>
        <w:rPr>
          <w:rFonts w:ascii="Arial" w:cs="Arial" w:eastAsia="Arial" w:hAnsi="Arial"/>
          <w:sz w:val="12"/>
          <w:szCs w:val="12"/>
          <w:b w:val="1"/>
          <w:bCs w:val="1"/>
          <w:i w:val="1"/>
          <w:iCs w:val="1"/>
          <w:color w:val="auto"/>
        </w:rPr>
        <w:t>Revenue recognition related to the cost-based input method and variable consideration</w:t>
      </w:r>
    </w:p>
    <w:p>
      <w:pPr>
        <w:sectPr>
          <w:pgSz w:w="11900" w:h="16838" w:orient="portrait"/>
          <w:cols w:equalWidth="0" w:num="1">
            <w:col w:w="10600"/>
          </w:cols>
          <w:pgMar w:left="320" w:top="1009" w:right="97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As described in Notes 2 and 3 to the consolidated financial statements, the Company generally recognizes revenue over time as services are provided, as</w:t>
      </w:r>
    </w:p>
    <w:p>
      <w:pPr>
        <w:spacing w:after="0" w:line="42" w:lineRule="exact"/>
        <w:rPr>
          <w:sz w:val="20"/>
          <w:szCs w:val="20"/>
          <w:color w:val="auto"/>
        </w:rPr>
      </w:pPr>
    </w:p>
    <w:p>
      <w:pPr>
        <w:sectPr>
          <w:pgSz w:w="11900" w:h="16838" w:orient="portrait"/>
          <w:cols w:equalWidth="0" w:num="2">
            <w:col w:w="1440" w:space="420"/>
            <w:col w:w="8740"/>
          </w:cols>
          <w:pgMar w:left="320" w:top="1009" w:right="979" w:bottom="1440" w:gutter="0" w:footer="0" w:header="0"/>
          <w:type w:val="continuous"/>
        </w:sectPr>
      </w:pPr>
    </w:p>
    <w:p>
      <w:pPr>
        <w:ind w:left="1860" w:right="300"/>
        <w:spacing w:after="0" w:line="286" w:lineRule="auto"/>
        <w:rPr>
          <w:sz w:val="20"/>
          <w:szCs w:val="20"/>
          <w:color w:val="auto"/>
        </w:rPr>
      </w:pPr>
      <w:r>
        <w:rPr>
          <w:rFonts w:ascii="Arial" w:cs="Arial" w:eastAsia="Arial" w:hAnsi="Arial"/>
          <w:sz w:val="12"/>
          <w:szCs w:val="12"/>
          <w:color w:val="auto"/>
        </w:rPr>
        <w:t>most of its contracts involve a continuous transfer of control to the customer. For certain of these contracts, revenue is recognized under a cost-based input method that requires an estimate of total costs at completion of the performance obligation, and certain contracts include variable consideration</w:t>
      </w:r>
    </w:p>
    <w:p>
      <w:pPr>
        <w:ind w:left="1860" w:right="120"/>
        <w:spacing w:after="0" w:line="237" w:lineRule="auto"/>
        <w:rPr>
          <w:sz w:val="20"/>
          <w:szCs w:val="20"/>
          <w:color w:val="auto"/>
        </w:rPr>
      </w:pPr>
      <w:r>
        <w:rPr>
          <w:rFonts w:ascii="Arial" w:cs="Arial" w:eastAsia="Arial" w:hAnsi="Arial"/>
          <w:sz w:val="14"/>
          <w:szCs w:val="14"/>
          <w:color w:val="auto"/>
        </w:rPr>
        <w:t>(e.g., award or incentive fees) that require estimates of the amounts that are probable. Estimates of costs at completion and variable consideration are highly subjective to develop and can change over the contract performance period for a variety of reasons and, if significant, these changes could have a material effect on the Company’s results of operations.</w:t>
      </w:r>
    </w:p>
    <w:p>
      <w:pPr>
        <w:spacing w:after="0" w:line="160"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Auditing revenue recognition based on the cost-based input method involved subjective auditor judgment because the Company’s estimates include costs</w:t>
      </w:r>
    </w:p>
    <w:p>
      <w:pPr>
        <w:spacing w:after="0" w:line="42"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at completion. The estimates of costs at completion are based on management’s assessment of the stage of completion of the performance obligations and</w:t>
      </w:r>
    </w:p>
    <w:p>
      <w:pPr>
        <w:spacing w:after="0" w:line="42" w:lineRule="exact"/>
        <w:rPr>
          <w:sz w:val="20"/>
          <w:szCs w:val="20"/>
          <w:color w:val="auto"/>
        </w:rPr>
      </w:pPr>
    </w:p>
    <w:p>
      <w:pPr>
        <w:ind w:left="1860" w:right="20"/>
        <w:spacing w:after="0" w:line="262" w:lineRule="auto"/>
        <w:rPr>
          <w:sz w:val="20"/>
          <w:szCs w:val="20"/>
          <w:color w:val="auto"/>
        </w:rPr>
      </w:pPr>
      <w:r>
        <w:rPr>
          <w:rFonts w:ascii="Arial" w:cs="Arial" w:eastAsia="Arial" w:hAnsi="Arial"/>
          <w:sz w:val="13"/>
          <w:szCs w:val="13"/>
          <w:color w:val="auto"/>
        </w:rPr>
        <w:t>the time and materials necessary to fulfill its performance obligations under the contracts. Auditing variable consideration involved subjective auditor judgement because the Company’s estimates include an expectation of award and incentive fees. The estimates of variable consideration for a contract are based on, among other things, the Company’s historical experience earning award or incentive fees on that contract or other similar contracts.</w:t>
      </w:r>
    </w:p>
    <w:p>
      <w:pPr>
        <w:sectPr>
          <w:pgSz w:w="11900" w:h="16838" w:orient="portrait"/>
          <w:cols w:equalWidth="0" w:num="1">
            <w:col w:w="10600"/>
          </w:cols>
          <w:pgMar w:left="320" w:top="1009" w:right="979" w:bottom="1440" w:gutter="0" w:footer="0" w:header="0"/>
          <w:type w:val="continuous"/>
        </w:sectPr>
      </w:pPr>
    </w:p>
    <w:p>
      <w:pPr>
        <w:spacing w:after="0" w:line="126" w:lineRule="exact"/>
        <w:rPr>
          <w:sz w:val="20"/>
          <w:szCs w:val="20"/>
          <w:color w:val="auto"/>
        </w:rPr>
      </w:pPr>
    </w:p>
    <w:p>
      <w:pPr>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revenue recognition under the cost-based input method and for variable consideration. For example, we tested controls over the determination of significant assumptions regarding the estimation of costs to be incurred for the performance obligations, controls evaluating the appropriateness of changes in estimated future costs, and controls over estimating the portion of award or incentive fees probable to be earned.</w:t>
      </w:r>
    </w:p>
    <w:p>
      <w:pPr>
        <w:spacing w:after="0" w:line="160" w:lineRule="exact"/>
        <w:rPr>
          <w:sz w:val="20"/>
          <w:szCs w:val="20"/>
          <w:color w:val="auto"/>
        </w:rPr>
      </w:pPr>
    </w:p>
    <w:p>
      <w:pPr>
        <w:sectPr>
          <w:pgSz w:w="11900" w:h="16838" w:orient="portrait"/>
          <w:cols w:equalWidth="0" w:num="2">
            <w:col w:w="1300" w:space="560"/>
            <w:col w:w="8740"/>
          </w:cols>
          <w:pgMar w:left="320" w:top="1009" w:right="979" w:bottom="1440" w:gutter="0" w:footer="0" w:header="0"/>
          <w:type w:val="continuous"/>
        </w:sectPr>
      </w:pPr>
    </w:p>
    <w:p>
      <w:pPr>
        <w:ind w:left="1860" w:right="60"/>
        <w:spacing w:after="0" w:line="286" w:lineRule="auto"/>
        <w:rPr>
          <w:sz w:val="20"/>
          <w:szCs w:val="20"/>
          <w:color w:val="auto"/>
        </w:rPr>
      </w:pPr>
      <w:r>
        <w:rPr>
          <w:rFonts w:ascii="Arial" w:cs="Arial" w:eastAsia="Arial" w:hAnsi="Arial"/>
          <w:sz w:val="12"/>
          <w:szCs w:val="12"/>
          <w:color w:val="auto"/>
        </w:rPr>
        <w:t>To test the recognition of revenue under the cost-based input method, our audit procedures included among others, reviewing management’s projected costs for consistency with contract terms, obtaining an understanding of the stage of completion through review of customer correspondence, evidence of</w:t>
      </w:r>
    </w:p>
    <w:p>
      <w:pPr>
        <w:ind w:left="1860" w:right="40"/>
        <w:spacing w:after="0" w:line="254" w:lineRule="auto"/>
        <w:rPr>
          <w:sz w:val="20"/>
          <w:szCs w:val="20"/>
          <w:color w:val="auto"/>
        </w:rPr>
      </w:pPr>
      <w:r>
        <w:rPr>
          <w:rFonts w:ascii="Arial" w:cs="Arial" w:eastAsia="Arial" w:hAnsi="Arial"/>
          <w:sz w:val="13"/>
          <w:szCs w:val="13"/>
          <w:color w:val="auto"/>
        </w:rPr>
        <w:t>stage of completion including discussion with program teams, and comparing actual results to prior management estimates. To test the estimates of the portion of award or incentive fees probable to be earned, our audit procedures included among others, agreeing data from the Company’s calculation to contract documentation supporting fees previously awarded for a contract or other similar contracts, inspecting customer correspondence and considering the sensitivity of the estimates based on the range of historical experience earning award or incentive fees.</w:t>
      </w:r>
    </w:p>
    <w:p>
      <w:pPr>
        <w:sectPr>
          <w:pgSz w:w="11900" w:h="16838" w:orient="portrait"/>
          <w:cols w:equalWidth="0" w:num="1">
            <w:col w:w="10600"/>
          </w:cols>
          <w:pgMar w:left="320" w:top="1009" w:right="97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157" w:lineRule="exact"/>
        <w:rPr>
          <w:sz w:val="20"/>
          <w:szCs w:val="20"/>
          <w:color w:val="auto"/>
        </w:rPr>
      </w:pPr>
    </w:p>
    <w:p>
      <w:pPr>
        <w:ind w:left="1860" w:right="80" w:hanging="1866"/>
        <w:spacing w:after="0" w:line="246" w:lineRule="auto"/>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3"/>
          <w:szCs w:val="13"/>
          <w:color w:val="auto"/>
        </w:rPr>
        <w:t>As discussed in Note 20 to the consolidated financial statements, in the ordinary course of business, agencies of the U.S. government, including the Defense Contract Audit Agency (DCAA), routinely audit the Company’s indirect costs and business practices for compliance with the Cost Accounting Standards and the Federal Acquisition Regulation. Such audits may result in, and have historically resulted in, the Company’s inability to retain certain claimed indirect costs, including executive and employee compensation, due to differing views of the allowability and reasonableness of such costs. As of March 31, 2022, years subsequent to the Company’s fiscal year 2011 remained subject to audit and final resolution. The Company recognized a liability of $290.4 million for estimated adjustments to claimed indirect costs based on its historical DCAA audit results, including the final resolution of such audits with the Defense Contract Management Agency (DCMA) (the provision for claimed indirect costs).</w:t>
      </w:r>
    </w:p>
    <w:p>
      <w:pPr>
        <w:spacing w:after="0" w:line="137" w:lineRule="exact"/>
        <w:rPr>
          <w:sz w:val="20"/>
          <w:szCs w:val="20"/>
          <w:color w:val="auto"/>
        </w:rPr>
      </w:pPr>
    </w:p>
    <w:p>
      <w:pPr>
        <w:ind w:left="1860" w:right="420"/>
        <w:spacing w:after="0" w:line="262" w:lineRule="auto"/>
        <w:rPr>
          <w:sz w:val="20"/>
          <w:szCs w:val="20"/>
          <w:color w:val="auto"/>
        </w:rPr>
      </w:pPr>
      <w:r>
        <w:rPr>
          <w:rFonts w:ascii="Arial" w:cs="Arial" w:eastAsia="Arial" w:hAnsi="Arial"/>
          <w:sz w:val="13"/>
          <w:szCs w:val="13"/>
          <w:color w:val="auto"/>
        </w:rPr>
        <w:t>Auditing the provision for claimed indirect costs was complex due to the inherently judgmental nature of management’s estimate of adjustments to claimed indirect costs based on the number of years that remain open to audit and expected final resolution by agencies of the U.S. government. Significant changes in management’s estimate could have a material effect on the Company’s results of operations.</w:t>
      </w:r>
    </w:p>
    <w:p>
      <w:pPr>
        <w:spacing w:after="0" w:line="200" w:lineRule="exact"/>
        <w:rPr>
          <w:sz w:val="20"/>
          <w:szCs w:val="20"/>
          <w:color w:val="auto"/>
        </w:rPr>
      </w:pPr>
    </w:p>
    <w:p>
      <w:pPr>
        <w:spacing w:after="0" w:line="28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20" w:top="1009" w:right="979" w:bottom="1440" w:gutter="0" w:footer="0" w:header="0"/>
          <w:type w:val="continuous"/>
        </w:sectPr>
      </w:pPr>
    </w:p>
    <w:bookmarkStart w:id="72" w:name="page73"/>
    <w:bookmarkEnd w:id="72"/>
    <w:p>
      <w:pPr>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60"/>
        <w:spacing w:after="0" w:line="233"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determination of its provision for claimed indirect costs. For example, we tested controls over the application of the available historical information from resolution of audits and communications from agencies of the U.S. government utilized in the determination of the estimate. We also tested management’s controls over the completeness and accuracy of the data used.</w:t>
      </w:r>
    </w:p>
    <w:p>
      <w:pPr>
        <w:spacing w:after="0" w:line="160" w:lineRule="exact"/>
        <w:rPr>
          <w:sz w:val="20"/>
          <w:szCs w:val="20"/>
          <w:color w:val="auto"/>
        </w:rPr>
      </w:pPr>
    </w:p>
    <w:p>
      <w:pPr>
        <w:sectPr>
          <w:pgSz w:w="11900" w:h="16838" w:orient="portrait"/>
          <w:cols w:equalWidth="0" w:num="2">
            <w:col w:w="1300" w:space="560"/>
            <w:col w:w="8720"/>
          </w:cols>
          <w:pgMar w:left="320" w:top="808" w:right="999" w:bottom="1440" w:gutter="0" w:footer="0" w:header="0"/>
        </w:sectPr>
      </w:pPr>
    </w:p>
    <w:p>
      <w:pPr>
        <w:ind w:left="1860" w:right="80"/>
        <w:spacing w:after="0" w:line="254" w:lineRule="auto"/>
        <w:rPr>
          <w:sz w:val="20"/>
          <w:szCs w:val="20"/>
          <w:color w:val="auto"/>
        </w:rPr>
      </w:pPr>
      <w:r>
        <w:rPr>
          <w:rFonts w:ascii="Arial" w:cs="Arial" w:eastAsia="Arial" w:hAnsi="Arial"/>
          <w:sz w:val="13"/>
          <w:szCs w:val="13"/>
          <w:color w:val="auto"/>
        </w:rPr>
        <w:t>To test the provision for claimed indirect costs, we performed audit procedures that included, among others, testing the clerical accuracy of the estimates and the completeness and accuracy of the data utilized in determining the provision. We inspected communications with the DCAA or DCMA including prior audit reports and final resolutions. We also engaged our government contracting specialists to assist in identifying trends and recent experience in DCAA audits to evaluate the data the Company used to estimate the provision for claimed indirect costs.</w:t>
      </w:r>
    </w:p>
    <w:p>
      <w:pPr>
        <w:sectPr>
          <w:pgSz w:w="11900" w:h="16838" w:orient="portrait"/>
          <w:cols w:equalWidth="0" w:num="1">
            <w:col w:w="10580"/>
          </w:cols>
          <w:pgMar w:left="320" w:top="808" w:right="999" w:bottom="1440" w:gutter="0" w:footer="0" w:header="0"/>
          <w:type w:val="continuous"/>
        </w:sectPr>
      </w:pP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Unrecognized Tax Benefits</w:t>
      </w:r>
    </w:p>
    <w:p>
      <w:pPr>
        <w:spacing w:after="0" w:line="104" w:lineRule="exact"/>
        <w:rPr>
          <w:sz w:val="20"/>
          <w:szCs w:val="20"/>
          <w:color w:val="auto"/>
        </w:rPr>
      </w:pPr>
    </w:p>
    <w:p>
      <w:pPr>
        <w:ind w:left="1860" w:right="120" w:hanging="1866"/>
        <w:spacing w:after="0" w:line="243" w:lineRule="auto"/>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3"/>
          <w:szCs w:val="13"/>
          <w:color w:val="auto"/>
        </w:rPr>
        <w:t>As discussed in Notes 2 and 13 to the consolidated financial statements, the Company is subject to federal, state and foreign taxation in various jurisdictions. The Company reserves for uncertain tax positions related to unrecognized income tax benefits where it is not more likely than not that the Company’s tax position will be sustained. As of March 31, 2022, the Company has recorded $79.9 million of reserves for uncertain tax positions. These reserves involve considerable judgment and estimation and are evaluated by management based on available information.</w:t>
      </w:r>
    </w:p>
    <w:p>
      <w:pPr>
        <w:spacing w:after="0" w:line="1" w:lineRule="exact"/>
        <w:rPr>
          <w:sz w:val="20"/>
          <w:szCs w:val="20"/>
          <w:color w:val="auto"/>
        </w:rPr>
      </w:pPr>
    </w:p>
    <w:p>
      <w:pPr>
        <w:ind w:left="1860" w:right="520"/>
        <w:spacing w:after="0" w:line="228" w:lineRule="auto"/>
        <w:rPr>
          <w:sz w:val="20"/>
          <w:szCs w:val="20"/>
          <w:color w:val="auto"/>
        </w:rPr>
      </w:pPr>
      <w:r>
        <w:rPr>
          <w:rFonts w:ascii="Arial" w:cs="Arial" w:eastAsia="Arial" w:hAnsi="Arial"/>
          <w:sz w:val="14"/>
          <w:szCs w:val="14"/>
          <w:color w:val="auto"/>
        </w:rPr>
        <w:t>Auditing the unrecognized tax benefits was complex due to the significant judgment in applying the tax law and inherent uncertainty involved in predicting the ultimate resolution of the matter with the taxing authority.</w:t>
      </w:r>
    </w:p>
    <w:p>
      <w:pPr>
        <w:sectPr>
          <w:pgSz w:w="11900" w:h="16838" w:orient="portrait"/>
          <w:cols w:equalWidth="0" w:num="1">
            <w:col w:w="10580"/>
          </w:cols>
          <w:pgMar w:left="320" w:top="808" w:right="99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100"/>
        <w:spacing w:after="0" w:line="233"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accounting for uncertain tax positions. For example, we tested controls over management’s review of the application of the tax law and the analysis performed to determine the unrecognized tax benefits. We also tested management’s controls over the completeness and accuracy of the data used in the calculation of the liabilities recorded.</w:t>
      </w:r>
    </w:p>
    <w:p>
      <w:pPr>
        <w:spacing w:after="0" w:line="160" w:lineRule="exact"/>
        <w:rPr>
          <w:sz w:val="20"/>
          <w:szCs w:val="20"/>
          <w:color w:val="auto"/>
        </w:rPr>
      </w:pPr>
    </w:p>
    <w:p>
      <w:pPr>
        <w:sectPr>
          <w:pgSz w:w="11900" w:h="16838" w:orient="portrait"/>
          <w:cols w:equalWidth="0" w:num="2">
            <w:col w:w="1300" w:space="560"/>
            <w:col w:w="8720"/>
          </w:cols>
          <w:pgMar w:left="320" w:top="808" w:right="999" w:bottom="1440" w:gutter="0" w:footer="0" w:header="0"/>
          <w:type w:val="continuous"/>
        </w:sectPr>
      </w:pPr>
    </w:p>
    <w:p>
      <w:pPr>
        <w:ind w:left="1860" w:right="40"/>
        <w:spacing w:after="0" w:line="229" w:lineRule="auto"/>
        <w:rPr>
          <w:sz w:val="20"/>
          <w:szCs w:val="20"/>
          <w:color w:val="auto"/>
        </w:rPr>
      </w:pPr>
      <w:r>
        <w:rPr>
          <w:rFonts w:ascii="Arial" w:cs="Arial" w:eastAsia="Arial" w:hAnsi="Arial"/>
          <w:sz w:val="14"/>
          <w:szCs w:val="14"/>
          <w:color w:val="auto"/>
        </w:rPr>
        <w:t>To test the unrecognized tax benefits, we performed audit procedures that included, among others, understanding the application of the tax law and rationale used by management and evaluating whether the uncertain tax position met the “more likely than not” recognition threshold. For example, we verified our understanding of the relevant facts by reading the Company's analysis of the application of the tax law. We involved our tax subject matter resources in the assessment of the technical merits of the Company’s tax positions, considering the applicable tax laws, and the methodology applied. We assessed the mathematical accuracy of management’s calculations, reviewed contracts and other source documents and performed sensitivity analyses related to management’s estimate.</w:t>
      </w:r>
    </w:p>
    <w:p>
      <w:pPr>
        <w:sectPr>
          <w:pgSz w:w="11900" w:h="16838" w:orient="portrait"/>
          <w:cols w:equalWidth="0" w:num="1">
            <w:col w:w="10580"/>
          </w:cols>
          <w:pgMar w:left="320" w:top="80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Valuation of acquired intangible assets</w:t>
      </w:r>
    </w:p>
    <w:p>
      <w:pPr>
        <w:spacing w:after="0" w:line="94" w:lineRule="exact"/>
        <w:rPr>
          <w:sz w:val="20"/>
          <w:szCs w:val="20"/>
          <w:color w:val="auto"/>
        </w:rPr>
      </w:pPr>
    </w:p>
    <w:p>
      <w:pPr>
        <w:ind w:left="1860" w:hanging="1866"/>
        <w:spacing w:after="0" w:line="233" w:lineRule="auto"/>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4"/>
          <w:szCs w:val="14"/>
          <w:color w:val="auto"/>
        </w:rPr>
        <w:t>As discussed in Note 5 to the consolidated financial statements, the Company acquired Liberty IT Solutions and Tracepoint Holdings on June 11, 2021 and September 10, 2021, respectively. The Company’s accounting for the acquisition included determining the fair value of the intangible assets acquired, which primarily included customer relationships and backlog. The Company recognized acquired intangible assets of $399.5 million, using income approach methodologies to determine the fair value.</w:t>
      </w:r>
    </w:p>
    <w:p>
      <w:pPr>
        <w:spacing w:after="0" w:line="160" w:lineRule="exact"/>
        <w:rPr>
          <w:sz w:val="20"/>
          <w:szCs w:val="20"/>
          <w:color w:val="auto"/>
        </w:rPr>
      </w:pPr>
    </w:p>
    <w:p>
      <w:pPr>
        <w:ind w:left="1860" w:right="100"/>
        <w:spacing w:after="0" w:line="233" w:lineRule="auto"/>
        <w:rPr>
          <w:sz w:val="20"/>
          <w:szCs w:val="20"/>
          <w:color w:val="auto"/>
        </w:rPr>
      </w:pPr>
      <w:r>
        <w:rPr>
          <w:rFonts w:ascii="Arial" w:cs="Arial" w:eastAsia="Arial" w:hAnsi="Arial"/>
          <w:sz w:val="14"/>
          <w:szCs w:val="14"/>
          <w:color w:val="auto"/>
        </w:rPr>
        <w:t>Auditing the Company’s accounting for the acquired intangible assets was challenging due to the estimation required in management’s determination of the fair value of the intangible assets. The estimation was primarily due to the sensitivity of the fair values to underlying assumptions including discount rates and projections of revenues and expenses, which include assumptions around contract renewals and recompetes. es and expenses, which include assumptions around contract renewals and recompetes.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80"/>
          </w:cols>
          <w:pgMar w:left="320" w:top="808" w:right="999" w:bottom="1440" w:gutter="0" w:footer="0" w:header="0"/>
          <w:type w:val="continuous"/>
        </w:sectPr>
      </w:pPr>
    </w:p>
    <w:bookmarkStart w:id="73" w:name="page74"/>
    <w:bookmarkEnd w:id="73"/>
    <w:p>
      <w:pPr>
        <w:ind w:left="20"/>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80"/>
        <w:spacing w:after="0" w:line="237"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process for accounting for acquired intangible assets. For example, we tested controls over management’s review of the valuation of intangible assets, including the review of the valuation model and significant assumptions used in the valuation.</w:t>
      </w:r>
    </w:p>
    <w:p>
      <w:pPr>
        <w:spacing w:after="0" w:line="160" w:lineRule="exact"/>
        <w:rPr>
          <w:sz w:val="20"/>
          <w:szCs w:val="20"/>
          <w:color w:val="auto"/>
        </w:rPr>
      </w:pPr>
    </w:p>
    <w:p>
      <w:pPr>
        <w:sectPr>
          <w:pgSz w:w="11900" w:h="16838" w:orient="portrait"/>
          <w:cols w:equalWidth="0" w:num="2">
            <w:col w:w="1320" w:space="560"/>
            <w:col w:w="8600"/>
          </w:cols>
          <w:pgMar w:left="300" w:top="1147" w:right="1119" w:bottom="1440" w:gutter="0" w:footer="0" w:header="0"/>
        </w:sectPr>
      </w:pPr>
    </w:p>
    <w:p>
      <w:pPr>
        <w:ind w:left="1880"/>
        <w:spacing w:after="0" w:line="229" w:lineRule="auto"/>
        <w:rPr>
          <w:sz w:val="20"/>
          <w:szCs w:val="20"/>
          <w:color w:val="auto"/>
        </w:rPr>
      </w:pPr>
      <w:r>
        <w:rPr>
          <w:rFonts w:ascii="Arial" w:cs="Arial" w:eastAsia="Arial" w:hAnsi="Arial"/>
          <w:sz w:val="14"/>
          <w:szCs w:val="14"/>
          <w:color w:val="auto"/>
        </w:rPr>
        <w:t>To test the fair value of the acquired intangible assets, our audit procedures included, among others, evaluating the Company’s use of valuation methodologies, evaluating the projected revenues and expenses used in the valuation, and testing the completeness and accuracy of underlying data. We involved our valuation specialists to assist in assessing the methodologies and testing the significant assumptions used to value the acquired intangible asset. For example, we compared the significant assumptions to current industry, market, and economic trends, historical results of the acquired businesses, and to other relevant factors. We also performed sensitivity analyses of the significant assumptions to evaluate the change in fair value resulting from changes in the assumptions.</w:t>
      </w:r>
    </w:p>
    <w:p>
      <w:pPr>
        <w:sectPr>
          <w:pgSz w:w="11900" w:h="16838" w:orient="portrait"/>
          <w:cols w:equalWidth="0" w:num="1">
            <w:col w:w="10480"/>
          </w:cols>
          <w:pgMar w:left="300" w:top="1147" w:right="111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May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80"/>
          </w:cols>
          <w:pgMar w:left="300" w:top="1147" w:right="1119" w:bottom="1440" w:gutter="0" w:footer="0" w:header="0"/>
          <w:type w:val="continuous"/>
        </w:sectPr>
      </w:pPr>
    </w:p>
    <w:bookmarkStart w:id="74" w:name="page75"/>
    <w:bookmarkEnd w:id="74"/>
    <w:p>
      <w:pPr>
        <w:jc w:val="center"/>
        <w:ind w:right="2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0"/>
                <w:szCs w:val="10"/>
                <w:color w:val="auto"/>
              </w:rPr>
            </w:pPr>
          </w:p>
        </w:tc>
        <w:tc>
          <w:tcPr>
            <w:tcW w:w="1160" w:type="dxa"/>
            <w:vAlign w:val="bottom"/>
          </w:tcPr>
          <w:p>
            <w:pPr>
              <w:jc w:val="right"/>
              <w:ind w:right="410"/>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00" w:type="dxa"/>
            <w:vAlign w:val="bottom"/>
            <w:gridSpan w:val="4"/>
          </w:tcPr>
          <w:p>
            <w:pPr>
              <w:jc w:val="right"/>
              <w:ind w:right="670"/>
              <w:spacing w:after="0" w:line="98" w:lineRule="exact"/>
              <w:rPr>
                <w:sz w:val="20"/>
                <w:szCs w:val="20"/>
                <w:color w:val="auto"/>
              </w:rPr>
            </w:pPr>
            <w:r>
              <w:rPr>
                <w:rFonts w:ascii="Arial" w:cs="Arial" w:eastAsia="Arial" w:hAnsi="Arial"/>
                <w:sz w:val="11"/>
                <w:szCs w:val="11"/>
                <w:b w:val="1"/>
                <w:bCs w:val="1"/>
                <w:color w:val="auto"/>
              </w:rPr>
              <w:t>(Amounts in thousands, except</w:t>
            </w: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4"/>
          </w:tcPr>
          <w:p>
            <w:pPr>
              <w:jc w:val="right"/>
              <w:ind w:right="810"/>
              <w:spacing w:after="0"/>
              <w:rPr>
                <w:sz w:val="20"/>
                <w:szCs w:val="20"/>
                <w:color w:val="auto"/>
              </w:rPr>
            </w:pPr>
            <w:r>
              <w:rPr>
                <w:rFonts w:ascii="Arial" w:cs="Arial" w:eastAsia="Arial" w:hAnsi="Arial"/>
                <w:sz w:val="11"/>
                <w:szCs w:val="11"/>
                <w:b w:val="1"/>
                <w:bCs w:val="1"/>
                <w:color w:val="auto"/>
              </w:rPr>
              <w:t>share and per share data)</w:t>
            </w:r>
          </w:p>
        </w:tc>
        <w:tc>
          <w:tcPr>
            <w:tcW w:w="0" w:type="dxa"/>
            <w:vAlign w:val="bottom"/>
          </w:tcPr>
          <w:p>
            <w:pPr>
              <w:spacing w:after="0"/>
              <w:rPr>
                <w:sz w:val="1"/>
                <w:szCs w:val="1"/>
                <w:color w:val="auto"/>
              </w:rPr>
            </w:pPr>
          </w:p>
        </w:tc>
      </w:tr>
      <w:tr>
        <w:trPr>
          <w:trHeight w:val="184"/>
        </w:trPr>
        <w:tc>
          <w:tcPr>
            <w:tcW w:w="8300" w:type="dxa"/>
            <w:vAlign w:val="bottom"/>
          </w:tcPr>
          <w:p>
            <w:pPr>
              <w:ind w:left="388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695,910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990,955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1,622,989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1,411,894</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126,777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233,323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2,445,676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2,636,172</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202,229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204,642</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227,231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239,374</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Intangible assets, net of accumulated amortization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646,682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307,128</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2,021,931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1,581,160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481,826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531,125</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6,025,575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68,379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77,865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other accrued expenses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902,616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666,971</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Accrued compensation and benefits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438,634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425,615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54,956</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71,991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65,698</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1,533,954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1,291,105</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2,731,693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2,278,731</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263,144</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239,602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364,461</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226,535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230,984</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4,978,854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4,428,425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20)</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w w:val="98"/>
              </w:rPr>
              <w:t>Common stock, Class A — $0.01 par value — authorized, 600,000,000 shares; issued, 164,372,545 shares at March 31, 2022 and</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162,950,606 shares at March 31, 2021; outstanding, 132,584,348 shares at March 31, 2022 and 136,246,029 shares at March 31, 2021</w:t>
            </w:r>
          </w:p>
        </w:tc>
        <w:tc>
          <w:tcPr>
            <w:tcW w:w="26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300"/>
              <w:spacing w:after="0"/>
              <w:rPr>
                <w:sz w:val="20"/>
                <w:szCs w:val="20"/>
                <w:color w:val="auto"/>
              </w:rPr>
            </w:pPr>
            <w:r>
              <w:rPr>
                <w:rFonts w:ascii="Arial" w:cs="Arial" w:eastAsia="Arial" w:hAnsi="Arial"/>
                <w:sz w:val="14"/>
                <w:szCs w:val="14"/>
                <w:color w:val="auto"/>
              </w:rPr>
              <w:t>Treasury stock, at cost — 31,788,197 shares at March 31, 2022 and 26,704,577 shares at March 31, 2021</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(1,635,454)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(1,216,163)</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656,222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557,957</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2,015,071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1,757,524</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Arial" w:cs="Arial" w:eastAsia="Arial" w:hAnsi="Arial"/>
                <w:sz w:val="14"/>
                <w:szCs w:val="14"/>
                <w:color w:val="auto"/>
              </w:rPr>
              <w:t>Total Booz Allen stockholders’ equity</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1,046,070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1,071,176</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1,046,721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1,071,176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6,025,575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0" w:right="3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0" w:lineRule="exact"/>
        <w:rPr>
          <w:sz w:val="20"/>
          <w:szCs w:val="20"/>
          <w:color w:val="auto"/>
        </w:rPr>
      </w:pPr>
    </w:p>
    <w:p>
      <w:pPr>
        <w:ind w:left="8580"/>
        <w:spacing w:after="0"/>
        <w:rPr>
          <w:sz w:val="20"/>
          <w:szCs w:val="20"/>
          <w:color w:val="auto"/>
        </w:rPr>
      </w:pPr>
      <w:r>
        <w:rPr>
          <w:rFonts w:ascii="Arial" w:cs="Arial" w:eastAsia="Arial" w:hAnsi="Arial"/>
          <w:sz w:val="11"/>
          <w:szCs w:val="11"/>
          <w:b w:val="1"/>
          <w:bCs w:val="1"/>
          <w:color w:val="auto"/>
        </w:rPr>
        <w:t>Fiscal Year Ended</w:t>
      </w:r>
    </w:p>
    <w:p>
      <w:pPr>
        <w:ind w:left="878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9"/>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gridSpan w:val="6"/>
          </w:tcPr>
          <w:p>
            <w:pPr>
              <w:jc w:val="right"/>
              <w:ind w:right="69"/>
              <w:spacing w:after="0"/>
              <w:rPr>
                <w:sz w:val="20"/>
                <w:szCs w:val="20"/>
                <w:color w:val="auto"/>
              </w:rPr>
            </w:pPr>
            <w:r>
              <w:rPr>
                <w:rFonts w:ascii="Arial" w:cs="Arial" w:eastAsia="Arial" w:hAnsi="Arial"/>
                <w:sz w:val="11"/>
                <w:szCs w:val="11"/>
                <w:b w:val="1"/>
                <w:bCs w:val="1"/>
                <w:color w:val="auto"/>
              </w:rPr>
              <w:t>(Amounts in thousands, except per share data)</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8,363,700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7,858,938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7,463,841</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3,899,622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3,657,530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3,379,180</w:t>
            </w:r>
          </w:p>
        </w:tc>
        <w:tc>
          <w:tcPr>
            <w:tcW w:w="0" w:type="dxa"/>
            <w:vAlign w:val="bottom"/>
          </w:tcPr>
          <w:p>
            <w:pPr>
              <w:spacing w:after="0"/>
              <w:rPr>
                <w:sz w:val="1"/>
                <w:szCs w:val="1"/>
                <w:color w:val="auto"/>
              </w:rPr>
            </w:pPr>
          </w:p>
        </w:tc>
      </w:tr>
      <w:tr>
        <w:trPr>
          <w:trHeight w:val="180"/>
        </w:trPr>
        <w:tc>
          <w:tcPr>
            <w:tcW w:w="6780" w:type="dxa"/>
            <w:vAlign w:val="bottom"/>
          </w:tcPr>
          <w:p>
            <w:pPr>
              <w:ind w:left="180"/>
              <w:spacing w:after="0"/>
              <w:rPr>
                <w:sz w:val="20"/>
                <w:szCs w:val="20"/>
                <w:color w:val="auto"/>
              </w:rPr>
            </w:pPr>
            <w:r>
              <w:rPr>
                <w:rFonts w:ascii="Arial" w:cs="Arial" w:eastAsia="Arial" w:hAnsi="Arial"/>
                <w:sz w:val="14"/>
                <w:szCs w:val="14"/>
                <w:color w:val="auto"/>
              </w:rPr>
              <w:t>Billable expenses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2,474,163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2,325,888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2,298,413</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1,158,987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1,036,834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1,035,965</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145,747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84,315</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81,081</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7,678,519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7,104,567</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6,794,639</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685,181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754,371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669,202</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(96,960)</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 (expense),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604,043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662,439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579,434</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137,466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share of common stock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3.44</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289"/>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90" w:lineRule="exact"/>
        <w:rPr>
          <w:sz w:val="20"/>
          <w:szCs w:val="20"/>
          <w:color w:val="auto"/>
        </w:rPr>
      </w:pPr>
    </w:p>
    <w:p>
      <w:pPr>
        <w:ind w:left="8500"/>
        <w:spacing w:after="0"/>
        <w:rPr>
          <w:sz w:val="20"/>
          <w:szCs w:val="20"/>
          <w:color w:val="auto"/>
        </w:rPr>
      </w:pPr>
      <w:r>
        <w:rPr>
          <w:rFonts w:ascii="Arial" w:cs="Arial" w:eastAsia="Arial" w:hAnsi="Arial"/>
          <w:sz w:val="11"/>
          <w:szCs w:val="11"/>
          <w:b w:val="1"/>
          <w:bCs w:val="1"/>
          <w:color w:val="auto"/>
        </w:rPr>
        <w:t>Fiscal Year Ended</w:t>
      </w:r>
    </w:p>
    <w:p>
      <w:pPr>
        <w:ind w:left="870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7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9"/>
        </w:trPr>
        <w:tc>
          <w:tcPr>
            <w:tcW w:w="6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466,577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0" w:type="dxa"/>
            <w:vAlign w:val="bottom"/>
          </w:tcPr>
          <w:p>
            <w:pPr>
              <w:spacing w:after="0"/>
              <w:rPr>
                <w:sz w:val="1"/>
                <w:szCs w:val="1"/>
                <w:color w:val="auto"/>
              </w:rPr>
            </w:pP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gain (loss) on derivatives designated as cash flow hedges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(39,752)</w:t>
            </w:r>
          </w:p>
        </w:tc>
        <w:tc>
          <w:tcPr>
            <w:tcW w:w="0" w:type="dxa"/>
            <w:vAlign w:val="bottom"/>
          </w:tcPr>
          <w:p>
            <w:pPr>
              <w:spacing w:after="0"/>
              <w:rPr>
                <w:sz w:val="1"/>
                <w:szCs w:val="1"/>
                <w:color w:val="auto"/>
              </w:rPr>
            </w:pPr>
          </w:p>
        </w:tc>
      </w:tr>
      <w:tr>
        <w:trPr>
          <w:trHeight w:val="18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 in postretirement plan costs</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4,941</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other comprehensive (loss) income, net of tax</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38,356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Comprehensive income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2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693"/>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504,933</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625,188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447,792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920" w:right="439" w:bottom="1440" w:gutter="0" w:footer="0" w:header="0"/>
        </w:sectPr>
      </w:pPr>
    </w:p>
    <w:bookmarkStart w:id="77" w:name="page78"/>
    <w:bookmarkEnd w:id="77"/>
    <w:p>
      <w:pPr>
        <w:jc w:val="center"/>
        <w:ind w:right="-3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6" w:lineRule="exact"/>
        <w:rPr>
          <w:sz w:val="20"/>
          <w:szCs w:val="20"/>
          <w:color w:val="auto"/>
        </w:rPr>
      </w:pPr>
    </w:p>
    <w:p>
      <w:pPr>
        <w:ind w:left="8500"/>
        <w:spacing w:after="0"/>
        <w:rPr>
          <w:sz w:val="20"/>
          <w:szCs w:val="20"/>
          <w:color w:val="auto"/>
        </w:rPr>
      </w:pPr>
      <w:r>
        <w:rPr>
          <w:rFonts w:ascii="Arial" w:cs="Arial" w:eastAsia="Arial" w:hAnsi="Arial"/>
          <w:sz w:val="13"/>
          <w:szCs w:val="13"/>
          <w:b w:val="1"/>
          <w:bCs w:val="1"/>
          <w:color w:val="auto"/>
        </w:rPr>
        <w:t>Fiscal Year Ended</w:t>
      </w:r>
    </w:p>
    <w:p>
      <w:pPr>
        <w:ind w:left="872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2020</w:t>
            </w:r>
          </w:p>
        </w:tc>
      </w:tr>
      <w:tr>
        <w:trPr>
          <w:trHeight w:val="158"/>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(Amounts in thousands)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466,577</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608,958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482,603</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145,747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84,315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81,081</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Noncash lease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55,096</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Stock-based compensation expense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69,784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59,844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43,290</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(130,197)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65,434</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4,688</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 on debt extinguishment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(Gains) losses on dispositions, and other</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1,772</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Gains associated with equity method investment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Changes in assets and liabilities: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(154,652)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47,081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(129,107)</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Income taxes receivable / payable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132,029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(363,396)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(122,977)</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Prepaid expenses and other current and long-term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(13,506)</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Accrued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71,713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18,044</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 and other accrued 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194,827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48,260</w:t>
            </w:r>
          </w:p>
        </w:tc>
      </w:tr>
      <w:tr>
        <w:trPr>
          <w:trHeight w:val="168"/>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current and long-term liabilities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(52,768)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15,299</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736,526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718,684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551,428</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property, equipment, and software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(128,079)</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Payments for business acquisitions, net of cash acquired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(780,334)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sales of assets, net of payment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 for minority investment in entity</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(74,168)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for cost method investments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Other investing activities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020" w:type="dxa"/>
            <w:vAlign w:val="bottom"/>
            <w:tcBorders>
              <w:top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(867,725)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(158,284)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(128,079)</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14,987</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Stock option exercises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11,747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8,925</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(418,859)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(313,397)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(182,224)</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Cash dividends paid</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(209,057)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(181,066)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(146,602)</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Debt extinguishment costs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Repayments on revolving credit facility, term loans, and Senior Notes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(112,257)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(527,865)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(76,922)</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proceeds from debt issuance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487,027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691,496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497,891</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 of deferred payment obligation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(80,000)</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revolving credit facility</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financing activities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(used in) provided by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(163,846)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34,562</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color w:val="auto"/>
              </w:rPr>
              <w:t>Net (decrease) increase in cash and cash equivalents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(295,045)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249,054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457,911</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equivalents––beginning of year</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990,955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741,901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283,990</w:t>
            </w:r>
          </w:p>
        </w:tc>
      </w:tr>
      <w:tr>
        <w:trPr>
          <w:trHeight w:val="158"/>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Cash and cash equivalents––end of year</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695,910</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990,955</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741,901</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70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64,699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84,125</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Income taxes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127,069</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176,711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109,754</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disclosures of non-cash investing and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Share repurchases transacted but not settled and paid</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15,839</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15,408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10,736</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financing activities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w:t>
            </w:r>
          </w:p>
        </w:tc>
      </w:tr>
    </w:tbl>
    <w:p>
      <w:pPr>
        <w:spacing w:after="0" w:line="117"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899" w:right="659" w:bottom="1440" w:gutter="0" w:footer="0" w:header="0"/>
        </w:sectPr>
      </w:pPr>
    </w:p>
    <w:bookmarkStart w:id="78" w:name="page79"/>
    <w:bookmarkEnd w:id="78"/>
    <w:p>
      <w:pPr>
        <w:jc w:val="center"/>
        <w:ind w:right="-5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0"/>
                <w:szCs w:val="10"/>
                <w:b w:val="1"/>
                <w:bCs w:val="1"/>
                <w:color w:val="auto"/>
                <w:w w:val="81"/>
              </w:rPr>
              <w:t>Class A</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vMerge w:val="restart"/>
          </w:tcPr>
          <w:p>
            <w:pPr>
              <w:ind w:left="680"/>
              <w:spacing w:after="0"/>
              <w:rPr>
                <w:sz w:val="20"/>
                <w:szCs w:val="20"/>
                <w:color w:val="auto"/>
              </w:rPr>
            </w:pPr>
            <w:r>
              <w:rPr>
                <w:rFonts w:ascii="Arial" w:cs="Arial" w:eastAsia="Arial" w:hAnsi="Arial"/>
                <w:sz w:val="10"/>
                <w:szCs w:val="10"/>
                <w:b w:val="1"/>
                <w:bCs w:val="1"/>
                <w:color w:val="auto"/>
                <w:w w:val="94"/>
              </w:rPr>
              <w:t>Treasury</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8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restart"/>
          </w:tcPr>
          <w:p>
            <w:pPr>
              <w:jc w:val="center"/>
              <w:ind w:right="140"/>
              <w:spacing w:after="0" w:line="96" w:lineRule="exact"/>
              <w:rPr>
                <w:sz w:val="20"/>
                <w:szCs w:val="20"/>
                <w:color w:val="auto"/>
              </w:rPr>
            </w:pPr>
            <w:r>
              <w:rPr>
                <w:rFonts w:ascii="Arial" w:cs="Arial" w:eastAsia="Arial" w:hAnsi="Arial"/>
                <w:sz w:val="10"/>
                <w:szCs w:val="10"/>
                <w:b w:val="1"/>
                <w:bCs w:val="1"/>
                <w:color w:val="auto"/>
                <w:w w:val="89"/>
              </w:rPr>
              <w:t>Additional</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40"/>
              <w:spacing w:after="0" w:line="96" w:lineRule="exact"/>
              <w:rPr>
                <w:sz w:val="20"/>
                <w:szCs w:val="20"/>
                <w:color w:val="auto"/>
              </w:rPr>
            </w:pPr>
            <w:r>
              <w:rPr>
                <w:rFonts w:ascii="Arial" w:cs="Arial" w:eastAsia="Arial" w:hAnsi="Arial"/>
                <w:sz w:val="10"/>
                <w:szCs w:val="10"/>
                <w:b w:val="1"/>
                <w:bCs w:val="1"/>
                <w:color w:val="auto"/>
                <w:w w:val="97"/>
              </w:rPr>
              <w:t>Other</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restart"/>
          </w:tcPr>
          <w:p>
            <w:pPr>
              <w:jc w:val="center"/>
              <w:ind w:right="41"/>
              <w:spacing w:after="0" w:line="96"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line="20" w:lineRule="exact"/>
              <w:rPr>
                <w:sz w:val="1"/>
                <w:szCs w:val="1"/>
                <w:color w:val="auto"/>
              </w:rPr>
            </w:pPr>
          </w:p>
        </w:tc>
      </w:tr>
      <w:tr>
        <w:trPr>
          <w:trHeight w:val="64"/>
        </w:trPr>
        <w:tc>
          <w:tcPr>
            <w:tcW w:w="3800" w:type="dxa"/>
            <w:vAlign w:val="bottom"/>
          </w:tcPr>
          <w:p>
            <w:pPr>
              <w:spacing w:after="0"/>
              <w:rPr>
                <w:sz w:val="5"/>
                <w:szCs w:val="5"/>
                <w:color w:val="auto"/>
              </w:rPr>
            </w:pPr>
          </w:p>
        </w:tc>
        <w:tc>
          <w:tcPr>
            <w:tcW w:w="1440" w:type="dxa"/>
            <w:vAlign w:val="bottom"/>
            <w:gridSpan w:val="4"/>
            <w:vMerge w:val="restart"/>
          </w:tcPr>
          <w:p>
            <w:pPr>
              <w:jc w:val="right"/>
              <w:ind w:right="340"/>
              <w:spacing w:after="0"/>
              <w:rPr>
                <w:sz w:val="20"/>
                <w:szCs w:val="20"/>
                <w:color w:val="auto"/>
              </w:rPr>
            </w:pPr>
            <w:r>
              <w:rPr>
                <w:rFonts w:ascii="Arial" w:cs="Arial" w:eastAsia="Arial" w:hAnsi="Arial"/>
                <w:sz w:val="10"/>
                <w:szCs w:val="10"/>
                <w:b w:val="1"/>
                <w:bCs w:val="1"/>
                <w:color w:val="auto"/>
              </w:rPr>
              <w:t>Common Stock</w:t>
            </w:r>
          </w:p>
        </w:tc>
        <w:tc>
          <w:tcPr>
            <w:tcW w:w="60" w:type="dxa"/>
            <w:vAlign w:val="bottom"/>
            <w:vMerge w:val="restart"/>
          </w:tcPr>
          <w:p>
            <w:pPr>
              <w:spacing w:after="0"/>
              <w:rPr>
                <w:sz w:val="5"/>
                <w:szCs w:val="5"/>
                <w:color w:val="auto"/>
              </w:rPr>
            </w:pPr>
          </w:p>
        </w:tc>
        <w:tc>
          <w:tcPr>
            <w:tcW w:w="1100" w:type="dxa"/>
            <w:vAlign w:val="bottom"/>
            <w:gridSpan w:val="3"/>
            <w:vMerge w:val="restart"/>
          </w:tcPr>
          <w:p>
            <w:pPr>
              <w:jc w:val="right"/>
              <w:ind w:right="70"/>
              <w:spacing w:after="0"/>
              <w:rPr>
                <w:sz w:val="20"/>
                <w:szCs w:val="20"/>
                <w:color w:val="auto"/>
              </w:rPr>
            </w:pPr>
            <w:r>
              <w:rPr>
                <w:rFonts w:ascii="Arial" w:cs="Arial" w:eastAsia="Arial" w:hAnsi="Arial"/>
                <w:sz w:val="10"/>
                <w:szCs w:val="10"/>
                <w:b w:val="1"/>
                <w:bCs w:val="1"/>
                <w:color w:val="auto"/>
              </w:rPr>
              <w:t>Stock</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00" w:type="dxa"/>
            <w:vAlign w:val="bottom"/>
          </w:tcPr>
          <w:p>
            <w:pPr>
              <w:ind w:left="20"/>
              <w:spacing w:after="0" w:line="69" w:lineRule="exact"/>
              <w:rPr>
                <w:sz w:val="20"/>
                <w:szCs w:val="20"/>
                <w:color w:val="auto"/>
              </w:rPr>
            </w:pPr>
            <w:r>
              <w:rPr>
                <w:rFonts w:ascii="Arial" w:cs="Arial" w:eastAsia="Arial" w:hAnsi="Arial"/>
                <w:sz w:val="7"/>
                <w:szCs w:val="7"/>
                <w:b w:val="1"/>
                <w:bCs w:val="1"/>
                <w:color w:val="auto"/>
              </w:rPr>
              <w:t>(Amounts in thousands, except</w:t>
            </w:r>
          </w:p>
        </w:tc>
        <w:tc>
          <w:tcPr>
            <w:tcW w:w="1440" w:type="dxa"/>
            <w:vAlign w:val="bottom"/>
            <w:tcBorders>
              <w:bottom w:val="single" w:sz="8" w:color="auto"/>
            </w:tcBorders>
            <w:gridSpan w:val="4"/>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100" w:type="dxa"/>
            <w:vAlign w:val="bottom"/>
            <w:tcBorders>
              <w:bottom w:val="single" w:sz="8" w:color="auto"/>
            </w:tcBorders>
            <w:gridSpan w:val="3"/>
            <w:vMerge w:val="continue"/>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tcPr>
          <w:p>
            <w:pPr>
              <w:jc w:val="center"/>
              <w:ind w:right="140"/>
              <w:spacing w:after="0" w:line="69" w:lineRule="exact"/>
              <w:rPr>
                <w:sz w:val="20"/>
                <w:szCs w:val="20"/>
                <w:color w:val="auto"/>
              </w:rPr>
            </w:pPr>
            <w:r>
              <w:rPr>
                <w:rFonts w:ascii="Arial" w:cs="Arial" w:eastAsia="Arial" w:hAnsi="Arial"/>
                <w:sz w:val="7"/>
                <w:szCs w:val="7"/>
                <w:b w:val="1"/>
                <w:bCs w:val="1"/>
                <w:color w:val="auto"/>
              </w:rPr>
              <w:t>Paid-In</w:t>
            </w:r>
          </w:p>
        </w:tc>
        <w:tc>
          <w:tcPr>
            <w:tcW w:w="120" w:type="dxa"/>
            <w:vAlign w:val="bottom"/>
          </w:tcPr>
          <w:p>
            <w:pPr>
              <w:spacing w:after="0"/>
              <w:rPr>
                <w:sz w:val="5"/>
                <w:szCs w:val="5"/>
                <w:color w:val="auto"/>
              </w:rPr>
            </w:pPr>
          </w:p>
        </w:tc>
        <w:tc>
          <w:tcPr>
            <w:tcW w:w="680" w:type="dxa"/>
            <w:vAlign w:val="bottom"/>
            <w:gridSpan w:val="2"/>
          </w:tcPr>
          <w:p>
            <w:pPr>
              <w:ind w:left="60"/>
              <w:spacing w:after="0" w:line="69" w:lineRule="exact"/>
              <w:rPr>
                <w:sz w:val="20"/>
                <w:szCs w:val="20"/>
                <w:color w:val="auto"/>
              </w:rPr>
            </w:pPr>
            <w:r>
              <w:rPr>
                <w:rFonts w:ascii="Arial" w:cs="Arial" w:eastAsia="Arial" w:hAnsi="Arial"/>
                <w:sz w:val="7"/>
                <w:szCs w:val="7"/>
                <w:b w:val="1"/>
                <w:bCs w:val="1"/>
                <w:color w:val="auto"/>
              </w:rPr>
              <w:t>Retained</w:t>
            </w:r>
          </w:p>
        </w:tc>
        <w:tc>
          <w:tcPr>
            <w:tcW w:w="80" w:type="dxa"/>
            <w:vAlign w:val="bottom"/>
          </w:tcPr>
          <w:p>
            <w:pPr>
              <w:spacing w:after="0"/>
              <w:rPr>
                <w:sz w:val="5"/>
                <w:szCs w:val="5"/>
                <w:color w:val="auto"/>
              </w:rPr>
            </w:pPr>
          </w:p>
        </w:tc>
        <w:tc>
          <w:tcPr>
            <w:tcW w:w="840" w:type="dxa"/>
            <w:vAlign w:val="bottom"/>
            <w:gridSpan w:val="2"/>
          </w:tcPr>
          <w:p>
            <w:pPr>
              <w:jc w:val="center"/>
              <w:ind w:right="140"/>
              <w:spacing w:after="0" w:line="69" w:lineRule="exact"/>
              <w:rPr>
                <w:sz w:val="20"/>
                <w:szCs w:val="20"/>
                <w:color w:val="auto"/>
              </w:rPr>
            </w:pPr>
            <w:r>
              <w:rPr>
                <w:rFonts w:ascii="Arial" w:cs="Arial" w:eastAsia="Arial" w:hAnsi="Arial"/>
                <w:sz w:val="7"/>
                <w:szCs w:val="7"/>
                <w:b w:val="1"/>
                <w:bCs w:val="1"/>
                <w:color w:val="auto"/>
              </w:rPr>
              <w:t>Comprehensive</w:t>
            </w:r>
          </w:p>
        </w:tc>
        <w:tc>
          <w:tcPr>
            <w:tcW w:w="840" w:type="dxa"/>
            <w:vAlign w:val="bottom"/>
            <w:gridSpan w:val="3"/>
          </w:tcPr>
          <w:p>
            <w:pPr>
              <w:jc w:val="center"/>
              <w:ind w:right="60"/>
              <w:spacing w:after="0" w:line="69" w:lineRule="exact"/>
              <w:rPr>
                <w:sz w:val="20"/>
                <w:szCs w:val="20"/>
                <w:color w:val="auto"/>
              </w:rPr>
            </w:pPr>
            <w:r>
              <w:rPr>
                <w:rFonts w:ascii="Arial" w:cs="Arial" w:eastAsia="Arial" w:hAnsi="Arial"/>
                <w:sz w:val="7"/>
                <w:szCs w:val="7"/>
                <w:b w:val="1"/>
                <w:bCs w:val="1"/>
                <w:color w:val="auto"/>
              </w:rPr>
              <w:t>Non-Controlling</w:t>
            </w:r>
          </w:p>
        </w:tc>
        <w:tc>
          <w:tcPr>
            <w:tcW w:w="100" w:type="dxa"/>
            <w:vAlign w:val="bottom"/>
          </w:tcPr>
          <w:p>
            <w:pPr>
              <w:spacing w:after="0"/>
              <w:rPr>
                <w:sz w:val="5"/>
                <w:szCs w:val="5"/>
                <w:color w:val="auto"/>
              </w:rPr>
            </w:pPr>
          </w:p>
        </w:tc>
        <w:tc>
          <w:tcPr>
            <w:tcW w:w="720" w:type="dxa"/>
            <w:vAlign w:val="bottom"/>
          </w:tcPr>
          <w:p>
            <w:pPr>
              <w:jc w:val="center"/>
              <w:ind w:right="41"/>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3800" w:type="dxa"/>
            <w:vAlign w:val="bottom"/>
          </w:tcPr>
          <w:p>
            <w:pPr>
              <w:ind w:left="20"/>
              <w:spacing w:after="0"/>
              <w:rPr>
                <w:sz w:val="20"/>
                <w:szCs w:val="20"/>
                <w:color w:val="auto"/>
              </w:rPr>
            </w:pPr>
            <w:r>
              <w:rPr>
                <w:rFonts w:ascii="Arial" w:cs="Arial" w:eastAsia="Arial" w:hAnsi="Arial"/>
                <w:sz w:val="10"/>
                <w:szCs w:val="10"/>
                <w:b w:val="1"/>
                <w:bCs w:val="1"/>
                <w:color w:val="auto"/>
              </w:rPr>
              <w:t>share data)</w:t>
            </w:r>
          </w:p>
        </w:tc>
        <w:tc>
          <w:tcPr>
            <w:tcW w:w="880" w:type="dxa"/>
            <w:vAlign w:val="bottom"/>
            <w:gridSpan w:val="2"/>
          </w:tcPr>
          <w:p>
            <w:pPr>
              <w:ind w:left="26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2"/>
                <w:szCs w:val="12"/>
                <w:color w:val="auto"/>
              </w:rPr>
            </w:pP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900" w:type="dxa"/>
            <w:vAlign w:val="bottom"/>
            <w:gridSpan w:val="2"/>
          </w:tcPr>
          <w:p>
            <w:pPr>
              <w:ind w:left="28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8"/>
              </w:rPr>
              <w:t>Income (Loss)</w:t>
            </w:r>
          </w:p>
        </w:tc>
        <w:tc>
          <w:tcPr>
            <w:tcW w:w="16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12"/>
                <w:szCs w:val="12"/>
                <w:color w:val="auto"/>
              </w:rPr>
            </w:pPr>
          </w:p>
        </w:tc>
        <w:tc>
          <w:tcPr>
            <w:tcW w:w="720" w:type="dxa"/>
            <w:vAlign w:val="bottom"/>
          </w:tcPr>
          <w:p>
            <w:pPr>
              <w:jc w:val="center"/>
              <w:ind w:right="41"/>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5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159,924,825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(19,896,972)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(711,450)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401,596</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994,811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(11,190)</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675,366</w:t>
            </w:r>
          </w:p>
        </w:tc>
        <w:tc>
          <w:tcPr>
            <w:tcW w:w="0" w:type="dxa"/>
            <w:vAlign w:val="bottom"/>
          </w:tcPr>
          <w:p>
            <w:pPr>
              <w:spacing w:after="0"/>
              <w:rPr>
                <w:sz w:val="1"/>
                <w:szCs w:val="1"/>
                <w:color w:val="auto"/>
              </w:rPr>
            </w:pPr>
          </w:p>
        </w:tc>
      </w:tr>
      <w:tr>
        <w:trPr>
          <w:trHeight w:val="147"/>
        </w:trPr>
        <w:tc>
          <w:tcPr>
            <w:tcW w:w="3800" w:type="dxa"/>
            <w:vAlign w:val="bottom"/>
          </w:tcPr>
          <w:p>
            <w:pPr>
              <w:ind w:left="120"/>
              <w:spacing w:after="0" w:line="133" w:lineRule="exact"/>
              <w:rPr>
                <w:sz w:val="20"/>
                <w:szCs w:val="20"/>
                <w:color w:val="auto"/>
              </w:rPr>
            </w:pPr>
            <w:r>
              <w:rPr>
                <w:rFonts w:ascii="Arial" w:cs="Arial" w:eastAsia="Arial" w:hAnsi="Arial"/>
                <w:sz w:val="12"/>
                <w:szCs w:val="12"/>
                <w:color w:val="auto"/>
              </w:rPr>
              <w:t>Issuance of common stock</w:t>
            </w:r>
          </w:p>
        </w:tc>
        <w:tc>
          <w:tcPr>
            <w:tcW w:w="800" w:type="dxa"/>
            <w:vAlign w:val="bottom"/>
          </w:tcPr>
          <w:p>
            <w:pPr>
              <w:jc w:val="right"/>
              <w:spacing w:after="0"/>
              <w:rPr>
                <w:sz w:val="20"/>
                <w:szCs w:val="20"/>
                <w:color w:val="auto"/>
              </w:rPr>
            </w:pPr>
            <w:r>
              <w:rPr>
                <w:rFonts w:ascii="Arial" w:cs="Arial" w:eastAsia="Arial" w:hAnsi="Arial"/>
                <w:sz w:val="12"/>
                <w:szCs w:val="12"/>
                <w:color w:val="auto"/>
              </w:rPr>
              <w:t>833,258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14,979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14,987</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options 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575,890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8,925</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Repurchase of common stock</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(2,717,080)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(186,645)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(186,645)</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Recognition of liability related to future restricted stock units vesting</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482,603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482,603</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 net of tax</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(34,811)</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Dividends paid of $1.04 per share of common stock</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(146,602)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(146,602)</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43,290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43,290</w:t>
            </w: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161,333,973</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1,613</w:t>
            </w:r>
          </w:p>
        </w:tc>
        <w:tc>
          <w:tcPr>
            <w:tcW w:w="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(22,614,052)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(898,095)</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468,027</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1,330,812</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(46,001)</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856,356</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1,112,183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18,814</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Stock options exercised</w:t>
            </w:r>
          </w:p>
        </w:tc>
        <w:tc>
          <w:tcPr>
            <w:tcW w:w="800" w:type="dxa"/>
            <w:vAlign w:val="bottom"/>
          </w:tcPr>
          <w:p>
            <w:pPr>
              <w:jc w:val="right"/>
              <w:spacing w:after="0"/>
              <w:rPr>
                <w:sz w:val="20"/>
                <w:szCs w:val="20"/>
                <w:color w:val="auto"/>
              </w:rPr>
            </w:pPr>
            <w:r>
              <w:rPr>
                <w:rFonts w:ascii="Arial" w:cs="Arial" w:eastAsia="Arial" w:hAnsi="Arial"/>
                <w:sz w:val="12"/>
                <w:szCs w:val="12"/>
                <w:color w:val="auto"/>
              </w:rPr>
              <w:t>504,450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11,742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11,747</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(4,090,525)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(318,068)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(318,068)</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Recognition of liability related to future restricted stock units vesting</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608,958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608,958</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Topic 326 adoption impact</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(1,180)</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 net of tax</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16,230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16,230</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Dividends paid of $1.30 per share of common stock</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(181,066)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(181,066)</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59,841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47"/>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162,950,606</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1,629</w:t>
            </w:r>
          </w:p>
        </w:tc>
        <w:tc>
          <w:tcPr>
            <w:tcW w:w="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(26,704,577)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4"/>
              </w:rPr>
              <w:t>(1,216,163)</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557,957</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1,757,524</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(29,771)</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1,071,176</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Issuance of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1,224,207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22,155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22,170</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Stock options exercised</w:t>
            </w:r>
          </w:p>
        </w:tc>
        <w:tc>
          <w:tcPr>
            <w:tcW w:w="800" w:type="dxa"/>
            <w:vAlign w:val="bottom"/>
          </w:tcPr>
          <w:p>
            <w:pPr>
              <w:jc w:val="right"/>
              <w:spacing w:after="0"/>
              <w:rPr>
                <w:sz w:val="20"/>
                <w:szCs w:val="20"/>
                <w:color w:val="auto"/>
              </w:rPr>
            </w:pPr>
            <w:r>
              <w:rPr>
                <w:rFonts w:ascii="Arial" w:cs="Arial" w:eastAsia="Arial" w:hAnsi="Arial"/>
                <w:sz w:val="12"/>
                <w:szCs w:val="12"/>
                <w:color w:val="auto"/>
              </w:rPr>
              <w:t>197,732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5,927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5,929</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(5,083,620)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(419,291)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(419,291)</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Recognition of liability related to future restricted stock units vesting</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1,213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1,213</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466,740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466,577</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Other comprehensive income, net of tax</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38,356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38,356</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of $1.54 per share of common stock</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(209,193)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(209,193)</w:t>
            </w:r>
          </w:p>
        </w:tc>
        <w:tc>
          <w:tcPr>
            <w:tcW w:w="0" w:type="dxa"/>
            <w:vAlign w:val="bottom"/>
          </w:tcPr>
          <w:p>
            <w:pPr>
              <w:spacing w:after="0"/>
              <w:rPr>
                <w:sz w:val="1"/>
                <w:szCs w:val="1"/>
                <w:color w:val="auto"/>
              </w:rPr>
            </w:pPr>
          </w:p>
        </w:tc>
      </w:tr>
      <w:tr>
        <w:trPr>
          <w:trHeight w:val="156"/>
        </w:trPr>
        <w:tc>
          <w:tcPr>
            <w:tcW w:w="3800" w:type="dxa"/>
            <w:vAlign w:val="bottom"/>
          </w:tcPr>
          <w:p>
            <w:pPr>
              <w:ind w:left="120"/>
              <w:spacing w:after="0"/>
              <w:rPr>
                <w:sz w:val="20"/>
                <w:szCs w:val="20"/>
                <w:color w:val="auto"/>
              </w:rPr>
            </w:pPr>
            <w:r>
              <w:rPr>
                <w:rFonts w:ascii="Arial" w:cs="Arial" w:eastAsia="Arial" w:hAnsi="Arial"/>
                <w:sz w:val="12"/>
                <w:szCs w:val="12"/>
                <w:color w:val="auto"/>
              </w:rPr>
              <w:t>Stock-based compensation expense</w:t>
            </w:r>
          </w:p>
        </w:tc>
        <w:tc>
          <w:tcPr>
            <w:tcW w:w="88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69,784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69,784</w:t>
            </w:r>
          </w:p>
        </w:tc>
        <w:tc>
          <w:tcPr>
            <w:tcW w:w="0" w:type="dxa"/>
            <w:vAlign w:val="bottom"/>
          </w:tcPr>
          <w:p>
            <w:pPr>
              <w:spacing w:after="0"/>
              <w:rPr>
                <w:sz w:val="1"/>
                <w:szCs w:val="1"/>
                <w:color w:val="auto"/>
              </w:rPr>
            </w:pPr>
          </w:p>
        </w:tc>
      </w:tr>
      <w:tr>
        <w:trPr>
          <w:trHeight w:val="162"/>
        </w:trPr>
        <w:tc>
          <w:tcPr>
            <w:tcW w:w="38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Contribution to non-controlling interest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80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164,372,545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1,646</w:t>
            </w:r>
          </w:p>
        </w:tc>
        <w:tc>
          <w:tcPr>
            <w:tcW w:w="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(31,788,197)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4"/>
              </w:rPr>
              <w:t>(1,635,454)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656,222</w:t>
            </w: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2,015,071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8,585</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651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1,046,721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9" w:right="37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March 31, 2022</w:t>
      </w:r>
    </w:p>
    <w:p>
      <w:pPr>
        <w:spacing w:after="0" w:line="164" w:lineRule="exact"/>
        <w:rPr>
          <w:sz w:val="20"/>
          <w:szCs w:val="20"/>
          <w:color w:val="auto"/>
        </w:rPr>
      </w:pPr>
    </w:p>
    <w:p>
      <w:pPr>
        <w:ind w:left="160" w:right="9600" w:hanging="155"/>
        <w:spacing w:after="0" w:line="382" w:lineRule="auto"/>
        <w:tabs>
          <w:tab w:leader="none" w:pos="142"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BUSINESS OVERVIEW </w:t>
      </w:r>
      <w:r>
        <w:rPr>
          <w:rFonts w:ascii="Arial" w:cs="Arial" w:eastAsia="Arial" w:hAnsi="Arial"/>
          <w:sz w:val="14"/>
          <w:szCs w:val="14"/>
          <w:b w:val="1"/>
          <w:bCs w:val="1"/>
          <w:i w:val="1"/>
          <w:iCs w:val="1"/>
          <w:color w:val="auto"/>
        </w:rPr>
        <w:t>Our Business</w:t>
      </w:r>
    </w:p>
    <w:p>
      <w:pPr>
        <w:spacing w:after="0" w:line="1"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29,300 employees as of March 31, 2022.</w:t>
      </w:r>
    </w:p>
    <w:p>
      <w:pPr>
        <w:spacing w:after="0" w:line="142" w:lineRule="exact"/>
        <w:rPr>
          <w:sz w:val="20"/>
          <w:szCs w:val="20"/>
          <w:color w:val="auto"/>
        </w:rPr>
      </w:pPr>
    </w:p>
    <w:p>
      <w:pPr>
        <w:ind w:left="160" w:right="7420" w:hanging="155"/>
        <w:spacing w:after="0" w:line="382" w:lineRule="auto"/>
        <w:tabs>
          <w:tab w:leader="none" w:pos="142"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Basis of Presentation</w:t>
      </w:r>
    </w:p>
    <w:p>
      <w:pPr>
        <w:spacing w:after="0" w:line="1"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the Company and its subsidiaries that are majority-owned or otherwise controlled by the Company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57"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consolidated financial statements and notes of the Company include its subsidiaries and other entities over which the Company has a controlling financial interest or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61"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2022 and 2021 and the Company’s results of operations for fiscal 2022, 2021, and 2020.</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amounts reported in the Company's prior year consolidated financial statements have been reclassified to conform to the current year presentation.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Accounting Estimates</w:t>
      </w:r>
    </w:p>
    <w:p>
      <w:pPr>
        <w:spacing w:after="0" w:line="136" w:lineRule="exact"/>
        <w:rPr>
          <w:sz w:val="20"/>
          <w:szCs w:val="20"/>
          <w:color w:val="auto"/>
        </w:rPr>
      </w:pPr>
    </w:p>
    <w:p>
      <w:pPr>
        <w:ind w:right="40" w:firstLine="318"/>
        <w:spacing w:after="0" w:line="282"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the provision for claimed indirect costs, valuation and expected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ind w:right="220" w:firstLine="318"/>
        <w:spacing w:after="0" w:line="297" w:lineRule="auto"/>
        <w:rPr>
          <w:sz w:val="20"/>
          <w:szCs w:val="20"/>
          <w:color w:val="auto"/>
        </w:rPr>
      </w:pPr>
      <w:r>
        <w:rPr>
          <w:rFonts w:ascii="Arial" w:cs="Arial" w:eastAsia="Arial" w:hAnsi="Arial"/>
          <w:sz w:val="13"/>
          <w:szCs w:val="13"/>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39" w:lineRule="exact"/>
        <w:rPr>
          <w:sz w:val="20"/>
          <w:szCs w:val="20"/>
          <w:color w:val="auto"/>
        </w:rPr>
      </w:pPr>
    </w:p>
    <w:p>
      <w:pPr>
        <w:ind w:right="60" w:firstLine="139"/>
        <w:spacing w:after="0" w:line="281" w:lineRule="auto"/>
        <w:rPr>
          <w:sz w:val="20"/>
          <w:szCs w:val="20"/>
          <w:color w:val="auto"/>
        </w:rPr>
      </w:pPr>
      <w:r>
        <w:rPr>
          <w:rFonts w:ascii="Arial" w:cs="Arial" w:eastAsia="Arial" w:hAnsi="Arial"/>
          <w:sz w:val="14"/>
          <w:szCs w:val="14"/>
          <w:color w:val="auto"/>
        </w:rPr>
        <w:t>The Company considers a contract with a customer to exist under Accounting Standards Codification (ASC) No. 606, Revenue from Contracts with Customers (Topic 606), when there is approval and commitment from both the Company and the</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8"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46"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62" w:lineRule="exact"/>
        <w:rPr>
          <w:sz w:val="20"/>
          <w:szCs w:val="20"/>
          <w:color w:val="auto"/>
        </w:rPr>
      </w:pPr>
    </w:p>
    <w:p>
      <w:pPr>
        <w:ind w:right="60" w:firstLine="318"/>
        <w:spacing w:after="0" w:line="277"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5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53"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For interim financial reporting periods, contract revenue attributable to indirect costs is recognized based upon agreed-upon annual forward-pricing rates established with the U.S. government at the start of each fiscal year. Forward pricing rates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are estimated and agreed upon between the Company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61"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49"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2022, 2021 and 2020, the aggregate impact of adjustments in contract estimates was not material.</w:t>
      </w:r>
    </w:p>
    <w:p>
      <w:pPr>
        <w:spacing w:after="0" w:line="66" w:lineRule="exact"/>
        <w:rPr>
          <w:sz w:val="20"/>
          <w:szCs w:val="20"/>
          <w:color w:val="auto"/>
        </w:rPr>
      </w:pPr>
    </w:p>
    <w:p>
      <w:pPr>
        <w:ind w:right="460" w:firstLine="318"/>
        <w:spacing w:after="0" w:line="368" w:lineRule="auto"/>
        <w:rPr>
          <w:sz w:val="20"/>
          <w:szCs w:val="20"/>
          <w:color w:val="auto"/>
        </w:rPr>
      </w:pPr>
      <w:r>
        <w:rPr>
          <w:rFonts w:ascii="Arial" w:cs="Arial" w:eastAsia="Arial" w:hAnsi="Arial"/>
          <w:sz w:val="12"/>
          <w:szCs w:val="12"/>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94" w:lineRule="exact"/>
        <w:rPr>
          <w:sz w:val="20"/>
          <w:szCs w:val="20"/>
          <w:color w:val="auto"/>
        </w:rPr>
      </w:pPr>
    </w:p>
    <w:p>
      <w:pPr>
        <w:jc w:val="both"/>
        <w:ind w:right="120" w:firstLine="350"/>
        <w:spacing w:after="0" w:line="267" w:lineRule="auto"/>
        <w:rPr>
          <w:sz w:val="20"/>
          <w:szCs w:val="20"/>
          <w:color w:val="auto"/>
        </w:rPr>
      </w:pPr>
      <w:r>
        <w:rPr>
          <w:rFonts w:ascii="Arial" w:cs="Arial" w:eastAsia="Arial" w:hAnsi="Arial"/>
          <w:sz w:val="14"/>
          <w:szCs w:val="14"/>
          <w:color w:val="auto"/>
        </w:rPr>
        <w:t>Cash and cash equivalents include operating cash on hand and highly liquid investments having a weighted average maturity of 60 days or less and a weighted average life of 120 days or less.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Valuation of Accounts Receivable</w:t>
      </w:r>
    </w:p>
    <w:p>
      <w:pPr>
        <w:spacing w:after="0" w:line="94" w:lineRule="exact"/>
        <w:rPr>
          <w:sz w:val="20"/>
          <w:szCs w:val="20"/>
          <w:color w:val="auto"/>
        </w:rPr>
      </w:pPr>
    </w:p>
    <w:p>
      <w:pPr>
        <w:ind w:right="80" w:firstLine="350"/>
        <w:spacing w:after="0" w:line="258" w:lineRule="auto"/>
        <w:rPr>
          <w:sz w:val="20"/>
          <w:szCs w:val="20"/>
          <w:color w:val="auto"/>
        </w:rPr>
      </w:pPr>
      <w:r>
        <w:rPr>
          <w:rFonts w:ascii="Arial" w:cs="Arial" w:eastAsia="Arial" w:hAnsi="Arial"/>
          <w:sz w:val="14"/>
          <w:szCs w:val="14"/>
          <w:color w:val="auto"/>
        </w:rPr>
        <w:t>The Company maintains allowances for doubtful accounts against certain accounts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accounts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4"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94"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the lease term. Maintenance and repairs are charged to expense as incurred.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ind w:right="60" w:firstLine="350"/>
        <w:spacing w:after="0" w:line="278" w:lineRule="auto"/>
        <w:rPr>
          <w:sz w:val="20"/>
          <w:szCs w:val="20"/>
          <w:color w:val="auto"/>
        </w:rPr>
      </w:pPr>
      <w:r>
        <w:rPr>
          <w:rFonts w:ascii="Arial" w:cs="Arial" w:eastAsia="Arial" w:hAnsi="Arial"/>
          <w:sz w:val="13"/>
          <w:szCs w:val="13"/>
          <w:color w:val="auto"/>
        </w:rPr>
        <w:t>Intangible assets primarily consist of programs and contracts assets, channel relationships,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Programs and contract assets, channel relationships, and other amortizable intangible assets are generally amortized on an accelerated basis over the expected life based on projected future cash flows of approximately two to twelve years. Software purchased or developed for internal use is amortized over one to five years. The majority of the Company's trade name intangible assets are not amortized, but are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2022, 2021, and 2020, the Company did not record any impairment of intangible assets.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2022,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2022, 2021, and 2020, the Company did not record any impairment of goodwill.</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Long-Lived Assets</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2022, 2021, and 2020, the Company did not record any impairment charges.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ind w:firstLine="159"/>
        <w:spacing w:after="0" w:line="262" w:lineRule="auto"/>
        <w:rPr>
          <w:sz w:val="20"/>
          <w:szCs w:val="20"/>
          <w:color w:val="auto"/>
        </w:rPr>
      </w:pPr>
      <w:r>
        <w:rPr>
          <w:rFonts w:ascii="Arial" w:cs="Arial" w:eastAsia="Arial" w:hAnsi="Arial"/>
          <w:sz w:val="14"/>
          <w:szCs w:val="14"/>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right-of-use ("ROU") assets, operating lease liabilities, and operating lease liabilities, net of current portion in our consolidated balance sheet. Cash payments arising from operating leases are classified within operating activities in the consolidated statement of cash flows. As of March 31, 2022, the Company had no finance leases.</w:t>
      </w:r>
    </w:p>
    <w:p>
      <w:pPr>
        <w:spacing w:after="0" w:line="61" w:lineRule="exact"/>
        <w:rPr>
          <w:sz w:val="20"/>
          <w:szCs w:val="20"/>
          <w:color w:val="auto"/>
        </w:rPr>
      </w:pPr>
    </w:p>
    <w:p>
      <w:pPr>
        <w:ind w:right="20" w:firstLine="318"/>
        <w:spacing w:after="0" w:line="305" w:lineRule="auto"/>
        <w:rPr>
          <w:sz w:val="20"/>
          <w:szCs w:val="20"/>
          <w:color w:val="auto"/>
        </w:rPr>
      </w:pPr>
      <w:r>
        <w:rPr>
          <w:rFonts w:ascii="Arial" w:cs="Arial" w:eastAsia="Arial" w:hAnsi="Arial"/>
          <w:sz w:val="12"/>
          <w:szCs w:val="12"/>
          <w:color w:val="auto"/>
        </w:rPr>
        <w:t>The Company's leases are generally for facilities and office space and the Company recognizes ROU assets and lease liabilities at the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lease-related payments that do not depend on an index or rate are recorded as lease expense in the period incurred. ROU assets are evaluated for impairment in a manner consistent with the treatment of other long-lived assets.</w:t>
      </w:r>
    </w:p>
    <w:p>
      <w:pPr>
        <w:spacing w:after="0" w:line="40"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As permitted under Topic 842, the Company elected not to recognize ROU assets and lease liabilities for leases with an initial term of 12 months or less; lease expense from these leases is recognized on a straight-line basis over the lease term. As further permitted under Topic 842, for all material classes of leased assets, the Company elected to not separate lease components from non-lease components, and instead account for both components as a single lease component. As of March 31, 2022, the Company did not have any lease agreements with residual value guarantees or material restrictions or covenants.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Company provides for income taxes as a “C” corporation on income earned from operations. The Company is subject to federal, state, and foreign taxation in various jurisdictions.</w:t>
      </w:r>
    </w:p>
    <w:p>
      <w:pPr>
        <w:spacing w:after="0" w:line="105"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65" w:lineRule="exact"/>
        <w:rPr>
          <w:sz w:val="20"/>
          <w:szCs w:val="20"/>
          <w:color w:val="auto"/>
        </w:rPr>
      </w:pPr>
    </w:p>
    <w:p>
      <w:pPr>
        <w:ind w:right="120" w:firstLine="350"/>
        <w:spacing w:after="0" w:line="309" w:lineRule="auto"/>
        <w:rPr>
          <w:sz w:val="20"/>
          <w:szCs w:val="20"/>
          <w:color w:val="auto"/>
        </w:rPr>
      </w:pPr>
      <w:r>
        <w:rPr>
          <w:rFonts w:ascii="Arial" w:cs="Arial" w:eastAsia="Arial" w:hAnsi="Arial"/>
          <w:sz w:val="12"/>
          <w:szCs w:val="12"/>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color w:val="auto"/>
        </w:rPr>
        <w:t>Stock-based compensation to employees is recognized in the consolidated statements of operations based on the grant date fair values with the expense for time vested awards recognized on an accelerated basis over the vesting period. The Company estimates forfeitures anticipated to occur during the vesting period for the purposes of recognizing costs associated with stock-based compensation. The expense for performance awards is estimated at each reporting date using management's expectation of the probable achievement of the specified performance criteria and is recognized straight line over the vesting period. The Company uses the Black-Scholes option-pricing model to determine the fair value of its option awards at the time of grant.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Defined Benefit Plan, Other Post-Retirement Benefits and Long-term Disability Plan</w:t>
      </w:r>
    </w:p>
    <w:p>
      <w:pPr>
        <w:spacing w:after="0" w:line="94" w:lineRule="exact"/>
        <w:rPr>
          <w:sz w:val="20"/>
          <w:szCs w:val="20"/>
          <w:color w:val="auto"/>
        </w:rPr>
      </w:pPr>
    </w:p>
    <w:p>
      <w:pPr>
        <w:ind w:right="180" w:firstLine="350"/>
        <w:spacing w:after="0" w:line="297" w:lineRule="auto"/>
        <w:rPr>
          <w:sz w:val="20"/>
          <w:szCs w:val="20"/>
          <w:color w:val="auto"/>
        </w:rPr>
      </w:pPr>
      <w:r>
        <w:rPr>
          <w:rFonts w:ascii="Arial" w:cs="Arial" w:eastAsia="Arial" w:hAnsi="Arial"/>
          <w:sz w:val="13"/>
          <w:szCs w:val="13"/>
          <w:color w:val="auto"/>
        </w:rPr>
        <w:t>The Company recognizes the underfunded status of defined benefit plans and other post-retirement benefits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39" w:lineRule="exact"/>
        <w:rPr>
          <w:sz w:val="20"/>
          <w:szCs w:val="20"/>
          <w:color w:val="auto"/>
        </w:rPr>
      </w:pPr>
    </w:p>
    <w:p>
      <w:pPr>
        <w:jc w:val="both"/>
        <w:ind w:right="360"/>
        <w:spacing w:after="0" w:line="267" w:lineRule="auto"/>
        <w:rPr>
          <w:sz w:val="20"/>
          <w:szCs w:val="20"/>
          <w:color w:val="auto"/>
        </w:rPr>
      </w:pPr>
      <w:r>
        <w:rPr>
          <w:rFonts w:ascii="Arial" w:cs="Arial" w:eastAsia="Arial" w:hAnsi="Arial"/>
          <w:sz w:val="14"/>
          <w:szCs w:val="14"/>
          <w:color w:val="auto"/>
        </w:rPr>
        <w:t>The Company also offers medical and dental benefits to inactive employees (and their eligible dependents) on long-term disability. The Company accrues the costs of the benefits at the date the inactive employee becomes disability eligible and elects to participate in the benefit. The accrued cost for such benefits is calculated using an actuarial estimate of the present value of all future benefit payments for obligations at the end of the fiscal year.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Self-Funded Medical Plans</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94" w:lineRule="exact"/>
        <w:rPr>
          <w:sz w:val="20"/>
          <w:szCs w:val="20"/>
          <w:color w:val="auto"/>
        </w:rPr>
      </w:pPr>
    </w:p>
    <w:p>
      <w:pPr>
        <w:ind w:right="4380" w:firstLine="318"/>
        <w:spacing w:after="0" w:line="304" w:lineRule="auto"/>
        <w:rPr>
          <w:sz w:val="20"/>
          <w:szCs w:val="20"/>
          <w:color w:val="auto"/>
        </w:rPr>
      </w:pPr>
      <w:r>
        <w:rPr>
          <w:rFonts w:ascii="Arial" w:cs="Arial" w:eastAsia="Arial" w:hAnsi="Arial"/>
          <w:sz w:val="12"/>
          <w:szCs w:val="12"/>
          <w:color w:val="auto"/>
        </w:rPr>
        <w:t xml:space="preserve">In November 2020, the SEC issued Release No. 33-10890, </w:t>
      </w:r>
      <w:r>
        <w:rPr>
          <w:rFonts w:ascii="Arial" w:cs="Arial" w:eastAsia="Arial" w:hAnsi="Arial"/>
          <w:sz w:val="12"/>
          <w:szCs w:val="12"/>
          <w:i w:val="1"/>
          <w:iCs w:val="1"/>
          <w:color w:val="auto"/>
        </w:rPr>
        <w:t>Amendments to Management's Discussion and Analysis,</w:t>
      </w:r>
      <w:r>
        <w:rPr>
          <w:rFonts w:ascii="Arial" w:cs="Arial" w:eastAsia="Arial" w:hAnsi="Arial"/>
          <w:sz w:val="12"/>
          <w:szCs w:val="12"/>
          <w:color w:val="auto"/>
        </w:rPr>
        <w:t xml:space="preserve"> </w:t>
      </w:r>
      <w:r>
        <w:rPr>
          <w:rFonts w:ascii="Arial" w:cs="Arial" w:eastAsia="Arial" w:hAnsi="Arial"/>
          <w:sz w:val="12"/>
          <w:szCs w:val="12"/>
          <w:i w:val="1"/>
          <w:iCs w:val="1"/>
          <w:color w:val="auto"/>
        </w:rPr>
        <w:t>Selected Financial Data, and Supplementary Financial Information</w:t>
      </w:r>
      <w:r>
        <w:rPr>
          <w:rFonts w:ascii="Arial" w:cs="Arial" w:eastAsia="Arial" w:hAnsi="Arial"/>
          <w:sz w:val="12"/>
          <w:szCs w:val="12"/>
          <w:color w:val="auto"/>
        </w:rPr>
        <w:t>, to simplify, modernize and enhance certain financial</w:t>
      </w:r>
    </w:p>
    <w:p>
      <w:pPr>
        <w:ind w:right="280"/>
        <w:spacing w:after="0" w:line="266" w:lineRule="auto"/>
        <w:rPr>
          <w:sz w:val="20"/>
          <w:szCs w:val="20"/>
          <w:color w:val="auto"/>
        </w:rPr>
      </w:pPr>
      <w:r>
        <w:rPr>
          <w:rFonts w:ascii="Arial" w:cs="Arial" w:eastAsia="Arial" w:hAnsi="Arial"/>
          <w:sz w:val="14"/>
          <w:szCs w:val="14"/>
          <w:color w:val="auto"/>
        </w:rPr>
        <w:t>disclosure requirements in Regulation S-K. The Company updated its disclosures throughout this Annual Report on Form 10-K to comply with these amendments. The Company’s adoption only impacted the Company's disclosures and did not impact the consolidated financial statements.</w:t>
      </w:r>
    </w:p>
    <w:p>
      <w:pPr>
        <w:spacing w:after="0" w:line="57" w:lineRule="exact"/>
        <w:rPr>
          <w:sz w:val="20"/>
          <w:szCs w:val="20"/>
          <w:color w:val="auto"/>
        </w:rPr>
      </w:pPr>
    </w:p>
    <w:p>
      <w:pPr>
        <w:ind w:right="80" w:firstLine="318"/>
        <w:spacing w:after="0" w:line="288" w:lineRule="auto"/>
        <w:rPr>
          <w:sz w:val="20"/>
          <w:szCs w:val="20"/>
          <w:color w:val="auto"/>
        </w:rPr>
      </w:pPr>
      <w:r>
        <w:rPr>
          <w:rFonts w:ascii="Arial" w:cs="Arial" w:eastAsia="Arial" w:hAnsi="Arial"/>
          <w:sz w:val="13"/>
          <w:szCs w:val="13"/>
          <w:color w:val="auto"/>
        </w:rPr>
        <w:t xml:space="preserve">In October 2021, the FASB issued ASU 2021-08, </w:t>
      </w:r>
      <w:r>
        <w:rPr>
          <w:rFonts w:ascii="Arial" w:cs="Arial" w:eastAsia="Arial" w:hAnsi="Arial"/>
          <w:sz w:val="13"/>
          <w:szCs w:val="13"/>
          <w:i w:val="1"/>
          <w:iCs w:val="1"/>
          <w:color w:val="auto"/>
        </w:rPr>
        <w:t>Business Combinations (Topic 805): Accounting for Contract Assets and Contract Liabilities from Contracts with Customers,</w:t>
      </w:r>
      <w:r>
        <w:rPr>
          <w:rFonts w:ascii="Arial" w:cs="Arial" w:eastAsia="Arial" w:hAnsi="Arial"/>
          <w:sz w:val="13"/>
          <w:szCs w:val="13"/>
          <w:color w:val="auto"/>
        </w:rPr>
        <w:t xml:space="preserve"> which amends the accounting for acquired revenue contracts with customers in a business combination to address recognition of an acquired contract liability and payment terms, and their effect on subsequent revenue recognized by the acquirer. ASU 2021-08 is effective for annual periods beginning after December 15, 2022 on a prospective basis. Early adoption is permitted. The Company early adopted the requirements of ASU 2021-08 to apply the amendments prospectively to all business combinations that occurred on or after April 1, 2022.</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94" w:lineRule="exact"/>
        <w:rPr>
          <w:sz w:val="20"/>
          <w:szCs w:val="20"/>
          <w:color w:val="auto"/>
        </w:rPr>
      </w:pPr>
    </w:p>
    <w:p>
      <w:pPr>
        <w:ind w:right="200" w:firstLine="350"/>
        <w:spacing w:after="0" w:line="281" w:lineRule="auto"/>
        <w:rPr>
          <w:sz w:val="20"/>
          <w:szCs w:val="20"/>
          <w:color w:val="auto"/>
        </w:rPr>
      </w:pPr>
      <w:r>
        <w:rPr>
          <w:rFonts w:ascii="Arial" w:cs="Arial" w:eastAsia="Arial" w:hAnsi="Arial"/>
          <w:sz w:val="14"/>
          <w:szCs w:val="14"/>
          <w:color w:val="auto"/>
        </w:rPr>
        <w:t>Other recent accounting pronouncements issued during fiscal 2022 and through the filing date are not expected to have a material impact on the Company's present or historical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w:t>
      </w:r>
    </w:p>
    <w:p>
      <w:pPr>
        <w:spacing w:after="0" w:line="9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94" w:lineRule="exact"/>
        <w:rPr>
          <w:sz w:val="20"/>
          <w:szCs w:val="20"/>
          <w:color w:val="auto"/>
        </w:rPr>
      </w:pPr>
    </w:p>
    <w:p>
      <w:pPr>
        <w:ind w:right="540" w:firstLine="318"/>
        <w:spacing w:after="0" w:line="267" w:lineRule="auto"/>
        <w:rPr>
          <w:sz w:val="20"/>
          <w:szCs w:val="20"/>
          <w:color w:val="auto"/>
        </w:rPr>
      </w:pPr>
      <w:r>
        <w:rPr>
          <w:rFonts w:ascii="Arial" w:cs="Arial" w:eastAsia="Arial" w:hAnsi="Arial"/>
          <w:sz w:val="14"/>
          <w:szCs w:val="14"/>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Contract Type: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hanging="517"/>
        <w:spacing w:after="0" w:line="281" w:lineRule="auto"/>
        <w:tabs>
          <w:tab w:leader="none" w:pos="1536"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47" w:lineRule="exact"/>
        <w:rPr>
          <w:rFonts w:ascii="Arial" w:cs="Arial" w:eastAsia="Arial" w:hAnsi="Arial"/>
          <w:sz w:val="14"/>
          <w:szCs w:val="14"/>
          <w:color w:val="auto"/>
        </w:rPr>
      </w:pPr>
    </w:p>
    <w:p>
      <w:pPr>
        <w:ind w:left="1540" w:right="140" w:hanging="517"/>
        <w:spacing w:after="0" w:line="267" w:lineRule="auto"/>
        <w:tabs>
          <w:tab w:leader="none" w:pos="1536" w:val="left"/>
        </w:tabs>
        <w:numPr>
          <w:ilvl w:val="0"/>
          <w:numId w:val="55"/>
        </w:numPr>
        <w:rPr>
          <w:rFonts w:ascii="Arial" w:cs="Arial" w:eastAsia="Arial" w:hAnsi="Arial"/>
          <w:sz w:val="14"/>
          <w:szCs w:val="14"/>
          <w:color w:val="auto"/>
        </w:rPr>
      </w:pPr>
      <w:r>
        <w:rPr>
          <w:rFonts w:ascii="Arial" w:cs="Arial" w:eastAsia="Arial" w:hAnsi="Arial"/>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6" w:lineRule="exact"/>
        <w:rPr>
          <w:rFonts w:ascii="Arial" w:cs="Arial" w:eastAsia="Arial" w:hAnsi="Arial"/>
          <w:sz w:val="14"/>
          <w:szCs w:val="14"/>
          <w:color w:val="auto"/>
        </w:rPr>
      </w:pPr>
    </w:p>
    <w:p>
      <w:pPr>
        <w:ind w:left="1540" w:right="20" w:hanging="517"/>
        <w:spacing w:after="0" w:line="321" w:lineRule="auto"/>
        <w:tabs>
          <w:tab w:leader="none" w:pos="1536"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total revenue for each type of contract:</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46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r>
      <w:tr>
        <w:trPr>
          <w:trHeight w:val="161"/>
        </w:trPr>
        <w:tc>
          <w:tcPr>
            <w:tcW w:w="46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Cost-reimbursable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4,514,262</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4,419,533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4,211,592</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57%</w:t>
            </w:r>
          </w:p>
        </w:tc>
      </w:tr>
      <w:tr>
        <w:trPr>
          <w:trHeight w:val="168"/>
        </w:trPr>
        <w:tc>
          <w:tcPr>
            <w:tcW w:w="4660" w:type="dxa"/>
            <w:vAlign w:val="bottom"/>
          </w:tcPr>
          <w:p>
            <w:pPr>
              <w:ind w:left="20"/>
              <w:spacing w:after="0"/>
              <w:rPr>
                <w:sz w:val="20"/>
                <w:szCs w:val="20"/>
                <w:color w:val="auto"/>
              </w:rPr>
            </w:pPr>
            <w:r>
              <w:rPr>
                <w:rFonts w:ascii="Arial" w:cs="Arial" w:eastAsia="Arial" w:hAnsi="Arial"/>
                <w:sz w:val="13"/>
                <w:szCs w:val="13"/>
                <w:color w:val="auto"/>
              </w:rPr>
              <w:t>Time-and-materials</w:t>
            </w:r>
          </w:p>
        </w:tc>
        <w:tc>
          <w:tcPr>
            <w:tcW w:w="400" w:type="dxa"/>
            <w:vAlign w:val="bottom"/>
          </w:tcPr>
          <w:p>
            <w:pPr>
              <w:spacing w:after="0"/>
              <w:rPr>
                <w:sz w:val="14"/>
                <w:szCs w:val="14"/>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2,017,094</w:t>
            </w:r>
          </w:p>
        </w:tc>
        <w:tc>
          <w:tcPr>
            <w:tcW w:w="580" w:type="dxa"/>
            <w:vAlign w:val="bottom"/>
          </w:tcPr>
          <w:p>
            <w:pPr>
              <w:jc w:val="center"/>
              <w:spacing w:after="0"/>
              <w:rPr>
                <w:sz w:val="20"/>
                <w:szCs w:val="20"/>
                <w:color w:val="auto"/>
              </w:rPr>
            </w:pPr>
            <w:r>
              <w:rPr>
                <w:rFonts w:ascii="Arial" w:cs="Arial" w:eastAsia="Arial" w:hAnsi="Arial"/>
                <w:sz w:val="13"/>
                <w:szCs w:val="13"/>
                <w:color w:val="auto"/>
                <w:w w:val="92"/>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9"/>
              <w:spacing w:after="0"/>
              <w:rPr>
                <w:sz w:val="20"/>
                <w:szCs w:val="20"/>
                <w:color w:val="auto"/>
              </w:rPr>
            </w:pPr>
            <w:r>
              <w:rPr>
                <w:rFonts w:ascii="Arial" w:cs="Arial" w:eastAsia="Arial" w:hAnsi="Arial"/>
                <w:sz w:val="13"/>
                <w:szCs w:val="13"/>
                <w:color w:val="auto"/>
              </w:rPr>
              <w:t>1,962,999</w:t>
            </w:r>
          </w:p>
        </w:tc>
        <w:tc>
          <w:tcPr>
            <w:tcW w:w="600" w:type="dxa"/>
            <w:vAlign w:val="bottom"/>
          </w:tcPr>
          <w:p>
            <w:pPr>
              <w:jc w:val="center"/>
              <w:spacing w:after="0"/>
              <w:rPr>
                <w:sz w:val="20"/>
                <w:szCs w:val="20"/>
                <w:color w:val="auto"/>
              </w:rPr>
            </w:pPr>
            <w:r>
              <w:rPr>
                <w:rFonts w:ascii="Arial" w:cs="Arial" w:eastAsia="Arial" w:hAnsi="Arial"/>
                <w:sz w:val="13"/>
                <w:szCs w:val="13"/>
                <w:color w:val="auto"/>
                <w:w w:val="84"/>
              </w:rPr>
              <w:t>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1,737,414</w:t>
            </w:r>
          </w:p>
        </w:tc>
        <w:tc>
          <w:tcPr>
            <w:tcW w:w="580" w:type="dxa"/>
            <w:vAlign w:val="bottom"/>
          </w:tcPr>
          <w:p>
            <w:pPr>
              <w:jc w:val="center"/>
              <w:spacing w:after="0"/>
              <w:rPr>
                <w:sz w:val="20"/>
                <w:szCs w:val="20"/>
                <w:color w:val="auto"/>
              </w:rPr>
            </w:pPr>
            <w:r>
              <w:rPr>
                <w:rFonts w:ascii="Arial" w:cs="Arial" w:eastAsia="Arial" w:hAnsi="Arial"/>
                <w:sz w:val="13"/>
                <w:szCs w:val="13"/>
                <w:color w:val="auto"/>
                <w:w w:val="92"/>
              </w:rPr>
              <w:t>23%</w:t>
            </w: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Fixed-price</w:t>
            </w: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1,832,344</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1,476,406</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4"/>
              </w:rPr>
              <w:t>19%</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1,514,835</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20%</w:t>
            </w:r>
          </w:p>
        </w:tc>
      </w:tr>
      <w:tr>
        <w:trPr>
          <w:trHeight w:val="156"/>
        </w:trPr>
        <w:tc>
          <w:tcPr>
            <w:tcW w:w="4660" w:type="dxa"/>
            <w:vAlign w:val="bottom"/>
          </w:tcPr>
          <w:p>
            <w:pPr>
              <w:ind w:left="20"/>
              <w:spacing w:after="0" w:line="146" w:lineRule="exact"/>
              <w:rPr>
                <w:sz w:val="20"/>
                <w:szCs w:val="20"/>
                <w:color w:val="auto"/>
              </w:rPr>
            </w:pPr>
            <w:r>
              <w:rPr>
                <w:rFonts w:ascii="Arial" w:cs="Arial" w:eastAsia="Arial" w:hAnsi="Arial"/>
                <w:sz w:val="13"/>
                <w:szCs w:val="13"/>
                <w:color w:val="auto"/>
              </w:rPr>
              <w:t>Total Revenue</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8,363,700</w:t>
            </w:r>
          </w:p>
        </w:tc>
        <w:tc>
          <w:tcPr>
            <w:tcW w:w="580" w:type="dxa"/>
            <w:vAlign w:val="bottom"/>
          </w:tcPr>
          <w:p>
            <w:pPr>
              <w:jc w:val="center"/>
              <w:ind w:right="16"/>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9"/>
              <w:spacing w:after="0"/>
              <w:rPr>
                <w:sz w:val="20"/>
                <w:szCs w:val="20"/>
                <w:color w:val="auto"/>
              </w:rPr>
            </w:pPr>
            <w:r>
              <w:rPr>
                <w:rFonts w:ascii="Arial" w:cs="Arial" w:eastAsia="Arial" w:hAnsi="Arial"/>
                <w:sz w:val="13"/>
                <w:szCs w:val="13"/>
                <w:color w:val="auto"/>
              </w:rPr>
              <w:t>7,858,938</w:t>
            </w:r>
          </w:p>
        </w:tc>
        <w:tc>
          <w:tcPr>
            <w:tcW w:w="600" w:type="dxa"/>
            <w:vAlign w:val="bottom"/>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7,463,841</w:t>
            </w:r>
          </w:p>
        </w:tc>
        <w:tc>
          <w:tcPr>
            <w:tcW w:w="580" w:type="dxa"/>
            <w:vAlign w:val="bottom"/>
          </w:tcPr>
          <w:p>
            <w:pPr>
              <w:jc w:val="center"/>
              <w:ind w:right="16"/>
              <w:spacing w:after="0"/>
              <w:rPr>
                <w:sz w:val="20"/>
                <w:szCs w:val="20"/>
                <w:color w:val="auto"/>
              </w:rPr>
            </w:pPr>
            <w:r>
              <w:rPr>
                <w:rFonts w:ascii="Arial" w:cs="Arial" w:eastAsia="Arial" w:hAnsi="Arial"/>
                <w:sz w:val="13"/>
                <w:szCs w:val="13"/>
                <w:color w:val="auto"/>
                <w:w w:val="90"/>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8" w:right="3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Customer Type:</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51"/>
        </w:trPr>
        <w:tc>
          <w:tcPr>
            <w:tcW w:w="46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Fiscal Year Ended March 31,</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r>
      <w:tr>
        <w:trPr>
          <w:trHeight w:val="151"/>
        </w:trPr>
        <w:tc>
          <w:tcPr>
            <w:tcW w:w="4660" w:type="dxa"/>
            <w:vAlign w:val="bottom"/>
            <w:shd w:val="clear" w:color="auto" w:fill="CCEEFF"/>
          </w:tcPr>
          <w:p>
            <w:pPr>
              <w:ind w:left="20"/>
              <w:spacing w:after="0" w:line="151" w:lineRule="exact"/>
              <w:rPr>
                <w:sz w:val="20"/>
                <w:szCs w:val="20"/>
                <w:color w:val="auto"/>
              </w:rPr>
            </w:pPr>
            <w:r>
              <w:rPr>
                <w:rFonts w:ascii="Arial" w:cs="Arial" w:eastAsia="Arial" w:hAnsi="Arial"/>
                <w:sz w:val="13"/>
                <w:szCs w:val="13"/>
                <w:color w:val="auto"/>
              </w:rPr>
              <w:t>U.S. government</w:t>
            </w:r>
            <w:r>
              <w:rPr>
                <w:rFonts w:ascii="Arial" w:cs="Arial" w:eastAsia="Arial" w:hAnsi="Arial"/>
                <w:sz w:val="16"/>
                <w:szCs w:val="16"/>
                <w:color w:val="auto"/>
                <w:vertAlign w:val="superscript"/>
              </w:rPr>
              <w:t>(1)</w:t>
            </w: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4660" w:type="dxa"/>
            <w:vAlign w:val="bottom"/>
          </w:tcPr>
          <w:p>
            <w:pPr>
              <w:ind w:left="20"/>
              <w:spacing w:after="0"/>
              <w:rPr>
                <w:sz w:val="20"/>
                <w:szCs w:val="20"/>
                <w:color w:val="auto"/>
              </w:rPr>
            </w:pPr>
            <w:r>
              <w:rPr>
                <w:rFonts w:ascii="Arial" w:cs="Arial" w:eastAsia="Arial" w:hAnsi="Arial"/>
                <w:sz w:val="13"/>
                <w:szCs w:val="13"/>
                <w:color w:val="auto"/>
              </w:rPr>
              <w:t>Defense Clients</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3,955,473</w:t>
            </w:r>
          </w:p>
        </w:tc>
        <w:tc>
          <w:tcPr>
            <w:tcW w:w="600" w:type="dxa"/>
            <w:vAlign w:val="bottom"/>
          </w:tcPr>
          <w:p>
            <w:pPr>
              <w:jc w:val="center"/>
              <w:ind w:right="16"/>
              <w:spacing w:after="0"/>
              <w:rPr>
                <w:sz w:val="20"/>
                <w:szCs w:val="20"/>
                <w:color w:val="auto"/>
              </w:rPr>
            </w:pPr>
            <w:r>
              <w:rPr>
                <w:rFonts w:ascii="Arial" w:cs="Arial" w:eastAsia="Arial" w:hAnsi="Arial"/>
                <w:sz w:val="13"/>
                <w:szCs w:val="13"/>
                <w:color w:val="auto"/>
                <w:w w:val="92"/>
              </w:rPr>
              <w:t>47%</w:t>
            </w:r>
          </w:p>
        </w:tc>
        <w:tc>
          <w:tcPr>
            <w:tcW w:w="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58"/>
              <w:spacing w:after="0"/>
              <w:rPr>
                <w:sz w:val="20"/>
                <w:szCs w:val="20"/>
                <w:color w:val="auto"/>
              </w:rPr>
            </w:pPr>
            <w:r>
              <w:rPr>
                <w:rFonts w:ascii="Arial" w:cs="Arial" w:eastAsia="Arial" w:hAnsi="Arial"/>
                <w:sz w:val="13"/>
                <w:szCs w:val="13"/>
                <w:color w:val="auto"/>
              </w:rPr>
              <w:t>3,920,503</w:t>
            </w:r>
          </w:p>
        </w:tc>
        <w:tc>
          <w:tcPr>
            <w:tcW w:w="600" w:type="dxa"/>
            <w:vAlign w:val="bottom"/>
          </w:tcPr>
          <w:p>
            <w:pPr>
              <w:jc w:val="center"/>
              <w:spacing w:after="0"/>
              <w:rPr>
                <w:sz w:val="20"/>
                <w:szCs w:val="20"/>
                <w:color w:val="auto"/>
              </w:rPr>
            </w:pPr>
            <w:r>
              <w:rPr>
                <w:rFonts w:ascii="Arial" w:cs="Arial" w:eastAsia="Arial" w:hAnsi="Arial"/>
                <w:sz w:val="13"/>
                <w:szCs w:val="13"/>
                <w:color w:val="auto"/>
                <w:w w:val="84"/>
              </w:rPr>
              <w:t>49%</w:t>
            </w:r>
          </w:p>
        </w:tc>
        <w:tc>
          <w:tcPr>
            <w:tcW w:w="10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3,596,081</w:t>
            </w:r>
          </w:p>
        </w:tc>
        <w:tc>
          <w:tcPr>
            <w:tcW w:w="580" w:type="dxa"/>
            <w:vAlign w:val="bottom"/>
          </w:tcPr>
          <w:p>
            <w:pPr>
              <w:jc w:val="center"/>
              <w:spacing w:after="0"/>
              <w:rPr>
                <w:sz w:val="20"/>
                <w:szCs w:val="20"/>
                <w:color w:val="auto"/>
              </w:rPr>
            </w:pPr>
            <w:r>
              <w:rPr>
                <w:rFonts w:ascii="Arial" w:cs="Arial" w:eastAsia="Arial" w:hAnsi="Arial"/>
                <w:sz w:val="13"/>
                <w:szCs w:val="13"/>
                <w:color w:val="auto"/>
                <w:w w:val="92"/>
              </w:rPr>
              <w:t>47%</w:t>
            </w: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Intelligence Clients</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1,573,037</w:t>
            </w: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1,549,417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1,580,925</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w:t>
            </w:r>
          </w:p>
        </w:tc>
      </w:tr>
      <w:tr>
        <w:trPr>
          <w:trHeight w:val="16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Civil Clients</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2,618,914</w:t>
            </w: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color w:val="auto"/>
                <w:w w:val="92"/>
              </w:rPr>
              <w:t>31%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2,183,184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28%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2,020,320</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27%</w:t>
            </w:r>
          </w:p>
        </w:tc>
      </w:tr>
      <w:tr>
        <w:trPr>
          <w:trHeight w:val="163"/>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U.S. government</w:t>
            </w: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8,147,424</w:t>
            </w: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7,653,104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97%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7,197,326</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w:t>
            </w:r>
          </w:p>
        </w:tc>
      </w:tr>
      <w:tr>
        <w:trPr>
          <w:trHeight w:val="16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Global Commercial Clients</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216,276</w:t>
            </w: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color w:val="auto"/>
                <w:w w:val="84"/>
              </w:rPr>
              <w:t>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205,834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266,515</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4%</w:t>
            </w:r>
          </w:p>
        </w:tc>
      </w:tr>
      <w:tr>
        <w:trPr>
          <w:trHeight w:val="163"/>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Revenue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8,363,700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7,858,938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7,463,841</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100%</w:t>
            </w:r>
          </w:p>
        </w:tc>
      </w:tr>
    </w:tbl>
    <w:p>
      <w:pPr>
        <w:spacing w:after="0" w:line="148" w:lineRule="exact"/>
        <w:rPr>
          <w:sz w:val="20"/>
          <w:szCs w:val="20"/>
          <w:color w:val="auto"/>
        </w:rPr>
      </w:pPr>
    </w:p>
    <w:p>
      <w:pPr>
        <w:ind w:left="140" w:firstLine="183"/>
        <w:spacing w:after="0" w:line="266" w:lineRule="auto"/>
        <w:tabs>
          <w:tab w:leader="none" w:pos="461"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Certain contracts were reassigned between the various verticals of our U.S. government business shown in the table above to better align our operations to the customers we serve within each market. Prior year revenue by customer type has been recast to reflect the changes.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Whether the Company Acts as a Prime Contractor or a Sub-Contractor:</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151"/>
        </w:trPr>
        <w:tc>
          <w:tcPr>
            <w:tcW w:w="46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Fiscal Year Ended March 31,</w:t>
            </w: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2"/>
                <w:szCs w:val="12"/>
                <w:color w:val="auto"/>
              </w:rPr>
            </w:pPr>
          </w:p>
        </w:tc>
      </w:tr>
      <w:tr>
        <w:trPr>
          <w:trHeight w:val="161"/>
        </w:trPr>
        <w:tc>
          <w:tcPr>
            <w:tcW w:w="466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Prime Contractor</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7,864,273</w:t>
            </w: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7,311,313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93%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6,884,763</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92%</w:t>
            </w:r>
          </w:p>
        </w:tc>
      </w:tr>
      <w:tr>
        <w:trPr>
          <w:trHeight w:val="16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Sub-contractor</w:t>
            </w: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499,427</w:t>
            </w: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color w:val="auto"/>
                <w:w w:val="84"/>
              </w:rPr>
              <w:t>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547,625</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7%</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579,078</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8%</w:t>
            </w:r>
          </w:p>
        </w:tc>
      </w:tr>
      <w:tr>
        <w:trPr>
          <w:trHeight w:val="163"/>
        </w:trPr>
        <w:tc>
          <w:tcPr>
            <w:tcW w:w="46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Total Revenue</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8,363,700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7,858,938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7,463,841</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100%</w:t>
            </w:r>
          </w:p>
        </w:tc>
      </w:tr>
    </w:tbl>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Performance Obligations</w:t>
      </w:r>
    </w:p>
    <w:p>
      <w:pPr>
        <w:spacing w:after="0" w:line="94"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7" w:lineRule="exact"/>
        <w:rPr>
          <w:sz w:val="20"/>
          <w:szCs w:val="20"/>
          <w:color w:val="auto"/>
        </w:rPr>
      </w:pPr>
    </w:p>
    <w:p>
      <w:pPr>
        <w:ind w:right="40" w:firstLine="318"/>
        <w:spacing w:after="0" w:line="368" w:lineRule="auto"/>
        <w:rPr>
          <w:sz w:val="20"/>
          <w:szCs w:val="20"/>
          <w:color w:val="auto"/>
        </w:rPr>
      </w:pPr>
      <w:r>
        <w:rPr>
          <w:rFonts w:ascii="Arial" w:cs="Arial" w:eastAsia="Arial" w:hAnsi="Arial"/>
          <w:sz w:val="12"/>
          <w:szCs w:val="12"/>
          <w:color w:val="auto"/>
        </w:rPr>
        <w:t>As of March 31, 2022 and 2021, the Company had $7.4 billion and $6.7 billion of remaining performance obligations, respectively. We expect to recognize approximately 70% of the remaining performance obligations as of March 31, 2022 as revenue over the next 12 months, and approximately 85% over the next 24 months. The remainder is expected to be recognized thereafter.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As discussed in Note 2, 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time-and-materials contracts are typically billed to the customer at periodic intervals (e.g. monthly or weekly) as indicated by the terms of the contract. Disparities between the timing of revenue recognition and customer billings and cash collections result in net contract assets or liabilities being recognized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yet been presented to customers.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Contract liabilities primarily consist of advance payments, billings in excess of costs incurred and deferred revenue. Contract assets and liabilities are reported on a net contract basis at the end of each reporting period. The Company maintains an allowance for credit losses to provide for an estimate of uncollectible receivables. Benefit for credit losses recognized were $(1.5) million, $(2.6) million, and $(6.4) million for fiscal 2022, 2021, and 2020, respectively.</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following table summarizes the contract assets and liabilities, and accounts receivable, net of allowance recognized on the Company’s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rPr>
              <w:t>March 31,</w:t>
            </w:r>
          </w:p>
        </w:tc>
        <w:tc>
          <w:tcPr>
            <w:tcW w:w="1440" w:type="dxa"/>
            <w:vAlign w:val="bottom"/>
            <w:tcBorders>
              <w:bottom w:val="single" w:sz="8" w:color="auto"/>
            </w:tcBorders>
          </w:tcPr>
          <w:p>
            <w:pPr>
              <w:spacing w:after="0"/>
              <w:rPr>
                <w:sz w:val="13"/>
                <w:szCs w:val="13"/>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2022</w:t>
            </w: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11"/>
              <w:spacing w:after="0"/>
              <w:rPr>
                <w:sz w:val="20"/>
                <w:szCs w:val="20"/>
                <w:color w:val="auto"/>
              </w:rPr>
            </w:pPr>
            <w:r>
              <w:rPr>
                <w:rFonts w:ascii="Arial" w:cs="Arial" w:eastAsia="Arial" w:hAnsi="Arial"/>
                <w:sz w:val="11"/>
                <w:szCs w:val="11"/>
                <w:b w:val="1"/>
                <w:bCs w:val="1"/>
                <w:color w:val="auto"/>
              </w:rPr>
              <w:t>2021</w:t>
            </w:r>
          </w:p>
        </w:tc>
      </w:tr>
      <w:tr>
        <w:trPr>
          <w:trHeight w:val="161"/>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1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0"/>
        </w:trPr>
        <w:tc>
          <w:tcPr>
            <w:tcW w:w="7200" w:type="dxa"/>
            <w:vAlign w:val="bottom"/>
          </w:tcPr>
          <w:p>
            <w:pPr>
              <w:ind w:left="280"/>
              <w:spacing w:after="0"/>
              <w:rPr>
                <w:sz w:val="20"/>
                <w:szCs w:val="20"/>
                <w:color w:val="auto"/>
              </w:rPr>
            </w:pPr>
            <w:r>
              <w:rPr>
                <w:rFonts w:ascii="Arial" w:cs="Arial" w:eastAsia="Arial" w:hAnsi="Arial"/>
                <w:sz w:val="14"/>
                <w:szCs w:val="14"/>
                <w:color w:val="auto"/>
              </w:rPr>
              <w:t>Accounts receivable–billed</w:t>
            </w:r>
          </w:p>
        </w:tc>
        <w:tc>
          <w:tcPr>
            <w:tcW w:w="1240" w:type="dxa"/>
            <w:vAlign w:val="bottom"/>
          </w:tcPr>
          <w:p>
            <w:pPr>
              <w:jc w:val="right"/>
              <w:ind w:right="1093"/>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465,322</w:t>
            </w:r>
          </w:p>
        </w:tc>
        <w:tc>
          <w:tcPr>
            <w:tcW w:w="80" w:type="dxa"/>
            <w:vAlign w:val="bottom"/>
          </w:tcPr>
          <w:p>
            <w:pPr>
              <w:spacing w:after="0"/>
              <w:rPr>
                <w:sz w:val="15"/>
                <w:szCs w:val="15"/>
                <w:color w:val="auto"/>
              </w:rPr>
            </w:pP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375,383</w:t>
            </w:r>
          </w:p>
        </w:tc>
      </w:tr>
      <w:tr>
        <w:trPr>
          <w:trHeight w:val="181"/>
        </w:trPr>
        <w:tc>
          <w:tcPr>
            <w:tcW w:w="7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receivable–unbilled (contract assets)</w:t>
            </w:r>
          </w:p>
        </w:tc>
        <w:tc>
          <w:tcPr>
            <w:tcW w:w="1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1,157,667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1,037,968</w:t>
            </w:r>
          </w:p>
        </w:tc>
      </w:tr>
      <w:tr>
        <w:trPr>
          <w:trHeight w:val="180"/>
        </w:trPr>
        <w:tc>
          <w:tcPr>
            <w:tcW w:w="7200" w:type="dxa"/>
            <w:vAlign w:val="bottom"/>
          </w:tcPr>
          <w:p>
            <w:pPr>
              <w:ind w:left="280"/>
              <w:spacing w:after="0"/>
              <w:rPr>
                <w:sz w:val="20"/>
                <w:szCs w:val="20"/>
                <w:color w:val="auto"/>
              </w:rPr>
            </w:pPr>
            <w:r>
              <w:rPr>
                <w:rFonts w:ascii="Arial" w:cs="Arial" w:eastAsia="Arial" w:hAnsi="Arial"/>
                <w:sz w:val="14"/>
                <w:szCs w:val="14"/>
                <w:color w:val="auto"/>
              </w:rPr>
              <w:t>Allowance for credit losses</w:t>
            </w:r>
          </w:p>
        </w:tc>
        <w:tc>
          <w:tcPr>
            <w:tcW w:w="1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(1,457)</w:t>
            </w:r>
          </w:p>
        </w:tc>
      </w:tr>
      <w:tr>
        <w:trPr>
          <w:trHeight w:val="171"/>
        </w:trPr>
        <w:tc>
          <w:tcPr>
            <w:tcW w:w="72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1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1,622,989</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1,411,894</w:t>
            </w:r>
          </w:p>
        </w:tc>
      </w:tr>
      <w:tr>
        <w:trPr>
          <w:trHeight w:val="180"/>
        </w:trPr>
        <w:tc>
          <w:tcPr>
            <w:tcW w:w="72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1"/>
        </w:trPr>
        <w:tc>
          <w:tcPr>
            <w:tcW w:w="7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receivable–unbilled (contract assets)</w:t>
            </w:r>
          </w:p>
        </w:tc>
        <w:tc>
          <w:tcPr>
            <w:tcW w:w="1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64,339</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63,869</w:t>
            </w:r>
          </w:p>
        </w:tc>
      </w:tr>
      <w:tr>
        <w:trPr>
          <w:trHeight w:val="171"/>
        </w:trPr>
        <w:tc>
          <w:tcPr>
            <w:tcW w:w="7200" w:type="dxa"/>
            <w:vAlign w:val="bottom"/>
          </w:tcPr>
          <w:p>
            <w:pPr>
              <w:ind w:left="520"/>
              <w:spacing w:after="0"/>
              <w:rPr>
                <w:sz w:val="20"/>
                <w:szCs w:val="20"/>
                <w:color w:val="auto"/>
              </w:rPr>
            </w:pPr>
            <w:r>
              <w:rPr>
                <w:rFonts w:ascii="Arial" w:cs="Arial" w:eastAsia="Arial" w:hAnsi="Arial"/>
                <w:sz w:val="14"/>
                <w:szCs w:val="14"/>
                <w:color w:val="auto"/>
              </w:rPr>
              <w:t>Total accounts receivable, net</w:t>
            </w:r>
          </w:p>
        </w:tc>
        <w:tc>
          <w:tcPr>
            <w:tcW w:w="1240" w:type="dxa"/>
            <w:vAlign w:val="bottom"/>
            <w:tcBorders>
              <w:bottom w:val="single" w:sz="8" w:color="auto"/>
            </w:tcBorders>
          </w:tcPr>
          <w:p>
            <w:pPr>
              <w:jc w:val="right"/>
              <w:ind w:right="1093"/>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1,687,328</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1,475,763</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2"/>
        </w:trPr>
        <w:tc>
          <w:tcPr>
            <w:tcW w:w="72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Other current liabilities</w:t>
            </w:r>
          </w:p>
        </w:tc>
        <w:tc>
          <w:tcPr>
            <w:tcW w:w="1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0"/>
        </w:trPr>
        <w:tc>
          <w:tcPr>
            <w:tcW w:w="7200" w:type="dxa"/>
            <w:vAlign w:val="bottom"/>
          </w:tcPr>
          <w:p>
            <w:pPr>
              <w:ind w:left="280"/>
              <w:spacing w:after="0"/>
              <w:rPr>
                <w:sz w:val="20"/>
                <w:szCs w:val="20"/>
                <w:color w:val="auto"/>
              </w:rPr>
            </w:pPr>
            <w:r>
              <w:rPr>
                <w:rFonts w:ascii="Arial" w:cs="Arial" w:eastAsia="Arial" w:hAnsi="Arial"/>
                <w:sz w:val="14"/>
                <w:szCs w:val="14"/>
                <w:color w:val="auto"/>
              </w:rPr>
              <w:t>Advance payments, billings in excess of costs incurred and deferred revenue (contract liabilities)</w:t>
            </w:r>
          </w:p>
        </w:tc>
        <w:tc>
          <w:tcPr>
            <w:tcW w:w="1240" w:type="dxa"/>
            <w:vAlign w:val="bottom"/>
          </w:tcPr>
          <w:p>
            <w:pPr>
              <w:jc w:val="right"/>
              <w:ind w:right="1093"/>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26,747</w:t>
            </w:r>
          </w:p>
        </w:tc>
        <w:tc>
          <w:tcPr>
            <w:tcW w:w="80" w:type="dxa"/>
            <w:vAlign w:val="bottom"/>
          </w:tcPr>
          <w:p>
            <w:pPr>
              <w:spacing w:after="0"/>
              <w:rPr>
                <w:sz w:val="15"/>
                <w:szCs w:val="15"/>
                <w:color w:val="auto"/>
              </w:rPr>
            </w:pP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15,906</w:t>
            </w:r>
          </w:p>
        </w:tc>
      </w:tr>
    </w:tbl>
    <w:p>
      <w:pPr>
        <w:spacing w:after="0" w:line="200" w:lineRule="exact"/>
        <w:rPr>
          <w:sz w:val="20"/>
          <w:szCs w:val="20"/>
          <w:color w:val="auto"/>
        </w:rPr>
      </w:pPr>
    </w:p>
    <w:p>
      <w:pPr>
        <w:spacing w:after="0" w:line="21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Changes in contract assets and contract liabilities are primarily due to the timing difference between the Company’s performance of services and payments from customers. For fiscal 2022, 2021 and 2020, we recognized revenue of $14.9 million, $24.5 million and $18.9 million, respectively, related to our contract liabilities on April 1, 2021, 2020 and 2019,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EARNINGS PER SHARE</w:t>
      </w:r>
    </w:p>
    <w:p>
      <w:pPr>
        <w:spacing w:after="0" w:line="98"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Company computes basic and diluted earnings per share amounts based on net income for the periods presented. The Company uses the weighted average number of shares of common stock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 currently has outstanding shares of Class A Common Stock. Holders of unvested Class A Restricted Common Stock are entitled to participate in non-forfeitable dividends or other distributions. These unvested restricted shares participated in the Company's dividends declared and paid in each quarter of fiscal 2022, 2021, and 2020.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67" w:lineRule="exact"/>
        <w:rPr>
          <w:sz w:val="20"/>
          <w:szCs w:val="20"/>
          <w:color w:val="auto"/>
        </w:rPr>
      </w:pPr>
    </w:p>
    <w:p>
      <w:pPr>
        <w:ind w:left="8140"/>
        <w:spacing w:after="0"/>
        <w:rPr>
          <w:sz w:val="20"/>
          <w:szCs w:val="20"/>
          <w:color w:val="auto"/>
        </w:rPr>
      </w:pPr>
      <w:r>
        <w:rPr>
          <w:rFonts w:ascii="Arial" w:cs="Arial" w:eastAsia="Arial" w:hAnsi="Arial"/>
          <w:sz w:val="11"/>
          <w:szCs w:val="11"/>
          <w:b w:val="1"/>
          <w:bCs w:val="1"/>
          <w:color w:val="auto"/>
        </w:rPr>
        <w:t>Fiscal Year Ended</w:t>
      </w:r>
    </w:p>
    <w:p>
      <w:pPr>
        <w:ind w:left="834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58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Earnings for basic computations </w:t>
            </w:r>
            <w:r>
              <w:rPr>
                <w:rFonts w:ascii="Arial" w:cs="Arial" w:eastAsia="Arial" w:hAnsi="Arial"/>
                <w:sz w:val="18"/>
                <w:szCs w:val="18"/>
                <w:color w:val="auto"/>
                <w:vertAlign w:val="superscript"/>
              </w:rPr>
              <w:t>(1)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463,626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481,085</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Weighted-average of common stock shares outstanding for basic computations</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134,134,034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137,722,589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140,059,494</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Earnings for diluted computations </w:t>
            </w:r>
            <w:r>
              <w:rPr>
                <w:rFonts w:ascii="Arial" w:cs="Arial" w:eastAsia="Arial" w:hAnsi="Arial"/>
                <w:sz w:val="18"/>
                <w:szCs w:val="18"/>
                <w:color w:val="auto"/>
                <w:vertAlign w:val="superscript"/>
              </w:rPr>
              <w:t>(1)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463,635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605,455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481,092</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Dilutive stock options and restricted stock</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716,774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980,631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1,178,641</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of common stock shares outstanding for diluted computations</w:t>
            </w: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134,850,808</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138,703,220</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141,238,135</w:t>
            </w:r>
          </w:p>
        </w:tc>
        <w:tc>
          <w:tcPr>
            <w:tcW w:w="0" w:type="dxa"/>
            <w:vAlign w:val="bottom"/>
          </w:tcPr>
          <w:p>
            <w:pPr>
              <w:spacing w:after="0"/>
              <w:rPr>
                <w:sz w:val="1"/>
                <w:szCs w:val="1"/>
                <w:color w:val="auto"/>
              </w:rPr>
            </w:pPr>
          </w:p>
        </w:tc>
      </w:tr>
      <w:tr>
        <w:trPr>
          <w:trHeight w:val="160"/>
        </w:trPr>
        <w:tc>
          <w:tcPr>
            <w:tcW w:w="5860" w:type="dxa"/>
            <w:vAlign w:val="bottom"/>
          </w:tcPr>
          <w:p>
            <w:pPr>
              <w:ind w:left="20"/>
              <w:spacing w:after="0"/>
              <w:rPr>
                <w:sz w:val="20"/>
                <w:szCs w:val="20"/>
                <w:color w:val="auto"/>
              </w:rPr>
            </w:pPr>
            <w:r>
              <w:rPr>
                <w:rFonts w:ascii="Arial" w:cs="Arial" w:eastAsia="Arial" w:hAnsi="Arial"/>
                <w:sz w:val="14"/>
                <w:szCs w:val="14"/>
                <w:color w:val="auto"/>
              </w:rPr>
              <w:t>Earnings per share of common stock</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3.44</w:t>
            </w: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ind w:right="249"/>
              <w:spacing w:after="0" w:line="14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00" w:firstLine="5"/>
        <w:spacing w:after="0" w:line="295" w:lineRule="auto"/>
        <w:tabs>
          <w:tab w:leader="none" w:pos="130" w:val="left"/>
        </w:tabs>
        <w:numPr>
          <w:ilvl w:val="0"/>
          <w:numId w:val="57"/>
        </w:numPr>
        <w:rPr>
          <w:rFonts w:ascii="Arial" w:cs="Arial" w:eastAsia="Arial" w:hAnsi="Arial"/>
          <w:sz w:val="15"/>
          <w:szCs w:val="15"/>
          <w:color w:val="auto"/>
          <w:vertAlign w:val="superscript"/>
        </w:rPr>
      </w:pPr>
      <w:r>
        <w:rPr>
          <w:rFonts w:ascii="Arial" w:cs="Arial" w:eastAsia="Arial" w:hAnsi="Arial"/>
          <w:sz w:val="12"/>
          <w:szCs w:val="12"/>
          <w:color w:val="auto"/>
        </w:rPr>
        <w:t>During fiscal 2022, 2021, and 2020 approximately 0.9 million, 0.8 million, and 0.4 million shares of participating securities were paid dividends totaling $1.4 million, $1.0 million, and $0.7 million, respectively. There were undistributed earnings of $1.7 million, $2.5 million, and $0.9 million allocated to the participating class of securities in both basic and diluted earnings per share of common stock for fiscal 2022, 2021, and 2020, respectively. The allocated undistributed earnings and the dividends paid comprise the difference between net income presented on the consolidated statements of operations and earnings for basic and diluted computations for fiscal 2022, 2021, and 2020. The impact of any anti-dilutive options included in the calculation of EPS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ind w:right="8620" w:firstLine="5"/>
        <w:spacing w:after="0" w:line="572" w:lineRule="auto"/>
        <w:tabs>
          <w:tab w:leader="none" w:pos="141"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ACQUISITIONS AND DIVESTITURES Acquisitions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Tracepoint Holdings, LLC</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On September 10, 2021, the Company acquired the remaining 60% equity interest in Tracepoint Holdings, LLC ("Tracepoint"), an industry-leading digital forensics and incident response company serving public and private sector clients, for cash consideration of approximately $120.3 million, net of adjustments (the "Tracepoint Transaction"). As a result of the transaction, Tracepoint and Tracepoint, LLC became wholly owned subsidiaries of Booz Allen Hamilton Inc. The acquisition complements the Company’s existing cybersecurity portfolio and expands its position in the private sector cyber market.</w:t>
      </w:r>
    </w:p>
    <w:p>
      <w:pPr>
        <w:spacing w:after="0" w:line="14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Prior to the closing of the Tracepoint Transaction, the Company held a 40% interest in Tracepoint, which was accounted for as an equity method investment. The equity method investment associated with Tracepoint was remeasured at fair value on the closing date of the Tracepoint Transaction, resulting in a gain of $5.7 million. This gain is presented as a component of Other Income on the Consolidated Statement of Operations for fiscal 2022. The fair value of the previously held equity method investment was determined based upon valuations of the Tracepoint business and future business outlook using projected future cash flows.</w:t>
      </w:r>
    </w:p>
    <w:p>
      <w:pPr>
        <w:spacing w:after="0" w:line="61"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As a result of the Tracepoint transaction, the Company recognized $90.5 million of intangible assets which primarily consists of channel relationships. Channel relationships were valued using the excess earnings method discounted cash flow approach, incorporating Level 3 inputs as described under the fair value hierarchy of ASC No. 820, Fair Value Measurement (Topic 820). These unobservable inputs reflect the Company's own judgment about which assumptions market participants would use in pricing an asset on a non-recurring basis. The intangible asset is expected to be amortized over the estimated useful life of 10 years. The goodwill of $94.3 million is largely attributable to Tracepoint's specialized workforce. During the fourth quarter of fiscal 2022, the Company finalized Tracepoint's post-closing working capital.</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Liberty IT Solutions, LLC</w:t>
      </w:r>
    </w:p>
    <w:p>
      <w:pPr>
        <w:spacing w:after="0" w:line="94" w:lineRule="exact"/>
        <w:rPr>
          <w:sz w:val="20"/>
          <w:szCs w:val="20"/>
          <w:color w:val="auto"/>
        </w:rPr>
      </w:pPr>
    </w:p>
    <w:p>
      <w:pPr>
        <w:ind w:right="360" w:firstLine="318"/>
        <w:spacing w:after="0" w:line="262" w:lineRule="auto"/>
        <w:rPr>
          <w:sz w:val="20"/>
          <w:szCs w:val="20"/>
          <w:color w:val="auto"/>
        </w:rPr>
      </w:pPr>
      <w:r>
        <w:rPr>
          <w:rFonts w:ascii="Arial" w:cs="Arial" w:eastAsia="Arial" w:hAnsi="Arial"/>
          <w:sz w:val="14"/>
          <w:szCs w:val="14"/>
          <w:color w:val="auto"/>
        </w:rPr>
        <w:t>On June 11, 2021, the Company acquired Liberty IT Solutions, LLC ("Liberty") for cash consideration of approximately $669.1 million, net of adjustments related to working capital, and transaction costs incurred as part of the acquisition, including compensation expenses paid by the Company that were associated with employee retention. As a result of the transaction, Liberty became a wholly owned subsidiary of Booz Allen Hamilton Inc. Liberty is a leading digital partner driving transformation across the federal IT ecosystem. The acquisition complements the Company’s digital transformation portfolio resulting in a deeper range of advanced technology solutions.</w:t>
      </w:r>
    </w:p>
    <w:p>
      <w:pPr>
        <w:spacing w:after="0" w:line="146"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The Company recognized $309.0 million of intangible assets which consist of programs and contracts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are expected to be amortized over the estimated useful life of 12 years. The goodwill of $346.5 million is primarily attributable to Liberty's specialized workforce and the expected synergies between the Company and Liberty. During the third quarter of fiscal 2022, the Company finalized Liberty's post-closing working capital.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8"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Purchase Price Allocation</w:t>
            </w:r>
          </w:p>
        </w:tc>
        <w:tc>
          <w:tcPr>
            <w:tcW w:w="7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5"/>
        </w:trPr>
        <w:tc>
          <w:tcPr>
            <w:tcW w:w="9000" w:type="dxa"/>
            <w:vAlign w:val="bottom"/>
            <w:gridSpan w:val="4"/>
          </w:tcPr>
          <w:p>
            <w:pPr>
              <w:spacing w:after="0"/>
              <w:rPr>
                <w:sz w:val="20"/>
                <w:szCs w:val="20"/>
                <w:color w:val="auto"/>
              </w:rPr>
            </w:pPr>
            <w:r>
              <w:rPr>
                <w:rFonts w:ascii="Arial" w:cs="Arial" w:eastAsia="Arial" w:hAnsi="Arial"/>
                <w:sz w:val="14"/>
                <w:szCs w:val="14"/>
                <w:color w:val="auto"/>
              </w:rPr>
              <w:t>The following table summarizes the cumulative consideration paid and the allocation of the purchase price paid for Tracepoint and Liberty:</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07"/>
        </w:trPr>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12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Cash consideration (gross of cash acquired and including net adjustments)</w:t>
            </w:r>
          </w:p>
        </w:tc>
        <w:tc>
          <w:tcPr>
            <w:tcW w:w="8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789,429</w:t>
            </w: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Fair value of non-controlling interest</w:t>
            </w: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80,063</w:t>
            </w: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Total purchase consideration</w:t>
            </w:r>
          </w:p>
        </w:tc>
        <w:tc>
          <w:tcPr>
            <w:tcW w:w="8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869,492</w:t>
            </w:r>
          </w:p>
        </w:tc>
      </w:tr>
      <w:tr>
        <w:trPr>
          <w:trHeight w:val="202"/>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1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Purchase price allocation:</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Cash</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9,096</w:t>
            </w:r>
          </w:p>
        </w:tc>
      </w:tr>
      <w:tr>
        <w:trPr>
          <w:trHeight w:val="181"/>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Current assets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57,519</w:t>
            </w: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Operating lease right-of-use asset</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2,532</w:t>
            </w:r>
          </w:p>
        </w:tc>
      </w:tr>
      <w:tr>
        <w:trPr>
          <w:trHeight w:val="181"/>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Other long-term assets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2,825</w:t>
            </w: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Intangible assets</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399,500</w:t>
            </w:r>
          </w:p>
        </w:tc>
      </w:tr>
      <w:tr>
        <w:trPr>
          <w:trHeight w:val="181"/>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Current liabilities</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(40,217)</w:t>
            </w:r>
          </w:p>
        </w:tc>
      </w:tr>
      <w:tr>
        <w:trPr>
          <w:trHeight w:val="180"/>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Operating lease liabilities-current</w:t>
            </w: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(1,017)</w:t>
            </w:r>
          </w:p>
        </w:tc>
      </w:tr>
      <w:tr>
        <w:trPr>
          <w:trHeight w:val="181"/>
        </w:trPr>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1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Operating lease liabilities-long term</w:t>
            </w:r>
          </w:p>
        </w:tc>
        <w:tc>
          <w:tcPr>
            <w:tcW w:w="8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(1,516)</w:t>
            </w: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20" w:type="dxa"/>
            <w:vAlign w:val="bottom"/>
            <w:gridSpan w:val="2"/>
          </w:tcPr>
          <w:p>
            <w:pPr>
              <w:ind w:left="460"/>
              <w:spacing w:after="0"/>
              <w:rPr>
                <w:sz w:val="20"/>
                <w:szCs w:val="20"/>
                <w:color w:val="auto"/>
              </w:rPr>
            </w:pPr>
            <w:r>
              <w:rPr>
                <w:rFonts w:ascii="Arial" w:cs="Arial" w:eastAsia="Arial" w:hAnsi="Arial"/>
                <w:sz w:val="14"/>
                <w:szCs w:val="14"/>
                <w:color w:val="auto"/>
              </w:rPr>
              <w:t>Total fair value of identifiable net assets acquired</w:t>
            </w:r>
          </w:p>
        </w:tc>
        <w:tc>
          <w:tcPr>
            <w:tcW w:w="8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428,722</w:t>
            </w:r>
          </w:p>
        </w:tc>
      </w:tr>
      <w:tr>
        <w:trPr>
          <w:trHeight w:val="202"/>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120" w:type="dxa"/>
            <w:vAlign w:val="bottom"/>
            <w:gridSpan w:val="2"/>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r>
      <w:tr>
        <w:trPr>
          <w:trHeight w:val="171"/>
        </w:trPr>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120" w:type="dxa"/>
            <w:vAlign w:val="bottom"/>
            <w:gridSpan w:val="2"/>
          </w:tcPr>
          <w:p>
            <w:pPr>
              <w:ind w:left="320"/>
              <w:spacing w:after="0"/>
              <w:rPr>
                <w:sz w:val="20"/>
                <w:szCs w:val="20"/>
                <w:color w:val="auto"/>
              </w:rPr>
            </w:pPr>
            <w:r>
              <w:rPr>
                <w:rFonts w:ascii="Arial" w:cs="Arial" w:eastAsia="Arial" w:hAnsi="Arial"/>
                <w:sz w:val="14"/>
                <w:szCs w:val="14"/>
                <w:color w:val="auto"/>
              </w:rPr>
              <w:t>Goodwill</w:t>
            </w:r>
          </w:p>
        </w:tc>
        <w:tc>
          <w:tcPr>
            <w:tcW w:w="8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440,770</w:t>
            </w: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acquisitions of Liberty and Tracepoint were accounted for under the acquisition method of accounting, which requires the total acquisition consideration to be allocated to the assets acquired and liabilities assumed based on an estimate of the acquisition date fair value, with the difference reflected in goodwill. As of March 31, 2022, the Company had completed the determination of fair values of the acquired assets and liabilities assumed. Pro forma results of operations for these acquisitions in the aggregate are not presented because these acquisitions are not material to the Company's consolidated results of operations.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EverWatch</w:t>
      </w:r>
    </w:p>
    <w:p>
      <w:pPr>
        <w:spacing w:after="0" w:line="179"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In the fourth quarter of fiscal 2022, the Company announced that it had entered into a definitive agreement to acquire EverWatch Corp. ("EverWatch"), a leading provider of advanced solutions to the defense and intelligence communities for approximately $440.0 million, subject to customary adjustments. The Company expects to fund the acquisition with cash on hand. The transaction is expected to close in fiscal 2023.</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Divestitures</w:t>
      </w:r>
    </w:p>
    <w:p>
      <w:pPr>
        <w:spacing w:after="0" w:line="183"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In April 2022, the Company entered into an agreement with Oliver Wyman, a global management consulting firm and a business of Marsh McLennan, to divest the Company's management consulting business serving the Middle East and North Africa (MENA) region, which is substantially comprised of the contracts associated with the MENA business and the team of management consultants that provide services under those contracts. The Company concluded that the assets and liabilities associated with the MENA business met the criteria to be reported as held for sale on the consolidated balance sheet as of March 31, 2022. As of March 31, 2022, $23.6 million of accounts receivable, $0.7 million of other assets, $1.7 million of deferred revenue, and $0.2 million of accounts payable were included in other current assets and other current liabilities on the consolidated balance sheet. The transaction is expected to close in fiscal 2023, subject to customary closing conditions, including regulatory approvals.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76" w:lineRule="exact"/>
        <w:rPr>
          <w:sz w:val="20"/>
          <w:szCs w:val="20"/>
          <w:color w:val="auto"/>
        </w:rPr>
      </w:pPr>
    </w:p>
    <w:p>
      <w:pPr>
        <w:ind w:left="200" w:right="8480" w:hanging="195"/>
        <w:spacing w:after="0" w:line="350" w:lineRule="auto"/>
        <w:tabs>
          <w:tab w:leader="none" w:pos="150"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GOODWILL AND INTANGIBLE ASSETS </w:t>
      </w:r>
      <w:r>
        <w:rPr>
          <w:rFonts w:ascii="Arial" w:cs="Arial" w:eastAsia="Arial" w:hAnsi="Arial"/>
          <w:sz w:val="14"/>
          <w:szCs w:val="14"/>
          <w:b w:val="1"/>
          <w:bCs w:val="1"/>
          <w:i w:val="1"/>
          <w:iCs w:val="1"/>
          <w:color w:val="auto"/>
        </w:rPr>
        <w:t>Goodwill</w:t>
      </w:r>
    </w:p>
    <w:p>
      <w:pPr>
        <w:spacing w:after="0" w:line="1"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Goodwill was $2,021.9 million and $1,581.2 million as of March 31, 2022 and March 31, 2021, respectively. The increase in the carrying amount of goodwill was attributable to the Company's acquisitions of Liberty and Tracepoint, and the majority of goodwill is expected to be deductible for tax purposes. Approximately $10.0 million of goodwill was allocated to the assets held for sale related to the Company's divestiture of its MENA business noted above.The Company performed an annual impairment test of the goodwill as of January 1, 2022 and 2021, and did not identify any impairment.</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Intangible assets consisted of the following:</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March 31, 2021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1000" w:type="dxa"/>
            <w:vAlign w:val="bottom"/>
            <w:gridSpan w:val="3"/>
          </w:tcPr>
          <w:p>
            <w:pPr>
              <w:jc w:val="center"/>
              <w:ind w:right="100"/>
              <w:spacing w:after="0" w:line="120" w:lineRule="exact"/>
              <w:rPr>
                <w:sz w:val="20"/>
                <w:szCs w:val="20"/>
                <w:color w:val="auto"/>
              </w:rPr>
            </w:pPr>
            <w:r>
              <w:rPr>
                <w:rFonts w:ascii="Arial" w:cs="Arial" w:eastAsia="Arial" w:hAnsi="Arial"/>
                <w:sz w:val="13"/>
                <w:szCs w:val="13"/>
                <w:b w:val="1"/>
                <w:bCs w:val="1"/>
                <w:color w:val="auto"/>
                <w:w w:val="90"/>
              </w:rPr>
              <w:t>Gross Carrying</w:t>
            </w:r>
          </w:p>
        </w:tc>
        <w:tc>
          <w:tcPr>
            <w:tcW w:w="160" w:type="dxa"/>
            <w:vAlign w:val="bottom"/>
          </w:tcPr>
          <w:p>
            <w:pPr>
              <w:spacing w:after="0"/>
              <w:rPr>
                <w:sz w:val="10"/>
                <w:szCs w:val="10"/>
                <w:color w:val="auto"/>
              </w:rPr>
            </w:pPr>
          </w:p>
        </w:tc>
        <w:tc>
          <w:tcPr>
            <w:tcW w:w="1260" w:type="dxa"/>
            <w:vAlign w:val="bottom"/>
            <w:gridSpan w:val="2"/>
          </w:tcPr>
          <w:p>
            <w:pPr>
              <w:ind w:left="140"/>
              <w:spacing w:after="0" w:line="120"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840" w:type="dxa"/>
            <w:vAlign w:val="bottom"/>
          </w:tcPr>
          <w:p>
            <w:pPr>
              <w:jc w:val="center"/>
              <w:ind w:right="36"/>
              <w:spacing w:after="0" w:line="120" w:lineRule="exact"/>
              <w:rPr>
                <w:sz w:val="20"/>
                <w:szCs w:val="20"/>
                <w:color w:val="auto"/>
              </w:rPr>
            </w:pPr>
            <w:r>
              <w:rPr>
                <w:rFonts w:ascii="Arial" w:cs="Arial" w:eastAsia="Arial" w:hAnsi="Arial"/>
                <w:sz w:val="13"/>
                <w:szCs w:val="13"/>
                <w:b w:val="1"/>
                <w:bCs w:val="1"/>
                <w:color w:val="auto"/>
                <w:w w:val="94"/>
              </w:rPr>
              <w:t>Net Carrying</w:t>
            </w:r>
          </w:p>
        </w:tc>
        <w:tc>
          <w:tcPr>
            <w:tcW w:w="180" w:type="dxa"/>
            <w:vAlign w:val="bottom"/>
          </w:tcPr>
          <w:p>
            <w:pPr>
              <w:spacing w:after="0"/>
              <w:rPr>
                <w:sz w:val="10"/>
                <w:szCs w:val="10"/>
                <w:color w:val="auto"/>
              </w:rPr>
            </w:pPr>
          </w:p>
        </w:tc>
        <w:tc>
          <w:tcPr>
            <w:tcW w:w="1020" w:type="dxa"/>
            <w:vAlign w:val="bottom"/>
            <w:gridSpan w:val="3"/>
          </w:tcPr>
          <w:p>
            <w:pPr>
              <w:jc w:val="center"/>
              <w:ind w:right="100"/>
              <w:spacing w:after="0" w:line="120" w:lineRule="exact"/>
              <w:rPr>
                <w:sz w:val="20"/>
                <w:szCs w:val="20"/>
                <w:color w:val="auto"/>
              </w:rPr>
            </w:pPr>
            <w:r>
              <w:rPr>
                <w:rFonts w:ascii="Arial" w:cs="Arial" w:eastAsia="Arial" w:hAnsi="Arial"/>
                <w:sz w:val="13"/>
                <w:szCs w:val="13"/>
                <w:b w:val="1"/>
                <w:bCs w:val="1"/>
                <w:color w:val="auto"/>
                <w:w w:val="88"/>
              </w:rPr>
              <w:t>Gross Carrying</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840" w:type="dxa"/>
            <w:vAlign w:val="bottom"/>
          </w:tcPr>
          <w:p>
            <w:pPr>
              <w:jc w:val="right"/>
              <w:ind w:right="36"/>
              <w:spacing w:after="0" w:line="120"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4"/>
                <w:szCs w:val="14"/>
                <w:color w:val="auto"/>
              </w:rPr>
            </w:pPr>
          </w:p>
        </w:tc>
        <w:tc>
          <w:tcPr>
            <w:tcW w:w="840" w:type="dxa"/>
            <w:vAlign w:val="bottom"/>
          </w:tcPr>
          <w:p>
            <w:pPr>
              <w:jc w:val="right"/>
              <w:ind w:right="256"/>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5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Amortizable intangible assets:</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120" w:type="dxa"/>
            <w:vAlign w:val="bottom"/>
          </w:tcPr>
          <w:p>
            <w:pPr>
              <w:ind w:left="180"/>
              <w:spacing w:after="0" w:line="128" w:lineRule="exact"/>
              <w:rPr>
                <w:sz w:val="20"/>
                <w:szCs w:val="20"/>
                <w:color w:val="auto"/>
              </w:rPr>
            </w:pPr>
            <w:r>
              <w:rPr>
                <w:rFonts w:ascii="Arial" w:cs="Arial" w:eastAsia="Arial" w:hAnsi="Arial"/>
                <w:sz w:val="13"/>
                <w:szCs w:val="13"/>
                <w:color w:val="auto"/>
                <w:w w:val="95"/>
              </w:rPr>
              <w:t>Programs and contract assets, channel relationships,</w:t>
            </w: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483,294</w:t>
            </w:r>
          </w:p>
        </w:tc>
        <w:tc>
          <w:tcPr>
            <w:tcW w:w="10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101,584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381,710</w:t>
            </w:r>
          </w:p>
        </w:tc>
        <w:tc>
          <w:tcPr>
            <w:tcW w:w="180" w:type="dxa"/>
            <w:vAlign w:val="bottom"/>
          </w:tcPr>
          <w:p>
            <w:pPr>
              <w:spacing w:after="0"/>
              <w:rPr>
                <w:sz w:val="11"/>
                <w:szCs w:val="1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82,400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50,503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31,897</w:t>
            </w:r>
          </w:p>
        </w:tc>
        <w:tc>
          <w:tcPr>
            <w:tcW w:w="0" w:type="dxa"/>
            <w:vAlign w:val="bottom"/>
          </w:tcPr>
          <w:p>
            <w:pPr>
              <w:spacing w:after="0"/>
              <w:rPr>
                <w:sz w:val="1"/>
                <w:szCs w:val="1"/>
                <w:color w:val="auto"/>
              </w:rPr>
            </w:pPr>
          </w:p>
        </w:tc>
      </w:tr>
      <w:tr>
        <w:trPr>
          <w:trHeight w:val="170"/>
        </w:trPr>
        <w:tc>
          <w:tcPr>
            <w:tcW w:w="3120" w:type="dxa"/>
            <w:vAlign w:val="bottom"/>
          </w:tcPr>
          <w:p>
            <w:pPr>
              <w:ind w:left="180"/>
              <w:spacing w:after="0" w:line="170" w:lineRule="exact"/>
              <w:rPr>
                <w:sz w:val="20"/>
                <w:szCs w:val="20"/>
                <w:color w:val="auto"/>
              </w:rPr>
            </w:pPr>
            <w:r>
              <w:rPr>
                <w:rFonts w:ascii="Arial" w:cs="Arial" w:eastAsia="Arial" w:hAnsi="Arial"/>
                <w:sz w:val="13"/>
                <w:szCs w:val="13"/>
                <w:color w:val="auto"/>
              </w:rPr>
              <w:t xml:space="preserve">and other amortizable intangible assets </w:t>
            </w:r>
            <w:r>
              <w:rPr>
                <w:rFonts w:ascii="Arial" w:cs="Arial" w:eastAsia="Arial" w:hAnsi="Arial"/>
                <w:sz w:val="16"/>
                <w:szCs w:val="16"/>
                <w:color w:val="auto"/>
                <w:vertAlign w:val="superscript"/>
              </w:rPr>
              <w:t>(1)</w:t>
            </w: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Software</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119,398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44,626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74,772</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114,972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29,941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85,031</w:t>
            </w:r>
          </w:p>
        </w:tc>
        <w:tc>
          <w:tcPr>
            <w:tcW w:w="0" w:type="dxa"/>
            <w:vAlign w:val="bottom"/>
          </w:tcPr>
          <w:p>
            <w:pPr>
              <w:spacing w:after="0"/>
              <w:rPr>
                <w:sz w:val="1"/>
                <w:szCs w:val="1"/>
                <w:color w:val="auto"/>
              </w:rPr>
            </w:pPr>
          </w:p>
        </w:tc>
      </w:tr>
      <w:tr>
        <w:trPr>
          <w:trHeight w:val="15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amortizable intangible assets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602,692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146,210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456,482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197,372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116,928</w:t>
            </w:r>
          </w:p>
        </w:tc>
        <w:tc>
          <w:tcPr>
            <w:tcW w:w="0" w:type="dxa"/>
            <w:vAlign w:val="bottom"/>
          </w:tcPr>
          <w:p>
            <w:pPr>
              <w:spacing w:after="0"/>
              <w:rPr>
                <w:sz w:val="1"/>
                <w:szCs w:val="1"/>
                <w:color w:val="auto"/>
              </w:rPr>
            </w:pPr>
          </w:p>
        </w:tc>
      </w:tr>
      <w:tr>
        <w:trPr>
          <w:trHeight w:val="152"/>
        </w:trPr>
        <w:tc>
          <w:tcPr>
            <w:tcW w:w="31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Unamortizable intangible assets: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180"/>
              <w:spacing w:after="0"/>
              <w:rPr>
                <w:sz w:val="20"/>
                <w:szCs w:val="20"/>
                <w:color w:val="auto"/>
              </w:rPr>
            </w:pPr>
            <w:r>
              <w:rPr>
                <w:rFonts w:ascii="Arial" w:cs="Arial" w:eastAsia="Arial" w:hAnsi="Arial"/>
                <w:sz w:val="13"/>
                <w:szCs w:val="13"/>
                <w:color w:val="auto"/>
              </w:rPr>
              <w:t>Trade name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190,200</w:t>
            </w:r>
          </w:p>
        </w:tc>
        <w:tc>
          <w:tcPr>
            <w:tcW w:w="1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190,200</w:t>
            </w:r>
          </w:p>
        </w:tc>
        <w:tc>
          <w:tcPr>
            <w:tcW w:w="0" w:type="dxa"/>
            <w:vAlign w:val="bottom"/>
          </w:tcPr>
          <w:p>
            <w:pPr>
              <w:spacing w:after="0"/>
              <w:rPr>
                <w:sz w:val="1"/>
                <w:szCs w:val="1"/>
                <w:color w:val="auto"/>
              </w:rPr>
            </w:pPr>
          </w:p>
        </w:tc>
      </w:tr>
      <w:tr>
        <w:trPr>
          <w:trHeight w:val="18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792,892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146,210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646,682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387,572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307,128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640" w:firstLine="191"/>
        <w:spacing w:after="0" w:line="228"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increase in the carrying amount of programs and contracts, channel relationships, and other amortizable intangible assets was attributable to the Company's acquisitions of Liberty and Tracepoint.</w:t>
      </w:r>
    </w:p>
    <w:p>
      <w:pPr>
        <w:spacing w:after="0" w:line="287"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Programs and contract assets, channel relationships, and other amortizable intangible assets are generally amortized on an accelerated basis over periods ranging from 2 years to 12 years, and those related to software are generally amortized on a straight line basis over periods ranging from 1 years to 5 years.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performed an annual impairment test of the trade name as of January 1, 2022 and 2021, and did not identify any impairment.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Amortization expense for fiscal 2022, 2021, and 2020 was $76.2 million, $19.3 million, and $22.3 million, respectively.</w:t>
      </w:r>
    </w:p>
    <w:p>
      <w:pPr>
        <w:spacing w:after="0" w:line="9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following table summarizes the estimated annual amortization expense for future periods, which does not reflect amortization expense for certain intangible assets that are not yet placed in service:</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8980" w:type="dxa"/>
            <w:vAlign w:val="bottom"/>
          </w:tcPr>
          <w:p>
            <w:pPr>
              <w:ind w:left="20"/>
              <w:spacing w:after="0"/>
              <w:rPr>
                <w:sz w:val="20"/>
                <w:szCs w:val="20"/>
                <w:color w:val="auto"/>
              </w:rPr>
            </w:pPr>
            <w:r>
              <w:rPr>
                <w:rFonts w:ascii="Arial" w:cs="Arial" w:eastAsia="Arial" w:hAnsi="Arial"/>
                <w:sz w:val="13"/>
                <w:szCs w:val="13"/>
                <w:b w:val="1"/>
                <w:bCs w:val="1"/>
                <w:color w:val="auto"/>
              </w:rPr>
              <w:t>For the Fiscal Year Ended March 31,</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85,776</w:t>
            </w:r>
          </w:p>
        </w:tc>
      </w:tr>
      <w:tr>
        <w:trPr>
          <w:trHeight w:val="168"/>
        </w:trPr>
        <w:tc>
          <w:tcPr>
            <w:tcW w:w="8980" w:type="dxa"/>
            <w:vAlign w:val="bottom"/>
          </w:tcPr>
          <w:p>
            <w:pPr>
              <w:ind w:left="20"/>
              <w:spacing w:after="0"/>
              <w:rPr>
                <w:sz w:val="20"/>
                <w:szCs w:val="20"/>
                <w:color w:val="auto"/>
              </w:rPr>
            </w:pPr>
            <w:r>
              <w:rPr>
                <w:rFonts w:ascii="Arial" w:cs="Arial" w:eastAsia="Arial" w:hAnsi="Arial"/>
                <w:sz w:val="13"/>
                <w:szCs w:val="13"/>
                <w:color w:val="auto"/>
              </w:rPr>
              <w:t>2024</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71,149</w:t>
            </w: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60,811</w:t>
            </w:r>
          </w:p>
        </w:tc>
      </w:tr>
      <w:tr>
        <w:trPr>
          <w:trHeight w:val="168"/>
        </w:trPr>
        <w:tc>
          <w:tcPr>
            <w:tcW w:w="8980" w:type="dxa"/>
            <w:vAlign w:val="bottom"/>
          </w:tcPr>
          <w:p>
            <w:pPr>
              <w:ind w:left="20"/>
              <w:spacing w:after="0"/>
              <w:rPr>
                <w:sz w:val="20"/>
                <w:szCs w:val="20"/>
                <w:color w:val="auto"/>
              </w:rPr>
            </w:pPr>
            <w:r>
              <w:rPr>
                <w:rFonts w:ascii="Arial" w:cs="Arial" w:eastAsia="Arial" w:hAnsi="Arial"/>
                <w:sz w:val="13"/>
                <w:szCs w:val="13"/>
                <w:color w:val="auto"/>
              </w:rPr>
              <w:t>2026</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53,552</w:t>
            </w: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43,585</w:t>
            </w:r>
          </w:p>
        </w:tc>
      </w:tr>
      <w:tr>
        <w:trPr>
          <w:trHeight w:val="16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141,609</w:t>
            </w:r>
          </w:p>
        </w:tc>
      </w:tr>
      <w:tr>
        <w:trPr>
          <w:trHeight w:val="18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estimated amortization expense</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456,482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PROPERTY AND EQUIPMENT, NET</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property and equipment, net were as follows:</w:t>
      </w:r>
    </w:p>
    <w:p>
      <w:pPr>
        <w:spacing w:after="0" w:line="172"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2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86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117,250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117,430</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Computer equipment</w:t>
            </w:r>
          </w:p>
        </w:tc>
        <w:tc>
          <w:tcPr>
            <w:tcW w:w="8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0"/>
              </w:rPr>
              <w:t>104,296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97,571</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235,342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225,132</w:t>
            </w:r>
          </w:p>
        </w:tc>
      </w:tr>
      <w:tr>
        <w:trPr>
          <w:trHeight w:val="171"/>
        </w:trPr>
        <w:tc>
          <w:tcPr>
            <w:tcW w:w="7120" w:type="dxa"/>
            <w:vAlign w:val="bottom"/>
          </w:tcPr>
          <w:p>
            <w:pPr>
              <w:ind w:left="26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0"/>
              </w:rPr>
              <w:t>456,888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440,133</w:t>
            </w:r>
          </w:p>
        </w:tc>
      </w:tr>
      <w:tr>
        <w:trPr>
          <w:trHeight w:val="18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Less: Accumulated depreciation and amortization</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(254,659)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(235,491)</w:t>
            </w:r>
          </w:p>
        </w:tc>
      </w:tr>
      <w:tr>
        <w:trPr>
          <w:trHeight w:val="171"/>
        </w:trPr>
        <w:tc>
          <w:tcPr>
            <w:tcW w:w="7120" w:type="dxa"/>
            <w:vAlign w:val="bottom"/>
          </w:tcPr>
          <w:p>
            <w:pPr>
              <w:ind w:left="880"/>
              <w:spacing w:after="0"/>
              <w:rPr>
                <w:sz w:val="20"/>
                <w:szCs w:val="20"/>
                <w:color w:val="auto"/>
              </w:rPr>
            </w:pPr>
            <w:r>
              <w:rPr>
                <w:rFonts w:ascii="Arial" w:cs="Arial" w:eastAsia="Arial" w:hAnsi="Arial"/>
                <w:sz w:val="14"/>
                <w:szCs w:val="14"/>
                <w:color w:val="auto"/>
              </w:rPr>
              <w:t>Property and equipment, net</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202,229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204,642</w:t>
            </w:r>
          </w:p>
        </w:tc>
      </w:tr>
      <w:tr>
        <w:trPr>
          <w:trHeight w:val="20"/>
        </w:trPr>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Depreciation and amortization expense relating to property and equipment for fiscal 2022, 2021, and 2020 was $69.5 million, $65.0 million, and $58.8 million, respectively. During fiscal 2022 and 2021, the Company reduced the gross cost and accumulated depreciation and amortization by $55.0 million and $100.3 million, respectively, for zero net book value assets deemed no longer in service.</w:t>
      </w:r>
    </w:p>
    <w:p>
      <w:pPr>
        <w:spacing w:after="0" w:line="244" w:lineRule="exact"/>
        <w:rPr>
          <w:sz w:val="20"/>
          <w:szCs w:val="20"/>
          <w:color w:val="auto"/>
        </w:rPr>
      </w:pPr>
    </w:p>
    <w:p>
      <w:pPr>
        <w:ind w:left="360" w:right="6780" w:hanging="355"/>
        <w:spacing w:after="0" w:line="464" w:lineRule="auto"/>
        <w:tabs>
          <w:tab w:leader="none" w:pos="151"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ACCOUNTS PAYABLE AND OTHER ACCRUED EXPENSES </w:t>
      </w:r>
      <w:r>
        <w:rPr>
          <w:rFonts w:ascii="Arial" w:cs="Arial" w:eastAsia="Arial" w:hAnsi="Arial"/>
          <w:sz w:val="13"/>
          <w:szCs w:val="13"/>
          <w:color w:val="auto"/>
        </w:rPr>
        <w:t>Accounts payable and other accrued expenses consisted of the following:</w:t>
      </w:r>
    </w:p>
    <w:p>
      <w:pPr>
        <w:spacing w:after="0" w:line="35" w:lineRule="exact"/>
        <w:rPr>
          <w:sz w:val="20"/>
          <w:szCs w:val="20"/>
          <w:color w:val="auto"/>
        </w:rPr>
      </w:pPr>
    </w:p>
    <w:tbl>
      <w:tblPr>
        <w:tblLayout w:type="fixed"/>
        <w:tblInd w:w="84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40" w:type="dxa"/>
            <w:vAlign w:val="bottom"/>
            <w:tcBorders>
              <w:bottom w:val="single" w:sz="8" w:color="auto"/>
            </w:tcBorders>
          </w:tcPr>
          <w:p>
            <w:pPr>
              <w:spacing w:after="0"/>
              <w:rPr>
                <w:sz w:val="13"/>
                <w:szCs w:val="13"/>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2021</w:t>
            </w:r>
          </w:p>
        </w:tc>
      </w:tr>
      <w:tr>
        <w:trPr>
          <w:trHeight w:val="172"/>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Vendor payables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539,524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371,744</w:t>
            </w:r>
          </w:p>
        </w:tc>
      </w:tr>
      <w:tr>
        <w:trPr>
          <w:trHeight w:val="180"/>
        </w:trPr>
        <w:tc>
          <w:tcPr>
            <w:tcW w:w="6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Accrued expenses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363,092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295,227</w:t>
            </w:r>
          </w:p>
        </w:tc>
      </w:tr>
      <w:tr>
        <w:trPr>
          <w:trHeight w:val="196"/>
        </w:trPr>
        <w:tc>
          <w:tcPr>
            <w:tcW w:w="6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accounts payable and other accrued expenses</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902,616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666,971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color w:val="auto"/>
        </w:rPr>
        <w:t>Accrued expenses consisted primarily of the Company’s provision for claimed indirect costs, which was approximately $290.4 million and $263.2 million as of March 31, 2022 and 2021, respectively. Refer to Note 20 for further discussion of this provision.</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COMPENSATION AND BENEFITS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Accrued compensation and benefits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4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r>
      <w:tr>
        <w:trPr>
          <w:trHeight w:val="142"/>
        </w:trPr>
        <w:tc>
          <w:tcPr>
            <w:tcW w:w="88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860" w:type="dxa"/>
            <w:vAlign w:val="bottom"/>
          </w:tcPr>
          <w:p>
            <w:pPr>
              <w:spacing w:after="0"/>
              <w:rPr>
                <w:sz w:val="12"/>
                <w:szCs w:val="12"/>
                <w:color w:val="auto"/>
              </w:rPr>
            </w:pPr>
          </w:p>
        </w:tc>
      </w:tr>
      <w:tr>
        <w:trPr>
          <w:trHeight w:val="172"/>
        </w:trPr>
        <w:tc>
          <w:tcPr>
            <w:tcW w:w="88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Bonus</w:t>
            </w:r>
          </w:p>
        </w:tc>
        <w:tc>
          <w:tcPr>
            <w:tcW w:w="29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96,040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130,565</w:t>
            </w:r>
          </w:p>
        </w:tc>
        <w:tc>
          <w:tcPr>
            <w:tcW w:w="860" w:type="dxa"/>
            <w:vAlign w:val="bottom"/>
          </w:tcPr>
          <w:p>
            <w:pPr>
              <w:spacing w:after="0"/>
              <w:rPr>
                <w:sz w:val="14"/>
                <w:szCs w:val="14"/>
                <w:color w:val="auto"/>
              </w:rPr>
            </w:pPr>
          </w:p>
        </w:tc>
      </w:tr>
      <w:tr>
        <w:trPr>
          <w:trHeight w:val="180"/>
        </w:trPr>
        <w:tc>
          <w:tcPr>
            <w:tcW w:w="880" w:type="dxa"/>
            <w:vAlign w:val="bottom"/>
          </w:tcPr>
          <w:p>
            <w:pPr>
              <w:spacing w:after="0"/>
              <w:rPr>
                <w:sz w:val="15"/>
                <w:szCs w:val="15"/>
                <w:color w:val="auto"/>
              </w:rPr>
            </w:pPr>
          </w:p>
        </w:tc>
        <w:tc>
          <w:tcPr>
            <w:tcW w:w="3600" w:type="dxa"/>
            <w:vAlign w:val="bottom"/>
          </w:tcPr>
          <w:p>
            <w:pPr>
              <w:spacing w:after="0"/>
              <w:rPr>
                <w:sz w:val="20"/>
                <w:szCs w:val="20"/>
                <w:color w:val="auto"/>
              </w:rPr>
            </w:pPr>
            <w:r>
              <w:rPr>
                <w:rFonts w:ascii="Arial" w:cs="Arial" w:eastAsia="Arial" w:hAnsi="Arial"/>
                <w:sz w:val="14"/>
                <w:szCs w:val="14"/>
                <w:color w:val="auto"/>
              </w:rPr>
              <w:t>Retirement</w:t>
            </w:r>
          </w:p>
        </w:tc>
        <w:tc>
          <w:tcPr>
            <w:tcW w:w="29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48,169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44,474</w:t>
            </w:r>
          </w:p>
        </w:tc>
        <w:tc>
          <w:tcPr>
            <w:tcW w:w="860" w:type="dxa"/>
            <w:vAlign w:val="bottom"/>
          </w:tcPr>
          <w:p>
            <w:pPr>
              <w:spacing w:after="0"/>
              <w:rPr>
                <w:sz w:val="15"/>
                <w:szCs w:val="15"/>
                <w:color w:val="auto"/>
              </w:rPr>
            </w:pPr>
          </w:p>
        </w:tc>
      </w:tr>
      <w:tr>
        <w:trPr>
          <w:trHeight w:val="181"/>
        </w:trPr>
        <w:tc>
          <w:tcPr>
            <w:tcW w:w="880" w:type="dxa"/>
            <w:vAlign w:val="bottom"/>
          </w:tcPr>
          <w:p>
            <w:pPr>
              <w:spacing w:after="0"/>
              <w:rPr>
                <w:sz w:val="15"/>
                <w:szCs w:val="15"/>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4"/>
                <w:szCs w:val="14"/>
                <w:color w:val="auto"/>
              </w:rPr>
              <w:t>Vacation</w:t>
            </w:r>
          </w:p>
        </w:tc>
        <w:tc>
          <w:tcPr>
            <w:tcW w:w="29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206,199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202,100</w:t>
            </w: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29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88,226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48,476</w:t>
            </w: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accrued compensation and benefits</w:t>
            </w:r>
          </w:p>
        </w:tc>
        <w:tc>
          <w:tcPr>
            <w:tcW w:w="29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438,634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425,615</w:t>
            </w:r>
          </w:p>
        </w:tc>
        <w:tc>
          <w:tcPr>
            <w:tcW w:w="86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843"/>
        </w:trPr>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40" w:type="dxa"/>
            <w:vAlign w:val="bottom"/>
            <w:gridSpan w:val="2"/>
          </w:tcPr>
          <w:p>
            <w:pPr>
              <w:jc w:val="right"/>
              <w:ind w:right="2474"/>
              <w:spacing w:after="0"/>
              <w:rPr>
                <w:sz w:val="20"/>
                <w:szCs w:val="20"/>
                <w:color w:val="auto"/>
              </w:rPr>
            </w:pPr>
            <w:r>
              <w:rPr>
                <w:rFonts w:ascii="Arial" w:cs="Arial" w:eastAsia="Arial" w:hAnsi="Arial"/>
                <w:sz w:val="14"/>
                <w:szCs w:val="14"/>
                <w:color w:val="auto"/>
              </w:rPr>
              <w:t>F-24</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9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Debt consisted of the following: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360" w:type="dxa"/>
            <w:vAlign w:val="bottom"/>
          </w:tcPr>
          <w:p>
            <w:pPr>
              <w:spacing w:after="0"/>
              <w:rPr>
                <w:sz w:val="13"/>
                <w:szCs w:val="1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March 31, 2022</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March 31, 2021</w:t>
            </w:r>
          </w:p>
        </w:tc>
        <w:tc>
          <w:tcPr>
            <w:tcW w:w="1040" w:type="dxa"/>
            <w:vAlign w:val="bottom"/>
            <w:tcBorders>
              <w:bottom w:val="single" w:sz="8" w:color="auto"/>
            </w:tcBorders>
          </w:tcPr>
          <w:p>
            <w:pPr>
              <w:spacing w:after="0"/>
              <w:rPr>
                <w:sz w:val="13"/>
                <w:szCs w:val="13"/>
                <w:color w:val="auto"/>
              </w:rPr>
            </w:pPr>
          </w:p>
        </w:tc>
      </w:tr>
      <w:tr>
        <w:trPr>
          <w:trHeight w:val="101"/>
        </w:trPr>
        <w:tc>
          <w:tcPr>
            <w:tcW w:w="5360" w:type="dxa"/>
            <w:vAlign w:val="bottom"/>
          </w:tcPr>
          <w:p>
            <w:pPr>
              <w:spacing w:after="0"/>
              <w:rPr>
                <w:sz w:val="8"/>
                <w:szCs w:val="8"/>
                <w:color w:val="auto"/>
              </w:rPr>
            </w:pPr>
          </w:p>
        </w:tc>
        <w:tc>
          <w:tcPr>
            <w:tcW w:w="1880" w:type="dxa"/>
            <w:vAlign w:val="bottom"/>
            <w:gridSpan w:val="3"/>
          </w:tcPr>
          <w:p>
            <w:pPr>
              <w:jc w:val="right"/>
              <w:ind w:right="889"/>
              <w:spacing w:after="0" w:line="101" w:lineRule="exact"/>
              <w:rPr>
                <w:sz w:val="20"/>
                <w:szCs w:val="20"/>
                <w:color w:val="auto"/>
              </w:rPr>
            </w:pPr>
            <w:r>
              <w:rPr>
                <w:rFonts w:ascii="Arial" w:cs="Arial" w:eastAsia="Arial" w:hAnsi="Arial"/>
                <w:sz w:val="11"/>
                <w:szCs w:val="11"/>
                <w:b w:val="1"/>
                <w:bCs w:val="1"/>
                <w:color w:val="auto"/>
              </w:rPr>
              <w:t>Interest</w:t>
            </w:r>
          </w:p>
        </w:tc>
        <w:tc>
          <w:tcPr>
            <w:tcW w:w="1020" w:type="dxa"/>
            <w:vAlign w:val="bottom"/>
          </w:tcPr>
          <w:p>
            <w:pPr>
              <w:jc w:val="right"/>
              <w:ind w:right="312"/>
              <w:spacing w:after="0" w:line="101" w:lineRule="exact"/>
              <w:rPr>
                <w:sz w:val="20"/>
                <w:szCs w:val="20"/>
                <w:color w:val="auto"/>
              </w:rPr>
            </w:pPr>
            <w:r>
              <w:rPr>
                <w:rFonts w:ascii="Arial" w:cs="Arial" w:eastAsia="Arial" w:hAnsi="Arial"/>
                <w:sz w:val="11"/>
                <w:szCs w:val="11"/>
                <w:b w:val="1"/>
                <w:bCs w:val="1"/>
                <w:color w:val="auto"/>
                <w:w w:val="95"/>
              </w:rPr>
              <w:t>Outstanding</w:t>
            </w:r>
          </w:p>
        </w:tc>
        <w:tc>
          <w:tcPr>
            <w:tcW w:w="100" w:type="dxa"/>
            <w:vAlign w:val="bottom"/>
          </w:tcPr>
          <w:p>
            <w:pPr>
              <w:spacing w:after="0"/>
              <w:rPr>
                <w:sz w:val="8"/>
                <w:szCs w:val="8"/>
                <w:color w:val="auto"/>
              </w:rPr>
            </w:pPr>
          </w:p>
        </w:tc>
        <w:tc>
          <w:tcPr>
            <w:tcW w:w="1860" w:type="dxa"/>
            <w:vAlign w:val="bottom"/>
            <w:gridSpan w:val="3"/>
          </w:tcPr>
          <w:p>
            <w:pPr>
              <w:jc w:val="right"/>
              <w:ind w:right="869"/>
              <w:spacing w:after="0" w:line="101" w:lineRule="exact"/>
              <w:rPr>
                <w:sz w:val="20"/>
                <w:szCs w:val="20"/>
                <w:color w:val="auto"/>
              </w:rPr>
            </w:pPr>
            <w:r>
              <w:rPr>
                <w:rFonts w:ascii="Arial" w:cs="Arial" w:eastAsia="Arial" w:hAnsi="Arial"/>
                <w:sz w:val="11"/>
                <w:szCs w:val="11"/>
                <w:b w:val="1"/>
                <w:bCs w:val="1"/>
                <w:color w:val="auto"/>
              </w:rPr>
              <w:t>Interest</w:t>
            </w:r>
          </w:p>
        </w:tc>
        <w:tc>
          <w:tcPr>
            <w:tcW w:w="1040" w:type="dxa"/>
            <w:vAlign w:val="bottom"/>
          </w:tcPr>
          <w:p>
            <w:pPr>
              <w:jc w:val="right"/>
              <w:ind w:right="312"/>
              <w:spacing w:after="0" w:line="101" w:lineRule="exact"/>
              <w:rPr>
                <w:sz w:val="20"/>
                <w:szCs w:val="20"/>
                <w:color w:val="auto"/>
              </w:rPr>
            </w:pPr>
            <w:r>
              <w:rPr>
                <w:rFonts w:ascii="Arial" w:cs="Arial" w:eastAsia="Arial" w:hAnsi="Arial"/>
                <w:sz w:val="11"/>
                <w:szCs w:val="11"/>
                <w:b w:val="1"/>
                <w:bCs w:val="1"/>
                <w:color w:val="auto"/>
                <w:w w:val="98"/>
              </w:rPr>
              <w:t>Outstanding</w:t>
            </w:r>
          </w:p>
        </w:tc>
      </w:tr>
      <w:tr>
        <w:trPr>
          <w:trHeight w:val="148"/>
        </w:trPr>
        <w:tc>
          <w:tcPr>
            <w:tcW w:w="5360" w:type="dxa"/>
            <w:vAlign w:val="bottom"/>
          </w:tcPr>
          <w:p>
            <w:pPr>
              <w:spacing w:after="0"/>
              <w:rPr>
                <w:sz w:val="12"/>
                <w:szCs w:val="12"/>
                <w:color w:val="auto"/>
              </w:rPr>
            </w:pPr>
          </w:p>
        </w:tc>
        <w:tc>
          <w:tcPr>
            <w:tcW w:w="1880" w:type="dxa"/>
            <w:vAlign w:val="bottom"/>
            <w:gridSpan w:val="3"/>
          </w:tcPr>
          <w:p>
            <w:pPr>
              <w:jc w:val="right"/>
              <w:ind w:right="969"/>
              <w:spacing w:after="0"/>
              <w:rPr>
                <w:sz w:val="20"/>
                <w:szCs w:val="20"/>
                <w:color w:val="auto"/>
              </w:rPr>
            </w:pPr>
            <w:r>
              <w:rPr>
                <w:rFonts w:ascii="Arial" w:cs="Arial" w:eastAsia="Arial" w:hAnsi="Arial"/>
                <w:sz w:val="11"/>
                <w:szCs w:val="11"/>
                <w:b w:val="1"/>
                <w:bCs w:val="1"/>
                <w:color w:val="auto"/>
              </w:rPr>
              <w:t>Rate</w:t>
            </w:r>
          </w:p>
        </w:tc>
        <w:tc>
          <w:tcPr>
            <w:tcW w:w="1020" w:type="dxa"/>
            <w:vAlign w:val="bottom"/>
          </w:tcPr>
          <w:p>
            <w:pPr>
              <w:jc w:val="right"/>
              <w:ind w:right="412"/>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2"/>
                <w:szCs w:val="12"/>
                <w:color w:val="auto"/>
              </w:rPr>
            </w:pPr>
          </w:p>
        </w:tc>
        <w:tc>
          <w:tcPr>
            <w:tcW w:w="1860" w:type="dxa"/>
            <w:vAlign w:val="bottom"/>
            <w:gridSpan w:val="3"/>
          </w:tcPr>
          <w:p>
            <w:pPr>
              <w:jc w:val="right"/>
              <w:ind w:right="949"/>
              <w:spacing w:after="0"/>
              <w:rPr>
                <w:sz w:val="20"/>
                <w:szCs w:val="20"/>
                <w:color w:val="auto"/>
              </w:rPr>
            </w:pPr>
            <w:r>
              <w:rPr>
                <w:rFonts w:ascii="Arial" w:cs="Arial" w:eastAsia="Arial" w:hAnsi="Arial"/>
                <w:sz w:val="11"/>
                <w:szCs w:val="11"/>
                <w:b w:val="1"/>
                <w:bCs w:val="1"/>
                <w:color w:val="auto"/>
              </w:rPr>
              <w:t>Rate</w:t>
            </w:r>
          </w:p>
        </w:tc>
        <w:tc>
          <w:tcPr>
            <w:tcW w:w="1040" w:type="dxa"/>
            <w:vAlign w:val="bottom"/>
          </w:tcPr>
          <w:p>
            <w:pPr>
              <w:jc w:val="right"/>
              <w:ind w:right="412"/>
              <w:spacing w:after="0"/>
              <w:rPr>
                <w:sz w:val="20"/>
                <w:szCs w:val="20"/>
                <w:color w:val="auto"/>
              </w:rPr>
            </w:pPr>
            <w:r>
              <w:rPr>
                <w:rFonts w:ascii="Arial" w:cs="Arial" w:eastAsia="Arial" w:hAnsi="Arial"/>
                <w:sz w:val="11"/>
                <w:szCs w:val="11"/>
                <w:b w:val="1"/>
                <w:bCs w:val="1"/>
                <w:color w:val="auto"/>
              </w:rPr>
              <w:t>Balance</w:t>
            </w:r>
          </w:p>
        </w:tc>
      </w:tr>
      <w:tr>
        <w:trPr>
          <w:trHeight w:val="172"/>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1,241,398</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1,289,764</w:t>
            </w: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Term Loan B</w:t>
            </w:r>
          </w:p>
        </w:tc>
        <w:tc>
          <w:tcPr>
            <w:tcW w:w="1460" w:type="dxa"/>
            <w:vAlign w:val="bottom"/>
          </w:tcPr>
          <w:p>
            <w:pPr>
              <w:jc w:val="right"/>
              <w:spacing w:after="0"/>
              <w:rPr>
                <w:sz w:val="20"/>
                <w:szCs w:val="20"/>
                <w:color w:val="auto"/>
              </w:rPr>
            </w:pPr>
            <w:r>
              <w:rPr>
                <w:rFonts w:ascii="Arial" w:cs="Arial" w:eastAsia="Arial" w:hAnsi="Arial"/>
                <w:sz w:val="14"/>
                <w:szCs w:val="14"/>
                <w:color w:val="auto"/>
              </w:rPr>
              <w:t>2.21 %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380,321</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384,212</w:t>
            </w:r>
          </w:p>
        </w:tc>
      </w:tr>
      <w:tr>
        <w:trPr>
          <w:trHeight w:val="181"/>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Revolver</w:t>
            </w:r>
          </w:p>
        </w:tc>
        <w:tc>
          <w:tcPr>
            <w:tcW w:w="1880" w:type="dxa"/>
            <w:vAlign w:val="bottom"/>
            <w:gridSpan w:val="3"/>
            <w:shd w:val="clear" w:color="auto" w:fill="CCEEFF"/>
          </w:tcPr>
          <w:p>
            <w:pPr>
              <w:jc w:val="right"/>
              <w:ind w:right="369"/>
              <w:spacing w:after="0"/>
              <w:rPr>
                <w:sz w:val="20"/>
                <w:szCs w:val="20"/>
                <w:color w:val="auto"/>
              </w:rPr>
            </w:pPr>
            <w:r>
              <w:rPr>
                <w:rFonts w:ascii="Arial" w:cs="Arial" w:eastAsia="Arial" w:hAnsi="Arial"/>
                <w:sz w:val="14"/>
                <w:szCs w:val="14"/>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349"/>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Senior Notes due 2028</w:t>
            </w:r>
          </w:p>
        </w:tc>
        <w:tc>
          <w:tcPr>
            <w:tcW w:w="146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700,000</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700,000</w:t>
            </w:r>
          </w:p>
        </w:tc>
      </w:tr>
      <w:tr>
        <w:trPr>
          <w:trHeight w:val="181"/>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349"/>
              <w:spacing w:after="0"/>
              <w:rPr>
                <w:sz w:val="20"/>
                <w:szCs w:val="20"/>
                <w:color w:val="auto"/>
              </w:rPr>
            </w:pPr>
            <w:r>
              <w:rPr>
                <w:rFonts w:ascii="Arial" w:cs="Arial" w:eastAsia="Arial" w:hAnsi="Arial"/>
                <w:sz w:val="14"/>
                <w:szCs w:val="14"/>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Unamortized debt issuance costs and discount on debt</w:t>
            </w: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(21,647)</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(17,380)</w:t>
            </w:r>
          </w:p>
        </w:tc>
      </w:tr>
      <w:tr>
        <w:trPr>
          <w:trHeight w:val="171"/>
        </w:trPr>
        <w:tc>
          <w:tcPr>
            <w:tcW w:w="5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2,800,072</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2,356,596</w:t>
            </w:r>
          </w:p>
        </w:tc>
      </w:tr>
      <w:tr>
        <w:trPr>
          <w:trHeight w:val="180"/>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Current portion of long-term debt</w:t>
            </w: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(68,379)</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(77,865)</w:t>
            </w:r>
          </w:p>
        </w:tc>
      </w:tr>
      <w:tr>
        <w:trPr>
          <w:trHeight w:val="196"/>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Long-term debt, net of current portion</w:t>
            </w: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2,731,693</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2,278,731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Agreement</w:t>
      </w:r>
    </w:p>
    <w:p>
      <w:pPr>
        <w:spacing w:after="0" w:line="83" w:lineRule="exact"/>
        <w:rPr>
          <w:sz w:val="20"/>
          <w:szCs w:val="20"/>
          <w:color w:val="auto"/>
        </w:rPr>
      </w:pPr>
    </w:p>
    <w:p>
      <w:pPr>
        <w:ind w:right="60" w:firstLine="318"/>
        <w:spacing w:after="0" w:line="248" w:lineRule="auto"/>
        <w:rPr>
          <w:sz w:val="20"/>
          <w:szCs w:val="20"/>
          <w:color w:val="auto"/>
        </w:rPr>
      </w:pPr>
      <w:r>
        <w:rPr>
          <w:rFonts w:ascii="Arial" w:cs="Arial" w:eastAsia="Arial" w:hAnsi="Arial"/>
          <w:sz w:val="13"/>
          <w:szCs w:val="13"/>
          <w:color w:val="auto"/>
        </w:rPr>
        <w:t>On June 24, 2021, Booz Allen Hamilton Inc. ("Booz Allen Hamilton"), Booz Allen Hamilton Investor Corporation ("Investor"), and certain wholly-owned subsidiaries of Booz Allen Hamilton, entered into the eighth amendment (the "Eighth Amendment") to the Credit Agreement dated as of July 31, 2012, as amended (the "Existing Credit Agreement" and, as amended, the "Credit Agreement"), with certain institutional lenders and Bank of America, N.A., as Administrative Agent and Collateral Agent. The Eighth Amendment added an additional tier in the pricing grid and extended the maturity applicable to both the Term Loan A ("Term Loan A") and revolving credit facility (the "Revolving Credit Facility") to June 24, 2026, increased the aggregate principal amount of the Revolving Credit Facility and the letter of credit sublimit thereunder, and made certain other amendments to the financial covenants and other terms under the Existing Credit Agreement. The interest rate and maturity date applicable to Term Loan B ("Term Loan B" and, together with Term Loan A, the "Term Loans") remained unchanged.</w:t>
      </w:r>
    </w:p>
    <w:p>
      <w:pPr>
        <w:spacing w:after="0" w:line="49" w:lineRule="exact"/>
        <w:rPr>
          <w:sz w:val="20"/>
          <w:szCs w:val="20"/>
          <w:color w:val="auto"/>
        </w:rPr>
      </w:pPr>
    </w:p>
    <w:p>
      <w:pPr>
        <w:ind w:right="140" w:firstLine="318"/>
        <w:spacing w:after="0" w:line="229" w:lineRule="auto"/>
        <w:rPr>
          <w:sz w:val="20"/>
          <w:szCs w:val="20"/>
          <w:color w:val="auto"/>
        </w:rPr>
      </w:pPr>
      <w:r>
        <w:rPr>
          <w:rFonts w:ascii="Arial" w:cs="Arial" w:eastAsia="Arial" w:hAnsi="Arial"/>
          <w:sz w:val="14"/>
          <w:szCs w:val="14"/>
          <w:color w:val="auto"/>
        </w:rPr>
        <w:t>Prior to the Eighth Amendment, approximately $1,289.8 million was outstanding under Term Loan A (the "Existing Tranche A Term Loans"). Pursuant to the Eighth Amendment, certain lenders under the Existing Credit Agreement converted their Existing Tranche A Term Loans into a new tranche of tranche A term loans (the “New Refinancing Tranche A Term Loans”) in an aggregate amount, along with the New Refinancing Tranche A Term Loans advanced by certain new lenders, of approximately $1,289.8 million. The proceeds from the new lenders were used to prepay in full all of the Existing Tranche A Term Loans that were not converted into the New Refinancing Tranche A Term Loans. Voluntary prepayments of the New Refinancing Tranche A Term Loans are permitted at any time, in minimum principal amounts, without premium or penalty. The other terms of the New Refinancing Tranche A Term Loans are generally the same as the Existing Tranche A Term Loans prior to the Eighth Amendment.</w:t>
      </w:r>
    </w:p>
    <w:p>
      <w:pPr>
        <w:spacing w:after="0" w:line="54" w:lineRule="exact"/>
        <w:rPr>
          <w:sz w:val="20"/>
          <w:szCs w:val="20"/>
          <w:color w:val="auto"/>
        </w:rPr>
      </w:pPr>
    </w:p>
    <w:p>
      <w:pPr>
        <w:ind w:right="80" w:firstLine="318"/>
        <w:spacing w:after="0" w:line="233" w:lineRule="auto"/>
        <w:rPr>
          <w:sz w:val="20"/>
          <w:szCs w:val="20"/>
          <w:color w:val="auto"/>
        </w:rPr>
      </w:pPr>
      <w:r>
        <w:rPr>
          <w:rFonts w:ascii="Arial" w:cs="Arial" w:eastAsia="Arial" w:hAnsi="Arial"/>
          <w:sz w:val="14"/>
          <w:szCs w:val="14"/>
          <w:color w:val="auto"/>
        </w:rPr>
        <w:t>Prior to the Eighth Amendment, approximately $500.0 million of revolving commitments (the “Existing Revolving Commitments”) were available under the Existing Credit Agreement, with a sublimit for letters of credit of $100.0 million. Pursuant to the Eighth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$1,000 million, with a sublimit for letters of credit of $200.0 million.</w:t>
      </w:r>
    </w:p>
    <w:p>
      <w:pPr>
        <w:spacing w:after="0" w:line="64" w:lineRule="exact"/>
        <w:rPr>
          <w:sz w:val="20"/>
          <w:szCs w:val="20"/>
          <w:color w:val="auto"/>
        </w:rPr>
      </w:pPr>
    </w:p>
    <w:p>
      <w:pPr>
        <w:ind w:right="100" w:firstLine="318"/>
        <w:spacing w:after="0" w:line="282" w:lineRule="auto"/>
        <w:rPr>
          <w:sz w:val="20"/>
          <w:szCs w:val="20"/>
          <w:color w:val="auto"/>
        </w:rPr>
      </w:pPr>
      <w:r>
        <w:rPr>
          <w:rFonts w:ascii="Arial" w:cs="Arial" w:eastAsia="Arial" w:hAnsi="Arial"/>
          <w:sz w:val="13"/>
          <w:szCs w:val="13"/>
          <w:color w:val="auto"/>
        </w:rPr>
        <w:t>As of March 31, 2022, the Credit Agreement provided Booz Allen Hamilton with a $1,241.4 million Term Loan A, a $380.3 million Term Loan B and a $1,000 million revolving credit facility (the “Revolving Credit Facility”) with a sub-limit for letters of credit of $200.0 million (collectively, the "Secured Credit Facility"). As of March 31, 2022, the maturity date of Term Loan B was November 26, 2026. Booz Allen Hamilton’s obligations and the guarantors’ guarantees under the Credit Agreement (the "Guarantee")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$909 million and (y) 100%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of consolidated EBITDA of Booz Allen Hamilton, as of the end of the most recently ended four quarter period for which financial statements have been delivered pursuant to the Credit Agreement plus (ii) the aggregate principal amount under which pro forma consolidated net senior secured leverage remains less than or equal to 3.50:1.00.</w:t>
      </w:r>
    </w:p>
    <w:p>
      <w:pPr>
        <w:spacing w:after="0" w:line="47"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1.125% to 2.00% for LIBOR loans and 0.125% to 1.00% for base rate loans, in each case based on Booz Allen Hamilton’s consolidated total net leverage ratio. Unused commitments under the Revolving Credit Facility are subject to a quarterly fee ranging from 0.175% to 0.35% based on Booz Allen Hamilton’s consolidated total net leverage ratio. The applicable margin for Term Loan B is 1.75% for LIBOR loans and 0.75% for base rate loans.</w:t>
      </w:r>
    </w:p>
    <w:p>
      <w:pPr>
        <w:spacing w:after="0" w:line="4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47"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March 31, 2022 and 2021, Booz Allen Hamilton was in compliance with all financial covenants associated with its debt and debt-like instruments.</w:t>
      </w:r>
    </w:p>
    <w:p>
      <w:pPr>
        <w:spacing w:after="0" w:line="5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During fiscal 2022, interest payments of $19.6 million and $7.2 million were made for Term Loan A and Term Loan B, respectively. During fiscal 2021, interest payments of $23.6 million and $7.8 million were made for Term Loan A and Term Loan B, respectively.</w:t>
      </w:r>
    </w:p>
    <w:p>
      <w:pPr>
        <w:spacing w:after="0" w:line="47"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March 31, 2022, Booz Allen Hamilton had interest rate swaps with an aggregate notional amount of $700 million. These instruments hedge the variability of cash outflows for interest payments on the Term Loans and the Revolving Credit Facility. The Company's objectives in using cash flow hedges are to reduce volatility due to interest rate movements and to add stability to interest expense (see Note 11 in our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Notes</w:t>
      </w:r>
    </w:p>
    <w:p>
      <w:pPr>
        <w:spacing w:after="0" w:line="94"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On June 17, 2021, Booz Allen Hamilton issued $500.0 million aggregate principal amount of its 4.000% Senior Notes due July 1, 2029 (the “Senior Notes due 2029”) under an Indenture, dated as of June 17, 2021, among Booz Allen Hamilton, certain subsidiaries of Booz Allen Hamilton, as guarantors (the “2029 Subsidiary Guarantors”), and Wilmington Trust, National Association (in such capacity, the “2029 Trustee”), as supplemented by the First Supplemental Indenture, dated as of June 17, 2021, among Booz Allen Hamilton, the 2029 Subsidiary Guarantors and the 2029 Trustee. The Senior Notes due 2029 and the related guarantees are Booz Allen Hamilton’s and each 2029 Subsidiary Guarantors’ senior unsecured obligations and rank equally in right of payment with all of Booz Allen Hamilton’s and the 2029 Subsidiary Guarantors’ existing and future senior indebtedness and rank senior in right of payment to any of Booz Allen Hamilton’s and the 2029 Subsidiary Guarantors’ future subordinated indebtedness. The net proceeds from the sale of the Senior Notes due 2029 were used to fund the acquisition of Liberty and to pay related fees and expenses.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40" w:firstLine="318"/>
        <w:spacing w:after="0" w:line="278" w:lineRule="auto"/>
        <w:rPr>
          <w:sz w:val="20"/>
          <w:szCs w:val="20"/>
          <w:color w:val="auto"/>
        </w:rPr>
      </w:pPr>
      <w:r>
        <w:rPr>
          <w:rFonts w:ascii="Arial" w:cs="Arial" w:eastAsia="Arial" w:hAnsi="Arial"/>
          <w:sz w:val="13"/>
          <w:szCs w:val="13"/>
          <w:color w:val="auto"/>
        </w:rPr>
        <w:t>Booz Allen Hamilton may redeem some or all of the Senior Notes due 2029 at any time prior to July 1, 2024, at a price equal to 100.00% of the principal amount of the Senior Notes due 2029 redeemed, plus accrued and unpaid interest, if any, to (but not including) the redemption date, plus an applicable “make-whole premium.” Booz Allen Hamilton may redeem the Senior Notes due 2029 at its option, in whole at any time or in part from time to time, upon certain required notice, at any time (i) on and after July 1, 2024, at a price equal to 102.00% of the principal amount of the Senior Notes due 2029 redeemed, (ii) on or after July 1, 2025, at a price equal to 101.00% of the principal amount of the Senior Notes due 2029 redeemed, and (iii) on July 1, 2026 and thereafter, at a price equal to 100.00% of the principal amount of the Senior Notes due 2029 redeemed, in each case, plus accrued and unpaid interest, if any, to (but not including) the applicable redemption date. In addition, at any time on or prior to July 1, 2024, Booz Allen Hamilton may redeem up to 40.00% of the Senior Notes due 2029 with an amount equal to the net cash proceeds of certain equity offerings at a redemption price equal to 104.00%, plus accrued and unpaid interest, if any, to (but not including) the redemption date, provided, however, that at least 50.00% of the original aggregate principal amount of the Senior Notes due 2029 must remain outstanding after each such redemption; and provided, further, that such redemption shall occur within 180 days after the date on which any such equity offering is consummated.</w:t>
      </w:r>
    </w:p>
    <w:p>
      <w:pPr>
        <w:spacing w:after="0" w:line="5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Interest is payable on the Senior Notes due 2029 semi-annually in cash in arrears on July 1 and January 1 of each year, beginning on January 1, 2022. In connection with the issuance of the Senior Notes due 2029, the Company recognized $6.5 million of issuance costs, which were recorded as an offset against the carrying value of debt and will be amortized to interest expense over the term of the Senior Notes due 2029.</w:t>
      </w:r>
    </w:p>
    <w:p>
      <w:pPr>
        <w:spacing w:after="0" w:line="57" w:lineRule="exact"/>
        <w:rPr>
          <w:sz w:val="20"/>
          <w:szCs w:val="20"/>
          <w:color w:val="auto"/>
        </w:rPr>
      </w:pPr>
    </w:p>
    <w:p>
      <w:pPr>
        <w:ind w:right="20" w:firstLine="318"/>
        <w:spacing w:after="0" w:line="280" w:lineRule="auto"/>
        <w:rPr>
          <w:sz w:val="20"/>
          <w:szCs w:val="20"/>
          <w:color w:val="auto"/>
        </w:rPr>
      </w:pPr>
      <w:r>
        <w:rPr>
          <w:rFonts w:ascii="Arial" w:cs="Arial" w:eastAsia="Arial" w:hAnsi="Arial"/>
          <w:sz w:val="13"/>
          <w:szCs w:val="13"/>
          <w:color w:val="auto"/>
        </w:rPr>
        <w:t>On August 24, 2020, Booz Allen Hamilton issued $700.0 million aggregate principal amount of its 3.875% Senior Notes due 2028 (the “Senior Notes due 2028”, and, together with the Senior Notes due 2029, the "Senior Notes") under an Indenture, dated as of August 24, 2020, among Booz Allen Hamilton, certain subsidiaries of Booz Allen Hamilton, as guarantors (the “2028 Subsidiary Guarantors”), and Wilmington Trust, National Association as trustee (in such capacity, the “2028 Trustee”), as supplemented by the First Supplemental Indenture, dated as of August 24, 2020, among Booz Allen Hamilton, the 2028 Subsidiary Guarantors and the 2028 Trustee. Each of Booz Allen Hamilton's existing and future restricted subsidiaries that guarantee its obligations under the Secured Credit Facility or certain other indebtedness guarantee the Senior Notes due 2028 on a senior unsecured basis. The Senior Notes due 2028 and the guarantees are Booz Allen Hamilton’s and each 2028 Subsidiary Guarantors’ senior unsecured obligations and rank equally in right of payment with all of Booz Allen Hamilton’s and the 2028 Subsidiary Guarantors’ existing and future senior indebtedness and rank senior in right of payment to any of Booz Allen Hamilton’s and the Subsidiary Guarantors’ future subordinated indebtedness.</w:t>
      </w:r>
    </w:p>
    <w:p>
      <w:pPr>
        <w:spacing w:after="0" w:line="52"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Booz Allen Hamilton may redeem some or all of the Senior Notes due 2028 at any time prior to September 1, 2023, at a price equal to 100.00% of the principal amount of the Senior Notes due 2028 redeemed, plus accrued and unpaid interest, if any, to (but not including) the redemption date, plus an applicable “make-whole premium.” Booz Allen Hamilton may redeem the Senior Notes due 2028 at its option, in whole at any time or in part from time to time, upon certain required notice, at any time (i) on and after September 1, 2023, at a price equal to 101.94% of the principal amount of the Senior Notes due 2028, (ii) on or after September 1, 2024, at a price equal to 100.97% of the principal amount of the Senior Notes due 2028, and (iii) on September 1, 2025 and thereafter, at a price equal to 100.00% of the principal amount of the Senior Notes due 2028, in each case, plus accrued and unpaid interest, if any, to (but not including) the applicable redemption date. In addition, at any time on or prior to September 1, 2023, Booz Allen Hamilton may redeem up to 40.00% of the original aggregate principal amount of the Senior Notes due 2028 with the net cash proceeds of certain equity offerings at a redemption price equal to 103.88% of the principal amount of the Senior Notes due 2028, plus accrued and unpaid interest, if any, to (but not including) the redemption date, provided that at least 50.00% of the original aggregate principal amount of the Senior Notes due 2028 remains outstanding after each such redemption; and the redemption occurs within 180 days of the closing date of such equity offering.</w:t>
      </w:r>
    </w:p>
    <w:p>
      <w:pPr>
        <w:spacing w:after="0" w:line="5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Interest is payable on the Senior Notes due 2028 semi-annually on March 1 and September 1 of each year, beginning on March 1, 2021, and principal is due at maturity on September 1, 2028. In connection with the issuance of the Senior Notes due 2028, the Company recognized $9.2 million of issuance costs, which were recorded as an offset against the carrying value of debt and will be amortized to interest expense over the term of the Senior Notes due 2028.</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required future debt principal repayments: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ind w:left="140"/>
              <w:spacing w:after="0"/>
              <w:rPr>
                <w:sz w:val="20"/>
                <w:szCs w:val="20"/>
                <w:color w:val="auto"/>
              </w:rPr>
            </w:pPr>
            <w:r>
              <w:rPr>
                <w:rFonts w:ascii="Arial" w:cs="Arial" w:eastAsia="Arial" w:hAnsi="Arial"/>
                <w:sz w:val="11"/>
                <w:szCs w:val="11"/>
                <w:b w:val="1"/>
                <w:bCs w:val="1"/>
                <w:color w:val="auto"/>
                <w:w w:val="99"/>
              </w:rPr>
              <w:t>Payments Due By March 31,</w:t>
            </w: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42"/>
        </w:trPr>
        <w:tc>
          <w:tcPr>
            <w:tcW w:w="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80" w:type="dxa"/>
            <w:vAlign w:val="bottom"/>
            <w:gridSpan w:val="2"/>
          </w:tcPr>
          <w:p>
            <w:pPr>
              <w:ind w:left="460"/>
              <w:spacing w:after="0"/>
              <w:rPr>
                <w:sz w:val="20"/>
                <w:szCs w:val="20"/>
                <w:color w:val="auto"/>
              </w:rPr>
            </w:pPr>
            <w:r>
              <w:rPr>
                <w:rFonts w:ascii="Arial" w:cs="Arial" w:eastAsia="Arial" w:hAnsi="Arial"/>
                <w:sz w:val="11"/>
                <w:szCs w:val="11"/>
                <w:b w:val="1"/>
                <w:bCs w:val="1"/>
                <w:color w:val="auto"/>
              </w:rPr>
              <w:t>Total</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9"/>
              </w:rPr>
              <w:t>2023</w:t>
            </w:r>
          </w:p>
        </w:tc>
        <w:tc>
          <w:tcPr>
            <w:tcW w:w="100" w:type="dxa"/>
            <w:vAlign w:val="bottom"/>
          </w:tcPr>
          <w:p>
            <w:pPr>
              <w:spacing w:after="0"/>
              <w:rPr>
                <w:sz w:val="12"/>
                <w:szCs w:val="12"/>
                <w:color w:val="auto"/>
              </w:rPr>
            </w:pPr>
          </w:p>
        </w:tc>
        <w:tc>
          <w:tcPr>
            <w:tcW w:w="1040" w:type="dxa"/>
            <w:vAlign w:val="bottom"/>
            <w:gridSpan w:val="2"/>
          </w:tcPr>
          <w:p>
            <w:pPr>
              <w:jc w:val="center"/>
              <w:ind w:left="72"/>
              <w:spacing w:after="0"/>
              <w:rPr>
                <w:sz w:val="20"/>
                <w:szCs w:val="20"/>
                <w:color w:val="auto"/>
              </w:rPr>
            </w:pPr>
            <w:r>
              <w:rPr>
                <w:rFonts w:ascii="Arial" w:cs="Arial" w:eastAsia="Arial" w:hAnsi="Arial"/>
                <w:sz w:val="11"/>
                <w:szCs w:val="11"/>
                <w:b w:val="1"/>
                <w:bCs w:val="1"/>
                <w:color w:val="auto"/>
                <w:w w:val="89"/>
              </w:rPr>
              <w:t>2024</w:t>
            </w:r>
          </w:p>
        </w:tc>
        <w:tc>
          <w:tcPr>
            <w:tcW w:w="1240" w:type="dxa"/>
            <w:vAlign w:val="bottom"/>
            <w:gridSpan w:val="3"/>
          </w:tcPr>
          <w:p>
            <w:pPr>
              <w:jc w:val="center"/>
              <w:ind w:left="312"/>
              <w:spacing w:after="0"/>
              <w:rPr>
                <w:sz w:val="20"/>
                <w:szCs w:val="20"/>
                <w:color w:val="auto"/>
              </w:rPr>
            </w:pPr>
            <w:r>
              <w:rPr>
                <w:rFonts w:ascii="Arial" w:cs="Arial" w:eastAsia="Arial" w:hAnsi="Arial"/>
                <w:sz w:val="11"/>
                <w:szCs w:val="11"/>
                <w:b w:val="1"/>
                <w:bCs w:val="1"/>
                <w:color w:val="auto"/>
                <w:w w:val="89"/>
              </w:rPr>
              <w:t>2025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3"/>
              <w:spacing w:after="0"/>
              <w:rPr>
                <w:sz w:val="20"/>
                <w:szCs w:val="20"/>
                <w:color w:val="auto"/>
              </w:rPr>
            </w:pPr>
            <w:r>
              <w:rPr>
                <w:rFonts w:ascii="Arial" w:cs="Arial" w:eastAsia="Arial" w:hAnsi="Arial"/>
                <w:sz w:val="11"/>
                <w:szCs w:val="11"/>
                <w:b w:val="1"/>
                <w:bCs w:val="1"/>
                <w:color w:val="auto"/>
                <w:w w:val="89"/>
              </w:rPr>
              <w:t>2026</w:t>
            </w:r>
          </w:p>
        </w:tc>
        <w:tc>
          <w:tcPr>
            <w:tcW w:w="940" w:type="dxa"/>
            <w:vAlign w:val="bottom"/>
            <w:gridSpan w:val="4"/>
          </w:tcPr>
          <w:p>
            <w:pPr>
              <w:jc w:val="center"/>
              <w:ind w:left="330"/>
              <w:spacing w:after="0"/>
              <w:rPr>
                <w:sz w:val="20"/>
                <w:szCs w:val="20"/>
                <w:color w:val="auto"/>
              </w:rPr>
            </w:pPr>
            <w:r>
              <w:rPr>
                <w:rFonts w:ascii="Arial" w:cs="Arial" w:eastAsia="Arial" w:hAnsi="Arial"/>
                <w:sz w:val="11"/>
                <w:szCs w:val="11"/>
                <w:b w:val="1"/>
                <w:bCs w:val="1"/>
                <w:color w:val="auto"/>
                <w:w w:val="89"/>
              </w:rPr>
              <w:t>2027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1"/>
                <w:szCs w:val="11"/>
                <w:b w:val="1"/>
                <w:bCs w:val="1"/>
                <w:color w:val="auto"/>
              </w:rPr>
              <w:t>Thereafter</w:t>
            </w:r>
          </w:p>
        </w:tc>
      </w:tr>
      <w:tr>
        <w:trPr>
          <w:trHeight w:val="172"/>
        </w:trPr>
        <w:tc>
          <w:tcPr>
            <w:tcW w:w="2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Term Loan A</w:t>
            </w: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$1,241,398</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$64,488</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90"/>
              </w:rPr>
              <w:t>$64,488</w:t>
            </w: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ind w:left="69"/>
              <w:spacing w:after="0"/>
              <w:rPr>
                <w:sz w:val="20"/>
                <w:szCs w:val="20"/>
                <w:color w:val="auto"/>
              </w:rPr>
            </w:pPr>
            <w:r>
              <w:rPr>
                <w:rFonts w:ascii="Arial" w:cs="Arial" w:eastAsia="Arial" w:hAnsi="Arial"/>
                <w:sz w:val="14"/>
                <w:szCs w:val="14"/>
                <w:color w:val="auto"/>
                <w:w w:val="90"/>
              </w:rPr>
              <w:t>$64,488</w:t>
            </w: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ind w:right="93"/>
              <w:spacing w:after="0"/>
              <w:rPr>
                <w:sz w:val="20"/>
                <w:szCs w:val="20"/>
                <w:color w:val="auto"/>
              </w:rPr>
            </w:pPr>
            <w:r>
              <w:rPr>
                <w:rFonts w:ascii="Arial" w:cs="Arial" w:eastAsia="Arial" w:hAnsi="Arial"/>
                <w:sz w:val="14"/>
                <w:szCs w:val="14"/>
                <w:color w:val="auto"/>
                <w:w w:val="90"/>
              </w:rPr>
              <w:t>$64,488</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gridSpan w:val="3"/>
            <w:shd w:val="clear" w:color="auto" w:fill="CCEEFF"/>
          </w:tcPr>
          <w:p>
            <w:pPr>
              <w:jc w:val="center"/>
              <w:ind w:left="229"/>
              <w:spacing w:after="0"/>
              <w:rPr>
                <w:sz w:val="20"/>
                <w:szCs w:val="20"/>
                <w:color w:val="auto"/>
              </w:rPr>
            </w:pPr>
            <w:r>
              <w:rPr>
                <w:rFonts w:ascii="Arial" w:cs="Arial" w:eastAsia="Arial" w:hAnsi="Arial"/>
                <w:sz w:val="14"/>
                <w:szCs w:val="14"/>
                <w:color w:val="auto"/>
                <w:w w:val="92"/>
              </w:rPr>
              <w:t>$983,446</w:t>
            </w: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0"/>
        </w:trPr>
        <w:tc>
          <w:tcPr>
            <w:tcW w:w="2440" w:type="dxa"/>
            <w:vAlign w:val="bottom"/>
            <w:gridSpan w:val="2"/>
          </w:tcPr>
          <w:p>
            <w:pPr>
              <w:spacing w:after="0"/>
              <w:rPr>
                <w:sz w:val="20"/>
                <w:szCs w:val="20"/>
                <w:color w:val="auto"/>
              </w:rPr>
            </w:pPr>
            <w:r>
              <w:rPr>
                <w:rFonts w:ascii="Arial" w:cs="Arial" w:eastAsia="Arial" w:hAnsi="Arial"/>
                <w:sz w:val="14"/>
                <w:szCs w:val="14"/>
                <w:color w:val="auto"/>
              </w:rPr>
              <w:t>Term Loan B</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380,321</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3,891</w:t>
            </w:r>
          </w:p>
        </w:tc>
        <w:tc>
          <w:tcPr>
            <w:tcW w:w="100" w:type="dxa"/>
            <w:vAlign w:val="bottom"/>
          </w:tcPr>
          <w:p>
            <w:pPr>
              <w:spacing w:after="0"/>
              <w:rPr>
                <w:sz w:val="15"/>
                <w:szCs w:val="15"/>
                <w:color w:val="auto"/>
              </w:rPr>
            </w:pPr>
          </w:p>
        </w:tc>
        <w:tc>
          <w:tcPr>
            <w:tcW w:w="1040" w:type="dxa"/>
            <w:vAlign w:val="bottom"/>
            <w:gridSpan w:val="2"/>
          </w:tcPr>
          <w:p>
            <w:pPr>
              <w:jc w:val="center"/>
              <w:ind w:left="52"/>
              <w:spacing w:after="0"/>
              <w:rPr>
                <w:sz w:val="20"/>
                <w:szCs w:val="20"/>
                <w:color w:val="auto"/>
              </w:rPr>
            </w:pPr>
            <w:r>
              <w:rPr>
                <w:rFonts w:ascii="Arial" w:cs="Arial" w:eastAsia="Arial" w:hAnsi="Arial"/>
                <w:sz w:val="14"/>
                <w:szCs w:val="14"/>
                <w:color w:val="auto"/>
                <w:w w:val="91"/>
              </w:rPr>
              <w:t>3,891</w:t>
            </w:r>
          </w:p>
        </w:tc>
        <w:tc>
          <w:tcPr>
            <w:tcW w:w="1240" w:type="dxa"/>
            <w:vAlign w:val="bottom"/>
            <w:gridSpan w:val="3"/>
          </w:tcPr>
          <w:p>
            <w:pPr>
              <w:jc w:val="center"/>
              <w:ind w:left="292"/>
              <w:spacing w:after="0"/>
              <w:rPr>
                <w:sz w:val="20"/>
                <w:szCs w:val="20"/>
                <w:color w:val="auto"/>
              </w:rPr>
            </w:pPr>
            <w:r>
              <w:rPr>
                <w:rFonts w:ascii="Arial" w:cs="Arial" w:eastAsia="Arial" w:hAnsi="Arial"/>
                <w:sz w:val="14"/>
                <w:szCs w:val="14"/>
                <w:color w:val="auto"/>
                <w:w w:val="91"/>
              </w:rPr>
              <w:t>3,891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color w:val="auto"/>
                <w:w w:val="91"/>
              </w:rPr>
              <w:t>3,891</w:t>
            </w:r>
          </w:p>
        </w:tc>
        <w:tc>
          <w:tcPr>
            <w:tcW w:w="940" w:type="dxa"/>
            <w:vAlign w:val="bottom"/>
            <w:gridSpan w:val="4"/>
          </w:tcPr>
          <w:p>
            <w:pPr>
              <w:jc w:val="center"/>
              <w:ind w:left="330"/>
              <w:spacing w:after="0"/>
              <w:rPr>
                <w:sz w:val="20"/>
                <w:szCs w:val="20"/>
                <w:color w:val="auto"/>
              </w:rPr>
            </w:pPr>
            <w:r>
              <w:rPr>
                <w:rFonts w:ascii="Arial" w:cs="Arial" w:eastAsia="Arial" w:hAnsi="Arial"/>
                <w:sz w:val="14"/>
                <w:szCs w:val="14"/>
                <w:color w:val="auto"/>
                <w:w w:val="90"/>
              </w:rPr>
              <w:t>364,757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r>
      <w:tr>
        <w:trPr>
          <w:trHeight w:val="181"/>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2028</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700,000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1060" w:type="dxa"/>
            <w:vAlign w:val="bottom"/>
            <w:shd w:val="clear" w:color="auto" w:fill="CCEEFF"/>
          </w:tcPr>
          <w:p>
            <w:pPr>
              <w:jc w:val="center"/>
              <w:ind w:right="93"/>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center"/>
              <w:ind w:right="109"/>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91"/>
              <w:spacing w:after="0"/>
              <w:rPr>
                <w:sz w:val="20"/>
                <w:szCs w:val="20"/>
                <w:color w:val="auto"/>
              </w:rPr>
            </w:pPr>
            <w:r>
              <w:rPr>
                <w:rFonts w:ascii="Arial" w:cs="Arial" w:eastAsia="Arial" w:hAnsi="Arial"/>
                <w:sz w:val="14"/>
                <w:szCs w:val="14"/>
                <w:color w:val="auto"/>
                <w:w w:val="90"/>
              </w:rPr>
              <w:t>700,000</w:t>
            </w:r>
          </w:p>
        </w:tc>
        <w:tc>
          <w:tcPr>
            <w:tcW w:w="160" w:type="dxa"/>
            <w:vAlign w:val="bottom"/>
            <w:shd w:val="clear" w:color="auto" w:fill="CCEEFF"/>
          </w:tcPr>
          <w:p>
            <w:pPr>
              <w:spacing w:after="0"/>
              <w:rPr>
                <w:sz w:val="15"/>
                <w:szCs w:val="15"/>
                <w:color w:val="auto"/>
              </w:rPr>
            </w:pPr>
          </w:p>
        </w:tc>
      </w:tr>
      <w:tr>
        <w:trPr>
          <w:trHeight w:val="180"/>
        </w:trPr>
        <w:tc>
          <w:tcPr>
            <w:tcW w:w="2440" w:type="dxa"/>
            <w:vAlign w:val="bottom"/>
            <w:gridSpan w:val="2"/>
          </w:tcPr>
          <w:p>
            <w:pPr>
              <w:spacing w:after="0"/>
              <w:rPr>
                <w:sz w:val="20"/>
                <w:szCs w:val="20"/>
                <w:color w:val="auto"/>
              </w:rPr>
            </w:pPr>
            <w:r>
              <w:rPr>
                <w:rFonts w:ascii="Arial" w:cs="Arial" w:eastAsia="Arial" w:hAnsi="Arial"/>
                <w:sz w:val="14"/>
                <w:szCs w:val="14"/>
                <w:color w:val="auto"/>
              </w:rPr>
              <w:t>Senior Notes 2029</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500,000</w:t>
            </w: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80" w:type="dxa"/>
            <w:vAlign w:val="bottom"/>
          </w:tcPr>
          <w:p>
            <w:pPr>
              <w:spacing w:after="0"/>
              <w:rPr>
                <w:sz w:val="15"/>
                <w:szCs w:val="15"/>
                <w:color w:val="auto"/>
              </w:rPr>
            </w:pPr>
          </w:p>
        </w:tc>
        <w:tc>
          <w:tcPr>
            <w:tcW w:w="560" w:type="dxa"/>
            <w:vAlign w:val="bottom"/>
          </w:tcPr>
          <w:p>
            <w:pPr>
              <w:jc w:val="center"/>
              <w:ind w:right="269"/>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color w:val="auto"/>
                <w:w w:val="99"/>
              </w:rPr>
              <w:t>—</w:t>
            </w:r>
          </w:p>
        </w:tc>
        <w:tc>
          <w:tcPr>
            <w:tcW w:w="1060" w:type="dxa"/>
            <w:vAlign w:val="bottom"/>
          </w:tcPr>
          <w:p>
            <w:pPr>
              <w:jc w:val="center"/>
              <w:ind w:right="93"/>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jc w:val="center"/>
              <w:ind w:right="109"/>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91"/>
              <w:spacing w:after="0"/>
              <w:rPr>
                <w:sz w:val="20"/>
                <w:szCs w:val="20"/>
                <w:color w:val="auto"/>
              </w:rPr>
            </w:pPr>
            <w:r>
              <w:rPr>
                <w:rFonts w:ascii="Arial" w:cs="Arial" w:eastAsia="Arial" w:hAnsi="Arial"/>
                <w:sz w:val="14"/>
                <w:szCs w:val="14"/>
                <w:color w:val="auto"/>
                <w:w w:val="90"/>
              </w:rPr>
              <w:t>500,000</w:t>
            </w:r>
          </w:p>
        </w:tc>
        <w:tc>
          <w:tcPr>
            <w:tcW w:w="160" w:type="dxa"/>
            <w:vAlign w:val="bottom"/>
          </w:tcPr>
          <w:p>
            <w:pPr>
              <w:spacing w:after="0"/>
              <w:rPr>
                <w:sz w:val="15"/>
                <w:szCs w:val="15"/>
                <w:color w:val="auto"/>
              </w:rPr>
            </w:pPr>
          </w:p>
        </w:tc>
      </w:tr>
      <w:tr>
        <w:trPr>
          <w:trHeight w:val="181"/>
        </w:trPr>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on indebtedness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446,697</w:t>
            </w: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76,677</w:t>
            </w: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88"/>
              </w:rPr>
              <w:t>75,550</w:t>
            </w:r>
          </w:p>
        </w:tc>
        <w:tc>
          <w:tcPr>
            <w:tcW w:w="1240" w:type="dxa"/>
            <w:vAlign w:val="bottom"/>
            <w:tcBorders>
              <w:bottom w:val="single" w:sz="8" w:color="auto"/>
            </w:tcBorders>
            <w:gridSpan w:val="3"/>
            <w:shd w:val="clear" w:color="auto" w:fill="CCEEFF"/>
          </w:tcPr>
          <w:p>
            <w:pPr>
              <w:jc w:val="center"/>
              <w:ind w:left="312"/>
              <w:spacing w:after="0"/>
              <w:rPr>
                <w:sz w:val="20"/>
                <w:szCs w:val="20"/>
                <w:color w:val="auto"/>
              </w:rPr>
            </w:pPr>
            <w:r>
              <w:rPr>
                <w:rFonts w:ascii="Arial" w:cs="Arial" w:eastAsia="Arial" w:hAnsi="Arial"/>
                <w:sz w:val="14"/>
                <w:szCs w:val="14"/>
                <w:color w:val="auto"/>
                <w:w w:val="88"/>
              </w:rPr>
              <w:t>74,270</w:t>
            </w:r>
          </w:p>
        </w:tc>
        <w:tc>
          <w:tcPr>
            <w:tcW w:w="1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ind w:right="73"/>
              <w:spacing w:after="0"/>
              <w:rPr>
                <w:sz w:val="20"/>
                <w:szCs w:val="20"/>
                <w:color w:val="auto"/>
              </w:rPr>
            </w:pPr>
            <w:r>
              <w:rPr>
                <w:rFonts w:ascii="Arial" w:cs="Arial" w:eastAsia="Arial" w:hAnsi="Arial"/>
                <w:sz w:val="14"/>
                <w:szCs w:val="14"/>
                <w:color w:val="auto"/>
                <w:w w:val="93"/>
              </w:rPr>
              <w:t>73,067</w:t>
            </w:r>
          </w:p>
        </w:tc>
        <w:tc>
          <w:tcPr>
            <w:tcW w:w="940" w:type="dxa"/>
            <w:vAlign w:val="bottom"/>
            <w:tcBorders>
              <w:bottom w:val="single" w:sz="8" w:color="auto"/>
            </w:tcBorders>
            <w:gridSpan w:val="4"/>
            <w:shd w:val="clear" w:color="auto" w:fill="CCEEFF"/>
          </w:tcPr>
          <w:p>
            <w:pPr>
              <w:jc w:val="center"/>
              <w:ind w:left="330"/>
              <w:spacing w:after="0"/>
              <w:rPr>
                <w:sz w:val="20"/>
                <w:szCs w:val="20"/>
                <w:color w:val="auto"/>
              </w:rPr>
            </w:pPr>
            <w:r>
              <w:rPr>
                <w:rFonts w:ascii="Arial" w:cs="Arial" w:eastAsia="Arial" w:hAnsi="Arial"/>
                <w:sz w:val="14"/>
                <w:szCs w:val="14"/>
                <w:color w:val="auto"/>
                <w:w w:val="88"/>
              </w:rPr>
              <w:t>56,445</w:t>
            </w:r>
          </w:p>
        </w:tc>
        <w:tc>
          <w:tcPr>
            <w:tcW w:w="3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ind w:left="71"/>
              <w:spacing w:after="0"/>
              <w:rPr>
                <w:sz w:val="20"/>
                <w:szCs w:val="20"/>
                <w:color w:val="auto"/>
              </w:rPr>
            </w:pPr>
            <w:r>
              <w:rPr>
                <w:rFonts w:ascii="Arial" w:cs="Arial" w:eastAsia="Arial" w:hAnsi="Arial"/>
                <w:sz w:val="14"/>
                <w:szCs w:val="14"/>
                <w:color w:val="auto"/>
                <w:w w:val="93"/>
              </w:rPr>
              <w:t>90,688</w:t>
            </w:r>
          </w:p>
        </w:tc>
        <w:tc>
          <w:tcPr>
            <w:tcW w:w="160" w:type="dxa"/>
            <w:vAlign w:val="bottom"/>
            <w:tcBorders>
              <w:bottom w:val="single" w:sz="8" w:color="auto"/>
            </w:tcBorders>
            <w:shd w:val="clear" w:color="auto" w:fill="CCEEFF"/>
          </w:tcPr>
          <w:p>
            <w:pPr>
              <w:spacing w:after="0"/>
              <w:rPr>
                <w:sz w:val="15"/>
                <w:szCs w:val="15"/>
                <w:color w:val="auto"/>
              </w:rPr>
            </w:pPr>
          </w:p>
        </w:tc>
      </w:tr>
      <w:tr>
        <w:trPr>
          <w:trHeight w:val="171"/>
        </w:trPr>
        <w:tc>
          <w:tcPr>
            <w:tcW w:w="244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$3,268,416</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$145,056</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4"/>
                <w:szCs w:val="14"/>
                <w:color w:val="auto"/>
                <w:w w:val="92"/>
              </w:rPr>
              <w:t>$143,929</w:t>
            </w:r>
          </w:p>
        </w:tc>
        <w:tc>
          <w:tcPr>
            <w:tcW w:w="124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color w:val="auto"/>
                <w:w w:val="92"/>
              </w:rPr>
              <w:t>$142,649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88"/>
              </w:rPr>
              <w:t>$141,446</w:t>
            </w:r>
          </w:p>
        </w:tc>
        <w:tc>
          <w:tcPr>
            <w:tcW w:w="1260" w:type="dxa"/>
            <w:vAlign w:val="bottom"/>
            <w:tcBorders>
              <w:bottom w:val="single" w:sz="8" w:color="auto"/>
            </w:tcBorders>
            <w:gridSpan w:val="5"/>
          </w:tcPr>
          <w:p>
            <w:pPr>
              <w:jc w:val="center"/>
              <w:ind w:left="10"/>
              <w:spacing w:after="0"/>
              <w:rPr>
                <w:sz w:val="20"/>
                <w:szCs w:val="20"/>
                <w:color w:val="auto"/>
              </w:rPr>
            </w:pPr>
            <w:r>
              <w:rPr>
                <w:rFonts w:ascii="Arial" w:cs="Arial" w:eastAsia="Arial" w:hAnsi="Arial"/>
                <w:sz w:val="14"/>
                <w:szCs w:val="14"/>
                <w:color w:val="auto"/>
                <w:w w:val="88"/>
              </w:rPr>
              <w:t>$1,404,648</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center"/>
              <w:ind w:left="71"/>
              <w:spacing w:after="0"/>
              <w:rPr>
                <w:sz w:val="20"/>
                <w:szCs w:val="20"/>
                <w:color w:val="auto"/>
              </w:rPr>
            </w:pPr>
            <w:r>
              <w:rPr>
                <w:rFonts w:ascii="Arial" w:cs="Arial" w:eastAsia="Arial" w:hAnsi="Arial"/>
                <w:sz w:val="14"/>
                <w:szCs w:val="14"/>
                <w:color w:val="auto"/>
                <w:w w:val="91"/>
              </w:rPr>
              <w:t>$1,290,688</w:t>
            </w:r>
          </w:p>
        </w:tc>
        <w:tc>
          <w:tcPr>
            <w:tcW w:w="160" w:type="dxa"/>
            <w:vAlign w:val="bottom"/>
            <w:tcBorders>
              <w:bottom w:val="single" w:sz="8" w:color="auto"/>
            </w:tcBorders>
          </w:tcPr>
          <w:p>
            <w:pPr>
              <w:spacing w:after="0"/>
              <w:rPr>
                <w:sz w:val="14"/>
                <w:szCs w:val="14"/>
                <w:color w:val="auto"/>
              </w:rPr>
            </w:pPr>
          </w:p>
        </w:tc>
      </w:tr>
      <w:tr>
        <w:trPr>
          <w:trHeight w:val="20"/>
        </w:trPr>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513"/>
        </w:trPr>
        <w:tc>
          <w:tcPr>
            <w:tcW w:w="4960" w:type="dxa"/>
            <w:vAlign w:val="bottom"/>
            <w:gridSpan w:val="6"/>
          </w:tcPr>
          <w:p>
            <w:pPr>
              <w:ind w:left="320"/>
              <w:spacing w:after="0"/>
              <w:rPr>
                <w:sz w:val="20"/>
                <w:szCs w:val="20"/>
                <w:color w:val="auto"/>
              </w:rPr>
            </w:pPr>
            <w:r>
              <w:rPr>
                <w:rFonts w:ascii="Arial" w:cs="Arial" w:eastAsia="Arial" w:hAnsi="Arial"/>
                <w:sz w:val="14"/>
                <w:szCs w:val="14"/>
                <w:color w:val="auto"/>
              </w:rPr>
              <w:t>Interest on debt and debt-like instruments consisted of the following:</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6"/>
        </w:trPr>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1"/>
                <w:szCs w:val="11"/>
                <w:b w:val="1"/>
                <w:bCs w:val="1"/>
                <w:color w:val="auto"/>
              </w:rPr>
              <w:t>Fiscal Year Ended March 31,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20" w:type="dxa"/>
            <w:vAlign w:val="bottom"/>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1"/>
                <w:szCs w:val="11"/>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2"/>
                <w:szCs w:val="12"/>
                <w:color w:val="auto"/>
              </w:rPr>
            </w:pPr>
          </w:p>
        </w:tc>
      </w:tr>
      <w:tr>
        <w:trPr>
          <w:trHeight w:val="172"/>
        </w:trPr>
        <w:tc>
          <w:tcPr>
            <w:tcW w:w="320" w:type="dxa"/>
            <w:vAlign w:val="bottom"/>
          </w:tcPr>
          <w:p>
            <w:pPr>
              <w:spacing w:after="0"/>
              <w:rPr>
                <w:sz w:val="14"/>
                <w:szCs w:val="14"/>
                <w:color w:val="auto"/>
              </w:rPr>
            </w:pPr>
          </w:p>
        </w:tc>
        <w:tc>
          <w:tcPr>
            <w:tcW w:w="212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1"/>
              </w:rPr>
              <w:t>Term Loan A Interest Expense</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19,570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8"/>
              </w:rPr>
              <w:t>23,541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50,080</w:t>
            </w:r>
          </w:p>
        </w:tc>
        <w:tc>
          <w:tcPr>
            <w:tcW w:w="160" w:type="dxa"/>
            <w:vAlign w:val="bottom"/>
          </w:tcPr>
          <w:p>
            <w:pPr>
              <w:spacing w:after="0"/>
              <w:rPr>
                <w:sz w:val="14"/>
                <w:szCs w:val="14"/>
                <w:color w:val="auto"/>
              </w:rPr>
            </w:pPr>
          </w:p>
        </w:tc>
      </w:tr>
      <w:tr>
        <w:trPr>
          <w:trHeight w:val="180"/>
        </w:trPr>
        <w:tc>
          <w:tcPr>
            <w:tcW w:w="320" w:type="dxa"/>
            <w:vAlign w:val="bottom"/>
          </w:tcPr>
          <w:p>
            <w:pPr>
              <w:spacing w:after="0"/>
              <w:rPr>
                <w:sz w:val="15"/>
                <w:szCs w:val="15"/>
                <w:color w:val="auto"/>
              </w:rPr>
            </w:pPr>
          </w:p>
        </w:tc>
        <w:tc>
          <w:tcPr>
            <w:tcW w:w="2120" w:type="dxa"/>
            <w:vAlign w:val="bottom"/>
          </w:tcPr>
          <w:p>
            <w:pPr>
              <w:ind w:left="360"/>
              <w:spacing w:after="0"/>
              <w:rPr>
                <w:sz w:val="20"/>
                <w:szCs w:val="20"/>
                <w:color w:val="auto"/>
              </w:rPr>
            </w:pPr>
            <w:r>
              <w:rPr>
                <w:rFonts w:ascii="Arial" w:cs="Arial" w:eastAsia="Arial" w:hAnsi="Arial"/>
                <w:sz w:val="14"/>
                <w:szCs w:val="14"/>
                <w:color w:val="auto"/>
                <w:w w:val="91"/>
              </w:rPr>
              <w:t>Term Loan B Interest Expense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7,207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7,787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15,739</w:t>
            </w:r>
          </w:p>
        </w:tc>
        <w:tc>
          <w:tcPr>
            <w:tcW w:w="160" w:type="dxa"/>
            <w:vAlign w:val="bottom"/>
          </w:tcPr>
          <w:p>
            <w:pPr>
              <w:spacing w:after="0"/>
              <w:rPr>
                <w:sz w:val="15"/>
                <w:szCs w:val="15"/>
                <w:color w:val="auto"/>
              </w:rPr>
            </w:pPr>
          </w:p>
        </w:tc>
      </w:tr>
      <w:tr>
        <w:trPr>
          <w:trHeight w:val="181"/>
        </w:trPr>
        <w:tc>
          <w:tcPr>
            <w:tcW w:w="320" w:type="dxa"/>
            <w:vAlign w:val="bottom"/>
          </w:tcPr>
          <w:p>
            <w:pPr>
              <w:spacing w:after="0"/>
              <w:rPr>
                <w:sz w:val="15"/>
                <w:szCs w:val="15"/>
                <w:color w:val="auto"/>
              </w:rPr>
            </w:pPr>
          </w:p>
        </w:tc>
        <w:tc>
          <w:tcPr>
            <w:tcW w:w="34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Interest on Revolving Credit Facility</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6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2120" w:type="dxa"/>
            <w:vAlign w:val="bottom"/>
          </w:tcPr>
          <w:p>
            <w:pPr>
              <w:ind w:left="360"/>
              <w:spacing w:after="0"/>
              <w:rPr>
                <w:sz w:val="20"/>
                <w:szCs w:val="20"/>
                <w:color w:val="auto"/>
              </w:rPr>
            </w:pPr>
            <w:r>
              <w:rPr>
                <w:rFonts w:ascii="Arial" w:cs="Arial" w:eastAsia="Arial" w:hAnsi="Arial"/>
                <w:sz w:val="14"/>
                <w:szCs w:val="14"/>
                <w:color w:val="auto"/>
                <w:w w:val="91"/>
              </w:rPr>
              <w:t>Senior Notes Interest Expense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42,902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8"/>
              </w:rPr>
              <w:t>23,476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17,938</w:t>
            </w:r>
          </w:p>
        </w:tc>
        <w:tc>
          <w:tcPr>
            <w:tcW w:w="160" w:type="dxa"/>
            <w:vAlign w:val="bottom"/>
          </w:tcPr>
          <w:p>
            <w:pPr>
              <w:spacing w:after="0"/>
              <w:rPr>
                <w:sz w:val="15"/>
                <w:szCs w:val="15"/>
                <w:color w:val="auto"/>
              </w:rPr>
            </w:pPr>
          </w:p>
        </w:tc>
      </w:tr>
      <w:tr>
        <w:trPr>
          <w:trHeight w:val="181"/>
        </w:trPr>
        <w:tc>
          <w:tcPr>
            <w:tcW w:w="320" w:type="dxa"/>
            <w:vAlign w:val="bottom"/>
          </w:tcPr>
          <w:p>
            <w:pPr>
              <w:spacing w:after="0"/>
              <w:rPr>
                <w:sz w:val="15"/>
                <w:szCs w:val="15"/>
                <w:color w:val="auto"/>
              </w:rPr>
            </w:pPr>
          </w:p>
        </w:tc>
        <w:tc>
          <w:tcPr>
            <w:tcW w:w="34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Deferred Payment Obligation Interest (1)</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5,740</w:t>
            </w:r>
          </w:p>
        </w:tc>
        <w:tc>
          <w:tcPr>
            <w:tcW w:w="16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5680" w:type="dxa"/>
            <w:vAlign w:val="bottom"/>
            <w:gridSpan w:val="7"/>
          </w:tcPr>
          <w:p>
            <w:pPr>
              <w:ind w:left="360"/>
              <w:spacing w:after="0"/>
              <w:rPr>
                <w:sz w:val="20"/>
                <w:szCs w:val="20"/>
                <w:color w:val="auto"/>
              </w:rPr>
            </w:pPr>
            <w:r>
              <w:rPr>
                <w:rFonts w:ascii="Arial" w:cs="Arial" w:eastAsia="Arial" w:hAnsi="Arial"/>
                <w:sz w:val="14"/>
                <w:szCs w:val="14"/>
                <w:color w:val="auto"/>
              </w:rPr>
              <w:t>Amortization of Debt Issuance Costs (DIC) and Original Issue Discount (OID) (2)</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4,619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4,396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4,688</w:t>
            </w:r>
          </w:p>
        </w:tc>
        <w:tc>
          <w:tcPr>
            <w:tcW w:w="160" w:type="dxa"/>
            <w:vAlign w:val="bottom"/>
          </w:tcPr>
          <w:p>
            <w:pPr>
              <w:spacing w:after="0"/>
              <w:rPr>
                <w:sz w:val="15"/>
                <w:szCs w:val="15"/>
                <w:color w:val="auto"/>
              </w:rPr>
            </w:pPr>
          </w:p>
        </w:tc>
      </w:tr>
      <w:tr>
        <w:trPr>
          <w:trHeight w:val="181"/>
        </w:trPr>
        <w:tc>
          <w:tcPr>
            <w:tcW w:w="320" w:type="dxa"/>
            <w:vAlign w:val="bottom"/>
          </w:tcPr>
          <w:p>
            <w:pPr>
              <w:spacing w:after="0"/>
              <w:rPr>
                <w:sz w:val="15"/>
                <w:szCs w:val="15"/>
                <w:color w:val="auto"/>
              </w:rPr>
            </w:pPr>
          </w:p>
        </w:tc>
        <w:tc>
          <w:tcPr>
            <w:tcW w:w="2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Swap Expense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17,535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8"/>
              </w:rPr>
              <w:t>20,558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60" w:type="dxa"/>
            <w:vAlign w:val="bottom"/>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21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494</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60" w:type="dxa"/>
            <w:vAlign w:val="bottom"/>
          </w:tcPr>
          <w:p>
            <w:pPr>
              <w:spacing w:after="0"/>
              <w:rPr>
                <w:sz w:val="15"/>
                <w:szCs w:val="15"/>
                <w:color w:val="auto"/>
              </w:rPr>
            </w:pPr>
          </w:p>
        </w:tc>
      </w:tr>
      <w:tr>
        <w:trPr>
          <w:trHeight w:val="196"/>
        </w:trPr>
        <w:tc>
          <w:tcPr>
            <w:tcW w:w="320" w:type="dxa"/>
            <w:vAlign w:val="bottom"/>
          </w:tcPr>
          <w:p>
            <w:pPr>
              <w:spacing w:after="0"/>
              <w:rPr>
                <w:sz w:val="16"/>
                <w:szCs w:val="16"/>
                <w:color w:val="auto"/>
              </w:rPr>
            </w:pPr>
          </w:p>
        </w:tc>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Interest Expense</w:t>
            </w: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92,352</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88"/>
              </w:rPr>
              <w:t>81,270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96,960</w:t>
            </w:r>
          </w:p>
        </w:tc>
        <w:tc>
          <w:tcPr>
            <w:tcW w:w="1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53" w:lineRule="exact"/>
        <w:rPr>
          <w:sz w:val="20"/>
          <w:szCs w:val="20"/>
          <w:color w:val="auto"/>
        </w:rPr>
      </w:pPr>
    </w:p>
    <w:p>
      <w:pPr>
        <w:ind w:right="80" w:firstLine="5"/>
        <w:spacing w:after="0" w:line="262" w:lineRule="auto"/>
        <w:tabs>
          <w:tab w:leader="none" w:pos="2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connection with Carlyle Group indirectly acquiring all of the issued and outstanding stock of the Company on July 31, 2008, the Company established a Deferred Payment Obligation, payable 8.5 years after the closing date, or until settlement of all outstanding claims, less any settled claims. All remaining potential claims outstanding that were able to be indemnified under the Deferred Payment Obligation related to former officers and stockholders' lawsuits, were all settled as of December 31, 2019. Interest payments on the Deferred Payment Obligation were made twice a year in January and July. The final payment was made during fiscal 2020.</w:t>
      </w:r>
    </w:p>
    <w:p>
      <w:pPr>
        <w:spacing w:after="0" w:line="60" w:lineRule="exact"/>
        <w:rPr>
          <w:rFonts w:ascii="Arial" w:cs="Arial" w:eastAsia="Arial" w:hAnsi="Arial"/>
          <w:sz w:val="14"/>
          <w:szCs w:val="14"/>
          <w:color w:val="auto"/>
        </w:rPr>
      </w:pPr>
    </w:p>
    <w:p>
      <w:pPr>
        <w:ind w:right="100" w:firstLine="5"/>
        <w:spacing w:after="0" w:line="267" w:lineRule="auto"/>
        <w:tabs>
          <w:tab w:leader="none" w:pos="2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DIC and OID on the Term Loans and Senior Notes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DERIVATIVES</w:t>
      </w:r>
    </w:p>
    <w:p>
      <w:pPr>
        <w:spacing w:after="0" w:line="98"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$700.0 million as of March 31, 2022. The swaps have staggered maturities, ranging from June 30, 2022 to June 30, 2025. These swaps mature within the last tranche of the Company's floating rate debt (November 26, 2026).</w:t>
      </w:r>
    </w:p>
    <w:p>
      <w:pPr>
        <w:spacing w:after="0" w:line="61"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47" w:lineRule="exact"/>
        <w:rPr>
          <w:sz w:val="20"/>
          <w:szCs w:val="20"/>
          <w:color w:val="auto"/>
        </w:rPr>
      </w:pPr>
    </w:p>
    <w:p>
      <w:pPr>
        <w:ind w:right="40" w:firstLine="318"/>
        <w:spacing w:after="0" w:line="321" w:lineRule="auto"/>
        <w:rPr>
          <w:sz w:val="20"/>
          <w:szCs w:val="20"/>
          <w:color w:val="auto"/>
        </w:rPr>
      </w:pPr>
      <w:r>
        <w:rPr>
          <w:rFonts w:ascii="Arial" w:cs="Arial" w:eastAsia="Arial" w:hAnsi="Arial"/>
          <w:sz w:val="13"/>
          <w:szCs w:val="13"/>
          <w:color w:val="auto"/>
        </w:rPr>
        <w:t>Derivative instruments are recorded in the consolidated balance sheet on a gross basis at estimated fair value. As of March 31, 2022, $4.1 million, $4.3 million and $39 thousand were classified as other long term assets, other current liabilities and other long-term liabilities, respectively, on the consolidated balance sheet. As of March 31, 2021, $17.2 million and $21.0</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million were classified as other current liabilities, and other long-term liabilities, respectively, on the consolidated balance sheet.</w:t>
      </w:r>
    </w:p>
    <w:p>
      <w:pPr>
        <w:spacing w:after="0" w:line="9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For interest rate swaps designated as cash flow hedges, the changes in the fair value of derivatives is recorded in Accumulated Other Comprehensive Income (Loss), net of taxes, and is subsequently reclassified into interest expense in the period that the hedged forecasted interest payments are made on the Company's variable-rate debt. Over the next 12 months, the Company estimates that $4.4 million will be reclassified as an increase to interest expense. Cash flows associated with periodic settlements of interest rate swaps will be classified as operating activities in the consolidated statement of cash flows. The effect of derivative instruments on the accompanying consolidated financial statements is as follows:</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1"/>
                <w:szCs w:val="11"/>
                <w:b w:val="1"/>
                <w:bCs w:val="1"/>
                <w:color w:val="auto"/>
                <w:w w:val="99"/>
              </w:rPr>
              <w:t>Fiscal year ended March 31,</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398"/>
        </w:trPr>
        <w:tc>
          <w:tcPr>
            <w:tcW w:w="2140" w:type="dxa"/>
            <w:vAlign w:val="bottom"/>
          </w:tcPr>
          <w:p>
            <w:pPr>
              <w:jc w:val="center"/>
              <w:ind w:left="3"/>
              <w:spacing w:after="0"/>
              <w:rPr>
                <w:sz w:val="20"/>
                <w:szCs w:val="20"/>
                <w:color w:val="auto"/>
              </w:rPr>
            </w:pPr>
            <w:r>
              <w:rPr>
                <w:rFonts w:ascii="Arial" w:cs="Arial" w:eastAsia="Arial" w:hAnsi="Arial"/>
                <w:sz w:val="11"/>
                <w:szCs w:val="11"/>
                <w:b w:val="1"/>
                <w:bCs w:val="1"/>
                <w:color w:val="auto"/>
                <w:w w:val="92"/>
              </w:rPr>
              <w:t>Derivatives in Cash Flow Hedging</w:t>
            </w:r>
          </w:p>
        </w:tc>
        <w:tc>
          <w:tcPr>
            <w:tcW w:w="2260" w:type="dxa"/>
            <w:vAlign w:val="bottom"/>
          </w:tcPr>
          <w:p>
            <w:pPr>
              <w:jc w:val="center"/>
              <w:ind w:left="3"/>
              <w:spacing w:after="0"/>
              <w:rPr>
                <w:sz w:val="20"/>
                <w:szCs w:val="20"/>
                <w:color w:val="auto"/>
              </w:rPr>
            </w:pPr>
            <w:r>
              <w:rPr>
                <w:rFonts w:ascii="Arial" w:cs="Arial" w:eastAsia="Arial" w:hAnsi="Arial"/>
                <w:sz w:val="11"/>
                <w:szCs w:val="11"/>
                <w:b w:val="1"/>
                <w:bCs w:val="1"/>
                <w:color w:val="auto"/>
                <w:w w:val="92"/>
              </w:rPr>
              <w:t>Location of Gain or Loss Recognized in</w:t>
            </w:r>
          </w:p>
        </w:tc>
        <w:tc>
          <w:tcPr>
            <w:tcW w:w="298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w w:val="93"/>
              </w:rPr>
              <w:t>Amount of Gain (Loss) Recognized in AOCI on Derivatives</w:t>
            </w: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83"/>
              <w:spacing w:after="0"/>
              <w:rPr>
                <w:sz w:val="20"/>
                <w:szCs w:val="20"/>
                <w:color w:val="auto"/>
              </w:rPr>
            </w:pPr>
            <w:r>
              <w:rPr>
                <w:rFonts w:ascii="Arial" w:cs="Arial" w:eastAsia="Arial" w:hAnsi="Arial"/>
                <w:sz w:val="11"/>
                <w:szCs w:val="11"/>
                <w:b w:val="1"/>
                <w:bCs w:val="1"/>
                <w:color w:val="auto"/>
                <w:w w:val="92"/>
              </w:rPr>
              <w:t xml:space="preserve">Amount of Loss Reclassified from AOCI into Income </w:t>
            </w:r>
            <w:r>
              <w:rPr>
                <w:rFonts w:ascii="Arial" w:cs="Arial" w:eastAsia="Arial" w:hAnsi="Arial"/>
                <w:sz w:val="14"/>
                <w:szCs w:val="14"/>
                <w:b w:val="1"/>
                <w:bCs w:val="1"/>
                <w:color w:val="auto"/>
                <w:w w:val="92"/>
                <w:vertAlign w:val="superscript"/>
              </w:rPr>
              <w:t>(1)</w:t>
            </w:r>
          </w:p>
        </w:tc>
      </w:tr>
      <w:tr>
        <w:trPr>
          <w:trHeight w:val="149"/>
        </w:trPr>
        <w:tc>
          <w:tcPr>
            <w:tcW w:w="214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88"/>
              </w:rPr>
              <w:t>Relationships</w:t>
            </w:r>
          </w:p>
        </w:tc>
        <w:tc>
          <w:tcPr>
            <w:tcW w:w="22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92"/>
              </w:rPr>
              <w:t>Income on Derivatives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2020</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2020</w:t>
            </w:r>
          </w:p>
        </w:tc>
      </w:tr>
      <w:tr>
        <w:trPr>
          <w:trHeight w:val="140"/>
        </w:trPr>
        <w:tc>
          <w:tcPr>
            <w:tcW w:w="214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90"/>
              </w:rPr>
              <w:t>Interest rate swaps</w:t>
            </w:r>
          </w:p>
        </w:tc>
        <w:tc>
          <w:tcPr>
            <w:tcW w:w="2260" w:type="dxa"/>
            <w:vAlign w:val="bottom"/>
            <w:shd w:val="clear" w:color="auto" w:fill="CCEEFF"/>
          </w:tcPr>
          <w:p>
            <w:pPr>
              <w:jc w:val="center"/>
              <w:ind w:left="3"/>
              <w:spacing w:after="0"/>
              <w:rPr>
                <w:sz w:val="20"/>
                <w:szCs w:val="20"/>
                <w:color w:val="auto"/>
              </w:rPr>
            </w:pPr>
            <w:r>
              <w:rPr>
                <w:rFonts w:ascii="Arial" w:cs="Arial" w:eastAsia="Arial" w:hAnsi="Arial"/>
                <w:sz w:val="11"/>
                <w:szCs w:val="11"/>
                <w:color w:val="auto"/>
                <w:w w:val="88"/>
              </w:rPr>
              <w:t>Interest expense</w:t>
            </w:r>
          </w:p>
        </w:tc>
        <w:tc>
          <w:tcPr>
            <w:tcW w:w="220" w:type="dxa"/>
            <w:vAlign w:val="bottom"/>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20,352</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(2,071)</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(55,871)</w:t>
            </w: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(17,535)</w:t>
            </w: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(20,558)</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(2,094)</w:t>
            </w:r>
          </w:p>
        </w:tc>
      </w:tr>
    </w:tbl>
    <w:p>
      <w:pPr>
        <w:spacing w:after="0" w:line="138" w:lineRule="exact"/>
        <w:rPr>
          <w:sz w:val="20"/>
          <w:szCs w:val="20"/>
          <w:color w:val="auto"/>
        </w:rPr>
      </w:pPr>
    </w:p>
    <w:p>
      <w:pPr>
        <w:ind w:left="640" w:hanging="126"/>
        <w:spacing w:after="0"/>
        <w:tabs>
          <w:tab w:leader="none" w:pos="640" w:val="left"/>
        </w:tabs>
        <w:numPr>
          <w:ilvl w:val="0"/>
          <w:numId w:val="62"/>
        </w:numPr>
        <w:rPr>
          <w:rFonts w:ascii="Arial" w:cs="Arial" w:eastAsia="Arial" w:hAnsi="Arial"/>
          <w:sz w:val="15"/>
          <w:szCs w:val="15"/>
          <w:color w:val="auto"/>
          <w:vertAlign w:val="superscript"/>
        </w:rPr>
      </w:pPr>
      <w:r>
        <w:rPr>
          <w:rFonts w:ascii="Arial" w:cs="Arial" w:eastAsia="Arial" w:hAnsi="Arial"/>
          <w:sz w:val="12"/>
          <w:szCs w:val="12"/>
          <w:color w:val="auto"/>
        </w:rPr>
        <w:t>The reclassifications from accumulated other comprehensive gain (loss) to net income was reduced by taxes of $4.6 million, $5.4 million and $0.5 million for fiscal 2022, 2021 and 2020.</w:t>
      </w:r>
    </w:p>
    <w:p>
      <w:pPr>
        <w:spacing w:after="0" w:line="2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LEASES</w:t>
      </w:r>
    </w:p>
    <w:p>
      <w:pPr>
        <w:spacing w:after="0" w:line="98" w:lineRule="exact"/>
        <w:rPr>
          <w:sz w:val="20"/>
          <w:szCs w:val="20"/>
          <w:color w:val="auto"/>
        </w:rPr>
      </w:pPr>
    </w:p>
    <w:p>
      <w:pPr>
        <w:ind w:right="520" w:firstLine="318"/>
        <w:spacing w:after="0" w:line="321" w:lineRule="auto"/>
        <w:rPr>
          <w:sz w:val="20"/>
          <w:szCs w:val="20"/>
          <w:color w:val="auto"/>
        </w:rPr>
      </w:pPr>
      <w:r>
        <w:rPr>
          <w:rFonts w:ascii="Arial" w:cs="Arial" w:eastAsia="Arial" w:hAnsi="Arial"/>
          <w:sz w:val="13"/>
          <w:szCs w:val="13"/>
          <w:color w:val="auto"/>
        </w:rPr>
        <w:t xml:space="preserve">The Company's leases are generally for facilities and office space. The Company adopted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on April 1, 2019 using the modified retrospective transition approach, and as a result did not recast comparative prior period information and presented prior period amounts and disclosures under ASC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840).</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total lease cost is recorded primarily within general and administrative expenses on the consolidated statement of operations and consisted of the following:</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tcPr>
          <w:p>
            <w:pPr>
              <w:jc w:val="right"/>
              <w:ind w:right="375"/>
              <w:spacing w:after="0"/>
              <w:rPr>
                <w:sz w:val="20"/>
                <w:szCs w:val="20"/>
                <w:color w:val="auto"/>
              </w:rPr>
            </w:pPr>
            <w:r>
              <w:rPr>
                <w:rFonts w:ascii="Arial" w:cs="Arial" w:eastAsia="Arial" w:hAnsi="Arial"/>
                <w:sz w:val="11"/>
                <w:szCs w:val="11"/>
                <w:b w:val="1"/>
                <w:bCs w:val="1"/>
                <w:color w:val="auto"/>
                <w:w w:val="99"/>
              </w:rPr>
              <w:t>Fiscal Year Ended</w:t>
            </w:r>
          </w:p>
        </w:tc>
        <w:tc>
          <w:tcPr>
            <w:tcW w:w="56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8"/>
        </w:trPr>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15"/>
              <w:spacing w:after="0"/>
              <w:rPr>
                <w:sz w:val="20"/>
                <w:szCs w:val="20"/>
                <w:color w:val="auto"/>
              </w:rPr>
            </w:pPr>
            <w:r>
              <w:rPr>
                <w:rFonts w:ascii="Arial" w:cs="Arial" w:eastAsia="Arial" w:hAnsi="Arial"/>
                <w:sz w:val="11"/>
                <w:szCs w:val="11"/>
                <w:b w:val="1"/>
                <w:bCs w:val="1"/>
                <w:color w:val="auto"/>
              </w:rPr>
              <w:t>March 31,</w:t>
            </w: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39"/>
        </w:trPr>
        <w:tc>
          <w:tcPr>
            <w:tcW w:w="34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5"/>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r>
      <w:tr>
        <w:trPr>
          <w:trHeight w:val="172"/>
        </w:trPr>
        <w:tc>
          <w:tcPr>
            <w:tcW w:w="340" w:type="dxa"/>
            <w:vAlign w:val="bottom"/>
          </w:tcPr>
          <w:p>
            <w:pPr>
              <w:spacing w:after="0"/>
              <w:rPr>
                <w:sz w:val="14"/>
                <w:szCs w:val="14"/>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Operating lease cost</w:t>
            </w:r>
          </w:p>
        </w:tc>
        <w:tc>
          <w:tcPr>
            <w:tcW w:w="2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69,831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75"/>
              <w:spacing w:after="0"/>
              <w:rPr>
                <w:sz w:val="20"/>
                <w:szCs w:val="20"/>
                <w:color w:val="auto"/>
              </w:rPr>
            </w:pPr>
            <w:r>
              <w:rPr>
                <w:rFonts w:ascii="Arial" w:cs="Arial" w:eastAsia="Arial" w:hAnsi="Arial"/>
                <w:sz w:val="14"/>
                <w:szCs w:val="14"/>
                <w:color w:val="auto"/>
              </w:rPr>
              <w:t>68,702</w:t>
            </w:r>
          </w:p>
        </w:tc>
        <w:tc>
          <w:tcPr>
            <w:tcW w:w="5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71,067</w:t>
            </w:r>
          </w:p>
        </w:tc>
      </w:tr>
      <w:tr>
        <w:trPr>
          <w:trHeight w:val="180"/>
        </w:trPr>
        <w:tc>
          <w:tcPr>
            <w:tcW w:w="340" w:type="dxa"/>
            <w:vAlign w:val="bottom"/>
          </w:tcPr>
          <w:p>
            <w:pPr>
              <w:spacing w:after="0"/>
              <w:rPr>
                <w:sz w:val="15"/>
                <w:szCs w:val="15"/>
                <w:color w:val="auto"/>
              </w:rPr>
            </w:pPr>
          </w:p>
        </w:tc>
        <w:tc>
          <w:tcPr>
            <w:tcW w:w="3540" w:type="dxa"/>
            <w:vAlign w:val="bottom"/>
          </w:tcPr>
          <w:p>
            <w:pPr>
              <w:ind w:left="320"/>
              <w:spacing w:after="0"/>
              <w:rPr>
                <w:sz w:val="20"/>
                <w:szCs w:val="20"/>
                <w:color w:val="auto"/>
              </w:rPr>
            </w:pPr>
            <w:r>
              <w:rPr>
                <w:rFonts w:ascii="Arial" w:cs="Arial" w:eastAsia="Arial" w:hAnsi="Arial"/>
                <w:sz w:val="14"/>
                <w:szCs w:val="14"/>
                <w:color w:val="auto"/>
              </w:rPr>
              <w:t>Short-term lease cost</w:t>
            </w:r>
          </w:p>
        </w:tc>
        <w:tc>
          <w:tcPr>
            <w:tcW w:w="2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tcPr>
          <w:p>
            <w:pPr>
              <w:jc w:val="right"/>
              <w:ind w:right="175"/>
              <w:spacing w:after="0"/>
              <w:rPr>
                <w:sz w:val="20"/>
                <w:szCs w:val="20"/>
                <w:color w:val="auto"/>
              </w:rPr>
            </w:pPr>
            <w:r>
              <w:rPr>
                <w:rFonts w:ascii="Arial" w:cs="Arial" w:eastAsia="Arial" w:hAnsi="Arial"/>
                <w:sz w:val="14"/>
                <w:szCs w:val="14"/>
                <w:color w:val="auto"/>
              </w:rPr>
              <w:t>3,780</w:t>
            </w:r>
          </w:p>
        </w:tc>
        <w:tc>
          <w:tcPr>
            <w:tcW w:w="5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9,657</w:t>
            </w:r>
          </w:p>
        </w:tc>
      </w:tr>
      <w:tr>
        <w:trPr>
          <w:trHeight w:val="181"/>
        </w:trPr>
        <w:tc>
          <w:tcPr>
            <w:tcW w:w="340" w:type="dxa"/>
            <w:vAlign w:val="bottom"/>
          </w:tcPr>
          <w:p>
            <w:pPr>
              <w:spacing w:after="0"/>
              <w:rPr>
                <w:sz w:val="15"/>
                <w:szCs w:val="15"/>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Variable lease cost</w:t>
            </w:r>
          </w:p>
        </w:tc>
        <w:tc>
          <w:tcPr>
            <w:tcW w:w="214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4"/>
                <w:szCs w:val="14"/>
                <w:color w:val="auto"/>
              </w:rPr>
              <w:t>12,843</w:t>
            </w:r>
          </w:p>
        </w:tc>
        <w:tc>
          <w:tcPr>
            <w:tcW w:w="5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11,657</w:t>
            </w:r>
          </w:p>
        </w:tc>
      </w:tr>
      <w:tr>
        <w:trPr>
          <w:trHeight w:val="171"/>
        </w:trPr>
        <w:tc>
          <w:tcPr>
            <w:tcW w:w="340" w:type="dxa"/>
            <w:vAlign w:val="bottom"/>
          </w:tcPr>
          <w:p>
            <w:pPr>
              <w:spacing w:after="0"/>
              <w:rPr>
                <w:sz w:val="14"/>
                <w:szCs w:val="14"/>
                <w:color w:val="auto"/>
              </w:rPr>
            </w:pPr>
          </w:p>
        </w:tc>
        <w:tc>
          <w:tcPr>
            <w:tcW w:w="3540" w:type="dxa"/>
            <w:vAlign w:val="bottom"/>
          </w:tcPr>
          <w:p>
            <w:pPr>
              <w:ind w:left="420"/>
              <w:spacing w:after="0"/>
              <w:rPr>
                <w:sz w:val="20"/>
                <w:szCs w:val="20"/>
                <w:color w:val="auto"/>
              </w:rPr>
            </w:pPr>
            <w:r>
              <w:rPr>
                <w:rFonts w:ascii="Arial" w:cs="Arial" w:eastAsia="Arial" w:hAnsi="Arial"/>
                <w:sz w:val="14"/>
                <w:szCs w:val="14"/>
                <w:color w:val="auto"/>
              </w:rPr>
              <w:t>Total operating lease costs</w:t>
            </w:r>
          </w:p>
        </w:tc>
        <w:tc>
          <w:tcPr>
            <w:tcW w:w="2140" w:type="dxa"/>
            <w:vAlign w:val="bottom"/>
          </w:tcPr>
          <w:p>
            <w:pPr>
              <w:spacing w:after="0"/>
              <w:rPr>
                <w:sz w:val="14"/>
                <w:szCs w:val="14"/>
                <w:color w:val="auto"/>
              </w:rPr>
            </w:pPr>
          </w:p>
        </w:tc>
        <w:tc>
          <w:tcPr>
            <w:tcW w:w="11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82,057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85,325</w:t>
            </w:r>
          </w:p>
        </w:tc>
        <w:tc>
          <w:tcPr>
            <w:tcW w:w="5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92,381</w:t>
            </w:r>
          </w:p>
        </w:tc>
      </w:tr>
      <w:tr>
        <w:trPr>
          <w:trHeight w:val="20"/>
        </w:trPr>
        <w:tc>
          <w:tcPr>
            <w:tcW w:w="3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4"/>
        </w:trPr>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20" w:type="dxa"/>
            <w:vAlign w:val="bottom"/>
            <w:gridSpan w:val="2"/>
          </w:tcPr>
          <w:p>
            <w:pPr>
              <w:jc w:val="right"/>
              <w:ind w:right="1354"/>
              <w:spacing w:after="0"/>
              <w:rPr>
                <w:sz w:val="20"/>
                <w:szCs w:val="20"/>
                <w:color w:val="auto"/>
              </w:rPr>
            </w:pPr>
            <w:r>
              <w:rPr>
                <w:rFonts w:ascii="Arial" w:cs="Arial" w:eastAsia="Arial" w:hAnsi="Arial"/>
                <w:sz w:val="14"/>
                <w:szCs w:val="14"/>
                <w:color w:val="auto"/>
              </w:rPr>
              <w:t>F-29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70"/>
        </w:trPr>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20" w:type="dxa"/>
            <w:vAlign w:val="bottom"/>
            <w:gridSpan w:val="6"/>
          </w:tcPr>
          <w:p>
            <w:pPr>
              <w:jc w:val="center"/>
              <w:ind w:left="2769"/>
              <w:spacing w:after="0"/>
              <w:rPr>
                <w:sz w:val="20"/>
                <w:szCs w:val="20"/>
                <w:color w:val="auto"/>
              </w:rPr>
            </w:pPr>
            <w:r>
              <w:rPr>
                <w:rFonts w:ascii="Arial" w:cs="Arial" w:eastAsia="Arial" w:hAnsi="Arial"/>
                <w:sz w:val="14"/>
                <w:szCs w:val="14"/>
                <w:b w:val="1"/>
                <w:bCs w:val="1"/>
                <w:color w:val="auto"/>
              </w:rPr>
              <w:t>BOOZ ALLEN HAMILTON HOLDING CORPORATION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20" w:type="dxa"/>
            <w:vAlign w:val="bottom"/>
            <w:gridSpan w:val="6"/>
          </w:tcPr>
          <w:p>
            <w:pPr>
              <w:jc w:val="center"/>
              <w:ind w:left="2769"/>
              <w:spacing w:after="0"/>
              <w:rPr>
                <w:sz w:val="20"/>
                <w:szCs w:val="20"/>
                <w:color w:val="auto"/>
              </w:rPr>
            </w:pPr>
            <w:r>
              <w:rPr>
                <w:rFonts w:ascii="Arial" w:cs="Arial" w:eastAsia="Arial" w:hAnsi="Arial"/>
                <w:sz w:val="14"/>
                <w:szCs w:val="14"/>
                <w:b w:val="1"/>
                <w:bCs w:val="1"/>
                <w:color w:val="auto"/>
              </w:rPr>
              <w:t>NOTES TO CONSOLIDATED FINANCIAL STATEMENTS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580" w:type="dxa"/>
            <w:vAlign w:val="bottom"/>
            <w:gridSpan w:val="10"/>
          </w:tcPr>
          <w:p>
            <w:pPr>
              <w:jc w:val="center"/>
              <w:ind w:left="1809"/>
              <w:spacing w:after="0"/>
              <w:rPr>
                <w:sz w:val="20"/>
                <w:szCs w:val="20"/>
                <w:color w:val="auto"/>
              </w:rPr>
            </w:pPr>
            <w:r>
              <w:rPr>
                <w:rFonts w:ascii="Arial" w:cs="Arial" w:eastAsia="Arial" w:hAnsi="Arial"/>
                <w:sz w:val="14"/>
                <w:szCs w:val="14"/>
                <w:b w:val="1"/>
                <w:bCs w:val="1"/>
                <w:color w:val="auto"/>
                <w:w w:val="89"/>
              </w:rPr>
              <w:t>(Amounts in tables in thousands, except share and per share data or unless otherwise noted)</w:t>
            </w: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900" w:type="dxa"/>
            <w:vAlign w:val="bottom"/>
            <w:gridSpan w:val="6"/>
          </w:tcPr>
          <w:p>
            <w:pPr>
              <w:ind w:left="320"/>
              <w:spacing w:after="0"/>
              <w:rPr>
                <w:sz w:val="20"/>
                <w:szCs w:val="20"/>
                <w:color w:val="auto"/>
              </w:rPr>
            </w:pPr>
            <w:r>
              <w:rPr>
                <w:rFonts w:ascii="Arial" w:cs="Arial" w:eastAsia="Arial" w:hAnsi="Arial"/>
                <w:sz w:val="14"/>
                <w:szCs w:val="14"/>
                <w:color w:val="auto"/>
                <w:w w:val="91"/>
              </w:rPr>
              <w:t>Future minimum operating lease payments for noncancelable operating leases as of March 31, 2022 are as follows: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4680" w:type="dxa"/>
            <w:vAlign w:val="bottom"/>
            <w:gridSpan w:val="2"/>
          </w:tcPr>
          <w:p>
            <w:pPr>
              <w:ind w:left="340"/>
              <w:spacing w:after="0"/>
              <w:rPr>
                <w:sz w:val="20"/>
                <w:szCs w:val="20"/>
                <w:color w:val="auto"/>
              </w:rPr>
            </w:pPr>
            <w:r>
              <w:rPr>
                <w:rFonts w:ascii="Arial" w:cs="Arial" w:eastAsia="Arial" w:hAnsi="Arial"/>
                <w:sz w:val="11"/>
                <w:szCs w:val="11"/>
                <w:b w:val="1"/>
                <w:bCs w:val="1"/>
                <w:color w:val="auto"/>
              </w:rPr>
              <w:t>For the Fiscal Year Ending March 31,</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7"/>
          </w:tcPr>
          <w:p>
            <w:pPr>
              <w:ind w:left="840"/>
              <w:spacing w:after="0"/>
              <w:rPr>
                <w:sz w:val="20"/>
                <w:szCs w:val="20"/>
                <w:color w:val="auto"/>
              </w:rPr>
            </w:pPr>
            <w:r>
              <w:rPr>
                <w:rFonts w:ascii="Arial" w:cs="Arial" w:eastAsia="Arial" w:hAnsi="Arial"/>
                <w:sz w:val="11"/>
                <w:szCs w:val="11"/>
                <w:b w:val="1"/>
                <w:bCs w:val="1"/>
                <w:color w:val="auto"/>
              </w:rPr>
              <w:t>Operating Lease Payments</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46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2023</w:t>
            </w:r>
          </w:p>
        </w:tc>
        <w:tc>
          <w:tcPr>
            <w:tcW w:w="7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80" w:type="dxa"/>
            <w:vAlign w:val="bottom"/>
            <w:gridSpan w:val="2"/>
          </w:tcPr>
          <w:p>
            <w:pPr>
              <w:ind w:left="340"/>
              <w:spacing w:after="0"/>
              <w:rPr>
                <w:sz w:val="20"/>
                <w:szCs w:val="20"/>
                <w:color w:val="auto"/>
              </w:rPr>
            </w:pPr>
            <w:r>
              <w:rPr>
                <w:rFonts w:ascii="Arial" w:cs="Arial" w:eastAsia="Arial" w:hAnsi="Arial"/>
                <w:sz w:val="14"/>
                <w:szCs w:val="14"/>
                <w:color w:val="auto"/>
              </w:rPr>
              <w:t>2024</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74,462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2025</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80" w:type="dxa"/>
            <w:vAlign w:val="bottom"/>
            <w:gridSpan w:val="2"/>
          </w:tcPr>
          <w:p>
            <w:pPr>
              <w:ind w:left="340"/>
              <w:spacing w:after="0"/>
              <w:rPr>
                <w:sz w:val="20"/>
                <w:szCs w:val="20"/>
                <w:color w:val="auto"/>
              </w:rPr>
            </w:pPr>
            <w:r>
              <w:rPr>
                <w:rFonts w:ascii="Arial" w:cs="Arial" w:eastAsia="Arial" w:hAnsi="Arial"/>
                <w:sz w:val="14"/>
                <w:szCs w:val="14"/>
                <w:color w:val="auto"/>
              </w:rPr>
              <w:t>2026</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52,065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0" w:type="dxa"/>
            <w:vAlign w:val="bottom"/>
          </w:tcPr>
          <w:p>
            <w:pPr>
              <w:spacing w:after="0"/>
              <w:rPr>
                <w:sz w:val="15"/>
                <w:szCs w:val="15"/>
                <w:color w:val="auto"/>
              </w:rPr>
            </w:pPr>
          </w:p>
        </w:tc>
        <w:tc>
          <w:tcPr>
            <w:tcW w:w="4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2027</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6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Total future lease payments</w:t>
            </w: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80" w:type="dxa"/>
            <w:vAlign w:val="bottom"/>
            <w:tcBorders>
              <w:bottom w:val="single" w:sz="8" w:color="CCEEFF"/>
            </w:tcBorders>
            <w:gridSpan w:val="2"/>
          </w:tcPr>
          <w:p>
            <w:pPr>
              <w:ind w:left="440"/>
              <w:spacing w:after="0"/>
              <w:rPr>
                <w:sz w:val="20"/>
                <w:szCs w:val="20"/>
                <w:color w:val="auto"/>
              </w:rPr>
            </w:pPr>
            <w:r>
              <w:rPr>
                <w:rFonts w:ascii="Arial" w:cs="Arial" w:eastAsia="Arial" w:hAnsi="Arial"/>
                <w:sz w:val="14"/>
                <w:szCs w:val="14"/>
                <w:color w:val="auto"/>
              </w:rPr>
              <w:t>Less: imputed interest</w:t>
            </w:r>
          </w:p>
        </w:tc>
        <w:tc>
          <w:tcPr>
            <w:tcW w:w="7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liabilities</w:t>
            </w:r>
          </w:p>
        </w:tc>
        <w:tc>
          <w:tcPr>
            <w:tcW w:w="7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299,404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3"/>
            <w:vMerge w:val="restart"/>
          </w:tcPr>
          <w:p>
            <w:pPr>
              <w:ind w:left="320"/>
              <w:spacing w:after="0"/>
              <w:rPr>
                <w:sz w:val="20"/>
                <w:szCs w:val="20"/>
                <w:color w:val="auto"/>
              </w:rPr>
            </w:pPr>
            <w:r>
              <w:rPr>
                <w:rFonts w:ascii="Arial" w:cs="Arial" w:eastAsia="Arial" w:hAnsi="Arial"/>
                <w:sz w:val="14"/>
                <w:szCs w:val="14"/>
                <w:color w:val="auto"/>
              </w:rPr>
              <w:t>Supplemental cash flow information related to leases was as follows:</w:t>
            </w: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0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Fiscal Year Ended</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March 31,</w:t>
            </w: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0" w:type="dxa"/>
            <w:vAlign w:val="bottom"/>
            <w:tcBorders>
              <w:right w:val="single" w:sz="8" w:color="CCEEFF"/>
            </w:tcBorders>
          </w:tcPr>
          <w:p>
            <w:pPr>
              <w:spacing w:after="0"/>
              <w:rPr>
                <w:sz w:val="14"/>
                <w:szCs w:val="14"/>
                <w:color w:val="auto"/>
              </w:rPr>
            </w:pPr>
          </w:p>
        </w:tc>
        <w:tc>
          <w:tcPr>
            <w:tcW w:w="4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56"/>
              <w:spacing w:after="0"/>
              <w:rPr>
                <w:sz w:val="20"/>
                <w:szCs w:val="20"/>
                <w:color w:val="auto"/>
              </w:rPr>
            </w:pPr>
            <w:r>
              <w:rPr>
                <w:rFonts w:ascii="Arial" w:cs="Arial" w:eastAsia="Arial" w:hAnsi="Arial"/>
                <w:sz w:val="14"/>
                <w:szCs w:val="14"/>
                <w:color w:val="auto"/>
                <w:w w:val="88"/>
              </w:rPr>
              <w:t>76,100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4"/>
            <w:shd w:val="clear" w:color="auto" w:fill="CCEEFF"/>
          </w:tcPr>
          <w:p>
            <w:pPr>
              <w:jc w:val="right"/>
              <w:ind w:right="254"/>
              <w:spacing w:after="0"/>
              <w:rPr>
                <w:sz w:val="20"/>
                <w:szCs w:val="20"/>
                <w:color w:val="auto"/>
              </w:rPr>
            </w:pPr>
            <w:r>
              <w:rPr>
                <w:rFonts w:ascii="Arial" w:cs="Arial" w:eastAsia="Arial" w:hAnsi="Arial"/>
                <w:sz w:val="14"/>
                <w:szCs w:val="14"/>
                <w:color w:val="auto"/>
              </w:rPr>
              <w:t>69,320</w:t>
            </w:r>
          </w:p>
        </w:tc>
        <w:tc>
          <w:tcPr>
            <w:tcW w:w="50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53,741</w:t>
            </w:r>
          </w:p>
        </w:tc>
        <w:tc>
          <w:tcPr>
            <w:tcW w:w="1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680" w:type="dxa"/>
            <w:vAlign w:val="bottom"/>
            <w:gridSpan w:val="2"/>
          </w:tcPr>
          <w:p>
            <w:pPr>
              <w:ind w:left="280"/>
              <w:spacing w:after="0"/>
              <w:rPr>
                <w:sz w:val="20"/>
                <w:szCs w:val="20"/>
                <w:color w:val="auto"/>
              </w:rPr>
            </w:pPr>
            <w:r>
              <w:rPr>
                <w:rFonts w:ascii="Arial" w:cs="Arial" w:eastAsia="Arial" w:hAnsi="Arial"/>
                <w:sz w:val="14"/>
                <w:szCs w:val="14"/>
                <w:color w:val="auto"/>
              </w:rPr>
              <w:t xml:space="preserve">Operating lease liabilities arising from obtaining ROU assets </w:t>
            </w:r>
            <w:r>
              <w:rPr>
                <w:rFonts w:ascii="Arial" w:cs="Arial" w:eastAsia="Arial" w:hAnsi="Arial"/>
                <w:sz w:val="11"/>
                <w:szCs w:val="11"/>
                <w:color w:val="auto"/>
              </w:rPr>
              <w:t>(1)</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jc w:val="right"/>
              <w:ind w:right="256"/>
              <w:spacing w:after="0"/>
              <w:rPr>
                <w:sz w:val="20"/>
                <w:szCs w:val="20"/>
                <w:color w:val="auto"/>
              </w:rPr>
            </w:pPr>
            <w:r>
              <w:rPr>
                <w:rFonts w:ascii="Arial" w:cs="Arial" w:eastAsia="Arial" w:hAnsi="Arial"/>
                <w:sz w:val="14"/>
                <w:szCs w:val="14"/>
                <w:color w:val="auto"/>
                <w:w w:val="88"/>
              </w:rPr>
              <w:t>41,206</w:t>
            </w:r>
          </w:p>
        </w:tc>
        <w:tc>
          <w:tcPr>
            <w:tcW w:w="240" w:type="dxa"/>
            <w:vAlign w:val="bottom"/>
          </w:tcPr>
          <w:p>
            <w:pPr>
              <w:spacing w:after="0"/>
              <w:rPr>
                <w:sz w:val="15"/>
                <w:szCs w:val="15"/>
                <w:color w:val="auto"/>
              </w:rPr>
            </w:pPr>
          </w:p>
        </w:tc>
        <w:tc>
          <w:tcPr>
            <w:tcW w:w="1380" w:type="dxa"/>
            <w:vAlign w:val="bottom"/>
            <w:gridSpan w:val="4"/>
          </w:tcPr>
          <w:p>
            <w:pPr>
              <w:jc w:val="right"/>
              <w:ind w:right="254"/>
              <w:spacing w:after="0"/>
              <w:rPr>
                <w:sz w:val="20"/>
                <w:szCs w:val="20"/>
                <w:color w:val="auto"/>
              </w:rPr>
            </w:pPr>
            <w:r>
              <w:rPr>
                <w:rFonts w:ascii="Arial" w:cs="Arial" w:eastAsia="Arial" w:hAnsi="Arial"/>
                <w:sz w:val="14"/>
                <w:szCs w:val="14"/>
                <w:color w:val="auto"/>
              </w:rPr>
              <w:t>52,454</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6900" w:type="dxa"/>
            <w:vAlign w:val="bottom"/>
            <w:gridSpan w:val="6"/>
          </w:tcPr>
          <w:p>
            <w:pPr>
              <w:ind w:left="320"/>
              <w:spacing w:after="0"/>
              <w:rPr>
                <w:sz w:val="20"/>
                <w:szCs w:val="20"/>
                <w:color w:val="auto"/>
              </w:rPr>
            </w:pPr>
            <w:r>
              <w:rPr>
                <w:rFonts w:ascii="Arial" w:cs="Arial" w:eastAsia="Arial" w:hAnsi="Arial"/>
                <w:sz w:val="14"/>
                <w:szCs w:val="14"/>
                <w:color w:val="auto"/>
                <w:w w:val="93"/>
              </w:rPr>
              <w:t>(1) Includes all noncash increases and decreases arising from new or remeasured operating lease arrangements</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100" w:type="dxa"/>
            <w:vAlign w:val="bottom"/>
            <w:gridSpan w:val="3"/>
          </w:tcPr>
          <w:p>
            <w:pPr>
              <w:ind w:left="320"/>
              <w:spacing w:after="0"/>
              <w:rPr>
                <w:sz w:val="20"/>
                <w:szCs w:val="20"/>
                <w:color w:val="auto"/>
              </w:rPr>
            </w:pPr>
            <w:r>
              <w:rPr>
                <w:rFonts w:ascii="Arial" w:cs="Arial" w:eastAsia="Arial" w:hAnsi="Arial"/>
                <w:sz w:val="14"/>
                <w:szCs w:val="14"/>
                <w:color w:val="auto"/>
              </w:rPr>
              <w:t>Other information related to leases was as follows: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2022</w:t>
            </w: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w w:val="97"/>
              </w:rPr>
              <w:t>2021</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556"/>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18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3"/>
          </w:tcPr>
          <w:p>
            <w:pPr>
              <w:jc w:val="right"/>
              <w:ind w:right="556"/>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4.6 %</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100" w:type="dxa"/>
            <w:vAlign w:val="bottom"/>
            <w:gridSpan w:val="3"/>
          </w:tcPr>
          <w:p>
            <w:pPr>
              <w:spacing w:after="0"/>
              <w:rPr>
                <w:sz w:val="20"/>
                <w:szCs w:val="20"/>
                <w:color w:val="auto"/>
              </w:rPr>
            </w:pPr>
            <w:r>
              <w:rPr>
                <w:rFonts w:ascii="Arial" w:cs="Arial" w:eastAsia="Arial" w:hAnsi="Arial"/>
                <w:sz w:val="14"/>
                <w:szCs w:val="14"/>
                <w:b w:val="1"/>
                <w:bCs w:val="1"/>
                <w:color w:val="auto"/>
              </w:rPr>
              <w:t>13. INCOME TAXES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100" w:type="dxa"/>
            <w:vAlign w:val="bottom"/>
            <w:gridSpan w:val="3"/>
          </w:tcPr>
          <w:p>
            <w:pPr>
              <w:ind w:left="320"/>
              <w:spacing w:after="0"/>
              <w:rPr>
                <w:sz w:val="20"/>
                <w:szCs w:val="20"/>
                <w:color w:val="auto"/>
              </w:rPr>
            </w:pPr>
            <w:r>
              <w:rPr>
                <w:rFonts w:ascii="Arial" w:cs="Arial" w:eastAsia="Arial" w:hAnsi="Arial"/>
                <w:sz w:val="14"/>
                <w:szCs w:val="14"/>
                <w:color w:val="auto"/>
              </w:rPr>
              <w:t>The components of income tax expense were as follows:</w:t>
            </w: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gridSpan w:val="3"/>
          </w:tcPr>
          <w:p>
            <w:pPr>
              <w:ind w:left="280"/>
              <w:spacing w:after="0"/>
              <w:rPr>
                <w:sz w:val="20"/>
                <w:szCs w:val="20"/>
                <w:color w:val="auto"/>
              </w:rPr>
            </w:pPr>
            <w:r>
              <w:rPr>
                <w:rFonts w:ascii="Arial" w:cs="Arial" w:eastAsia="Arial" w:hAnsi="Arial"/>
                <w:sz w:val="14"/>
                <w:szCs w:val="14"/>
                <w:color w:val="auto"/>
              </w:rPr>
              <w:t>U.S. Federal</w:t>
            </w:r>
          </w:p>
        </w:tc>
        <w:tc>
          <w:tcPr>
            <w:tcW w:w="1200" w:type="dxa"/>
            <w:vAlign w:val="bottom"/>
            <w:gridSpan w:val="2"/>
          </w:tcPr>
          <w:p>
            <w:pPr>
              <w:jc w:val="right"/>
              <w:ind w:right="356"/>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232,844</w:t>
            </w:r>
          </w:p>
        </w:tc>
        <w:tc>
          <w:tcPr>
            <w:tcW w:w="720" w:type="dxa"/>
            <w:vAlign w:val="bottom"/>
            <w:gridSpan w:val="3"/>
          </w:tcPr>
          <w:p>
            <w:pPr>
              <w:jc w:val="right"/>
              <w:ind w:right="45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(227,309)</w:t>
            </w:r>
          </w:p>
        </w:tc>
        <w:tc>
          <w:tcPr>
            <w:tcW w:w="100" w:type="dxa"/>
            <w:vAlign w:val="bottom"/>
          </w:tcPr>
          <w:p>
            <w:pPr>
              <w:spacing w:after="0"/>
              <w:rPr>
                <w:sz w:val="15"/>
                <w:szCs w:val="15"/>
                <w:color w:val="auto"/>
              </w:rPr>
            </w:pPr>
          </w:p>
        </w:tc>
        <w:tc>
          <w:tcPr>
            <w:tcW w:w="400" w:type="dxa"/>
            <w:vAlign w:val="bottom"/>
          </w:tcPr>
          <w:p>
            <w:pPr>
              <w:jc w:val="right"/>
              <w:ind w:right="254"/>
              <w:spacing w:after="0"/>
              <w:rPr>
                <w:sz w:val="20"/>
                <w:szCs w:val="20"/>
                <w:color w:val="auto"/>
              </w:rPr>
            </w:pPr>
            <w:r>
              <w:rPr>
                <w:rFonts w:ascii="Arial" w:cs="Arial" w:eastAsia="Arial" w:hAnsi="Arial"/>
                <w:sz w:val="14"/>
                <w:szCs w:val="14"/>
                <w:color w:val="auto"/>
                <w:w w:val="76"/>
              </w:rPr>
              <w: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State and local</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26,333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39,542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Foreign</w:t>
            </w:r>
          </w:p>
        </w:tc>
        <w:tc>
          <w:tcPr>
            <w:tcW w:w="7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8,486</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9,250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 w:type="dxa"/>
            <w:vAlign w:val="bottom"/>
            <w:tcBorders>
              <w:right w:val="single" w:sz="8" w:color="CCEEFF"/>
            </w:tcBorders>
            <w:shd w:val="clear" w:color="auto" w:fill="CCEEFF"/>
          </w:tcPr>
          <w:p>
            <w:pPr>
              <w:spacing w:after="0"/>
              <w:rPr>
                <w:sz w:val="14"/>
                <w:szCs w:val="14"/>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current</w:t>
            </w:r>
          </w:p>
        </w:tc>
        <w:tc>
          <w:tcPr>
            <w:tcW w:w="7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267,663</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(178,517)</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31,397</w:t>
            </w:r>
          </w:p>
        </w:tc>
        <w:tc>
          <w:tcPr>
            <w:tcW w:w="1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00" w:type="dxa"/>
            <w:vAlign w:val="bottom"/>
            <w:gridSpan w:val="3"/>
          </w:tcPr>
          <w:p>
            <w:pPr>
              <w:ind w:left="20"/>
              <w:spacing w:after="0"/>
              <w:rPr>
                <w:sz w:val="20"/>
                <w:szCs w:val="20"/>
                <w:color w:val="auto"/>
              </w:rPr>
            </w:pPr>
            <w:r>
              <w:rPr>
                <w:rFonts w:ascii="Arial" w:cs="Arial" w:eastAsia="Arial" w:hAnsi="Arial"/>
                <w:sz w:val="14"/>
                <w:szCs w:val="14"/>
                <w:color w:val="auto"/>
              </w:rPr>
              <w:t>Deferred</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U.S. Federal</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(146,581)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245,624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59,856</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gridSpan w:val="3"/>
          </w:tcPr>
          <w:p>
            <w:pPr>
              <w:ind w:left="280"/>
              <w:spacing w:after="0"/>
              <w:rPr>
                <w:sz w:val="20"/>
                <w:szCs w:val="20"/>
                <w:color w:val="auto"/>
              </w:rPr>
            </w:pPr>
            <w:r>
              <w:rPr>
                <w:rFonts w:ascii="Arial" w:cs="Arial" w:eastAsia="Arial" w:hAnsi="Arial"/>
                <w:sz w:val="14"/>
                <w:szCs w:val="14"/>
                <w:color w:val="auto"/>
              </w:rPr>
              <w:t>State and local</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11,781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(13,626)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Foreign</w:t>
            </w:r>
          </w:p>
        </w:tc>
        <w:tc>
          <w:tcPr>
            <w:tcW w:w="7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4,603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Total deferred</w:t>
            </w:r>
          </w:p>
        </w:tc>
        <w:tc>
          <w:tcPr>
            <w:tcW w:w="700" w:type="dxa"/>
            <w:vAlign w:val="bottom"/>
            <w:tcBorders>
              <w:bottom w:val="single" w:sz="8" w:color="CCEEFF"/>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(130,197)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231,998</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0" w:type="dxa"/>
            <w:vAlign w:val="bottom"/>
            <w:tcBorders>
              <w:bottom w:val="single" w:sz="8" w:color="CCEEFF"/>
              <w:right w:val="single" w:sz="8" w:color="CCEEFF"/>
            </w:tcBorders>
            <w:shd w:val="clear" w:color="auto" w:fill="CCEEFF"/>
          </w:tcPr>
          <w:p>
            <w:pPr>
              <w:spacing w:after="0"/>
              <w:rPr>
                <w:sz w:val="16"/>
                <w:szCs w:val="16"/>
                <w:color w:val="auto"/>
              </w:rPr>
            </w:pPr>
          </w:p>
        </w:tc>
        <w:tc>
          <w:tcPr>
            <w:tcW w:w="4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7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137,466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53,481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96,831</w:t>
            </w:r>
          </w:p>
        </w:tc>
        <w:tc>
          <w:tcPr>
            <w:tcW w:w="1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800" w:type="dxa"/>
            <w:vAlign w:val="bottom"/>
            <w:gridSpan w:val="3"/>
          </w:tcPr>
          <w:p>
            <w:pPr>
              <w:jc w:val="center"/>
              <w:ind w:right="629"/>
              <w:spacing w:after="0"/>
              <w:rPr>
                <w:sz w:val="20"/>
                <w:szCs w:val="20"/>
                <w:color w:val="auto"/>
              </w:rPr>
            </w:pPr>
            <w:r>
              <w:rPr>
                <w:rFonts w:ascii="Arial" w:cs="Arial" w:eastAsia="Arial" w:hAnsi="Arial"/>
                <w:sz w:val="14"/>
                <w:szCs w:val="14"/>
                <w:color w:val="auto"/>
                <w:w w:val="90"/>
              </w:rPr>
              <w:t>F-30</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1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2020</w:t>
            </w:r>
          </w:p>
        </w:tc>
      </w:tr>
      <w:tr>
        <w:trPr>
          <w:trHeight w:val="172"/>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computed at U.S. federal statutory rate</w:t>
            </w:r>
          </w:p>
        </w:tc>
        <w:tc>
          <w:tcPr>
            <w:tcW w:w="106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139,112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121,681</w:t>
            </w:r>
          </w:p>
        </w:tc>
      </w:tr>
      <w:tr>
        <w:trPr>
          <w:trHeight w:val="202"/>
        </w:trPr>
        <w:tc>
          <w:tcPr>
            <w:tcW w:w="6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80"/>
        </w:trPr>
        <w:tc>
          <w:tcPr>
            <w:tcW w:w="6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Increases (reductions) resulting from:</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6040" w:type="dxa"/>
            <w:vAlign w:val="bottom"/>
          </w:tcPr>
          <w:p>
            <w:pPr>
              <w:ind w:left="440"/>
              <w:spacing w:after="0"/>
              <w:rPr>
                <w:sz w:val="20"/>
                <w:szCs w:val="20"/>
                <w:color w:val="auto"/>
              </w:rPr>
            </w:pPr>
            <w:r>
              <w:rPr>
                <w:rFonts w:ascii="Arial" w:cs="Arial" w:eastAsia="Arial" w:hAnsi="Arial"/>
                <w:sz w:val="14"/>
                <w:szCs w:val="14"/>
                <w:color w:val="auto"/>
              </w:rPr>
              <w:t>State and local income taxes, net of federal tax</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28,762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17,586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20,031</w:t>
            </w:r>
          </w:p>
        </w:tc>
      </w:tr>
      <w:tr>
        <w:trPr>
          <w:trHeight w:val="181"/>
        </w:trPr>
        <w:tc>
          <w:tcPr>
            <w:tcW w:w="6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Foreign income taxes, net of federal tax</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12,344</w:t>
            </w:r>
          </w:p>
        </w:tc>
      </w:tr>
      <w:tr>
        <w:trPr>
          <w:trHeight w:val="180"/>
        </w:trPr>
        <w:tc>
          <w:tcPr>
            <w:tcW w:w="6040" w:type="dxa"/>
            <w:vAlign w:val="bottom"/>
          </w:tcPr>
          <w:p>
            <w:pPr>
              <w:ind w:left="440"/>
              <w:spacing w:after="0"/>
              <w:rPr>
                <w:sz w:val="20"/>
                <w:szCs w:val="20"/>
                <w:color w:val="auto"/>
              </w:rPr>
            </w:pPr>
            <w:r>
              <w:rPr>
                <w:rFonts w:ascii="Arial" w:cs="Arial" w:eastAsia="Arial" w:hAnsi="Arial"/>
                <w:sz w:val="14"/>
                <w:szCs w:val="14"/>
                <w:color w:val="auto"/>
              </w:rPr>
              <w:t>Meals and entertainment</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1,761</w:t>
            </w:r>
          </w:p>
        </w:tc>
      </w:tr>
      <w:tr>
        <w:trPr>
          <w:trHeight w:val="181"/>
        </w:trPr>
        <w:tc>
          <w:tcPr>
            <w:tcW w:w="6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Re-measurement of current year losses under CARES Act</w:t>
            </w:r>
          </w:p>
        </w:tc>
        <w:tc>
          <w:tcPr>
            <w:tcW w:w="10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40" w:type="dxa"/>
            <w:vAlign w:val="bottom"/>
          </w:tcPr>
          <w:p>
            <w:pPr>
              <w:ind w:left="440"/>
              <w:spacing w:after="0"/>
              <w:rPr>
                <w:sz w:val="20"/>
                <w:szCs w:val="20"/>
                <w:color w:val="auto"/>
              </w:rPr>
            </w:pPr>
            <w:r>
              <w:rPr>
                <w:rFonts w:ascii="Arial" w:cs="Arial" w:eastAsia="Arial" w:hAnsi="Arial"/>
                <w:sz w:val="14"/>
                <w:szCs w:val="14"/>
                <w:color w:val="auto"/>
              </w:rPr>
              <w:t>Excess tax benefits from stock-based compensation</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(8,556)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(10,265)</w:t>
            </w:r>
          </w:p>
        </w:tc>
      </w:tr>
      <w:tr>
        <w:trPr>
          <w:trHeight w:val="181"/>
        </w:trPr>
        <w:tc>
          <w:tcPr>
            <w:tcW w:w="6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Research and development and other federal credits</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(90,898)</w:t>
            </w:r>
          </w:p>
        </w:tc>
      </w:tr>
      <w:tr>
        <w:trPr>
          <w:trHeight w:val="180"/>
        </w:trPr>
        <w:tc>
          <w:tcPr>
            <w:tcW w:w="6040" w:type="dxa"/>
            <w:vAlign w:val="bottom"/>
          </w:tcPr>
          <w:p>
            <w:pPr>
              <w:ind w:left="440"/>
              <w:spacing w:after="0"/>
              <w:rPr>
                <w:sz w:val="20"/>
                <w:szCs w:val="20"/>
                <w:color w:val="auto"/>
              </w:rPr>
            </w:pPr>
            <w:r>
              <w:rPr>
                <w:rFonts w:ascii="Arial" w:cs="Arial" w:eastAsia="Arial" w:hAnsi="Arial"/>
                <w:sz w:val="14"/>
                <w:szCs w:val="14"/>
                <w:color w:val="auto"/>
              </w:rPr>
              <w:t>Executive compensation -162(m)</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3,813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2,346</w:t>
            </w:r>
          </w:p>
        </w:tc>
      </w:tr>
      <w:tr>
        <w:trPr>
          <w:trHeight w:val="181"/>
        </w:trPr>
        <w:tc>
          <w:tcPr>
            <w:tcW w:w="6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Foreign-Derived Intangible Income (FDII)</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r>
      <w:tr>
        <w:trPr>
          <w:trHeight w:val="180"/>
        </w:trPr>
        <w:tc>
          <w:tcPr>
            <w:tcW w:w="6040" w:type="dxa"/>
            <w:vAlign w:val="bottom"/>
          </w:tcPr>
          <w:p>
            <w:pPr>
              <w:ind w:left="440"/>
              <w:spacing w:after="0"/>
              <w:rPr>
                <w:sz w:val="20"/>
                <w:szCs w:val="20"/>
                <w:color w:val="auto"/>
              </w:rPr>
            </w:pPr>
            <w:r>
              <w:rPr>
                <w:rFonts w:ascii="Arial" w:cs="Arial" w:eastAsia="Arial" w:hAnsi="Arial"/>
                <w:sz w:val="14"/>
                <w:szCs w:val="14"/>
                <w:color w:val="auto"/>
              </w:rPr>
              <w:t>Changes in uncertain tax positions</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6,793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44,621</w:t>
            </w:r>
          </w:p>
        </w:tc>
      </w:tr>
      <w:tr>
        <w:trPr>
          <w:trHeight w:val="181"/>
        </w:trPr>
        <w:tc>
          <w:tcPr>
            <w:tcW w:w="60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71"/>
        </w:trPr>
        <w:tc>
          <w:tcPr>
            <w:tcW w:w="6040" w:type="dxa"/>
            <w:vAlign w:val="bottom"/>
          </w:tcPr>
          <w:p>
            <w:pPr>
              <w:ind w:left="880"/>
              <w:spacing w:after="0"/>
              <w:rPr>
                <w:sz w:val="20"/>
                <w:szCs w:val="20"/>
                <w:color w:val="auto"/>
              </w:rPr>
            </w:pPr>
            <w:r>
              <w:rPr>
                <w:rFonts w:ascii="Arial" w:cs="Arial" w:eastAsia="Arial" w:hAnsi="Arial"/>
                <w:sz w:val="14"/>
                <w:szCs w:val="14"/>
                <w:color w:val="auto"/>
              </w:rPr>
              <w:t>Income tax expense from operations</w:t>
            </w:r>
          </w:p>
        </w:tc>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137,466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For the fiscal 2021 tax year, the Company generated a tax loss for U.S. Federal and state tax purposes resulting from the treatment of costs associated with property, plant, and equipment. As a result of a provision in the Coronavirus Aid, Relief and Economic Security Act ("CARES Act"), taxpayers are allowed to carry net operating losses generated in fiscal 2019, 2020 and 2021 back to the five prior tax years (fiscal years 2016 - 2020). Accordingly, the Company recorded a long-term income tax receivable in fiscal 2021 which was largely offset by a corresponding deferred tax liability reflected within the property and equipment deferred tax liability in the Company's significant components of deferred income tax assets and liabilities. The corporate tax rate for the Company was 35% during fiscal 2016 and 2017, 31.5% during fiscal 2018, and 21% since fiscal 2019. Carrying the loss back to these years with higher tax rates resulted in an income tax benefit in fiscal 2021 of $76.8 million related to the re-measurement of the loss for the applicable carryback fiscal years. The receivable remained outstanding at the end of fiscal 2022. For state tax purposes, an incremental net operating loss carryforward of $89.6 million that was generated was used in fiscal 2022 and will continue to be utilized in fiscal 2023 to offset state taxes. Including the impact of these state carryforwards, this transaction resulted in an incremental state deferred tax asset of $11.8 million.</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both income tax receivables and income tax payable on its consolidated balance sheet as follows:</w:t>
      </w:r>
    </w:p>
    <w:p>
      <w:pPr>
        <w:spacing w:after="0" w:line="119" w:lineRule="exact"/>
        <w:rPr>
          <w:sz w:val="20"/>
          <w:szCs w:val="20"/>
          <w:color w:val="auto"/>
        </w:rPr>
      </w:pPr>
    </w:p>
    <w:tbl>
      <w:tblPr>
        <w:tblLayout w:type="fixed"/>
        <w:tblInd w:w="42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w w:val="98"/>
              </w:rPr>
              <w:t>March 31,</w:t>
            </w:r>
          </w:p>
        </w:tc>
        <w:tc>
          <w:tcPr>
            <w:tcW w:w="1280" w:type="dxa"/>
            <w:vAlign w:val="bottom"/>
            <w:tcBorders>
              <w:bottom w:val="single" w:sz="8" w:color="auto"/>
            </w:tcBorders>
          </w:tcPr>
          <w:p>
            <w:pPr>
              <w:spacing w:after="0"/>
              <w:rPr>
                <w:sz w:val="13"/>
                <w:szCs w:val="13"/>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2021</w:t>
            </w:r>
          </w:p>
        </w:tc>
      </w:tr>
      <w:tr>
        <w:trPr>
          <w:trHeight w:val="172"/>
        </w:trPr>
        <w:tc>
          <w:tcPr>
            <w:tcW w:w="6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income tax receivable</w:t>
            </w:r>
          </w:p>
        </w:tc>
        <w:tc>
          <w:tcPr>
            <w:tcW w:w="7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175,541</w:t>
            </w:r>
          </w:p>
        </w:tc>
      </w:tr>
      <w:tr>
        <w:trPr>
          <w:trHeight w:val="180"/>
        </w:trPr>
        <w:tc>
          <w:tcPr>
            <w:tcW w:w="6660" w:type="dxa"/>
            <w:vAlign w:val="bottom"/>
          </w:tcPr>
          <w:p>
            <w:pPr>
              <w:ind w:left="340"/>
              <w:spacing w:after="0"/>
              <w:rPr>
                <w:sz w:val="20"/>
                <w:szCs w:val="20"/>
                <w:color w:val="auto"/>
              </w:rPr>
            </w:pPr>
            <w:r>
              <w:rPr>
                <w:rFonts w:ascii="Arial" w:cs="Arial" w:eastAsia="Arial" w:hAnsi="Arial"/>
                <w:sz w:val="14"/>
                <w:szCs w:val="14"/>
                <w:color w:val="auto"/>
              </w:rPr>
              <w:t>Long term income tax receivable</w:t>
            </w:r>
          </w:p>
        </w:tc>
        <w:tc>
          <w:tcPr>
            <w:tcW w:w="7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341,738</w:t>
            </w:r>
          </w:p>
        </w:tc>
        <w:tc>
          <w:tcPr>
            <w:tcW w:w="880" w:type="dxa"/>
            <w:vAlign w:val="bottom"/>
            <w:gridSpan w:val="3"/>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333,188</w:t>
            </w:r>
          </w:p>
        </w:tc>
      </w:tr>
      <w:tr>
        <w:trPr>
          <w:trHeight w:val="181"/>
        </w:trPr>
        <w:tc>
          <w:tcPr>
            <w:tcW w:w="6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Current income tax payable</w:t>
            </w:r>
          </w:p>
        </w:tc>
        <w:tc>
          <w:tcPr>
            <w:tcW w:w="7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34,324</w:t>
            </w:r>
          </w:p>
        </w:tc>
        <w:tc>
          <w:tcPr>
            <w:tcW w:w="880" w:type="dxa"/>
            <w:vAlign w:val="bottom"/>
            <w:gridSpan w:val="3"/>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30,694</w:t>
            </w:r>
          </w:p>
        </w:tc>
      </w:tr>
    </w:tbl>
    <w:p>
      <w:pPr>
        <w:spacing w:after="0" w:line="276"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The current income tax receivable as of March 31, 2022 represents estimated payments made in fiscal 2022 and prior periods that will be applied to the Company’s future U.S. federal and state tax returns. This amount is classified as prepaid expenses and other current assets on the consolidated balance sheet. The current income tax payable as of March 31, 2022 represents current liabilities associated with the Company’s amended fiscal 2020 U.S. state returns that the Company intends to file in fiscal 2023. This amount is classified as other current liabilities on the consolidated balance sheet. The long-term income tax receivable as of March 31, 2022 represents the carryback claim for the fiscal 2021 net operating loss and the amended U.S. federal return refund claims for research and development tax credits. This amount is classified as other long-term assets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significant components of the Company’s deferred income tax assets and liabilities were as follows:</w:t>
      </w:r>
    </w:p>
    <w:p>
      <w:pPr>
        <w:spacing w:after="0" w:line="193" w:lineRule="exact"/>
        <w:rPr>
          <w:sz w:val="20"/>
          <w:szCs w:val="20"/>
          <w:color w:val="auto"/>
        </w:rPr>
      </w:pPr>
    </w:p>
    <w:tbl>
      <w:tblPr>
        <w:tblLayout w:type="fixed"/>
        <w:tblInd w:w="32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rPr>
              <w:t>March 31,</w:t>
            </w:r>
          </w:p>
        </w:tc>
        <w:tc>
          <w:tcPr>
            <w:tcW w:w="1280" w:type="dxa"/>
            <w:vAlign w:val="bottom"/>
            <w:tcBorders>
              <w:bottom w:val="single" w:sz="8" w:color="auto"/>
            </w:tcBorders>
          </w:tcPr>
          <w:p>
            <w:pPr>
              <w:spacing w:after="0"/>
              <w:rPr>
                <w:sz w:val="13"/>
                <w:szCs w:val="13"/>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2021</w:t>
            </w:r>
          </w:p>
        </w:tc>
      </w:tr>
      <w:tr>
        <w:trPr>
          <w:trHeight w:val="161"/>
        </w:trPr>
        <w:tc>
          <w:tcPr>
            <w:tcW w:w="6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 assets:</w:t>
            </w:r>
          </w:p>
        </w:tc>
        <w:tc>
          <w:tcPr>
            <w:tcW w:w="1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Accrued expenses</w:t>
            </w:r>
          </w:p>
        </w:tc>
        <w:tc>
          <w:tcPr>
            <w:tcW w:w="1340" w:type="dxa"/>
            <w:vAlign w:val="bottom"/>
          </w:tcPr>
          <w:p>
            <w:pPr>
              <w:jc w:val="right"/>
              <w:ind w:right="874"/>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80,344</w:t>
            </w:r>
          </w:p>
        </w:tc>
        <w:tc>
          <w:tcPr>
            <w:tcW w:w="80" w:type="dxa"/>
            <w:vAlign w:val="bottom"/>
          </w:tcPr>
          <w:p>
            <w:pPr>
              <w:spacing w:after="0"/>
              <w:rPr>
                <w:sz w:val="15"/>
                <w:szCs w:val="15"/>
                <w:color w:val="auto"/>
              </w:rPr>
            </w:pPr>
          </w:p>
        </w:tc>
        <w:tc>
          <w:tcPr>
            <w:tcW w:w="7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78,005</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compensation</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56,361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52,191</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Stock-based compensation</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9,783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5,724</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Pension and postretirement benefits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32,881</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Net operating loss carryforwards</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44,118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98,471</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Extended disability benefits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Interest rate swaps</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9,955</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Federal tax credits</w:t>
            </w:r>
          </w:p>
        </w:tc>
        <w:tc>
          <w:tcPr>
            <w:tcW w:w="13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12,582</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State tax credits</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24,268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27,243</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lease liabilities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82,799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86,046</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Other</w:t>
            </w:r>
          </w:p>
        </w:tc>
        <w:tc>
          <w:tcPr>
            <w:tcW w:w="13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3,378</w:t>
            </w:r>
          </w:p>
        </w:tc>
      </w:tr>
      <w:tr>
        <w:trPr>
          <w:trHeight w:val="171"/>
        </w:trPr>
        <w:tc>
          <w:tcPr>
            <w:tcW w:w="666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Total gross deferred income tax assets</w:t>
            </w:r>
          </w:p>
        </w:tc>
        <w:tc>
          <w:tcPr>
            <w:tcW w:w="1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330,971</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409,314</w:t>
            </w:r>
          </w:p>
        </w:tc>
      </w:tr>
      <w:tr>
        <w:trPr>
          <w:trHeight w:val="180"/>
        </w:trPr>
        <w:tc>
          <w:tcPr>
            <w:tcW w:w="6660" w:type="dxa"/>
            <w:vAlign w:val="bottom"/>
            <w:tcBorders>
              <w:bottom w:val="single" w:sz="8" w:color="CCEEFF"/>
            </w:tcBorders>
          </w:tcPr>
          <w:p>
            <w:pPr>
              <w:ind w:left="1200"/>
              <w:spacing w:after="0"/>
              <w:rPr>
                <w:sz w:val="20"/>
                <w:szCs w:val="20"/>
                <w:color w:val="auto"/>
              </w:rPr>
            </w:pPr>
            <w:r>
              <w:rPr>
                <w:rFonts w:ascii="Arial" w:cs="Arial" w:eastAsia="Arial" w:hAnsi="Arial"/>
                <w:sz w:val="14"/>
                <w:szCs w:val="14"/>
                <w:color w:val="auto"/>
              </w:rPr>
              <w:t>Less: Valuation allowance</w:t>
            </w:r>
          </w:p>
        </w:tc>
        <w:tc>
          <w:tcPr>
            <w:tcW w:w="1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(6,165)</w:t>
            </w:r>
          </w:p>
        </w:tc>
      </w:tr>
      <w:tr>
        <w:trPr>
          <w:trHeight w:val="171"/>
        </w:trPr>
        <w:tc>
          <w:tcPr>
            <w:tcW w:w="6660" w:type="dxa"/>
            <w:vAlign w:val="bottom"/>
            <w:shd w:val="clear" w:color="auto" w:fill="CCEEFF"/>
          </w:tcPr>
          <w:p>
            <w:pPr>
              <w:ind w:left="1440"/>
              <w:spacing w:after="0"/>
              <w:rPr>
                <w:sz w:val="20"/>
                <w:szCs w:val="20"/>
                <w:color w:val="auto"/>
              </w:rPr>
            </w:pPr>
            <w:r>
              <w:rPr>
                <w:rFonts w:ascii="Arial" w:cs="Arial" w:eastAsia="Arial" w:hAnsi="Arial"/>
                <w:sz w:val="14"/>
                <w:szCs w:val="14"/>
                <w:color w:val="auto"/>
              </w:rPr>
              <w:t>Total net deferred income tax assets</w:t>
            </w:r>
          </w:p>
        </w:tc>
        <w:tc>
          <w:tcPr>
            <w:tcW w:w="13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322,256</w:t>
            </w:r>
          </w:p>
        </w:tc>
        <w:tc>
          <w:tcPr>
            <w:tcW w:w="8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403,149</w:t>
            </w:r>
          </w:p>
        </w:tc>
      </w:tr>
      <w:tr>
        <w:trPr>
          <w:trHeight w:val="160"/>
        </w:trPr>
        <w:tc>
          <w:tcPr>
            <w:tcW w:w="6660" w:type="dxa"/>
            <w:vAlign w:val="bottom"/>
          </w:tcPr>
          <w:p>
            <w:pPr>
              <w:ind w:left="340"/>
              <w:spacing w:after="0"/>
              <w:rPr>
                <w:sz w:val="20"/>
                <w:szCs w:val="20"/>
                <w:color w:val="auto"/>
              </w:rPr>
            </w:pPr>
            <w:r>
              <w:rPr>
                <w:rFonts w:ascii="Arial" w:cs="Arial" w:eastAsia="Arial" w:hAnsi="Arial"/>
                <w:sz w:val="14"/>
                <w:szCs w:val="14"/>
                <w:color w:val="auto"/>
              </w:rPr>
              <w:t>Deferred income tax liabilities:</w:t>
            </w: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Unbilled receivables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(245,809)</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Intangible assets</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(56,657)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(69,519)</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Debt issuance costs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Property and equipment</w:t>
            </w:r>
          </w:p>
        </w:tc>
        <w:tc>
          <w:tcPr>
            <w:tcW w:w="1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(198,940)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(336,321)</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lease right-of-use assets</w:t>
            </w:r>
          </w:p>
        </w:tc>
        <w:tc>
          <w:tcPr>
            <w:tcW w:w="1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(59,401)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(62,442)</w:t>
            </w:r>
          </w:p>
        </w:tc>
      </w:tr>
      <w:tr>
        <w:trPr>
          <w:trHeight w:val="180"/>
        </w:trPr>
        <w:tc>
          <w:tcPr>
            <w:tcW w:w="6660" w:type="dxa"/>
            <w:vAlign w:val="bottom"/>
          </w:tcPr>
          <w:p>
            <w:pPr>
              <w:ind w:left="600"/>
              <w:spacing w:after="0"/>
              <w:rPr>
                <w:sz w:val="20"/>
                <w:szCs w:val="20"/>
                <w:color w:val="auto"/>
              </w:rPr>
            </w:pPr>
            <w:r>
              <w:rPr>
                <w:rFonts w:ascii="Arial" w:cs="Arial" w:eastAsia="Arial" w:hAnsi="Arial"/>
                <w:sz w:val="14"/>
                <w:szCs w:val="14"/>
                <w:color w:val="auto"/>
              </w:rPr>
              <w:t>Internally developed software</w:t>
            </w:r>
          </w:p>
        </w:tc>
        <w:tc>
          <w:tcPr>
            <w:tcW w:w="13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(20,309)</w:t>
            </w:r>
          </w:p>
        </w:tc>
      </w:tr>
      <w:tr>
        <w:trPr>
          <w:trHeight w:val="181"/>
        </w:trPr>
        <w:tc>
          <w:tcPr>
            <w:tcW w:w="6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13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6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deferred income tax liabilities</w:t>
            </w:r>
          </w:p>
        </w:tc>
        <w:tc>
          <w:tcPr>
            <w:tcW w:w="1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(529,531)</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(735,888)</w:t>
            </w:r>
          </w:p>
        </w:tc>
      </w:tr>
      <w:tr>
        <w:trPr>
          <w:trHeight w:val="196"/>
        </w:trPr>
        <w:tc>
          <w:tcPr>
            <w:tcW w:w="666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4"/>
                <w:szCs w:val="14"/>
                <w:color w:val="auto"/>
              </w:rPr>
              <w:t>Net deferred income tax liability</w:t>
            </w:r>
          </w:p>
        </w:tc>
        <w:tc>
          <w:tcPr>
            <w:tcW w:w="13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(207,275)</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(332,739)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1" w:lineRule="exact"/>
        <w:rPr>
          <w:sz w:val="20"/>
          <w:szCs w:val="20"/>
          <w:color w:val="auto"/>
        </w:rPr>
      </w:pPr>
    </w:p>
    <w:p>
      <w:pPr>
        <w:jc w:val="both"/>
        <w:ind w:right="100" w:firstLine="318"/>
        <w:spacing w:after="0" w:line="288" w:lineRule="auto"/>
        <w:rPr>
          <w:sz w:val="20"/>
          <w:szCs w:val="20"/>
          <w:color w:val="auto"/>
        </w:rPr>
      </w:pPr>
      <w:r>
        <w:rPr>
          <w:rFonts w:ascii="Arial" w:cs="Arial" w:eastAsia="Arial" w:hAnsi="Arial"/>
          <w:sz w:val="13"/>
          <w:szCs w:val="13"/>
          <w:color w:val="auto"/>
        </w:rPr>
        <w:t>As of March 31, 2022 and 2021, the Company had available federal, state, and foreign net operating loss ("NOL carryforwards") of $44.1 million and $98.5 million, respectively, that may be applied against future taxable income. The federal net operating loss of $1.4 million is primarily attributable to an acquisition and will begin to expire in fiscal 2037. The state net operating loss of $36.6 million is primarily attributable to the fiscal 2021 loss. The foreign net operating loss is primarily attributable to operations in jurisdictions where the Company is expanding its business. The Company recorded a partial valuation allowance against those federal, state and foreign net operating losses it believes will expire prior to utilization.</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698" w:right="39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Uncertain Tax Positions</w:t>
      </w:r>
    </w:p>
    <w:p>
      <w:pPr>
        <w:spacing w:after="0" w:line="94" w:lineRule="exact"/>
        <w:rPr>
          <w:sz w:val="20"/>
          <w:szCs w:val="20"/>
          <w:color w:val="auto"/>
        </w:rPr>
      </w:pPr>
    </w:p>
    <w:p>
      <w:pPr>
        <w:ind w:right="240" w:firstLine="318"/>
        <w:spacing w:after="0" w:line="260" w:lineRule="auto"/>
        <w:rPr>
          <w:sz w:val="20"/>
          <w:szCs w:val="20"/>
          <w:color w:val="auto"/>
        </w:rPr>
      </w:pPr>
      <w:r>
        <w:rPr>
          <w:rFonts w:ascii="Arial" w:cs="Arial" w:eastAsia="Arial" w:hAnsi="Arial"/>
          <w:sz w:val="14"/>
          <w:szCs w:val="14"/>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2022, 2021, and 2020, the Company has recorded $79.9 million, $62.9 million, and $56.1 million, respectively, of reserves for uncertain tax positions which includes potential tax benefits of $78.5 million, $62.7 million, and $55.2 million, respectively, that, when recognized, impact the effective tax rate. As of March 31, 2022 and 2021, $3.1 million and $11.1 million, respectively, of the reserve is reflected as a reduction to deferred taxes and the remaining balance is recorded as a component of other long-term liabilities in the consolidated balance sheet.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the beginning and ending amount of potential tax benefits for the periods presented is as follows:</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11,083</w:t>
            </w:r>
          </w:p>
        </w:tc>
      </w:tr>
      <w:tr>
        <w:trPr>
          <w:trHeight w:val="180"/>
        </w:trPr>
        <w:tc>
          <w:tcPr>
            <w:tcW w:w="5380" w:type="dxa"/>
            <w:vAlign w:val="bottom"/>
          </w:tcPr>
          <w:p>
            <w:pPr>
              <w:ind w:left="280"/>
              <w:spacing w:after="0"/>
              <w:rPr>
                <w:sz w:val="20"/>
                <w:szCs w:val="20"/>
                <w:color w:val="auto"/>
              </w:rPr>
            </w:pPr>
            <w:r>
              <w:rPr>
                <w:rFonts w:ascii="Arial" w:cs="Arial" w:eastAsia="Arial" w:hAnsi="Arial"/>
                <w:sz w:val="14"/>
                <w:szCs w:val="14"/>
                <w:color w:val="auto"/>
              </w:rPr>
              <w:t>Increases in prior year position</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34,001</w:t>
            </w:r>
          </w:p>
        </w:tc>
      </w:tr>
      <w:tr>
        <w:trPr>
          <w:trHeight w:val="181"/>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Increases in current year position</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10,970</w:t>
            </w:r>
          </w:p>
        </w:tc>
      </w:tr>
      <w:tr>
        <w:trPr>
          <w:trHeight w:val="180"/>
        </w:trPr>
        <w:tc>
          <w:tcPr>
            <w:tcW w:w="5380" w:type="dxa"/>
            <w:vAlign w:val="bottom"/>
          </w:tcPr>
          <w:p>
            <w:pPr>
              <w:ind w:left="280"/>
              <w:spacing w:after="0"/>
              <w:rPr>
                <w:sz w:val="20"/>
                <w:szCs w:val="20"/>
                <w:color w:val="auto"/>
              </w:rPr>
            </w:pPr>
            <w:r>
              <w:rPr>
                <w:rFonts w:ascii="Arial" w:cs="Arial" w:eastAsia="Arial" w:hAnsi="Arial"/>
                <w:sz w:val="14"/>
                <w:szCs w:val="14"/>
                <w:color w:val="auto"/>
              </w:rPr>
              <w:t>Decreases in prior year position</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(765)</w:t>
            </w:r>
          </w:p>
        </w:tc>
      </w:tr>
      <w:tr>
        <w:trPr>
          <w:trHeight w:val="181"/>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 with taxing authorities</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380" w:type="dxa"/>
            <w:vAlign w:val="bottom"/>
          </w:tcPr>
          <w:p>
            <w:pPr>
              <w:ind w:left="280"/>
              <w:spacing w:after="0"/>
              <w:rPr>
                <w:sz w:val="20"/>
                <w:szCs w:val="20"/>
                <w:color w:val="auto"/>
              </w:rPr>
            </w:pPr>
            <w:r>
              <w:rPr>
                <w:rFonts w:ascii="Arial" w:cs="Arial" w:eastAsia="Arial" w:hAnsi="Arial"/>
                <w:sz w:val="14"/>
                <w:szCs w:val="14"/>
                <w:color w:val="auto"/>
              </w:rPr>
              <w:t>Lapse of statute of limitations</w:t>
            </w:r>
          </w:p>
        </w:tc>
        <w:tc>
          <w:tcPr>
            <w:tcW w:w="9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96"/>
        </w:trPr>
        <w:tc>
          <w:tcPr>
            <w:tcW w:w="53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End of year</w:t>
            </w:r>
          </w:p>
        </w:tc>
        <w:tc>
          <w:tcPr>
            <w:tcW w:w="92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During fiscal 2022, the Company recognized an increase in reserves for uncertain tax positions of approximately $13.5 million related to an increase in research and development tax credits available for fiscal years 2022 and prior years. The Company recognized accrued interest and penalties of $1.7 million, $0.3 million and $0.5 million for fiscal 2022, 2021, and 2020, respectively, related to the reserves for uncertain tax positions in the income tax provision. Included in the total reserve for uncertain tax positions are accrued penalties and interest of approximately $2.9 million, $1.2 million and $0.9 million at March 31, 2022, 2021, and 2020, respectively.</w:t>
      </w:r>
    </w:p>
    <w:p>
      <w:pPr>
        <w:spacing w:after="0" w:line="61"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Company is subject to taxation in the United States and various state and foreign jurisdictions. As of March 31, 2022, the Company's tax years ended March 31, 2016 and forward are open and subject to examination by the federal tax authorities. The other jurisdictions' currently open or under examination are not considered to be material.</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is currently contesting tax assessments from the District of Columbia Office of Tax and Revenue ("DC OTR") for fiscal years 2013 through 2015. The assessment relates to</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$11.7 million of taxes, net of federal tax benefits, as of March 31, 2022. During fiscal 2022, the Company received notification that the District of Columbia Office of Administrative Hearings ruled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in favor of the DC OTR. The Company is currently appealing the decision with the District of Columbia Court of Appeals ("DC COA"). In the fourth quarter of fiscal year 2022, the DC COA filed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the briefing order, indicating that the Company's brief is due May 9, 2022 and, absent the DC OTR requesting an extension, DC OTR's response brief is due June 8, 2022. The Company filed its brief</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on May 9, 2022.</w:t>
      </w:r>
    </w:p>
    <w:p>
      <w:pPr>
        <w:spacing w:after="0" w:line="83"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As a result of the ruling in favor of the DC OTR, the Company made an $8.6 million payment during the second quarter of fiscal 2022 related to these assessments, consisting of $3.7 million of tax related to fiscal 2014 and 2015, as well as $4.9 million of penalties and interest. This payment was made under protest and, given the Company's belief that it will be recovered, the payment has been recorded as a long term income tax-receivable (a component of other long-term assets) on its consolidated balance sheet. There has been no impact to income tax expense during fiscal 2022 related to this payment.</w:t>
      </w:r>
    </w:p>
    <w:p>
      <w:pPr>
        <w:spacing w:after="0" w:line="61"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3"/>
          <w:szCs w:val="13"/>
          <w:color w:val="auto"/>
        </w:rPr>
        <w:t>The Company has taken similar tax positions with respect to subsequent fiscal years. As of March 31, 2022, the Company does not maintain reserves for any uncertain tax positions related to the contested tax benefits related to 2013 through 2015, nor does it maintain reserves for the similar tax positions taken in the subsequent fiscal years. Management continues to evaluate this position quarterly to determine if a change in estimate is needed. If an adverse final resolution were to occur with respect to uncertain tax positions related to the contested tax benefits or the similar tax positions taken for fiscal years 2013 through 2020, the total potential future tax expense that would arise would be approximately $40.2 million to $55.8 million, net of federal benefit.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2" w:name="page103"/>
    <w:bookmarkEnd w:id="102"/>
    <w:p>
      <w:pPr>
        <w:jc w:val="center"/>
        <w:ind w:right="8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Effective fiscal 2023, the Tax Cuts and Jobs Act of 2017 requires the capitalization of research and development costs for tax purposes, which can then be amortized over five years and 15 years for domestic and foreign costs, respectively. Congress has proposed tax legislation to delay the effective date of this change to 2026, but it is uncertain whether the proposed delay will ultimately be enacted into law. If the current effective date remains in place, the Company's initial assessment is that the Company would experience a material decrease in cash from operations, but that the deferred tax liability would be offset by a corresponding amount.</w:t>
      </w:r>
    </w:p>
    <w:p>
      <w:pPr>
        <w:spacing w:after="0" w:line="61"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The Company has a significant long-term income tax receivable as of March 31, 2022, which primarily represents the amended U.S. federal return refund claims for research and development tax credits and the carryback claim for the fiscal 2021 net operating loss. The Company is currently under federal audit by the Internal Revenue Service (“IRS”) for fiscal years 2016, 2017 and 2019 and the receipt of our U.S federal return refund claims is contingent upon the completion of the ongoing IRS audits.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EMPLOYEE BENEFIT PLANS</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Defined Contribution Plan</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2022, 2021, and 2020 was $176.8 million, $166.3 million, and $151.0 million, respectively and the Company-paid contributions were $171.6 million, $163.0 million, and $146.5 million, respectively.</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Post Retirement Benefit Plans</w:t>
      </w:r>
    </w:p>
    <w:p>
      <w:pPr>
        <w:spacing w:after="0" w:line="94"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The Company provides postretirement healthcare benefits to former officers under a medical indemnity insurance plan, with premiums paid by the Company. This plan is referred to as the Officer Medical Plan. 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net postretirement medical expense for the Officer Medical Plan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cost</w:t>
            </w: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4,859</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postretirement medical expense</w:t>
            </w:r>
          </w:p>
        </w:tc>
        <w:tc>
          <w:tcPr>
            <w:tcW w:w="90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The service cost component of net periodic benefit cost is included in cost of revenue and general and administrative expenses, and the non-service cost components of net periodic benefit cost (interest cost and net actuarial loss) are included as part of other income (expense), net in the accompanying consolidated statements of operations.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weighted-average discount rate used to determine the year-end benefit obligation for the Officer Medical Plan were 3.75%, 3.40% and 3.60% for fiscal 2022, 2021, and 2020, respectively.</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Assumed healthcare cost trend rates for the Officer Medical Plan at March 31, 2022 and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20" w:type="dxa"/>
            <w:vAlign w:val="bottom"/>
          </w:tcPr>
          <w:p>
            <w:pPr>
              <w:spacing w:after="0"/>
              <w:rPr>
                <w:sz w:val="13"/>
                <w:szCs w:val="13"/>
                <w:color w:val="auto"/>
              </w:rPr>
            </w:pPr>
          </w:p>
        </w:tc>
        <w:tc>
          <w:tcPr>
            <w:tcW w:w="4980" w:type="dxa"/>
            <w:vAlign w:val="bottom"/>
          </w:tcPr>
          <w:p>
            <w:pPr>
              <w:ind w:left="340"/>
              <w:spacing w:after="0"/>
              <w:rPr>
                <w:sz w:val="20"/>
                <w:szCs w:val="20"/>
                <w:color w:val="auto"/>
              </w:rPr>
            </w:pPr>
            <w:r>
              <w:rPr>
                <w:rFonts w:ascii="Arial" w:cs="Arial" w:eastAsia="Arial" w:hAnsi="Arial"/>
                <w:sz w:val="11"/>
                <w:szCs w:val="11"/>
                <w:b w:val="1"/>
                <w:bCs w:val="1"/>
                <w:color w:val="auto"/>
              </w:rPr>
              <w:t>Pre-65 initial rate</w:t>
            </w:r>
          </w:p>
        </w:tc>
        <w:tc>
          <w:tcPr>
            <w:tcW w:w="4000" w:type="dxa"/>
            <w:vAlign w:val="bottom"/>
            <w:gridSpan w:val="2"/>
          </w:tcPr>
          <w:p>
            <w:pPr>
              <w:jc w:val="right"/>
              <w:ind w:right="149"/>
              <w:spacing w:after="0"/>
              <w:rPr>
                <w:sz w:val="20"/>
                <w:szCs w:val="20"/>
                <w:color w:val="auto"/>
              </w:rPr>
            </w:pPr>
            <w:r>
              <w:rPr>
                <w:rFonts w:ascii="Arial" w:cs="Arial" w:eastAsia="Arial" w:hAnsi="Arial"/>
                <w:sz w:val="11"/>
                <w:szCs w:val="11"/>
                <w:b w:val="1"/>
                <w:bCs w:val="1"/>
                <w:color w:val="auto"/>
              </w:rPr>
              <w:t>2022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23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r>
      <w:tr>
        <w:trPr>
          <w:trHeight w:val="175"/>
        </w:trPr>
        <w:tc>
          <w:tcPr>
            <w:tcW w:w="320" w:type="dxa"/>
            <w:vAlign w:val="bottom"/>
          </w:tcPr>
          <w:p>
            <w:pPr>
              <w:spacing w:after="0"/>
              <w:rPr>
                <w:sz w:val="15"/>
                <w:szCs w:val="15"/>
                <w:color w:val="auto"/>
              </w:rPr>
            </w:pPr>
          </w:p>
        </w:tc>
        <w:tc>
          <w:tcPr>
            <w:tcW w:w="4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Healthcare cost trend rate assumed for next year</w:t>
            </w:r>
          </w:p>
        </w:tc>
        <w:tc>
          <w:tcPr>
            <w:tcW w:w="26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6.30</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6.55</w:t>
            </w:r>
          </w:p>
        </w:tc>
        <w:tc>
          <w:tcPr>
            <w:tcW w:w="80" w:type="dxa"/>
            <w:vAlign w:val="bottom"/>
            <w:tcBorders>
              <w:top w:val="single" w:sz="8" w:color="auto"/>
            </w:tcBorders>
            <w:shd w:val="clear" w:color="auto" w:fill="CCEEFF"/>
          </w:tcPr>
          <w:p>
            <w:pPr>
              <w:spacing w:after="0"/>
              <w:rPr>
                <w:sz w:val="15"/>
                <w:szCs w:val="15"/>
                <w:color w:val="auto"/>
              </w:rPr>
            </w:pPr>
          </w:p>
        </w:tc>
      </w:tr>
      <w:tr>
        <w:trPr>
          <w:trHeight w:val="180"/>
        </w:trPr>
        <w:tc>
          <w:tcPr>
            <w:tcW w:w="320" w:type="dxa"/>
            <w:vAlign w:val="bottom"/>
          </w:tcPr>
          <w:p>
            <w:pPr>
              <w:spacing w:after="0"/>
              <w:rPr>
                <w:sz w:val="15"/>
                <w:szCs w:val="15"/>
                <w:color w:val="auto"/>
              </w:rPr>
            </w:pPr>
          </w:p>
        </w:tc>
        <w:tc>
          <w:tcPr>
            <w:tcW w:w="4980" w:type="dxa"/>
            <w:vAlign w:val="bottom"/>
          </w:tcPr>
          <w:p>
            <w:pPr>
              <w:ind w:left="340"/>
              <w:spacing w:after="0"/>
              <w:rPr>
                <w:sz w:val="20"/>
                <w:szCs w:val="20"/>
                <w:color w:val="auto"/>
              </w:rPr>
            </w:pPr>
            <w:r>
              <w:rPr>
                <w:rFonts w:ascii="Arial" w:cs="Arial" w:eastAsia="Arial" w:hAnsi="Arial"/>
                <w:sz w:val="14"/>
                <w:szCs w:val="14"/>
                <w:color w:val="auto"/>
                <w:w w:val="94"/>
              </w:rPr>
              <w:t>Rate to which the cost trend rate is assumed to decline (the ultimate trend rate)</w:t>
            </w:r>
          </w:p>
        </w:tc>
        <w:tc>
          <w:tcPr>
            <w:tcW w:w="4000" w:type="dxa"/>
            <w:vAlign w:val="bottom"/>
            <w:gridSpan w:val="2"/>
          </w:tcPr>
          <w:p>
            <w:pPr>
              <w:jc w:val="right"/>
              <w:ind w:right="9"/>
              <w:spacing w:after="0"/>
              <w:rPr>
                <w:sz w:val="20"/>
                <w:szCs w:val="20"/>
                <w:color w:val="auto"/>
              </w:rPr>
            </w:pPr>
            <w:r>
              <w:rPr>
                <w:rFonts w:ascii="Arial" w:cs="Arial" w:eastAsia="Arial" w:hAnsi="Arial"/>
                <w:sz w:val="14"/>
                <w:szCs w:val="14"/>
                <w:color w:val="auto"/>
              </w:rPr>
              <w:t>4.50</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80" w:type="dxa"/>
            <w:vAlign w:val="bottom"/>
          </w:tcPr>
          <w:p>
            <w:pPr>
              <w:jc w:val="right"/>
              <w:ind w:right="113"/>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5"/>
                <w:szCs w:val="15"/>
                <w:color w:val="auto"/>
              </w:rPr>
            </w:pPr>
          </w:p>
        </w:tc>
      </w:tr>
      <w:tr>
        <w:trPr>
          <w:trHeight w:val="181"/>
        </w:trPr>
        <w:tc>
          <w:tcPr>
            <w:tcW w:w="320" w:type="dxa"/>
            <w:vAlign w:val="bottom"/>
          </w:tcPr>
          <w:p>
            <w:pPr>
              <w:spacing w:after="0"/>
              <w:rPr>
                <w:sz w:val="15"/>
                <w:szCs w:val="15"/>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Year that the rate reaches the ultimate trend rate</w:t>
            </w:r>
          </w:p>
        </w:tc>
        <w:tc>
          <w:tcPr>
            <w:tcW w:w="26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710"/>
        </w:trPr>
        <w:tc>
          <w:tcPr>
            <w:tcW w:w="3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00" w:type="dxa"/>
            <w:vAlign w:val="bottom"/>
            <w:gridSpan w:val="2"/>
          </w:tcPr>
          <w:p>
            <w:pPr>
              <w:jc w:val="right"/>
              <w:ind w:right="3449"/>
              <w:spacing w:after="0"/>
              <w:rPr>
                <w:sz w:val="20"/>
                <w:szCs w:val="20"/>
                <w:color w:val="auto"/>
              </w:rPr>
            </w:pPr>
            <w:r>
              <w:rPr>
                <w:rFonts w:ascii="Arial" w:cs="Arial" w:eastAsia="Arial" w:hAnsi="Arial"/>
                <w:sz w:val="14"/>
                <w:szCs w:val="14"/>
                <w:color w:val="auto"/>
              </w:rPr>
              <w:t>F-34</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320" w:type="dxa"/>
            <w:vAlign w:val="bottom"/>
            <w:tcBorders>
              <w:bottom w:val="single" w:sz="8" w:color="9A9A9A"/>
            </w:tcBorders>
          </w:tcPr>
          <w:p>
            <w:pPr>
              <w:spacing w:after="0"/>
              <w:rPr>
                <w:sz w:val="7"/>
                <w:szCs w:val="7"/>
                <w:color w:val="auto"/>
              </w:rPr>
            </w:pPr>
          </w:p>
        </w:tc>
        <w:tc>
          <w:tcPr>
            <w:tcW w:w="498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697" w:right="239" w:bottom="1440" w:gutter="0" w:footer="0" w:header="0"/>
        </w:sectPr>
      </w:pPr>
    </w:p>
    <w:bookmarkStart w:id="103" w:name="page104"/>
    <w:bookmarkEnd w:id="103"/>
    <w:p>
      <w:pPr>
        <w:jc w:val="center"/>
        <w:ind w:right="8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5760" w:type="dxa"/>
            <w:vAlign w:val="bottom"/>
            <w:tcBorders>
              <w:bottom w:val="single" w:sz="8" w:color="CCEEFF"/>
            </w:tcBorders>
          </w:tcPr>
          <w:p>
            <w:pPr>
              <w:ind w:left="340"/>
              <w:spacing w:after="0"/>
              <w:rPr>
                <w:sz w:val="20"/>
                <w:szCs w:val="20"/>
                <w:color w:val="auto"/>
              </w:rPr>
            </w:pPr>
            <w:r>
              <w:rPr>
                <w:rFonts w:ascii="Arial" w:cs="Arial" w:eastAsia="Arial" w:hAnsi="Arial"/>
                <w:sz w:val="11"/>
                <w:szCs w:val="11"/>
                <w:b w:val="1"/>
                <w:bCs w:val="1"/>
                <w:color w:val="auto"/>
              </w:rPr>
              <w:t>Post-65 initial rate</w:t>
            </w:r>
          </w:p>
        </w:tc>
        <w:tc>
          <w:tcPr>
            <w:tcW w:w="104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r>
      <w:tr>
        <w:trPr>
          <w:trHeight w:val="175"/>
        </w:trPr>
        <w:tc>
          <w:tcPr>
            <w:tcW w:w="280" w:type="dxa"/>
            <w:vAlign w:val="bottom"/>
          </w:tcPr>
          <w:p>
            <w:pPr>
              <w:spacing w:after="0"/>
              <w:rPr>
                <w:sz w:val="15"/>
                <w:szCs w:val="15"/>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Healthcare cost trend rate assumed for next year</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6.45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5"/>
                <w:szCs w:val="15"/>
                <w:color w:val="auto"/>
              </w:rPr>
            </w:pPr>
          </w:p>
        </w:tc>
      </w:tr>
      <w:tr>
        <w:trPr>
          <w:trHeight w:val="180"/>
        </w:trPr>
        <w:tc>
          <w:tcPr>
            <w:tcW w:w="280" w:type="dxa"/>
            <w:vAlign w:val="bottom"/>
          </w:tcPr>
          <w:p>
            <w:pPr>
              <w:spacing w:after="0"/>
              <w:rPr>
                <w:sz w:val="15"/>
                <w:szCs w:val="15"/>
                <w:color w:val="auto"/>
              </w:rPr>
            </w:pPr>
          </w:p>
        </w:tc>
        <w:tc>
          <w:tcPr>
            <w:tcW w:w="5760" w:type="dxa"/>
            <w:vAlign w:val="bottom"/>
          </w:tcPr>
          <w:p>
            <w:pPr>
              <w:ind w:left="34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color w:val="auto"/>
              </w:rPr>
              <w:t>4.50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ind w:right="92"/>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Year that the rate reaches the ultimate trend rate</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4"/>
        </w:trPr>
        <w:tc>
          <w:tcPr>
            <w:tcW w:w="28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Arial" w:cs="Arial" w:eastAsia="Arial" w:hAnsi="Arial"/>
                <w:sz w:val="14"/>
                <w:szCs w:val="14"/>
                <w:color w:val="auto"/>
                <w:w w:val="97"/>
              </w:rPr>
              <w:t>The changes in the benefit obligation, plan assets, and funded status of the Officer Medical Plan were as follows:</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325"/>
        </w:trPr>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3"/>
              <w:spacing w:after="0"/>
              <w:rPr>
                <w:sz w:val="20"/>
                <w:szCs w:val="20"/>
                <w:color w:val="auto"/>
              </w:rPr>
            </w:pPr>
            <w:r>
              <w:rPr>
                <w:rFonts w:ascii="Arial" w:cs="Arial" w:eastAsia="Arial" w:hAnsi="Arial"/>
                <w:sz w:val="11"/>
                <w:szCs w:val="11"/>
                <w:b w:val="1"/>
                <w:bCs w:val="1"/>
                <w:color w:val="auto"/>
                <w:w w:val="94"/>
              </w:rPr>
              <w:t>Fiscal Year Ended March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8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r>
      <w:tr>
        <w:trPr>
          <w:trHeight w:val="172"/>
        </w:trPr>
        <w:tc>
          <w:tcPr>
            <w:tcW w:w="6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Benefit obligation, beginning of the year</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121,518</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120,341</w:t>
            </w:r>
          </w:p>
        </w:tc>
        <w:tc>
          <w:tcPr>
            <w:tcW w:w="100" w:type="dxa"/>
            <w:vAlign w:val="bottom"/>
          </w:tcPr>
          <w:p>
            <w:pPr>
              <w:spacing w:after="0"/>
              <w:rPr>
                <w:sz w:val="14"/>
                <w:szCs w:val="14"/>
                <w:color w:val="auto"/>
              </w:rPr>
            </w:pPr>
          </w:p>
        </w:tc>
      </w:tr>
      <w:tr>
        <w:trPr>
          <w:trHeight w:val="180"/>
        </w:trPr>
        <w:tc>
          <w:tcPr>
            <w:tcW w:w="6040" w:type="dxa"/>
            <w:vAlign w:val="bottom"/>
            <w:gridSpan w:val="2"/>
          </w:tcPr>
          <w:p>
            <w:pPr>
              <w:ind w:left="260"/>
              <w:spacing w:after="0"/>
              <w:rPr>
                <w:sz w:val="20"/>
                <w:szCs w:val="20"/>
                <w:color w:val="auto"/>
              </w:rPr>
            </w:pPr>
            <w:r>
              <w:rPr>
                <w:rFonts w:ascii="Arial" w:cs="Arial" w:eastAsia="Arial" w:hAnsi="Arial"/>
                <w:sz w:val="14"/>
                <w:szCs w:val="14"/>
                <w:color w:val="auto"/>
              </w:rPr>
              <w:t>Service cost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6,505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5,657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4,955</w:t>
            </w:r>
          </w:p>
        </w:tc>
        <w:tc>
          <w:tcPr>
            <w:tcW w:w="100" w:type="dxa"/>
            <w:vAlign w:val="bottom"/>
          </w:tcPr>
          <w:p>
            <w:pPr>
              <w:spacing w:after="0"/>
              <w:rPr>
                <w:sz w:val="15"/>
                <w:szCs w:val="15"/>
                <w:color w:val="auto"/>
              </w:rPr>
            </w:pPr>
          </w:p>
        </w:tc>
      </w:tr>
      <w:tr>
        <w:trPr>
          <w:trHeight w:val="181"/>
        </w:trPr>
        <w:tc>
          <w:tcPr>
            <w:tcW w:w="6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 cost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100" w:type="dxa"/>
            <w:vAlign w:val="bottom"/>
          </w:tcPr>
          <w:p>
            <w:pPr>
              <w:spacing w:after="0"/>
              <w:rPr>
                <w:sz w:val="15"/>
                <w:szCs w:val="15"/>
                <w:color w:val="auto"/>
              </w:rPr>
            </w:pPr>
          </w:p>
        </w:tc>
      </w:tr>
      <w:tr>
        <w:trPr>
          <w:trHeight w:val="180"/>
        </w:trPr>
        <w:tc>
          <w:tcPr>
            <w:tcW w:w="6040" w:type="dxa"/>
            <w:vAlign w:val="bottom"/>
            <w:gridSpan w:val="2"/>
          </w:tcPr>
          <w:p>
            <w:pPr>
              <w:ind w:left="260"/>
              <w:spacing w:after="0"/>
              <w:rPr>
                <w:sz w:val="20"/>
                <w:szCs w:val="20"/>
                <w:color w:val="auto"/>
              </w:rPr>
            </w:pPr>
            <w:r>
              <w:rPr>
                <w:rFonts w:ascii="Arial" w:cs="Arial" w:eastAsia="Arial" w:hAnsi="Arial"/>
                <w:sz w:val="14"/>
                <w:szCs w:val="14"/>
                <w:color w:val="auto"/>
              </w:rPr>
              <w:t>Net actuarial gain</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(13,563)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(6,761)</w:t>
            </w:r>
          </w:p>
        </w:tc>
        <w:tc>
          <w:tcPr>
            <w:tcW w:w="100" w:type="dxa"/>
            <w:vAlign w:val="bottom"/>
          </w:tcPr>
          <w:p>
            <w:pPr>
              <w:spacing w:after="0"/>
              <w:rPr>
                <w:sz w:val="15"/>
                <w:szCs w:val="15"/>
                <w:color w:val="auto"/>
              </w:rPr>
            </w:pPr>
          </w:p>
        </w:tc>
      </w:tr>
      <w:tr>
        <w:trPr>
          <w:trHeight w:val="181"/>
        </w:trPr>
        <w:tc>
          <w:tcPr>
            <w:tcW w:w="6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Benefits paid</w:t>
            </w: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5"/>
                <w:szCs w:val="15"/>
                <w:color w:val="auto"/>
              </w:rPr>
            </w:pPr>
          </w:p>
        </w:tc>
      </w:tr>
      <w:tr>
        <w:trPr>
          <w:trHeight w:val="171"/>
        </w:trPr>
        <w:tc>
          <w:tcPr>
            <w:tcW w:w="280" w:type="dxa"/>
            <w:vAlign w:val="bottom"/>
          </w:tcPr>
          <w:p>
            <w:pPr>
              <w:spacing w:after="0"/>
              <w:rPr>
                <w:sz w:val="14"/>
                <w:szCs w:val="14"/>
                <w:color w:val="auto"/>
              </w:rPr>
            </w:pPr>
          </w:p>
        </w:tc>
        <w:tc>
          <w:tcPr>
            <w:tcW w:w="5760" w:type="dxa"/>
            <w:vAlign w:val="bottom"/>
          </w:tcPr>
          <w:p>
            <w:pPr>
              <w:ind w:left="240"/>
              <w:spacing w:after="0"/>
              <w:rPr>
                <w:sz w:val="20"/>
                <w:szCs w:val="20"/>
                <w:color w:val="auto"/>
              </w:rPr>
            </w:pPr>
            <w:r>
              <w:rPr>
                <w:rFonts w:ascii="Arial" w:cs="Arial" w:eastAsia="Arial" w:hAnsi="Arial"/>
                <w:sz w:val="14"/>
                <w:szCs w:val="14"/>
                <w:color w:val="auto"/>
              </w:rPr>
              <w:t>Benefit obligation, end of the year</w:t>
            </w: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113,505</w:t>
            </w: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121,518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tcPr>
          <w:p>
            <w:pPr>
              <w:spacing w:after="0"/>
              <w:rPr>
                <w:sz w:val="14"/>
                <w:szCs w:val="14"/>
                <w:color w:val="auto"/>
              </w:rPr>
            </w:pPr>
          </w:p>
        </w:tc>
      </w:tr>
      <w:tr>
        <w:trPr>
          <w:trHeight w:val="20"/>
        </w:trPr>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2" w:lineRule="exact"/>
        <w:rPr>
          <w:sz w:val="20"/>
          <w:szCs w:val="20"/>
          <w:color w:val="auto"/>
        </w:rPr>
      </w:pPr>
    </w:p>
    <w:p>
      <w:pPr>
        <w:ind w:right="120" w:firstLine="318"/>
        <w:spacing w:after="0" w:line="230" w:lineRule="auto"/>
        <w:rPr>
          <w:sz w:val="20"/>
          <w:szCs w:val="20"/>
          <w:color w:val="auto"/>
        </w:rPr>
      </w:pPr>
      <w:r>
        <w:rPr>
          <w:rFonts w:ascii="Arial" w:cs="Arial" w:eastAsia="Arial" w:hAnsi="Arial"/>
          <w:sz w:val="14"/>
          <w:szCs w:val="14"/>
          <w:color w:val="auto"/>
        </w:rPr>
        <w:t>The net actuarial gain related to the benefit obligation in fiscal 2022 was primarily due to favorable changes in estimated medical costs and increases in discount rates, partially offset by updates to demographic assumptions and outlook of higher future medical inflation. The net actuarial gain related to the benefit obligation in fiscal 2021 was primarily due to a favorable medical cost experience, partially offset by the unfavorable impact from declines in discount rates as of March 31, 2021. The net actuarial gain related to the benefit obligation in fiscal 2020 was due mainly to the repeal of excise tax on high cost health plans in December 2019, partially offset by the unfavorable impact from declines in discount rates and changes in estimated medical costs as of March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6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Changes in plan assets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2020</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beginning of the year</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40" w:type="dxa"/>
            <w:vAlign w:val="bottom"/>
          </w:tcPr>
          <w:p>
            <w:pPr>
              <w:ind w:left="280"/>
              <w:spacing w:after="0"/>
              <w:rPr>
                <w:sz w:val="20"/>
                <w:szCs w:val="20"/>
                <w:color w:val="auto"/>
              </w:rPr>
            </w:pPr>
            <w:r>
              <w:rPr>
                <w:rFonts w:ascii="Arial" w:cs="Arial" w:eastAsia="Arial" w:hAnsi="Arial"/>
                <w:sz w:val="14"/>
                <w:szCs w:val="14"/>
                <w:color w:val="auto"/>
              </w:rPr>
              <w:t>Employer contributions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3,785</w:t>
            </w:r>
          </w:p>
        </w:tc>
      </w:tr>
      <w:tr>
        <w:trPr>
          <w:trHeight w:val="181"/>
        </w:trPr>
        <w:tc>
          <w:tcPr>
            <w:tcW w:w="6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r>
      <w:tr>
        <w:trPr>
          <w:trHeight w:val="171"/>
        </w:trPr>
        <w:tc>
          <w:tcPr>
            <w:tcW w:w="6040" w:type="dxa"/>
            <w:vAlign w:val="bottom"/>
          </w:tcPr>
          <w:p>
            <w:pPr>
              <w:ind w:left="520"/>
              <w:spacing w:after="0"/>
              <w:rPr>
                <w:sz w:val="20"/>
                <w:szCs w:val="20"/>
                <w:color w:val="auto"/>
              </w:rPr>
            </w:pPr>
            <w:r>
              <w:rPr>
                <w:rFonts w:ascii="Arial" w:cs="Arial" w:eastAsia="Arial" w:hAnsi="Arial"/>
                <w:sz w:val="14"/>
                <w:szCs w:val="14"/>
                <w:color w:val="auto"/>
              </w:rPr>
              <w:t>Fair value of plan assets, end of the year</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color w:val="auto"/>
        </w:rPr>
        <w:t>As of March 31, 2022 and 2021, the unfunded status of the Officer Medical Plan was $113.5 million and $121.5 million, respectively, which is included in other long-term liabilities in the accompanying consolidated balance sheets.</w:t>
      </w:r>
    </w:p>
    <w:p>
      <w:pPr>
        <w:spacing w:after="0" w:line="200" w:lineRule="exact"/>
        <w:rPr>
          <w:sz w:val="20"/>
          <w:szCs w:val="20"/>
          <w:color w:val="auto"/>
        </w:rPr>
      </w:pP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698" w:right="239" w:bottom="1440" w:gutter="0" w:footer="0" w:header="0"/>
        </w:sectPr>
      </w:pPr>
    </w:p>
    <w:bookmarkStart w:id="104" w:name="page105"/>
    <w:bookmarkEnd w:id="104"/>
    <w:tbl>
      <w:tblPr>
        <w:tblLayout w:type="fixed"/>
        <w:tblInd w:w="360" w:type="dxa"/>
        <w:tblCellMar>
          <w:top w:w="0" w:type="dxa"/>
          <w:left w:w="0" w:type="dxa"/>
          <w:bottom w:w="0" w:type="dxa"/>
          <w:right w:w="0" w:type="dxa"/>
        </w:tblCellMar>
      </w:tblPr>
      <w:tr>
        <w:trPr>
          <w:trHeight w:val="170"/>
        </w:trPr>
        <w:tc>
          <w:tcPr>
            <w:tcW w:w="8900" w:type="dxa"/>
            <w:vAlign w:val="bottom"/>
          </w:tcPr>
          <w:p>
            <w:pPr>
              <w:jc w:val="center"/>
              <w:ind w:left="1611"/>
              <w:spacing w:after="0"/>
              <w:rPr>
                <w:sz w:val="20"/>
                <w:szCs w:val="20"/>
                <w:color w:val="auto"/>
              </w:rPr>
            </w:pPr>
            <w:r>
              <w:rPr>
                <w:rFonts w:ascii="Arial" w:cs="Arial" w:eastAsia="Arial" w:hAnsi="Arial"/>
                <w:sz w:val="14"/>
                <w:szCs w:val="14"/>
                <w:b w:val="1"/>
                <w:bCs w:val="1"/>
                <w:color w:val="auto"/>
              </w:rPr>
              <w:t>BOOZ ALLEN HAMILTON HOLDING CORPORATION</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900" w:type="dxa"/>
            <w:vAlign w:val="bottom"/>
          </w:tcPr>
          <w:p>
            <w:pPr>
              <w:jc w:val="center"/>
              <w:ind w:left="1611"/>
              <w:spacing w:after="0"/>
              <w:rPr>
                <w:sz w:val="20"/>
                <w:szCs w:val="20"/>
                <w:color w:val="auto"/>
              </w:rPr>
            </w:pPr>
            <w:r>
              <w:rPr>
                <w:rFonts w:ascii="Arial" w:cs="Arial" w:eastAsia="Arial" w:hAnsi="Arial"/>
                <w:sz w:val="14"/>
                <w:szCs w:val="14"/>
                <w:b w:val="1"/>
                <w:bCs w:val="1"/>
                <w:color w:val="auto"/>
              </w:rPr>
              <w:t>NOTES TO CONSOLIDATED FINANCIAL STATEMENTS</w:t>
            </w: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4"/>
        </w:trPr>
        <w:tc>
          <w:tcPr>
            <w:tcW w:w="8900" w:type="dxa"/>
            <w:vAlign w:val="bottom"/>
          </w:tcPr>
          <w:p>
            <w:pPr>
              <w:jc w:val="center"/>
              <w:ind w:left="1611"/>
              <w:spacing w:after="0"/>
              <w:rPr>
                <w:sz w:val="20"/>
                <w:szCs w:val="20"/>
                <w:color w:val="auto"/>
              </w:rPr>
            </w:pPr>
            <w:r>
              <w:rPr>
                <w:rFonts w:ascii="Arial" w:cs="Arial" w:eastAsia="Arial" w:hAnsi="Arial"/>
                <w:sz w:val="14"/>
                <w:szCs w:val="14"/>
                <w:b w:val="1"/>
                <w:bCs w:val="1"/>
                <w:color w:val="auto"/>
                <w:w w:val="89"/>
              </w:rPr>
              <w:t>(Amounts in tables in thousands, except share and per share data or unless otherwise noted)</w:t>
            </w: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446"/>
        </w:trPr>
        <w:tc>
          <w:tcPr>
            <w:tcW w:w="8900" w:type="dxa"/>
            <w:vAlign w:val="bottom"/>
          </w:tcPr>
          <w:p>
            <w:pPr>
              <w:spacing w:after="0"/>
              <w:rPr>
                <w:sz w:val="20"/>
                <w:szCs w:val="20"/>
                <w:color w:val="auto"/>
              </w:rPr>
            </w:pPr>
            <w:r>
              <w:rPr>
                <w:rFonts w:ascii="Arial" w:cs="Arial" w:eastAsia="Arial" w:hAnsi="Arial"/>
                <w:sz w:val="14"/>
                <w:szCs w:val="14"/>
                <w:color w:val="auto"/>
              </w:rPr>
              <w:t>The expected future medical benefit payments and related contributions are as follows:</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2"/>
        </w:trPr>
        <w:tc>
          <w:tcPr>
            <w:tcW w:w="8900" w:type="dxa"/>
            <w:vAlign w:val="bottom"/>
          </w:tcPr>
          <w:p>
            <w:pPr>
              <w:ind w:left="360"/>
              <w:spacing w:after="0"/>
              <w:rPr>
                <w:sz w:val="20"/>
                <w:szCs w:val="20"/>
                <w:color w:val="auto"/>
              </w:rPr>
            </w:pPr>
            <w:r>
              <w:rPr>
                <w:rFonts w:ascii="Arial" w:cs="Arial" w:eastAsia="Arial" w:hAnsi="Arial"/>
                <w:sz w:val="11"/>
                <w:szCs w:val="11"/>
                <w:b w:val="1"/>
                <w:bCs w:val="1"/>
                <w:color w:val="auto"/>
              </w:rPr>
              <w:t>For the Fiscal Year Ending March 31,</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2023</w:t>
            </w:r>
          </w:p>
        </w:tc>
        <w:tc>
          <w:tcPr>
            <w:tcW w:w="14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8900" w:type="dxa"/>
            <w:vAlign w:val="bottom"/>
          </w:tcPr>
          <w:p>
            <w:pPr>
              <w:ind w:left="360"/>
              <w:spacing w:after="0"/>
              <w:rPr>
                <w:sz w:val="20"/>
                <w:szCs w:val="20"/>
                <w:color w:val="auto"/>
              </w:rPr>
            </w:pPr>
            <w:r>
              <w:rPr>
                <w:rFonts w:ascii="Arial" w:cs="Arial" w:eastAsia="Arial" w:hAnsi="Arial"/>
                <w:sz w:val="14"/>
                <w:szCs w:val="14"/>
                <w:color w:val="auto"/>
              </w:rPr>
              <w:t>2024</w:t>
            </w:r>
          </w:p>
        </w:tc>
        <w:tc>
          <w:tcPr>
            <w:tcW w:w="14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2025</w:t>
            </w:r>
          </w:p>
        </w:tc>
        <w:tc>
          <w:tcPr>
            <w:tcW w:w="14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8900" w:type="dxa"/>
            <w:vAlign w:val="bottom"/>
          </w:tcPr>
          <w:p>
            <w:pPr>
              <w:ind w:left="360"/>
              <w:spacing w:after="0"/>
              <w:rPr>
                <w:sz w:val="20"/>
                <w:szCs w:val="20"/>
                <w:color w:val="auto"/>
              </w:rPr>
            </w:pPr>
            <w:r>
              <w:rPr>
                <w:rFonts w:ascii="Arial" w:cs="Arial" w:eastAsia="Arial" w:hAnsi="Arial"/>
                <w:sz w:val="14"/>
                <w:szCs w:val="14"/>
                <w:color w:val="auto"/>
              </w:rPr>
              <w:t>2026</w:t>
            </w:r>
          </w:p>
        </w:tc>
        <w:tc>
          <w:tcPr>
            <w:tcW w:w="14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1"/>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2027</w:t>
            </w:r>
          </w:p>
        </w:tc>
        <w:tc>
          <w:tcPr>
            <w:tcW w:w="14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8900" w:type="dxa"/>
            <w:vAlign w:val="bottom"/>
          </w:tcPr>
          <w:p>
            <w:pPr>
              <w:ind w:left="360"/>
              <w:spacing w:after="0"/>
              <w:rPr>
                <w:sz w:val="20"/>
                <w:szCs w:val="20"/>
                <w:color w:val="auto"/>
              </w:rPr>
            </w:pPr>
            <w:r>
              <w:rPr>
                <w:rFonts w:ascii="Arial" w:cs="Arial" w:eastAsia="Arial" w:hAnsi="Arial"/>
                <w:sz w:val="14"/>
                <w:szCs w:val="14"/>
                <w:color w:val="auto"/>
              </w:rPr>
              <w:t>2028 - 2032</w:t>
            </w:r>
          </w:p>
        </w:tc>
        <w:tc>
          <w:tcPr>
            <w:tcW w:w="14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r>
    </w:tbl>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Long-term Disability Benefits</w:t>
      </w:r>
    </w:p>
    <w:p>
      <w:pPr>
        <w:spacing w:after="0" w:line="179"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$9.3 million and $10.9 million at March 31, 2022 and 2021, respectively, and are presented in other long-term liabilities in the accompanying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ACCUMULATED OTHER COMPREHENSIVE INCOME (LOSS)</w:t>
      </w:r>
    </w:p>
    <w:p>
      <w:pPr>
        <w:spacing w:after="0" w:line="98"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91"/>
              </w:rPr>
              <w:t>Fiscal Year Ended March 31, 2022</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Derivatives designated as cash</w:t>
            </w:r>
          </w:p>
        </w:tc>
        <w:tc>
          <w:tcPr>
            <w:tcW w:w="320" w:type="dxa"/>
            <w:vAlign w:val="bottom"/>
          </w:tcPr>
          <w:p>
            <w:pPr>
              <w:spacing w:after="0"/>
              <w:rPr>
                <w:sz w:val="11"/>
                <w:szCs w:val="11"/>
                <w:color w:val="auto"/>
              </w:rPr>
            </w:pPr>
          </w:p>
        </w:tc>
        <w:tc>
          <w:tcPr>
            <w:tcW w:w="11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180"/>
        </w:trPr>
        <w:tc>
          <w:tcPr>
            <w:tcW w:w="648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before reclassifications </w:t>
            </w:r>
            <w:r>
              <w:rPr>
                <w:rFonts w:ascii="Arial" w:cs="Arial" w:eastAsia="Arial" w:hAnsi="Arial"/>
                <w:sz w:val="11"/>
                <w:szCs w:val="11"/>
                <w:color w:val="auto"/>
              </w:rPr>
              <w:t>(1)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10,294</w:t>
            </w:r>
          </w:p>
        </w:tc>
        <w:tc>
          <w:tcPr>
            <w:tcW w:w="3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15,032</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25,326</w:t>
            </w:r>
          </w:p>
        </w:tc>
        <w:tc>
          <w:tcPr>
            <w:tcW w:w="0" w:type="dxa"/>
            <w:vAlign w:val="bottom"/>
          </w:tcPr>
          <w:p>
            <w:pPr>
              <w:spacing w:after="0"/>
              <w:rPr>
                <w:sz w:val="1"/>
                <w:szCs w:val="1"/>
                <w:color w:val="auto"/>
              </w:rPr>
            </w:pPr>
          </w:p>
        </w:tc>
      </w:tr>
      <w:tr>
        <w:trPr>
          <w:trHeight w:val="181"/>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12,951</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13,030</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27,983</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38,356</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8,811</w:t>
            </w:r>
          </w:p>
        </w:tc>
        <w:tc>
          <w:tcPr>
            <w:tcW w:w="3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480" w:firstLine="5"/>
        <w:spacing w:after="0" w:line="281" w:lineRule="auto"/>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benefits of $5.3 million for the fiscal year ended March 31,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91"/>
              </w:rPr>
              <w:t>Fiscal Year Ended March 31,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Derivatives designated as cash</w:t>
            </w:r>
          </w:p>
        </w:tc>
        <w:tc>
          <w:tcPr>
            <w:tcW w:w="320" w:type="dxa"/>
            <w:vAlign w:val="bottom"/>
          </w:tcPr>
          <w:p>
            <w:pPr>
              <w:spacing w:after="0"/>
              <w:rPr>
                <w:sz w:val="11"/>
                <w:szCs w:val="11"/>
                <w:color w:val="auto"/>
              </w:rPr>
            </w:pPr>
          </w:p>
        </w:tc>
        <w:tc>
          <w:tcPr>
            <w:tcW w:w="11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80"/>
        </w:trPr>
        <w:tc>
          <w:tcPr>
            <w:tcW w:w="648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11"/>
                <w:szCs w:val="11"/>
                <w:color w:val="auto"/>
              </w:rPr>
              <w:t>(2)</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2,481</w:t>
            </w:r>
          </w:p>
        </w:tc>
        <w:tc>
          <w:tcPr>
            <w:tcW w:w="3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(1,529)</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1"/>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480" w:firstLine="5"/>
        <w:spacing w:after="0" w:line="281" w:lineRule="auto"/>
        <w:tabs>
          <w:tab w:leader="none" w:pos="2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benefits of $0.5 million for the fiscal year ended March 31, 2021.</w:t>
      </w: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698"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 March 31, 2020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Derivatives designated as cash</w:t>
            </w:r>
          </w:p>
        </w:tc>
        <w:tc>
          <w:tcPr>
            <w:tcW w:w="360" w:type="dxa"/>
            <w:vAlign w:val="bottom"/>
          </w:tcPr>
          <w:p>
            <w:pPr>
              <w:spacing w:after="0"/>
              <w:rPr>
                <w:sz w:val="11"/>
                <w:szCs w:val="11"/>
                <w:color w:val="auto"/>
              </w:rPr>
            </w:pPr>
          </w:p>
        </w:tc>
        <w:tc>
          <w:tcPr>
            <w:tcW w:w="116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(9,068)</w:t>
            </w: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w:t>
            </w:r>
          </w:p>
        </w:tc>
        <w:tc>
          <w:tcPr>
            <w:tcW w:w="0" w:type="dxa"/>
            <w:vAlign w:val="bottom"/>
          </w:tcPr>
          <w:p>
            <w:pPr>
              <w:spacing w:after="0"/>
              <w:rPr>
                <w:sz w:val="1"/>
                <w:szCs w:val="1"/>
                <w:color w:val="auto"/>
              </w:rPr>
            </w:pPr>
          </w:p>
        </w:tc>
      </w:tr>
      <w:tr>
        <w:trPr>
          <w:trHeight w:val="180"/>
        </w:trPr>
        <w:tc>
          <w:tcPr>
            <w:tcW w:w="644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11"/>
                <w:szCs w:val="11"/>
                <w:color w:val="auto"/>
              </w:rPr>
              <w:t>(3)</w:t>
            </w: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4,860</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(41,300)</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(36,440)</w:t>
            </w:r>
          </w:p>
        </w:tc>
        <w:tc>
          <w:tcPr>
            <w:tcW w:w="0" w:type="dxa"/>
            <w:vAlign w:val="bottom"/>
          </w:tcPr>
          <w:p>
            <w:pPr>
              <w:spacing w:after="0"/>
              <w:rPr>
                <w:sz w:val="1"/>
                <w:szCs w:val="1"/>
                <w:color w:val="auto"/>
              </w:rPr>
            </w:pPr>
          </w:p>
        </w:tc>
      </w:tr>
      <w:tr>
        <w:trPr>
          <w:trHeight w:val="181"/>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 (loss)</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4,941</w:t>
            </w: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(39,752)</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(34,811)</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280" w:firstLine="5"/>
        <w:spacing w:after="0" w:line="281" w:lineRule="auto"/>
        <w:tabs>
          <w:tab w:leader="none" w:pos="2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expenses of $14.6 million for the fiscal year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STOCKHOLDERS’ EQUITY</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the General Corporation Law of the State of Delaware. The Company’s ability to pay dividends to stockholders is limited as a practical matter by restrictions in the agreements governing the Company's indebtedness.</w:t>
      </w:r>
    </w:p>
    <w:p>
      <w:pPr>
        <w:spacing w:after="0" w:line="57"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The authorized and unissued shares of Class A Common Stock are available for future issuance upon stock option exercises and vesting of restricted stock units without additional stockholder approval.</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94"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On December 21, 2011, the Board of Directors adopted a share repurchase program, which was most recently increased on January 26, 2022 to authorize the repurchase of up to $2,160.0 million in shares of Class A Common Stock. A special committee of the Board of Directors evaluates market conditions and other relevant factors and initiates repurchases under the program from time to time. The share repurchase program may be suspended, modified or discontinued at any time at the Company’s discretion without prior notice. During fiscal 2022, the Company purchased 4.7 million shares of Class A Common Stock in a series of open market transactions for $389.9 million. During fiscal 2021, the Company purchased 3.8 million shares of Class A Common Stock in a series of open market transactions for $293.4 million. As of March 31, 2022, the Company had $651.6 million remaining under the share repurchase program.</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185" w:lineRule="exact"/>
        <w:rPr>
          <w:sz w:val="20"/>
          <w:szCs w:val="20"/>
          <w:color w:val="auto"/>
        </w:rPr>
      </w:pPr>
    </w:p>
    <w:p>
      <w:pPr>
        <w:ind w:left="8600"/>
        <w:spacing w:after="0"/>
        <w:rPr>
          <w:sz w:val="20"/>
          <w:szCs w:val="20"/>
          <w:color w:val="auto"/>
        </w:rPr>
      </w:pPr>
      <w:r>
        <w:rPr>
          <w:rFonts w:ascii="Arial" w:cs="Arial" w:eastAsia="Arial" w:hAnsi="Arial"/>
          <w:sz w:val="11"/>
          <w:szCs w:val="11"/>
          <w:b w:val="1"/>
          <w:bCs w:val="1"/>
          <w:color w:val="auto"/>
        </w:rPr>
        <w:t>Fiscal Year Ended</w:t>
      </w:r>
    </w:p>
    <w:p>
      <w:pPr>
        <w:ind w:left="8800"/>
        <w:spacing w:after="0"/>
        <w:rPr>
          <w:sz w:val="20"/>
          <w:szCs w:val="20"/>
          <w:color w:val="auto"/>
        </w:rPr>
      </w:pPr>
      <w:r>
        <w:rPr>
          <w:rFonts w:ascii="Arial" w:cs="Arial" w:eastAsia="Arial" w:hAnsi="Arial"/>
          <w:sz w:val="11"/>
          <w:szCs w:val="11"/>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8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2020</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Recurring dividends (1)</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209,057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181,066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146,602</w:t>
            </w:r>
          </w:p>
        </w:tc>
      </w:tr>
    </w:tbl>
    <w:p>
      <w:pPr>
        <w:spacing w:after="0" w:line="148" w:lineRule="exact"/>
        <w:rPr>
          <w:sz w:val="20"/>
          <w:szCs w:val="20"/>
          <w:color w:val="auto"/>
        </w:rPr>
      </w:pPr>
    </w:p>
    <w:p>
      <w:pPr>
        <w:ind w:left="200" w:hanging="195"/>
        <w:spacing w:after="0"/>
        <w:tabs>
          <w:tab w:leader="none" w:pos="2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represent recurring quarterly dividends that were declared and paid for during each quarter of fiscal 2022, 2021, and 2020.</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51"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20"/>
                <w:szCs w:val="20"/>
                <w:color w:val="auto"/>
              </w:rPr>
            </w:pPr>
            <w:r>
              <w:rPr>
                <w:rFonts w:ascii="Arial" w:cs="Arial" w:eastAsia="Arial" w:hAnsi="Arial"/>
                <w:sz w:val="14"/>
                <w:szCs w:val="14"/>
                <w:b w:val="1"/>
                <w:bCs w:val="1"/>
                <w:color w:val="auto"/>
              </w:rPr>
              <w:t>17. STOCK-BASED COMPENSATION</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7720" w:type="dxa"/>
            <w:vAlign w:val="bottom"/>
            <w:gridSpan w:val="2"/>
          </w:tcPr>
          <w:p>
            <w:pPr>
              <w:ind w:left="320"/>
              <w:spacing w:after="0"/>
              <w:rPr>
                <w:sz w:val="20"/>
                <w:szCs w:val="20"/>
                <w:color w:val="auto"/>
              </w:rPr>
            </w:pPr>
            <w:r>
              <w:rPr>
                <w:rFonts w:ascii="Arial" w:cs="Arial" w:eastAsia="Arial" w:hAnsi="Arial"/>
                <w:sz w:val="14"/>
                <w:szCs w:val="14"/>
                <w:color w:val="auto"/>
                <w:w w:val="94"/>
              </w:rPr>
              <w:t>The following table summarizes stock-based compensation expense recognized in the consolidated statements of operations: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4"/>
        </w:trPr>
        <w:tc>
          <w:tcPr>
            <w:tcW w:w="68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rPr>
              <w:t>Fiscal Year Ended March 31,</w:t>
            </w:r>
          </w:p>
        </w:tc>
        <w:tc>
          <w:tcPr>
            <w:tcW w:w="1100" w:type="dxa"/>
            <w:vAlign w:val="bottom"/>
            <w:tcBorders>
              <w:bottom w:val="single" w:sz="8" w:color="auto"/>
            </w:tcBorders>
          </w:tcPr>
          <w:p>
            <w:pPr>
              <w:spacing w:after="0"/>
              <w:rPr>
                <w:sz w:val="21"/>
                <w:szCs w:val="21"/>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16,272</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expenses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32,948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27,018</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total stock-based compensation expense recognized in the consolidated statements of operations by the following types of equity awards: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and Other Awards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40,549</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69,784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As of March 31, 2022 and 2021, there was $48.9 million and $43.3 million, respectively, of total unrecognized compensation cost related to unvested stock-based compensation agreements. The unrecognized compensation cost as of March 31, 2022 is expected to be fully amortized over the next 4.7 years. Absent the effect of forfeiture or acceleration of stock compensation cost for any departures of employees, the following tables summarize the unrecognized compensation cost, the weighted average period the cost is expected to be amortized, and the estimated annual compensation cost for the future periods indicated below (excludes any future award):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gridSpan w:val="8"/>
            <w:vMerge w:val="restart"/>
          </w:tcPr>
          <w:p>
            <w:pPr>
              <w:jc w:val="right"/>
              <w:ind w:right="189"/>
              <w:spacing w:after="0"/>
              <w:rPr>
                <w:sz w:val="20"/>
                <w:szCs w:val="20"/>
                <w:color w:val="auto"/>
              </w:rPr>
            </w:pPr>
            <w:r>
              <w:rPr>
                <w:rFonts w:ascii="Arial" w:cs="Arial" w:eastAsia="Arial" w:hAnsi="Arial"/>
                <w:sz w:val="14"/>
                <w:szCs w:val="14"/>
                <w:b w:val="1"/>
                <w:bCs w:val="1"/>
                <w:color w:val="auto"/>
              </w:rPr>
              <w:t>Unrecognized Compensation 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10"/>
          </w:tcPr>
          <w:p>
            <w:pPr>
              <w:ind w:left="60"/>
              <w:spacing w:after="0"/>
              <w:rPr>
                <w:sz w:val="20"/>
                <w:szCs w:val="20"/>
                <w:color w:val="auto"/>
              </w:rPr>
            </w:pPr>
            <w:r>
              <w:rPr>
                <w:rFonts w:ascii="Arial" w:cs="Arial" w:eastAsia="Arial" w:hAnsi="Arial"/>
                <w:sz w:val="14"/>
                <w:szCs w:val="14"/>
                <w:b w:val="1"/>
                <w:bCs w:val="1"/>
                <w:color w:val="auto"/>
                <w:w w:val="92"/>
              </w:rPr>
              <w:t>Weighted Average Remaining Period to be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bottom w:val="single" w:sz="8" w:color="auto"/>
            </w:tcBorders>
            <w:gridSpan w:val="8"/>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Recognized</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4"/>
          </w:tcPr>
          <w:p>
            <w:pPr>
              <w:jc w:val="right"/>
              <w:ind w:right="24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1240" w:type="dxa"/>
            <w:vAlign w:val="bottom"/>
            <w:gridSpan w:val="3"/>
          </w:tcPr>
          <w:p>
            <w:pPr>
              <w:jc w:val="right"/>
              <w:ind w:right="229"/>
              <w:spacing w:after="0" w:line="12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6"/>
          </w:tcPr>
          <w:p>
            <w:pPr>
              <w:ind w:left="40"/>
              <w:spacing w:after="0" w:line="12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1"/>
                <w:szCs w:val="11"/>
                <w:color w:val="auto"/>
              </w:rPr>
            </w:pPr>
          </w:p>
        </w:tc>
        <w:tc>
          <w:tcPr>
            <w:tcW w:w="960" w:type="dxa"/>
            <w:vAlign w:val="bottom"/>
          </w:tcPr>
          <w:p>
            <w:pPr>
              <w:jc w:val="right"/>
              <w:ind w:right="269"/>
              <w:spacing w:after="0" w:line="129" w:lineRule="exact"/>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gridSpan w:val="2"/>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8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269"/>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ind w:right="409"/>
              <w:spacing w:after="0"/>
              <w:rPr>
                <w:sz w:val="20"/>
                <w:szCs w:val="20"/>
                <w:color w:val="auto"/>
              </w:rPr>
            </w:pPr>
            <w:r>
              <w:rPr>
                <w:rFonts w:ascii="Arial" w:cs="Arial" w:eastAsia="Arial" w:hAnsi="Arial"/>
                <w:sz w:val="14"/>
                <w:szCs w:val="14"/>
                <w:color w:val="auto"/>
                <w:w w:val="92"/>
              </w:rPr>
              <w:t>3.2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center"/>
              <w:ind w:right="269"/>
              <w:spacing w:after="0"/>
              <w:rPr>
                <w:sz w:val="20"/>
                <w:szCs w:val="20"/>
                <w:color w:val="auto"/>
              </w:rPr>
            </w:pPr>
            <w:r>
              <w:rPr>
                <w:rFonts w:ascii="Arial" w:cs="Arial" w:eastAsia="Arial" w:hAnsi="Arial"/>
                <w:sz w:val="14"/>
                <w:szCs w:val="14"/>
                <w:color w:val="auto"/>
                <w:w w:val="92"/>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and Other Awards</w:t>
            </w:r>
          </w:p>
        </w:tc>
        <w:tc>
          <w:tcPr>
            <w:tcW w:w="2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46,528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39,881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jc w:val="center"/>
              <w:ind w:right="409"/>
              <w:spacing w:after="0"/>
              <w:rPr>
                <w:sz w:val="20"/>
                <w:szCs w:val="20"/>
                <w:color w:val="auto"/>
              </w:rPr>
            </w:pPr>
            <w:r>
              <w:rPr>
                <w:rFonts w:ascii="Arial" w:cs="Arial" w:eastAsia="Arial" w:hAnsi="Arial"/>
                <w:sz w:val="14"/>
                <w:szCs w:val="14"/>
                <w:color w:val="auto"/>
                <w:w w:val="92"/>
              </w:rPr>
              <w:t>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center"/>
              <w:ind w:right="269"/>
              <w:spacing w:after="0"/>
              <w:rPr>
                <w:sz w:val="20"/>
                <w:szCs w:val="20"/>
                <w:color w:val="auto"/>
              </w:rPr>
            </w:pPr>
            <w:r>
              <w:rPr>
                <w:rFonts w:ascii="Arial" w:cs="Arial" w:eastAsia="Arial" w:hAnsi="Arial"/>
                <w:sz w:val="14"/>
                <w:szCs w:val="14"/>
                <w:color w:val="auto"/>
                <w:w w:val="92"/>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48,887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43,307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jc w:val="right"/>
              <w:ind w:right="69"/>
              <w:spacing w:after="0"/>
              <w:rPr>
                <w:sz w:val="20"/>
                <w:szCs w:val="20"/>
                <w:color w:val="auto"/>
              </w:rPr>
            </w:pPr>
            <w:r>
              <w:rPr>
                <w:rFonts w:ascii="Arial" w:cs="Arial" w:eastAsia="Arial" w:hAnsi="Arial"/>
                <w:sz w:val="14"/>
                <w:szCs w:val="14"/>
                <w:b w:val="1"/>
                <w:bCs w:val="1"/>
                <w:color w:val="auto"/>
                <w:w w:val="91"/>
              </w:rPr>
              <w:t>Total Unrecognized Compensation Cost</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09"/>
              <w:spacing w:after="0"/>
              <w:rPr>
                <w:sz w:val="20"/>
                <w:szCs w:val="20"/>
                <w:color w:val="auto"/>
              </w:rPr>
            </w:pPr>
            <w:r>
              <w:rPr>
                <w:rFonts w:ascii="Arial" w:cs="Arial" w:eastAsia="Arial" w:hAnsi="Arial"/>
                <w:sz w:val="14"/>
                <w:szCs w:val="14"/>
                <w:b w:val="1"/>
                <w:bCs w:val="1"/>
                <w:color w:val="auto"/>
              </w:rPr>
              <w:t>2027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Stock and Other Awards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46,528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30,448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12,455</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85"/>
              </w:rPr>
              <w:t>3,238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31,722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13,136</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5"/>
              </w:rPr>
              <w:t>3,550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29"/>
              <w:spacing w:after="0"/>
              <w:rPr>
                <w:sz w:val="20"/>
                <w:szCs w:val="20"/>
                <w:color w:val="auto"/>
              </w:rPr>
            </w:pPr>
            <w:r>
              <w:rPr>
                <w:rFonts w:ascii="Arial" w:cs="Arial" w:eastAsia="Arial" w:hAnsi="Arial"/>
                <w:sz w:val="14"/>
                <w:szCs w:val="14"/>
                <w:color w:val="auto"/>
                <w:w w:val="97"/>
              </w:rPr>
              <w:t>F-38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51" w:lineRule="exact"/>
        <w:rPr>
          <w:sz w:val="20"/>
          <w:szCs w:val="20"/>
          <w:color w:val="auto"/>
        </w:rPr>
      </w:pPr>
    </w:p>
    <w:p>
      <w:pPr>
        <w:ind w:right="60" w:firstLine="191"/>
        <w:spacing w:after="0" w:line="267" w:lineRule="auto"/>
        <w:rPr>
          <w:sz w:val="20"/>
          <w:szCs w:val="20"/>
          <w:color w:val="auto"/>
        </w:rPr>
      </w:pPr>
      <w:r>
        <w:rPr>
          <w:rFonts w:ascii="Arial" w:cs="Arial" w:eastAsia="Arial" w:hAnsi="Arial"/>
          <w:sz w:val="14"/>
          <w:szCs w:val="14"/>
          <w:color w:val="auto"/>
        </w:rPr>
        <w:t>Awards under the Company's Equity Incentive Plan, or EIP, may be made in the form of stock options; stock purchase rights; restricted stock; restricted stock units; performance shares; performance units; stock appreciation rights; deferred share units; dividend equivalents; and other stock-based awards. As of March 31, 2022 and 2021, there were 8.6 million and 9.3 million shares, respectively, available for future grant under the EIP.</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Stock Options</w:t>
      </w:r>
    </w:p>
    <w:p>
      <w:pPr>
        <w:spacing w:after="0" w:line="51"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Stock options under the EIP are granted at the discretion of the Board of Directors or its Compensation, Culture and People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w:t>
      </w:r>
    </w:p>
    <w:p>
      <w:pPr>
        <w:spacing w:after="0" w:line="14"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During fiscal 2022 and 2021, the Company granted 0.1 million and 0.3 million options under the EIP, with an aggregate grant date fair value of $1.6 million and $3.6 million, respectively.The total fair value of EIP options vested during both fiscal 2022 and 2021 were $2.4 million. The total intrinsic value of EIP options exercised during fiscal 2022 and 2021 was $11.4 million and $28.9 million, respectively.</w:t>
      </w:r>
    </w:p>
    <w:p>
      <w:pPr>
        <w:spacing w:after="0" w:line="14" w:lineRule="exact"/>
        <w:rPr>
          <w:sz w:val="20"/>
          <w:szCs w:val="20"/>
          <w:color w:val="auto"/>
        </w:rPr>
      </w:pPr>
    </w:p>
    <w:p>
      <w:pPr>
        <w:jc w:val="both"/>
        <w:ind w:right="120" w:firstLine="318"/>
        <w:spacing w:after="0" w:line="306" w:lineRule="auto"/>
        <w:rPr>
          <w:sz w:val="20"/>
          <w:szCs w:val="20"/>
          <w:color w:val="auto"/>
        </w:rPr>
      </w:pPr>
      <w:r>
        <w:rPr>
          <w:rFonts w:ascii="Arial" w:cs="Arial" w:eastAsia="Arial" w:hAnsi="Arial"/>
          <w:sz w:val="13"/>
          <w:szCs w:val="13"/>
          <w:color w:val="auto"/>
        </w:rPr>
        <w:t>As of March 31, 2022 and 2021, 0.3 million and 0.5 million options were unvested under the EIP, with a weighted average grant date fair value of $12.73 and $11.64, respectively. There were 1.3 million and 1.4 million EIP options outstanding as of March 31, 2022 and 2021, with a weighted average exercise price of $49.34 and $44.86, respectively.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Annual Incentive Plans</w:t>
      </w:r>
    </w:p>
    <w:p>
      <w:pPr>
        <w:spacing w:after="0" w:line="51" w:lineRule="exact"/>
        <w:rPr>
          <w:sz w:val="20"/>
          <w:szCs w:val="20"/>
          <w:color w:val="auto"/>
        </w:rPr>
      </w:pPr>
    </w:p>
    <w:p>
      <w:pPr>
        <w:ind w:right="100" w:firstLine="318"/>
        <w:spacing w:after="0" w:line="288" w:lineRule="auto"/>
        <w:rPr>
          <w:sz w:val="20"/>
          <w:szCs w:val="20"/>
          <w:color w:val="auto"/>
        </w:rPr>
      </w:pPr>
      <w:r>
        <w:rPr>
          <w:rFonts w:ascii="Arial" w:cs="Arial" w:eastAsia="Arial" w:hAnsi="Arial"/>
          <w:sz w:val="13"/>
          <w:szCs w:val="13"/>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Such equity awards vest over a three-year period subject to the employee’s continued service to the Company. The related expense is recognized in the accompanying consolidated statements of operations based on grant date fair value over the vesting period of three years.</w:t>
      </w:r>
    </w:p>
    <w:p>
      <w:pPr>
        <w:spacing w:after="0" w:line="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Company maintains annual incentive programs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Class A Common Stock. Dividend equivalents are paid in respect of the service-based restricted stock units when dividends are paid on the Company's Class A Common Stock. Performance-based awards vest at the end of a three-year period subject to certain specified financial performance criteria and the grantee's continued service through the period. These awards are settled for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10"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The Company also maintains a program whereby certain non-officer employees would be eligible to receive a portion of their annual bonus in equity. The equity compensation would be issued in the form of restricted stock units that would vest immediately after issuance or over an applicable vesting period subject to the employee's continued service for the Company. The associated expense will be recognized in the accompanying consolidated statements of operations based on grant date fair value.</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Grants of Class A Restricted Common Stock and Restricted Stock Units</w:t>
      </w:r>
    </w:p>
    <w:p>
      <w:pPr>
        <w:spacing w:after="0" w:line="51"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During fiscal 2022, the Board of Directors granted an aggregate of 1.1 million Restricted Stock Units with service-based and performance-based vesting conditions to existing officers, vice presidents, and other employees and non-employees of the Company, as well as to newly promoted and hired partners and vice presidents. The awards will vest based on the applicable vesting period for the specific award subject to the employees' continued employment with the Company. The Board of Directors also granted Class A Restricted Common Stock to members of the Board of Directors during fiscal 2022. These awards generally vest over one year.</w:t>
      </w:r>
    </w:p>
    <w:p>
      <w:pPr>
        <w:spacing w:after="0" w:line="146" w:lineRule="exact"/>
        <w:rPr>
          <w:sz w:val="20"/>
          <w:szCs w:val="20"/>
          <w:color w:val="auto"/>
        </w:rPr>
      </w:pPr>
    </w:p>
    <w:p>
      <w:pPr>
        <w:ind w:right="440" w:firstLine="318"/>
        <w:spacing w:after="0" w:line="281" w:lineRule="auto"/>
        <w:rPr>
          <w:sz w:val="20"/>
          <w:szCs w:val="20"/>
          <w:color w:val="auto"/>
        </w:rPr>
      </w:pPr>
      <w:r>
        <w:rPr>
          <w:rFonts w:ascii="Arial" w:cs="Arial" w:eastAsia="Arial" w:hAnsi="Arial"/>
          <w:sz w:val="14"/>
          <w:szCs w:val="14"/>
          <w:color w:val="auto"/>
        </w:rPr>
        <w:t>The aggregate fair value of all awards issued during fiscal 2022 was $89.9 million and was based on the grant date stock price, which ranged from $41.65 to $89.78. This amount will be recognized in the accompanying consolidated statements of</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7" w:right="3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operations over the applicable vesting period of the awards. The total fair value of restricted stock shares vested during fiscal 2022 and 2021 was $59.6 million and $49.8 million, respectively.</w:t>
      </w:r>
    </w:p>
    <w:p>
      <w:pPr>
        <w:spacing w:after="0" w:line="190" w:lineRule="exact"/>
        <w:rPr>
          <w:sz w:val="20"/>
          <w:szCs w:val="20"/>
          <w:color w:val="auto"/>
        </w:rPr>
      </w:pPr>
    </w:p>
    <w:p>
      <w:pPr>
        <w:ind w:right="260" w:firstLine="350"/>
        <w:spacing w:after="0" w:line="267" w:lineRule="auto"/>
        <w:rPr>
          <w:sz w:val="20"/>
          <w:szCs w:val="20"/>
          <w:color w:val="auto"/>
        </w:rPr>
      </w:pPr>
      <w:r>
        <w:rPr>
          <w:rFonts w:ascii="Arial" w:cs="Arial" w:eastAsia="Arial" w:hAnsi="Arial"/>
          <w:sz w:val="14"/>
          <w:szCs w:val="14"/>
          <w:color w:val="auto"/>
        </w:rPr>
        <w:t>As permitted under the terms of the EIP, the Compensation, Culture and People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0.3 million shares and recorded them as treasury shares at a total cost of $29.3 million in fiscal 2022.</w:t>
      </w:r>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7720" w:type="dxa"/>
            <w:vAlign w:val="bottom"/>
            <w:gridSpan w:val="2"/>
          </w:tcPr>
          <w:p>
            <w:pPr>
              <w:spacing w:after="0"/>
              <w:rPr>
                <w:sz w:val="20"/>
                <w:szCs w:val="20"/>
                <w:color w:val="auto"/>
              </w:rPr>
            </w:pPr>
            <w:r>
              <w:rPr>
                <w:rFonts w:ascii="Arial" w:cs="Arial" w:eastAsia="Arial" w:hAnsi="Arial"/>
                <w:sz w:val="14"/>
                <w:szCs w:val="14"/>
                <w:color w:val="auto"/>
              </w:rPr>
              <w:t>The following table summarizes unvested restricted stock activity for the periods presented:</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8"/>
        </w:trPr>
        <w:tc>
          <w:tcPr>
            <w:tcW w:w="7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right"/>
              <w:ind w:right="89"/>
              <w:spacing w:after="0" w:line="138" w:lineRule="exact"/>
              <w:rPr>
                <w:sz w:val="20"/>
                <w:szCs w:val="20"/>
                <w:color w:val="auto"/>
              </w:rPr>
            </w:pPr>
            <w:r>
              <w:rPr>
                <w:rFonts w:ascii="Arial" w:cs="Arial" w:eastAsia="Arial" w:hAnsi="Arial"/>
                <w:sz w:val="14"/>
                <w:szCs w:val="14"/>
                <w:b w:val="1"/>
                <w:bCs w:val="1"/>
                <w:color w:val="auto"/>
              </w:rPr>
              <w:t>Average Grant Date</w:t>
            </w:r>
          </w:p>
        </w:tc>
        <w:tc>
          <w:tcPr>
            <w:tcW w:w="0" w:type="dxa"/>
            <w:vAlign w:val="bottom"/>
          </w:tcPr>
          <w:p>
            <w:pPr>
              <w:spacing w:after="0"/>
              <w:rPr>
                <w:sz w:val="1"/>
                <w:szCs w:val="1"/>
                <w:color w:val="auto"/>
              </w:rPr>
            </w:pPr>
          </w:p>
        </w:tc>
      </w:tr>
      <w:tr>
        <w:trPr>
          <w:trHeight w:val="180"/>
        </w:trPr>
        <w:tc>
          <w:tcPr>
            <w:tcW w:w="7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i w:val="1"/>
                <w:iCs w:val="1"/>
                <w:color w:val="auto"/>
              </w:rPr>
              <w:t>Unvested Restricted Stock Awards</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20" w:type="dxa"/>
            <w:vAlign w:val="bottom"/>
            <w:gridSpan w:val="2"/>
          </w:tcPr>
          <w:p>
            <w:pPr>
              <w:ind w:left="340"/>
              <w:spacing w:after="0"/>
              <w:rPr>
                <w:sz w:val="20"/>
                <w:szCs w:val="20"/>
                <w:color w:val="auto"/>
              </w:rPr>
            </w:pPr>
            <w:r>
              <w:rPr>
                <w:rFonts w:ascii="Arial" w:cs="Arial" w:eastAsia="Arial" w:hAnsi="Arial"/>
                <w:sz w:val="14"/>
                <w:szCs w:val="14"/>
                <w:color w:val="auto"/>
              </w:rPr>
              <w:t>Unvested at March 31, 2021</w:t>
            </w:r>
          </w:p>
        </w:tc>
        <w:tc>
          <w:tcPr>
            <w:tcW w:w="1540" w:type="dxa"/>
            <w:vAlign w:val="bottom"/>
          </w:tcPr>
          <w:p>
            <w:pPr>
              <w:jc w:val="right"/>
              <w:spacing w:after="0"/>
              <w:rPr>
                <w:sz w:val="20"/>
                <w:szCs w:val="20"/>
                <w:color w:val="auto"/>
              </w:rPr>
            </w:pPr>
            <w:r>
              <w:rPr>
                <w:rFonts w:ascii="Arial" w:cs="Arial" w:eastAsia="Arial" w:hAnsi="Arial"/>
                <w:sz w:val="14"/>
                <w:szCs w:val="14"/>
                <w:color w:val="auto"/>
              </w:rPr>
              <w:t>920,500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65.37</w:t>
            </w: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Granted</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1,154,622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77.85</w:t>
            </w:r>
          </w:p>
        </w:tc>
        <w:tc>
          <w:tcPr>
            <w:tcW w:w="0" w:type="dxa"/>
            <w:vAlign w:val="bottom"/>
          </w:tcPr>
          <w:p>
            <w:pPr>
              <w:spacing w:after="0"/>
              <w:rPr>
                <w:sz w:val="1"/>
                <w:szCs w:val="1"/>
                <w:color w:val="auto"/>
              </w:rPr>
            </w:pPr>
          </w:p>
        </w:tc>
      </w:tr>
      <w:tr>
        <w:trPr>
          <w:trHeight w:val="180"/>
        </w:trPr>
        <w:tc>
          <w:tcPr>
            <w:tcW w:w="7720" w:type="dxa"/>
            <w:vAlign w:val="bottom"/>
            <w:gridSpan w:val="2"/>
          </w:tcPr>
          <w:p>
            <w:pPr>
              <w:ind w:left="340"/>
              <w:spacing w:after="0"/>
              <w:rPr>
                <w:sz w:val="20"/>
                <w:szCs w:val="20"/>
                <w:color w:val="auto"/>
              </w:rPr>
            </w:pPr>
            <w:r>
              <w:rPr>
                <w:rFonts w:ascii="Arial" w:cs="Arial" w:eastAsia="Arial" w:hAnsi="Arial"/>
                <w:sz w:val="14"/>
                <w:szCs w:val="14"/>
                <w:color w:val="auto"/>
              </w:rPr>
              <w:t>Vested</w:t>
            </w:r>
          </w:p>
        </w:tc>
        <w:tc>
          <w:tcPr>
            <w:tcW w:w="1540" w:type="dxa"/>
            <w:vAlign w:val="bottom"/>
          </w:tcPr>
          <w:p>
            <w:pPr>
              <w:jc w:val="right"/>
              <w:spacing w:after="0"/>
              <w:rPr>
                <w:sz w:val="20"/>
                <w:szCs w:val="20"/>
                <w:color w:val="auto"/>
              </w:rPr>
            </w:pPr>
            <w:r>
              <w:rPr>
                <w:rFonts w:ascii="Arial" w:cs="Arial" w:eastAsia="Arial" w:hAnsi="Arial"/>
                <w:sz w:val="14"/>
                <w:szCs w:val="14"/>
                <w:color w:val="auto"/>
              </w:rPr>
              <w:t>935,485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63.72</w:t>
            </w:r>
          </w:p>
        </w:tc>
        <w:tc>
          <w:tcPr>
            <w:tcW w:w="0" w:type="dxa"/>
            <w:vAlign w:val="bottom"/>
          </w:tcPr>
          <w:p>
            <w:pPr>
              <w:spacing w:after="0"/>
              <w:rPr>
                <w:sz w:val="1"/>
                <w:szCs w:val="1"/>
                <w:color w:val="auto"/>
              </w:rPr>
            </w:pPr>
          </w:p>
        </w:tc>
      </w:tr>
      <w:tr>
        <w:trPr>
          <w:trHeight w:val="181"/>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Forfeited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75,377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80.33</w:t>
            </w:r>
          </w:p>
        </w:tc>
        <w:tc>
          <w:tcPr>
            <w:tcW w:w="0" w:type="dxa"/>
            <w:vAlign w:val="bottom"/>
          </w:tcPr>
          <w:p>
            <w:pPr>
              <w:spacing w:after="0"/>
              <w:rPr>
                <w:sz w:val="1"/>
                <w:szCs w:val="1"/>
                <w:color w:val="auto"/>
              </w:rPr>
            </w:pPr>
          </w:p>
        </w:tc>
      </w:tr>
      <w:tr>
        <w:trPr>
          <w:trHeight w:val="171"/>
        </w:trPr>
        <w:tc>
          <w:tcPr>
            <w:tcW w:w="7720" w:type="dxa"/>
            <w:vAlign w:val="bottom"/>
            <w:gridSpan w:val="2"/>
          </w:tcPr>
          <w:p>
            <w:pPr>
              <w:ind w:left="340"/>
              <w:spacing w:after="0"/>
              <w:rPr>
                <w:sz w:val="20"/>
                <w:szCs w:val="20"/>
                <w:color w:val="auto"/>
              </w:rPr>
            </w:pPr>
            <w:r>
              <w:rPr>
                <w:rFonts w:ascii="Arial" w:cs="Arial" w:eastAsia="Arial" w:hAnsi="Arial"/>
                <w:sz w:val="14"/>
                <w:szCs w:val="14"/>
                <w:color w:val="auto"/>
              </w:rPr>
              <w:t>Unvested at March 31, 2022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1,064,260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79.29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51" w:lineRule="exact"/>
        <w:rPr>
          <w:sz w:val="20"/>
          <w:szCs w:val="20"/>
          <w:color w:val="auto"/>
        </w:rPr>
      </w:pPr>
    </w:p>
    <w:p>
      <w:pPr>
        <w:ind w:right="100" w:firstLine="318"/>
        <w:spacing w:after="0" w:line="331" w:lineRule="auto"/>
        <w:rPr>
          <w:sz w:val="20"/>
          <w:szCs w:val="20"/>
          <w:color w:val="auto"/>
        </w:rPr>
      </w:pPr>
      <w:r>
        <w:rPr>
          <w:rFonts w:ascii="Arial" w:cs="Arial" w:eastAsia="Arial" w:hAnsi="Arial"/>
          <w:sz w:val="12"/>
          <w:szCs w:val="12"/>
          <w:color w:val="auto"/>
        </w:rPr>
        <w:t>The Company offers a tax qualified Employee Stock Purchase Plan, or ESPP, which is designed to enable eligible employees to periodically purchase shares of the Class A Common Stock at a five percent discount from the fair market value of the Class A Common Stock. The ESPP provides for quarterly offering periods. For the year ended March 31, 2022, 0.3 million shares of Class A Common Stock were purchased by employees under the ESPP. Since the program's inception, 3.2 million shares have been purchased by employees of the total 10 million shares available.</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FAIR VALUE MEASUREMENTS</w:t>
      </w:r>
    </w:p>
    <w:p>
      <w:pPr>
        <w:spacing w:after="0" w:line="98"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5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6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as of March 31, 2022</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Total</w:t>
            </w:r>
          </w:p>
        </w:tc>
      </w:tr>
      <w:tr>
        <w:trPr>
          <w:trHeight w:val="16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asset (1)</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16,512</w:t>
            </w: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derivative instruments (3)</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w:t>
            </w:r>
          </w:p>
        </w:tc>
      </w:t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4,088</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20,600</w:t>
            </w:r>
          </w:p>
        </w:tc>
      </w:tr>
      <w:tr>
        <w:trPr>
          <w:trHeight w:val="16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Current derivative instruments (3)</w:t>
            </w: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4,324</w:t>
            </w: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derivative instruments (3)</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liability (1)</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16,512</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20,875</w:t>
            </w:r>
          </w:p>
        </w:tc>
      </w:tr>
    </w:tbl>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6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as of March 31,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Total</w:t>
            </w:r>
          </w:p>
        </w:tc>
      </w:tr>
      <w:tr>
        <w:trPr>
          <w:trHeight w:val="16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asset (1)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14,142</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r>
      <w:tr>
        <w:trPr>
          <w:trHeight w:val="160"/>
        </w:trPr>
        <w:tc>
          <w:tcPr>
            <w:tcW w:w="6300" w:type="dxa"/>
            <w:vAlign w:val="bottom"/>
          </w:tcPr>
          <w:p>
            <w:pPr>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liability (2)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Current derivative instruments (3)</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17,163</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17,163</w:t>
            </w: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derivative instruments (3)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20,999</w:t>
            </w: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liability (1)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14,142</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38,162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53,527</w:t>
            </w:r>
          </w:p>
        </w:tc>
      </w:tr>
    </w:tbl>
    <w:p>
      <w:pPr>
        <w:spacing w:after="0" w:line="255" w:lineRule="exact"/>
        <w:rPr>
          <w:sz w:val="20"/>
          <w:szCs w:val="20"/>
          <w:color w:val="auto"/>
        </w:rPr>
      </w:pPr>
    </w:p>
    <w:p>
      <w:pPr>
        <w:ind w:right="40" w:firstLine="5"/>
        <w:spacing w:after="0" w:line="267" w:lineRule="auto"/>
        <w:tabs>
          <w:tab w:leader="none" w:pos="2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Investments in this category consist of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162" w:lineRule="exact"/>
        <w:rPr>
          <w:rFonts w:ascii="Arial" w:cs="Arial" w:eastAsia="Arial" w:hAnsi="Arial"/>
          <w:sz w:val="14"/>
          <w:szCs w:val="14"/>
          <w:color w:val="auto"/>
        </w:rPr>
      </w:pPr>
    </w:p>
    <w:p>
      <w:pPr>
        <w:ind w:right="100" w:firstLine="5"/>
        <w:spacing w:after="0" w:line="267" w:lineRule="auto"/>
        <w:tabs>
          <w:tab w:leader="none" w:pos="2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Company recognized a contingent consideration liability of $3.6 million in connection with the acquisition of Aquilent in fiscal 2017. As of March 31, 2021, the estimated fair value of the contingent consideration liability was $1.2 million, and was valued using probability-weighted cash flows, which is based on the use of Level 3 fair value measurement inputs. As of March 31, 2022 the relevant statute of limitations pertaining to the contingent liability expired at which point the Company wrote off the existing liability balance.</w:t>
      </w:r>
    </w:p>
    <w:p>
      <w:pPr>
        <w:spacing w:after="0" w:line="162" w:lineRule="exact"/>
        <w:rPr>
          <w:rFonts w:ascii="Arial" w:cs="Arial" w:eastAsia="Arial" w:hAnsi="Arial"/>
          <w:sz w:val="14"/>
          <w:szCs w:val="14"/>
          <w:color w:val="auto"/>
        </w:rPr>
      </w:pPr>
    </w:p>
    <w:p>
      <w:pPr>
        <w:ind w:right="20" w:firstLine="5"/>
        <w:spacing w:after="0" w:line="267" w:lineRule="auto"/>
        <w:tabs>
          <w:tab w:leader="none" w:pos="2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11 to the consolidated financial statements for further discussion on the Company’s derivative instruments designated as cash flow hedges.</w:t>
      </w:r>
    </w:p>
    <w:p>
      <w:pPr>
        <w:spacing w:after="0" w:line="57"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We did not have any material items that were measured at fair value on a non-recurring basis as of March 31, 2022, with the exception of the assets and liabilities acquired through the acquisitions of Liberty and Tracepoint (see Note 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9" w:lineRule="exact"/>
        <w:rPr>
          <w:sz w:val="20"/>
          <w:szCs w:val="20"/>
          <w:color w:val="auto"/>
        </w:rPr>
      </w:pPr>
    </w:p>
    <w:p>
      <w:pPr>
        <w:ind w:right="60" w:firstLine="318"/>
        <w:spacing w:after="0" w:line="260" w:lineRule="auto"/>
        <w:rPr>
          <w:sz w:val="20"/>
          <w:szCs w:val="20"/>
          <w:color w:val="auto"/>
        </w:rPr>
      </w:pPr>
      <w:r>
        <w:rPr>
          <w:rFonts w:ascii="Arial" w:cs="Arial" w:eastAsia="Arial" w:hAnsi="Arial"/>
          <w:sz w:val="14"/>
          <w:szCs w:val="14"/>
          <w:color w:val="auto"/>
        </w:rPr>
        <w:t>The fair value of the Company's cash and cash equivalents, which are Level 1 inputs, approximated its carrying values at March 31, 2022 and 2021. The fair value of the Company's debt instruments approximated its carrying value at March 31, 2022 and 2021.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due 2029 and Senior Notes due 2028 are determined using quoted prices or other market information obtained from recent trading activity in the high-yield bond market (Level 2 inputs).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RELATED-PARTY TRANSACTIONS</w:t>
      </w:r>
    </w:p>
    <w:p>
      <w:pPr>
        <w:spacing w:after="0" w:line="98"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Two of our directors served on the board of directors of a subcontractor to which the Company subcontracted $70.0 million, $85.9 million and $79.7 million of services for fiscal 2022, 2021 and 2020, respectively. The subcontractor was acquired by another company in August 2021, at which point the two directors ceased to serve on the board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COMMITMENTS AND CONTINGENCIES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Letters of Credit and Third-Party Guarantees</w:t>
      </w:r>
    </w:p>
    <w:p>
      <w:pPr>
        <w:spacing w:after="0" w:line="94"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As of March 31, 2022 and 2021, the Company was contingently liable under open standby letters of credit and bank guarantees issued by our banks in favor of third parties that totaled $8.4 million and $9.8 million, respectively. These letters of credit and bank guarantees primarily support insurance and bid and performance obligations. At March 31, 2022 and 2021, approximately $1.0 million and $0.9 million of these instruments reduce the available borrowings under the Revolving Credit Facility. The remainder is guaranteed under a separate $20.0 million facility of which $12.6 million and $11.1 million, respectively, was available to the Company at March 31, 2022 and 2021.</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94"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For fiscal 2022, 2021, and 2020, approximately 97%, 97%, and 96%,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March 31, 2022 and 2021, the Company had recorded liabilities of approximately $290.4 million and $263.2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ind w:right="20" w:firstLine="318"/>
        <w:spacing w:after="0" w:line="304" w:lineRule="auto"/>
        <w:rPr>
          <w:sz w:val="20"/>
          <w:szCs w:val="20"/>
          <w:color w:val="auto"/>
        </w:rPr>
      </w:pPr>
      <w:r>
        <w:rPr>
          <w:rFonts w:ascii="Arial" w:cs="Arial" w:eastAsia="Arial" w:hAnsi="Arial"/>
          <w:sz w:val="12"/>
          <w:szCs w:val="12"/>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2022 and 2021, there were no material amounts accrued in the consolidated financial statements related to these proceedings.</w:t>
      </w:r>
    </w:p>
    <w:p>
      <w:pPr>
        <w:spacing w:after="0" w:line="40" w:lineRule="exact"/>
        <w:rPr>
          <w:sz w:val="20"/>
          <w:szCs w:val="20"/>
          <w:color w:val="auto"/>
        </w:rPr>
      </w:pPr>
    </w:p>
    <w:p>
      <w:pPr>
        <w:ind w:right="4080" w:firstLine="318"/>
        <w:spacing w:after="0" w:line="297" w:lineRule="auto"/>
        <w:rPr>
          <w:sz w:val="20"/>
          <w:szCs w:val="20"/>
          <w:color w:val="auto"/>
        </w:rPr>
      </w:pPr>
      <w:r>
        <w:rPr>
          <w:rFonts w:ascii="Arial" w:cs="Arial" w:eastAsia="Arial" w:hAnsi="Arial"/>
          <w:sz w:val="12"/>
          <w:szCs w:val="12"/>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3"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64"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November 23, 2020, May 24, 2021, and November 22, 2021,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2" w:name="page113"/>
    <w:bookmarkEnd w:id="112"/>
    <w:p>
      <w:pPr>
        <w:jc w:val="center"/>
        <w:ind w:left="640" w:right="2540"/>
        <w:spacing w:after="0" w:line="270" w:lineRule="auto"/>
        <w:rPr>
          <w:sz w:val="20"/>
          <w:szCs w:val="20"/>
          <w:color w:val="auto"/>
        </w:rPr>
      </w:pPr>
      <w:r>
        <w:rPr>
          <w:rFonts w:ascii="Arial" w:cs="Arial" w:eastAsia="Arial" w:hAnsi="Arial"/>
          <w:sz w:val="14"/>
          <w:szCs w:val="14"/>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BUSINESS SEGMENT INFORMATION</w:t>
      </w:r>
    </w:p>
    <w:p>
      <w:pPr>
        <w:spacing w:after="0" w:line="8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SUBSEQUENT EVENTS</w:t>
      </w:r>
    </w:p>
    <w:p>
      <w:pPr>
        <w:spacing w:after="0" w:line="55"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On May 20, 2022, the Company announced that its Board of Directors had declared a quarterly cash dividend of $0.43 per share. Payment of the dividend will be made on June 30, 2022 to stockholders of record at the close of business on June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698" w:right="639" w:bottom="1440" w:gutter="0" w:footer="0" w:header="0"/>
        </w:sectPr>
      </w:pPr>
    </w:p>
    <w:bookmarkStart w:id="113" w:name="page114"/>
    <w:bookmarkEnd w:id="113"/>
    <w:p>
      <w:pPr>
        <w:spacing w:after="0"/>
        <w:tabs>
          <w:tab w:leader="none" w:pos="560" w:val="left"/>
        </w:tabs>
        <w:rPr>
          <w:sz w:val="20"/>
          <w:szCs w:val="20"/>
          <w:color w:val="auto"/>
        </w:rPr>
      </w:pPr>
      <w:r>
        <w:rPr>
          <w:rFonts w:ascii="Arial" w:cs="Arial" w:eastAsia="Arial" w:hAnsi="Arial"/>
          <w:sz w:val="14"/>
          <w:szCs w:val="14"/>
          <w:b w:val="1"/>
          <w:bCs w:val="1"/>
          <w:color w:val="auto"/>
        </w:rPr>
        <w:t>Item 9</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8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2022.</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 and Attestation Report of the Registered Public Accounting Firm</w:t>
      </w:r>
    </w:p>
    <w:p>
      <w:pPr>
        <w:spacing w:after="0" w:line="76"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90"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 xml:space="preserve">Our management conducted an assessment of the effectiveness of our internal control over financial reporting as of March 31, 2022. This assessment was based on the criteria set forth by the Committee of Sponsoring Organizations of the Treadway Commission in </w:t>
      </w:r>
      <w:r>
        <w:rPr>
          <w:rFonts w:ascii="Arial" w:cs="Arial" w:eastAsia="Arial" w:hAnsi="Arial"/>
          <w:sz w:val="14"/>
          <w:szCs w:val="14"/>
          <w:i w:val="1"/>
          <w:iCs w:val="1"/>
          <w:color w:val="auto"/>
        </w:rPr>
        <w:t>Internal Control — Integrated Framework (2013 framework)</w:t>
      </w:r>
      <w:r>
        <w:rPr>
          <w:rFonts w:ascii="Arial" w:cs="Arial" w:eastAsia="Arial" w:hAnsi="Arial"/>
          <w:sz w:val="14"/>
          <w:szCs w:val="14"/>
          <w:color w:val="auto"/>
        </w:rPr>
        <w:t>. Based on this assessment, management has concluded that, as of March 31, 2022, our internal control over financial reporting was effective.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independent registered public accounting firm has issued a report on the effectiveness of our internal control over financial reporting, which is below.</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87"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83"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We have audited Booz Allen Hamilton Holding Corporation’s internal control over financial reporting as of March 31, 2022,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2022, based on the COSO criteria.</w:t>
      </w:r>
    </w:p>
    <w:p>
      <w:pPr>
        <w:spacing w:after="0" w:line="160"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March 31, 2022 and 2021, the related consolidated statements of operations, comprehensive income, stockholders’ equity, and cash flows for each of the three years in the period ended March 31, 2022, and the related notes and our report dated May 20, 2022 expressed an unqualified opinion thereon.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3"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4" w:lineRule="exact"/>
        <w:rPr>
          <w:sz w:val="20"/>
          <w:szCs w:val="20"/>
          <w:color w:val="auto"/>
        </w:rPr>
      </w:pPr>
    </w:p>
    <w:p>
      <w:pPr>
        <w:ind w:right="220"/>
        <w:spacing w:after="0" w:line="237"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83"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 w:lineRule="exact"/>
        <w:rPr>
          <w:sz w:val="20"/>
          <w:szCs w:val="20"/>
          <w:color w:val="auto"/>
        </w:rPr>
      </w:pPr>
    </w:p>
    <w:p>
      <w:pPr>
        <w:ind w:right="100"/>
        <w:spacing w:after="0" w:line="268"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May 20, 2022</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115" w:name="page116"/>
    <w:bookmarkEnd w:id="115"/>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Other Information.</w:t>
      </w:r>
    </w:p>
    <w:p>
      <w:pPr>
        <w:spacing w:after="0" w:line="278"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On May 18, 2022, Kristine Martin Anderson, Executive Vice President and President of the Civil Sector of the Company, was promoted to Chief Operating Officer (Principal Operating Officer) of the Company, effective June 1, 2022. As Executive Vice President and Chief Operating Officer, Ms. Anderson will play a significant role in our market-focused strategy, taking primary responsibility for accelerating firmwide operational performance and the transformation of our business model, in collaboration with leaders across the firm.</w:t>
      </w:r>
    </w:p>
    <w:p>
      <w:pPr>
        <w:spacing w:after="0" w:line="36" w:lineRule="exact"/>
        <w:rPr>
          <w:sz w:val="20"/>
          <w:szCs w:val="20"/>
          <w:color w:val="auto"/>
        </w:rPr>
      </w:pPr>
    </w:p>
    <w:p>
      <w:pPr>
        <w:jc w:val="both"/>
        <w:ind w:right="200" w:firstLine="350"/>
        <w:spacing w:after="0" w:line="267" w:lineRule="auto"/>
        <w:rPr>
          <w:sz w:val="20"/>
          <w:szCs w:val="20"/>
          <w:color w:val="auto"/>
        </w:rPr>
      </w:pPr>
      <w:r>
        <w:rPr>
          <w:rFonts w:ascii="Arial" w:cs="Arial" w:eastAsia="Arial" w:hAnsi="Arial"/>
          <w:sz w:val="14"/>
          <w:szCs w:val="14"/>
          <w:color w:val="auto"/>
        </w:rPr>
        <w:t>Ms. Anderson, age 53, has led the Company’s Civil Sector since April 2018, after leading the Company’s civil health business since April 2015. Prior to joining Booz Allen in 2006, she was Vice President for Operations and Strategy at CareScience, a software solutions company. Ms. Anderson currently serves as treasurer of the Executives for Health Innovation (formerly the eHealth Initiative) board of directors. In addition, she serves as co-chair of the Cost and Resource Use Standing Committee of the National Quality Forum.</w:t>
      </w:r>
    </w:p>
    <w:p>
      <w:pPr>
        <w:spacing w:after="0" w:line="46" w:lineRule="exact"/>
        <w:rPr>
          <w:sz w:val="20"/>
          <w:szCs w:val="20"/>
          <w:color w:val="auto"/>
        </w:rPr>
      </w:pPr>
    </w:p>
    <w:p>
      <w:pPr>
        <w:ind w:right="100" w:firstLine="350"/>
        <w:spacing w:after="0" w:line="284" w:lineRule="auto"/>
        <w:rPr>
          <w:sz w:val="20"/>
          <w:szCs w:val="20"/>
          <w:color w:val="auto"/>
        </w:rPr>
      </w:pPr>
      <w:r>
        <w:rPr>
          <w:rFonts w:ascii="Arial" w:cs="Arial" w:eastAsia="Arial" w:hAnsi="Arial"/>
          <w:sz w:val="13"/>
          <w:szCs w:val="13"/>
          <w:color w:val="auto"/>
        </w:rPr>
        <w:t>In connection with Ms. Anderson’s promotion to Executive Vice President and Chief Operating Officer of the Company, Ms. Anderson’s target total direct compensation will be increased as follows: (a) annual base salary will be increased to $900,000, (b) target annual cash incentive will be increased to $625,000, and (c) target long-term equity incentive will be increased to $1,475,000, in each case, effective June 1, 2022. In addition, Ms. Anderson was granted a special one-time award of time-based restricted stock units with a value equal to $2,250,000, effective May 19, 2022, which will vest in three equal installments on each of June 1, 2023, June 1, 2024, and June 1, 2025, subject to Ms. Anderson’s continued employment through each applicable vesting date, and the terms and conditions of the Company’s Third Amended and Restated Equity Incentive Plan and the applicable award agreement.</w:t>
      </w:r>
    </w:p>
    <w:p>
      <w:pPr>
        <w:spacing w:after="0" w:line="39"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Ms. Anderson has no family relationships with any of our directors or executive officers. There are no relationships between the Company or its subsidiaries, on the one hand, and Ms. Anderson, on the other hand, that would require disclosure pursuant to Item 404(a) of Regulation S-K, and there are no arrangements or understanding between Ms. Anderson and any other person pursuant to which she was appointed as Chief Operating Officer (Principal Operating Officer) of the Company.</w:t>
      </w:r>
    </w:p>
    <w:p>
      <w:pPr>
        <w:spacing w:after="0" w:line="36" w:lineRule="exact"/>
        <w:rPr>
          <w:sz w:val="20"/>
          <w:szCs w:val="20"/>
          <w:color w:val="auto"/>
        </w:rPr>
      </w:pPr>
    </w:p>
    <w:p>
      <w:pPr>
        <w:ind w:right="180" w:firstLine="350"/>
        <w:spacing w:after="0" w:line="281" w:lineRule="auto"/>
        <w:rPr>
          <w:sz w:val="20"/>
          <w:szCs w:val="20"/>
          <w:color w:val="auto"/>
        </w:rPr>
      </w:pPr>
      <w:r>
        <w:rPr>
          <w:rFonts w:ascii="Arial" w:cs="Arial" w:eastAsia="Arial" w:hAnsi="Arial"/>
          <w:sz w:val="14"/>
          <w:szCs w:val="14"/>
          <w:color w:val="auto"/>
        </w:rPr>
        <w:t>In connection with the foregoing, on May 18, 2022, Richard Crowe, Executive Vice President of the Company, was promoted to Executive Vice President and President of the Civil Sector of the Company, effective June 1, 2022.</w:t>
      </w:r>
    </w:p>
    <w:p>
      <w:pPr>
        <w:spacing w:after="0" w:line="37"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Also, on May 18, 2022, Ian Fujiyama, a member of the Board of Directors of the Company, informed the Board of his intention to not stand for re-election as a director at the Company’s 2022 Annual Meeting of Stockholders.</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9C</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Disclosure Regarding Foreign Jurisdictions that Prevent Inspections.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line="2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76"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Information related to our directors is set forth under the caption “Election of Directors” of our Proxy Statement for our Annual Meeting of Stockholders scheduled for July 27, 2022 (the "2022 Proxy Statement"). Such information is incorporated herein by reference.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Information relating to our Executive Officers is included in Part I of this Annual Report under the caption “Information about our Executive Officers.”</w:t>
      </w:r>
    </w:p>
    <w:p>
      <w:pPr>
        <w:spacing w:after="0" w:line="136" w:lineRule="exact"/>
        <w:rPr>
          <w:sz w:val="20"/>
          <w:szCs w:val="20"/>
          <w:color w:val="auto"/>
        </w:rPr>
      </w:pPr>
    </w:p>
    <w:p>
      <w:pPr>
        <w:ind w:right="560" w:firstLine="350"/>
        <w:spacing w:after="0" w:line="281" w:lineRule="auto"/>
        <w:rPr>
          <w:sz w:val="20"/>
          <w:szCs w:val="20"/>
          <w:color w:val="auto"/>
        </w:rPr>
      </w:pPr>
      <w:r>
        <w:rPr>
          <w:rFonts w:ascii="Arial" w:cs="Arial" w:eastAsia="Arial" w:hAnsi="Arial"/>
          <w:sz w:val="14"/>
          <w:szCs w:val="14"/>
          <w:color w:val="auto"/>
        </w:rPr>
        <w:t>Information relating to compliance with Section 16(a) of the Exchange Act, to the extent required, is set forth in our 2022 Proxy Statement. Such information is incorporated herein by reference.</w:t>
      </w:r>
    </w:p>
    <w:p>
      <w:pPr>
        <w:spacing w:after="0" w:line="90"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Information related to our code of ethics is set forth under the caption “Corporate Governance and General Information Concerning the Board of Directors and its Committees” of our 2022 Proxy Statement. Such information is incorporated herein by reference.</w:t>
      </w:r>
    </w:p>
    <w:p>
      <w:pPr>
        <w:spacing w:after="0" w:line="90"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2022 Proxy Statement.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6" w:name="page117"/>
    <w:bookmarkEnd w:id="116"/>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Executive Compensation.</w:t>
      </w:r>
    </w:p>
    <w:p>
      <w:pPr>
        <w:spacing w:after="0" w:line="87" w:lineRule="exact"/>
        <w:rPr>
          <w:sz w:val="20"/>
          <w:szCs w:val="20"/>
          <w:color w:val="auto"/>
        </w:rPr>
      </w:pPr>
    </w:p>
    <w:p>
      <w:pPr>
        <w:ind w:right="56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captions “Compensation Discussion and Analysis,” “Director Compensation,” “Compensation Committee Interlocks and Insider Participation” and “Compensation Committee Report” of our 2022 Proxy Statement. Such information is incorporated herein by reference.</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information concerning the securities authorized for issuance pursuant to our equity compensation plans as of March 31,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8"/>
              </w:rPr>
              <w:t>Weighted</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Available for</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 to Be</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Future Issuance</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Issued Upon</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Average</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Under Equity</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8"/>
              </w:rPr>
              <w:t>Exercise of</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8"/>
              </w:rPr>
              <w:t>Exercise</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Compensation</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Outstanding</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Price of</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Plans (Excluding</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9"/>
              </w:rPr>
              <w:t>Options,</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Outstanding</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Warrants and</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Options,</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9"/>
              </w:rPr>
              <w:t>Reflected in</w:t>
            </w:r>
          </w:p>
        </w:tc>
        <w:tc>
          <w:tcPr>
            <w:tcW w:w="0" w:type="dxa"/>
            <w:vAlign w:val="bottom"/>
          </w:tcPr>
          <w:p>
            <w:pPr>
              <w:spacing w:after="0"/>
              <w:rPr>
                <w:sz w:val="1"/>
                <w:szCs w:val="1"/>
                <w:color w:val="auto"/>
              </w:rPr>
            </w:pPr>
          </w:p>
        </w:tc>
      </w:tr>
      <w:tr>
        <w:trPr>
          <w:trHeight w:val="106"/>
        </w:trPr>
        <w:tc>
          <w:tcPr>
            <w:tcW w:w="49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Rights</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6"/>
              </w:rPr>
              <w:t>Warrants and</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8"/>
              </w:rPr>
              <w:t>Column (a))</w:t>
            </w:r>
          </w:p>
        </w:tc>
        <w:tc>
          <w:tcPr>
            <w:tcW w:w="0" w:type="dxa"/>
            <w:vAlign w:val="bottom"/>
          </w:tcPr>
          <w:p>
            <w:pPr>
              <w:spacing w:after="0"/>
              <w:rPr>
                <w:sz w:val="1"/>
                <w:szCs w:val="1"/>
                <w:color w:val="auto"/>
              </w:rPr>
            </w:pPr>
          </w:p>
        </w:tc>
      </w:tr>
      <w:tr>
        <w:trPr>
          <w:trHeight w:val="148"/>
        </w:trPr>
        <w:tc>
          <w:tcPr>
            <w:tcW w:w="4940" w:type="dxa"/>
            <w:vAlign w:val="bottom"/>
            <w:vMerge w:val="continue"/>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Rights (b)</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172"/>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securityholders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2,316,456</w:t>
            </w:r>
          </w:p>
        </w:tc>
        <w:tc>
          <w:tcPr>
            <w:tcW w:w="1700" w:type="dxa"/>
            <w:vAlign w:val="bottom"/>
            <w:tcBorders>
              <w:top w:val="single" w:sz="8" w:color="CCEEFF"/>
            </w:tcBorders>
            <w:shd w:val="clear" w:color="auto" w:fill="CCEEFF"/>
          </w:tcPr>
          <w:p>
            <w:pPr>
              <w:jc w:val="right"/>
              <w:ind w:right="1349"/>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rPr>
              <w:t>8,586,837</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securityholders</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000"/>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2,316,456</w:t>
            </w:r>
          </w:p>
        </w:tc>
        <w:tc>
          <w:tcPr>
            <w:tcW w:w="1700" w:type="dxa"/>
            <w:vAlign w:val="bottom"/>
            <w:tcBorders>
              <w:top w:val="single" w:sz="8" w:color="CCEEFF"/>
              <w:bottom w:val="single" w:sz="8" w:color="CCEEFF"/>
            </w:tcBorders>
            <w:shd w:val="clear" w:color="auto" w:fill="CCEEFF"/>
          </w:tcPr>
          <w:p>
            <w:pPr>
              <w:jc w:val="right"/>
              <w:ind w:right="1349"/>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rPr>
              <w:t>8,586,837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60" w:right="220" w:hanging="264"/>
        <w:spacing w:after="0" w:line="281" w:lineRule="auto"/>
        <w:tabs>
          <w:tab w:leader="none" w:pos="455"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Column (a) includes: 1,049,212 shares that have been granted as restricted stock units (RSUs) and 1,267,244 shares granted as options under our equity compensation plans. The weighted average price in column (b) does not take into account shares issued pursuant to RSUs.</w:t>
      </w:r>
    </w:p>
    <w:p>
      <w:pPr>
        <w:spacing w:after="0" w:line="228" w:lineRule="exact"/>
        <w:rPr>
          <w:sz w:val="20"/>
          <w:szCs w:val="20"/>
          <w:color w:val="auto"/>
        </w:rPr>
      </w:pPr>
    </w:p>
    <w:p>
      <w:pPr>
        <w:ind w:right="520" w:firstLine="350"/>
        <w:spacing w:after="0" w:line="281" w:lineRule="auto"/>
        <w:rPr>
          <w:sz w:val="20"/>
          <w:szCs w:val="20"/>
          <w:color w:val="auto"/>
        </w:rPr>
      </w:pPr>
      <w:r>
        <w:rPr>
          <w:rFonts w:ascii="Arial" w:cs="Arial" w:eastAsia="Arial" w:hAnsi="Arial"/>
          <w:sz w:val="14"/>
          <w:szCs w:val="14"/>
          <w:color w:val="auto"/>
        </w:rPr>
        <w:t>Information relating to the security ownership of certain beneficial owners and management is included in our 2022 Proxy Statement under the caption “Security Ownership of Certain Beneficial Owners and Management” and is incorporated herein by reference.</w:t>
      </w:r>
    </w:p>
    <w:p>
      <w:pPr>
        <w:spacing w:after="0" w:line="34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87"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captions “Certain Relationships and Related Party Transactions” and “Corporate Governance and General Information Concerning the Board of Directors and its Committees” of our 2022 Proxy Statement. Such information is incorporated herein by reference.</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76"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 “Independent Registered Public Accounting Firm Fees” of our 2022 Proxy Statement. Such information is incorporated herein by reference.</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Exhibits, Financial Statement Schedules.</w:t>
      </w:r>
    </w:p>
    <w:p>
      <w:pPr>
        <w:spacing w:after="0" w:line="87" w:lineRule="exact"/>
        <w:rPr>
          <w:sz w:val="20"/>
          <w:szCs w:val="20"/>
          <w:color w:val="auto"/>
        </w:rPr>
      </w:pPr>
    </w:p>
    <w:p>
      <w:pPr>
        <w:ind w:left="340" w:hanging="194"/>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Annual Report:</w:t>
      </w:r>
    </w:p>
    <w:p>
      <w:pPr>
        <w:spacing w:after="0" w:line="93" w:lineRule="exact"/>
        <w:rPr>
          <w:rFonts w:ascii="Arial" w:cs="Arial" w:eastAsia="Arial" w:hAnsi="Arial"/>
          <w:sz w:val="14"/>
          <w:szCs w:val="14"/>
          <w:color w:val="auto"/>
        </w:rPr>
      </w:pPr>
    </w:p>
    <w:p>
      <w:pPr>
        <w:ind w:left="1080" w:hanging="311"/>
        <w:spacing w:after="0"/>
        <w:tabs>
          <w:tab w:leader="none" w:pos="10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Financial Statements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consolidated financial statements filed herewith are set forth in Item 8 of this Annual Report.</w:t>
      </w:r>
    </w:p>
    <w:p>
      <w:pPr>
        <w:spacing w:after="0" w:line="94"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2"/>
          <w:szCs w:val="12"/>
          <w:color w:val="auto"/>
        </w:rPr>
        <w:t>Financial Statement Schedules</w:t>
      </w:r>
    </w:p>
    <w:p>
      <w:pPr>
        <w:spacing w:after="0" w:line="94" w:lineRule="exact"/>
        <w:rPr>
          <w:sz w:val="20"/>
          <w:szCs w:val="20"/>
          <w:color w:val="auto"/>
        </w:rPr>
      </w:pPr>
    </w:p>
    <w:p>
      <w:pPr>
        <w:ind w:left="1160" w:right="20" w:hanging="240"/>
        <w:spacing w:after="0" w:line="281" w:lineRule="auto"/>
        <w:rPr>
          <w:sz w:val="20"/>
          <w:szCs w:val="20"/>
          <w:color w:val="auto"/>
        </w:rPr>
      </w:pPr>
      <w:r>
        <w:rPr>
          <w:rFonts w:ascii="Arial" w:cs="Arial" w:eastAsia="Arial" w:hAnsi="Arial"/>
          <w:sz w:val="14"/>
          <w:szCs w:val="14"/>
          <w:color w:val="auto"/>
        </w:rPr>
        <w:t>Consolidated financial statement schedules have been omitted because either they are not applicable or the required information is included in the consolidated financial statements or the notes thereto.</w:t>
      </w:r>
    </w:p>
    <w:p>
      <w:pPr>
        <w:spacing w:after="0" w:line="47"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3"/>
          <w:szCs w:val="13"/>
          <w:color w:val="auto"/>
        </w:rPr>
        <w:t>Exhibits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0" w:type="dxa"/>
            <w:vAlign w:val="bottom"/>
            <w:gridSpan w:val="27"/>
          </w:tcPr>
          <w:p>
            <w:pPr>
              <w:ind w:left="7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1"/>
                <w:szCs w:val="11"/>
                <w:color w:val="auto"/>
              </w:rPr>
              <w:t>Exhibit</w:t>
            </w:r>
          </w:p>
        </w:tc>
        <w:tc>
          <w:tcPr>
            <w:tcW w:w="10440" w:type="dxa"/>
            <w:vAlign w:val="bottom"/>
            <w:gridSpan w:val="31"/>
            <w:vMerge w:val="restart"/>
          </w:tcPr>
          <w:p>
            <w:pPr>
              <w:spacing w:after="0"/>
              <w:rPr>
                <w:sz w:val="20"/>
                <w:szCs w:val="20"/>
                <w:color w:val="auto"/>
              </w:rPr>
            </w:pPr>
            <w:r>
              <w:rPr>
                <w:rFonts w:ascii="Arial" w:cs="Arial" w:eastAsia="Arial" w:hAnsi="Arial"/>
                <w:sz w:val="11"/>
                <w:szCs w:val="11"/>
                <w:color w:val="auto"/>
              </w:rPr>
              <w:t>Description</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360" w:type="dxa"/>
            <w:vAlign w:val="bottom"/>
            <w:tcBorders>
              <w:top w:val="single" w:sz="8" w:color="auto"/>
            </w:tcBorders>
          </w:tcPr>
          <w:p>
            <w:pPr>
              <w:spacing w:after="0" w:line="86" w:lineRule="exact"/>
              <w:rPr>
                <w:sz w:val="20"/>
                <w:szCs w:val="20"/>
                <w:color w:val="auto"/>
              </w:rPr>
            </w:pPr>
            <w:r>
              <w:rPr>
                <w:rFonts w:ascii="Arial" w:cs="Arial" w:eastAsia="Arial" w:hAnsi="Arial"/>
                <w:sz w:val="9"/>
                <w:szCs w:val="9"/>
                <w:color w:val="auto"/>
                <w:w w:val="99"/>
              </w:rPr>
              <w:t>Number</w:t>
            </w:r>
          </w:p>
        </w:tc>
        <w:tc>
          <w:tcPr>
            <w:tcW w:w="300" w:type="dxa"/>
            <w:vAlign w:val="bottom"/>
          </w:tcPr>
          <w:p>
            <w:pPr>
              <w:spacing w:after="0"/>
              <w:rPr>
                <w:sz w:val="7"/>
                <w:szCs w:val="7"/>
                <w:color w:val="auto"/>
              </w:rPr>
            </w:pPr>
          </w:p>
        </w:tc>
        <w:tc>
          <w:tcPr>
            <w:tcW w:w="10440" w:type="dxa"/>
            <w:vAlign w:val="bottom"/>
            <w:gridSpan w:val="3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2.1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4"/>
              </w:rPr>
            </w:pPr>
            <w:hyperlink r:id="rId137">
              <w:r>
                <w:rPr>
                  <w:rFonts w:ascii="Arial" w:cs="Arial" w:eastAsia="Arial" w:hAnsi="Arial"/>
                  <w:sz w:val="14"/>
                  <w:szCs w:val="14"/>
                  <w:color w:val="0000FF"/>
                  <w:w w:val="94"/>
                </w:rPr>
                <w:t>Agreement and Plan of Merger, dated as of May 15, 2008, by and among Booz Allen Hamilton Inc., Booz Allen Hamilton Holding Corporation (formerly known as Explorer Holding</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6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Corporation), Booz Allen Hamilton Investor Corporation (formerly known as Explorer Investor Corporation), Explorer Merger Sub Corporation and Booz &amp; Company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(Incorporated by reference to Exhibit 2.1 to the Company’s Registration Statement on Form S-1 (File No. 333-167645))</w:t>
              </w:r>
            </w:hyperlink>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2.2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4"/>
              </w:rPr>
            </w:pPr>
            <w:hyperlink r:id="rId138">
              <w:r>
                <w:rPr>
                  <w:rFonts w:ascii="Arial" w:cs="Arial" w:eastAsia="Arial" w:hAnsi="Arial"/>
                  <w:sz w:val="14"/>
                  <w:szCs w:val="14"/>
                  <w:color w:val="0000FF"/>
                  <w:w w:val="94"/>
                </w:rPr>
                <w:t>Spin Off Agreement, dated as of May 15, 2008, by and among Booz Allen Hamilton Inc., Booz &amp; Company Holdings, LLC, Booz &amp; Company Inc., Booz &amp; Company Intermediate I</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8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38">
              <w:r>
                <w:rPr>
                  <w:rFonts w:ascii="Arial" w:cs="Arial" w:eastAsia="Arial" w:hAnsi="Arial"/>
                  <w:sz w:val="13"/>
                  <w:szCs w:val="13"/>
                  <w:color w:val="0000FF"/>
                  <w:w w:val="99"/>
                </w:rPr>
                <w:t>Inc. and Booz &amp; Company Intermediate II Inc. (Incorporated by reference to Exhibit 2.2 to the Company’s Registration Statement on Form S-1 (File No. 333-167645))</w:t>
              </w:r>
            </w:hyperlink>
          </w:p>
        </w:tc>
        <w:tc>
          <w:tcPr>
            <w:tcW w:w="86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2.3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5"/>
              </w:rPr>
            </w:pPr>
            <w:hyperlink r:id="rId139">
              <w:r>
                <w:rPr>
                  <w:rFonts w:ascii="Arial" w:cs="Arial" w:eastAsia="Arial" w:hAnsi="Arial"/>
                  <w:sz w:val="14"/>
                  <w:szCs w:val="14"/>
                  <w:color w:val="0000FF"/>
                  <w:w w:val="95"/>
                </w:rPr>
                <w:t>Amendment to the Agreement and Plan of Merger and the Spin Off Agreement, dated as of July 30, 2008, by and among Booz Allen Hamilton Inc., Booz Allen Hamilton Holding</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1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Corporation (formerly known as Explorer Holding Corporation), Booz Allen Hamilton Investor Corporation (formerly known as Explorer Investor Corporation), Explorer Merger</w:t>
              </w:r>
            </w:hyperlink>
          </w:p>
        </w:tc>
        <w:tc>
          <w:tcPr>
            <w:tcW w:w="320" w:type="dxa"/>
            <w:vAlign w:val="bottom"/>
            <w:gridSpan w:val="11"/>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Sub</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2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Corporation, Booz &amp; Company Holdings, LLC, Booz &amp; Company Inc., Booz &amp; Company Intermediate I Inc. and Booz &amp; Company Intermediate II Inc. (Incorporated by reference to</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1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39">
              <w:r>
                <w:rPr>
                  <w:rFonts w:ascii="Arial" w:cs="Arial" w:eastAsia="Arial" w:hAnsi="Arial"/>
                  <w:sz w:val="13"/>
                  <w:szCs w:val="13"/>
                  <w:color w:val="0000FF"/>
                  <w:w w:val="99"/>
                </w:rPr>
                <w:t>Exhibit 2.3 to the Company’s Registration Statement on Form S-1 (File No. 333-167645))</w:t>
              </w:r>
            </w:hyperlink>
          </w:p>
        </w:tc>
        <w:tc>
          <w:tcPr>
            <w:tcW w:w="528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2.4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4"/>
              </w:rPr>
            </w:pPr>
            <w:hyperlink r:id="rId140">
              <w:r>
                <w:rPr>
                  <w:rFonts w:ascii="Arial" w:cs="Arial" w:eastAsia="Arial" w:hAnsi="Arial"/>
                  <w:sz w:val="14"/>
                  <w:szCs w:val="14"/>
                  <w:color w:val="0000FF"/>
                  <w:w w:val="94"/>
                </w:rPr>
                <w:t>Membership Interest Purchase Agreement, dated May 3, 2021, among (i) Booz Allen Hamilton Inc., (ii) Liberty IT Solutions, LLC, (iii) William Greene, Christopher Bickell, and Jeff</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40">
              <w:r>
                <w:rPr>
                  <w:rFonts w:ascii="Arial" w:cs="Arial" w:eastAsia="Arial" w:hAnsi="Arial"/>
                  <w:sz w:val="13"/>
                  <w:szCs w:val="13"/>
                  <w:color w:val="0000FF"/>
                </w:rPr>
                <w:t>Denniston, and (iv) Southpaw Representative, LLC, in its capacity as Members' Representative (Incorporated by reference to Exhibit 2.1 to the Company's Form 8-K filed on May 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8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40">
              <w:r>
                <w:rPr>
                  <w:rFonts w:ascii="Arial" w:cs="Arial" w:eastAsia="Arial" w:hAnsi="Arial"/>
                  <w:sz w:val="13"/>
                  <w:szCs w:val="13"/>
                  <w:color w:val="0000FF"/>
                </w:rPr>
                <w:t>2021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3.1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40" w:type="dxa"/>
            <w:vAlign w:val="bottom"/>
            <w:gridSpan w:val="31"/>
          </w:tcPr>
          <w:p>
            <w:pPr>
              <w:spacing w:after="0"/>
              <w:rPr>
                <w:rFonts w:ascii="Arial" w:cs="Arial" w:eastAsia="Arial" w:hAnsi="Arial"/>
                <w:sz w:val="14"/>
                <w:szCs w:val="14"/>
                <w:color w:val="0000FF"/>
                <w:w w:val="94"/>
              </w:rPr>
            </w:pPr>
            <w:hyperlink r:id="rId141">
              <w:r>
                <w:rPr>
                  <w:rFonts w:ascii="Arial" w:cs="Arial" w:eastAsia="Arial" w:hAnsi="Arial"/>
                  <w:sz w:val="14"/>
                  <w:szCs w:val="14"/>
                  <w:color w:val="0000FF"/>
                  <w:w w:val="94"/>
                </w:rPr>
                <w:t>Fifth Amended and Restated Certificate of Incorporation of Booz Allen Hamilton Holding Corporation (Incorporated by reference to Exhibit 3.1 to the Company’s Current Report on</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2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41">
              <w:r>
                <w:rPr>
                  <w:rFonts w:ascii="Arial" w:cs="Arial" w:eastAsia="Arial" w:hAnsi="Arial"/>
                  <w:sz w:val="13"/>
                  <w:szCs w:val="13"/>
                  <w:color w:val="0000FF"/>
                </w:rPr>
                <w:t>Form 8-K filed on August 5, 2020 (File No. 001-34972))</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3.2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4"/>
              </w:rPr>
            </w:pPr>
            <w:hyperlink r:id="rId142">
              <w:r>
                <w:rPr>
                  <w:rFonts w:ascii="Arial" w:cs="Arial" w:eastAsia="Arial" w:hAnsi="Arial"/>
                  <w:sz w:val="14"/>
                  <w:szCs w:val="14"/>
                  <w:color w:val="0000FF"/>
                  <w:w w:val="94"/>
                </w:rPr>
                <w:t>Fifth Amended and Restated Bylaws of Booz Allen Hamilton Holding Corporation (Incorporated by reference to Exhibit 3.2 to the Company’s Quarterly Report for the period ended</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0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42">
              <w:r>
                <w:rPr>
                  <w:rFonts w:ascii="Arial" w:cs="Arial" w:eastAsia="Arial" w:hAnsi="Arial"/>
                  <w:sz w:val="13"/>
                  <w:szCs w:val="13"/>
                  <w:color w:val="0000FF"/>
                </w:rPr>
                <w:t>December 31, 2020 on Form 10-Q (File No. 001-34972))</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4.1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rPr>
            </w:pPr>
            <w:hyperlink r:id="rId143">
              <w:r>
                <w:rPr>
                  <w:rFonts w:ascii="Arial" w:cs="Arial" w:eastAsia="Arial" w:hAnsi="Arial"/>
                  <w:sz w:val="14"/>
                  <w:szCs w:val="14"/>
                  <w:color w:val="0000FF"/>
                </w:rPr>
                <w:t>Form of Stock Certificate (Incorporated by reference to Exhibit 4.5 to the Company’s Registration Statement on Form S-1 (File No. 333-167645))</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4.2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4"/>
              </w:rPr>
            </w:pPr>
            <w:hyperlink r:id="rId144">
              <w:r>
                <w:rPr>
                  <w:rFonts w:ascii="Arial" w:cs="Arial" w:eastAsia="Arial" w:hAnsi="Arial"/>
                  <w:sz w:val="14"/>
                  <w:szCs w:val="14"/>
                  <w:color w:val="0000FF"/>
                  <w:w w:val="94"/>
                </w:rPr>
                <w:t>Indenture, dated August 24, 2020, among Booz Allen Hamilton Inc., the Subsidiary Guarantors party thereto and Wilmington Trust, National Association (Incorporated by reference</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6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44">
              <w:r>
                <w:rPr>
                  <w:rFonts w:ascii="Arial" w:cs="Arial" w:eastAsia="Arial" w:hAnsi="Arial"/>
                  <w:sz w:val="13"/>
                  <w:szCs w:val="13"/>
                  <w:color w:val="0000FF"/>
                </w:rPr>
                <w:t>to Exhibit 4.1 to the Company’s Current Report on Form 8-K filed on August 24, 2020 (File No. 001-34972))</w:t>
              </w:r>
            </w:hyperlink>
          </w:p>
        </w:tc>
        <w:tc>
          <w:tcPr>
            <w:tcW w:w="1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4.3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8"/>
              </w:rPr>
            </w:pPr>
            <w:hyperlink r:id="rId145">
              <w:r>
                <w:rPr>
                  <w:rFonts w:ascii="Arial" w:cs="Arial" w:eastAsia="Arial" w:hAnsi="Arial"/>
                  <w:sz w:val="14"/>
                  <w:szCs w:val="14"/>
                  <w:color w:val="0000FF"/>
                  <w:w w:val="98"/>
                </w:rPr>
                <w:t>First Supplemental Indenture, dated August 24, 2020, among Booz Allen Hamilton Inc., the Subsidiary Guarantors party thereto and Wilmington Trust, National Association</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(Incorporated by reference to Exhibit 4.2 to the Company’s Current Report on Form 8-K filed on August 24, 2020 (File No. 001-34972))</w:t>
              </w:r>
            </w:hyperlink>
          </w:p>
        </w:tc>
        <w:tc>
          <w:tcPr>
            <w:tcW w:w="18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4.4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40" w:type="dxa"/>
            <w:vAlign w:val="bottom"/>
            <w:gridSpan w:val="31"/>
          </w:tcPr>
          <w:p>
            <w:pPr>
              <w:spacing w:after="0"/>
              <w:rPr>
                <w:rFonts w:ascii="Arial" w:cs="Arial" w:eastAsia="Arial" w:hAnsi="Arial"/>
                <w:sz w:val="14"/>
                <w:szCs w:val="14"/>
                <w:color w:val="0000FF"/>
                <w:w w:val="96"/>
              </w:rPr>
            </w:pPr>
            <w:hyperlink r:id="rId146">
              <w:r>
                <w:rPr>
                  <w:rFonts w:ascii="Arial" w:cs="Arial" w:eastAsia="Arial" w:hAnsi="Arial"/>
                  <w:sz w:val="14"/>
                  <w:szCs w:val="14"/>
                  <w:color w:val="0000FF"/>
                  <w:w w:val="96"/>
                </w:rPr>
                <w:t>Second Supplemental Indenture, dated as of November 5, 2021, among Booz Allen Hamilton Inc., the New Subsidiary Guarantors party thereto and Wilmington Trust, National</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52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Association (Incorporated by reference to Exhibit 4.1 to the Company’s Quarterly Report for the period ended December 31, 2021 on Form 10-Q (File No. 001-34972))</w:t>
              </w:r>
            </w:hyperlink>
          </w:p>
        </w:tc>
        <w:tc>
          <w:tcPr>
            <w:tcW w:w="460" w:type="dxa"/>
            <w:vAlign w:val="bottom"/>
            <w:tcBorders>
              <w:top w:val="single" w:sz="8" w:color="0000FF"/>
            </w:tcBorders>
            <w:gridSpan w:val="4"/>
          </w:tcPr>
          <w:p>
            <w:pPr>
              <w:spacing w:after="0"/>
              <w:rPr>
                <w:sz w:val="10"/>
                <w:szCs w:val="10"/>
                <w:color w:val="auto"/>
              </w:rPr>
            </w:pPr>
          </w:p>
        </w:tc>
        <w:tc>
          <w:tcPr>
            <w:tcW w:w="26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40" w:type="dxa"/>
            <w:vAlign w:val="bottom"/>
            <w:gridSpan w:val="31"/>
          </w:tcPr>
          <w:p>
            <w:pPr>
              <w:spacing w:after="0"/>
              <w:rPr>
                <w:rFonts w:ascii="Arial" w:cs="Arial" w:eastAsia="Arial" w:hAnsi="Arial"/>
                <w:sz w:val="14"/>
                <w:szCs w:val="14"/>
                <w:color w:val="0000FF"/>
                <w:w w:val="93"/>
              </w:rPr>
            </w:pPr>
            <w:hyperlink r:id="rId147">
              <w:r>
                <w:rPr>
                  <w:rFonts w:ascii="Arial" w:cs="Arial" w:eastAsia="Arial" w:hAnsi="Arial"/>
                  <w:sz w:val="14"/>
                  <w:szCs w:val="14"/>
                  <w:color w:val="0000FF"/>
                  <w:w w:val="93"/>
                </w:rPr>
                <w:t>Indenture, dated June 17, 2021, among Booz Allen Hamilton Inc., the Subsidiary Guarantors party thereto and Wilmington Trust, National Association (Incorporated by reference to</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4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Exhibit 4.1 to the Company’s Current Report on Form 8-K filed on June 17, 2021 (File No. 001-34972))</w:t>
              </w:r>
            </w:hyperlink>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jc w:val="right"/>
              <w:spacing w:after="0"/>
              <w:rPr>
                <w:sz w:val="20"/>
                <w:szCs w:val="20"/>
                <w:color w:val="auto"/>
              </w:rPr>
            </w:pPr>
            <w:r>
              <w:rPr>
                <w:rFonts w:ascii="Arial" w:cs="Arial" w:eastAsia="Arial" w:hAnsi="Arial"/>
                <w:sz w:val="14"/>
                <w:szCs w:val="14"/>
                <w:color w:val="auto"/>
                <w:w w:val="92"/>
              </w:rPr>
              <w:t>4.6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40" w:type="dxa"/>
            <w:vAlign w:val="bottom"/>
            <w:gridSpan w:val="31"/>
          </w:tcPr>
          <w:p>
            <w:pPr>
              <w:spacing w:after="0"/>
              <w:rPr>
                <w:rFonts w:ascii="Arial" w:cs="Arial" w:eastAsia="Arial" w:hAnsi="Arial"/>
                <w:sz w:val="14"/>
                <w:szCs w:val="14"/>
                <w:color w:val="0000FF"/>
                <w:w w:val="99"/>
              </w:rPr>
            </w:pPr>
            <w:hyperlink r:id="rId148">
              <w:r>
                <w:rPr>
                  <w:rFonts w:ascii="Arial" w:cs="Arial" w:eastAsia="Arial" w:hAnsi="Arial"/>
                  <w:sz w:val="14"/>
                  <w:szCs w:val="14"/>
                  <w:color w:val="0000FF"/>
                  <w:w w:val="99"/>
                </w:rPr>
                <w:t>First Supplemental Indenture, dated June 17, 2021, among Booz Allen Hamilton Inc., the Subsidiary Guarantors party thereto and Wilmington Trust, National Association</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48">
              <w:r>
                <w:rPr>
                  <w:rFonts w:ascii="Arial" w:cs="Arial" w:eastAsia="Arial" w:hAnsi="Arial"/>
                  <w:sz w:val="13"/>
                  <w:szCs w:val="13"/>
                  <w:color w:val="0000FF"/>
                  <w:w w:val="99"/>
                </w:rPr>
                <w:t>(Incorporated by reference to Exhibit 4.2 to the Company’s Current Report on Form 8-K filed on June 17, 2021 (File No. 001-34972))</w:t>
              </w:r>
            </w:hyperlink>
          </w:p>
        </w:tc>
        <w:tc>
          <w:tcPr>
            <w:tcW w:w="2060" w:type="dxa"/>
            <w:vAlign w:val="bottom"/>
            <w:tcBorders>
              <w:top w:val="single" w:sz="8" w:color="0000FF"/>
            </w:tcBorders>
            <w:gridSpan w:val="6"/>
          </w:tcPr>
          <w:p>
            <w:pPr>
              <w:spacing w:after="0"/>
              <w:rPr>
                <w:sz w:val="10"/>
                <w:szCs w:val="10"/>
                <w:color w:val="auto"/>
              </w:rPr>
            </w:pPr>
          </w:p>
        </w:tc>
        <w:tc>
          <w:tcPr>
            <w:tcW w:w="78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4.7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40" w:type="dxa"/>
            <w:vAlign w:val="bottom"/>
            <w:gridSpan w:val="31"/>
          </w:tcPr>
          <w:p>
            <w:pPr>
              <w:spacing w:after="0"/>
              <w:rPr>
                <w:rFonts w:ascii="Arial" w:cs="Arial" w:eastAsia="Arial" w:hAnsi="Arial"/>
                <w:sz w:val="14"/>
                <w:szCs w:val="14"/>
                <w:color w:val="0000FF"/>
                <w:w w:val="96"/>
              </w:rPr>
            </w:pPr>
            <w:hyperlink r:id="rId149">
              <w:r>
                <w:rPr>
                  <w:rFonts w:ascii="Arial" w:cs="Arial" w:eastAsia="Arial" w:hAnsi="Arial"/>
                  <w:sz w:val="14"/>
                  <w:szCs w:val="14"/>
                  <w:color w:val="0000FF"/>
                  <w:w w:val="96"/>
                </w:rPr>
                <w:t>Second Supplemental Indenture, dated as of November 5, 2021, among Booz Allen Hamilton Inc., the New Subsidiary Guarantors party thereto and Wilmington Trust, National</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98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Association (Incorporated by reference to Exhibit 4.2 to the Company’s Quarterly Report for the period ended December 31, 2021 on Form 10-Q (File No. 001-34972))</w:t>
              </w:r>
            </w:hyperlink>
          </w:p>
        </w:tc>
        <w:tc>
          <w:tcPr>
            <w:tcW w:w="46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4.8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500" w:type="dxa"/>
            <w:vAlign w:val="bottom"/>
            <w:tcBorders>
              <w:top w:val="single" w:sz="8" w:color="0000FF"/>
            </w:tcBorders>
            <w:gridSpan w:val="14"/>
          </w:tcPr>
          <w:p>
            <w:pPr>
              <w:spacing w:after="0"/>
              <w:rPr>
                <w:rFonts w:ascii="Arial" w:cs="Arial" w:eastAsia="Arial" w:hAnsi="Arial"/>
                <w:sz w:val="14"/>
                <w:szCs w:val="14"/>
                <w:color w:val="0000FF"/>
              </w:rPr>
            </w:pPr>
            <w:hyperlink r:id="rId147">
              <w:r>
                <w:rPr>
                  <w:rFonts w:ascii="Arial" w:cs="Arial" w:eastAsia="Arial" w:hAnsi="Arial"/>
                  <w:sz w:val="14"/>
                  <w:szCs w:val="14"/>
                  <w:color w:val="0000FF"/>
                </w:rPr>
                <w:t>Form of 4.000% Senior Note due 2029 (included as Exhibit A to Exhibit 4.5 hereof)</w:t>
              </w:r>
            </w:hyperlink>
          </w:p>
        </w:tc>
        <w:tc>
          <w:tcPr>
            <w:tcW w:w="94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56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 w:type="dxa"/>
            <w:vAlign w:val="bottom"/>
          </w:tcPr>
          <w:p>
            <w:pPr>
              <w:jc w:val="right"/>
              <w:spacing w:after="0"/>
              <w:rPr>
                <w:sz w:val="20"/>
                <w:szCs w:val="20"/>
                <w:color w:val="auto"/>
              </w:rPr>
            </w:pPr>
            <w:r>
              <w:rPr>
                <w:rFonts w:ascii="Arial" w:cs="Arial" w:eastAsia="Arial" w:hAnsi="Arial"/>
                <w:sz w:val="14"/>
                <w:szCs w:val="14"/>
                <w:color w:val="auto"/>
                <w:w w:val="92"/>
              </w:rPr>
              <w:t>4.9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40" w:type="dxa"/>
            <w:vAlign w:val="bottom"/>
            <w:gridSpan w:val="31"/>
          </w:tcPr>
          <w:p>
            <w:pPr>
              <w:spacing w:after="0"/>
              <w:rPr>
                <w:rFonts w:ascii="Arial" w:cs="Arial" w:eastAsia="Arial" w:hAnsi="Arial"/>
                <w:sz w:val="14"/>
                <w:szCs w:val="14"/>
                <w:color w:val="0000FF"/>
              </w:rPr>
            </w:pPr>
            <w:hyperlink r:id="rId144">
              <w:r>
                <w:rPr>
                  <w:rFonts w:ascii="Arial" w:cs="Arial" w:eastAsia="Arial" w:hAnsi="Arial"/>
                  <w:sz w:val="14"/>
                  <w:szCs w:val="14"/>
                  <w:color w:val="0000FF"/>
                </w:rPr>
                <w:t>Form of 3.875% Senior Note due 2028 (included as Exhibit A to Exhibit 4.2 hereof)</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gridSpan w:val="6"/>
          </w:tcPr>
          <w:p>
            <w:pPr>
              <w:ind w:left="4700"/>
              <w:spacing w:after="0"/>
              <w:rPr>
                <w:sz w:val="20"/>
                <w:szCs w:val="20"/>
                <w:color w:val="auto"/>
              </w:rPr>
            </w:pPr>
            <w:r>
              <w:rPr>
                <w:rFonts w:ascii="Arial" w:cs="Arial" w:eastAsia="Arial" w:hAnsi="Arial"/>
                <w:sz w:val="14"/>
                <w:szCs w:val="14"/>
                <w:color w:val="auto"/>
              </w:rPr>
              <w:t>71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color w:val="auto"/>
              </w:rPr>
              <w:t>4.10*</w:t>
            </w:r>
          </w:p>
        </w:tc>
        <w:tc>
          <w:tcPr>
            <w:tcW w:w="10000" w:type="dxa"/>
            <w:vAlign w:val="bottom"/>
            <w:tcBorders>
              <w:bottom w:val="single" w:sz="8" w:color="0000FF"/>
            </w:tcBorders>
            <w:gridSpan w:val="19"/>
          </w:tcPr>
          <w:p>
            <w:pPr>
              <w:spacing w:after="0"/>
              <w:rPr>
                <w:rFonts w:ascii="Arial" w:cs="Arial" w:eastAsia="Arial" w:hAnsi="Arial"/>
                <w:sz w:val="14"/>
                <w:szCs w:val="14"/>
                <w:color w:val="0000FF"/>
                <w:w w:val="92"/>
              </w:rPr>
            </w:pPr>
            <w:hyperlink r:id="rId152">
              <w:r>
                <w:rPr>
                  <w:rFonts w:ascii="Arial" w:cs="Arial" w:eastAsia="Arial" w:hAnsi="Arial"/>
                  <w:sz w:val="14"/>
                  <w:szCs w:val="14"/>
                  <w:color w:val="0000FF"/>
                  <w:w w:val="92"/>
                </w:rPr>
                <w:t>Description of Capital Stock (Incorporated by reference to Exhibit 4.5 to the Company's Annual Report for the year ended March 31, 2021 on Form 10-K (File No. 001-34972))</w:t>
              </w:r>
            </w:hyperlink>
          </w:p>
        </w:tc>
        <w:tc>
          <w:tcPr>
            <w:tcW w:w="400" w:type="dxa"/>
            <w:vAlign w:val="bottom"/>
            <w:gridSpan w:val="15"/>
          </w:tcPr>
          <w:p>
            <w:pPr>
              <w:spacing w:after="0"/>
              <w:rPr>
                <w:sz w:val="14"/>
                <w:szCs w:val="14"/>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w:t>
            </w:r>
          </w:p>
        </w:tc>
        <w:tc>
          <w:tcPr>
            <w:tcW w:w="10400" w:type="dxa"/>
            <w:vAlign w:val="bottom"/>
            <w:gridSpan w:val="34"/>
          </w:tcPr>
          <w:p>
            <w:pPr>
              <w:spacing w:after="0"/>
              <w:rPr>
                <w:rFonts w:ascii="Arial" w:cs="Arial" w:eastAsia="Arial" w:hAnsi="Arial"/>
                <w:sz w:val="14"/>
                <w:szCs w:val="14"/>
                <w:color w:val="0000FF"/>
                <w:w w:val="94"/>
              </w:rPr>
            </w:pPr>
            <w:hyperlink r:id="rId153">
              <w:r>
                <w:rPr>
                  <w:rFonts w:ascii="Arial" w:cs="Arial" w:eastAsia="Arial" w:hAnsi="Arial"/>
                  <w:sz w:val="14"/>
                  <w:szCs w:val="14"/>
                  <w:color w:val="0000FF"/>
                  <w:w w:val="94"/>
                </w:rPr>
                <w:t>Third Amended and Restated Equity Incentive Plan of Booz Allen Hamilton Holding Corporation (Incorporated by reference to Exhibit 10.2 to the Company’s Quarterly Report for</w:t>
              </w:r>
            </w:hyperlink>
          </w:p>
        </w:tc>
      </w:tr>
      <w:tr>
        <w:trPr>
          <w:trHeight w:val="118"/>
        </w:trPr>
        <w:tc>
          <w:tcPr>
            <w:tcW w:w="88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8"/>
              </w:rPr>
            </w:pPr>
            <w:hyperlink r:id="rId153">
              <w:r>
                <w:rPr>
                  <w:rFonts w:ascii="Arial" w:cs="Arial" w:eastAsia="Arial" w:hAnsi="Arial"/>
                  <w:sz w:val="13"/>
                  <w:szCs w:val="13"/>
                  <w:color w:val="0000FF"/>
                  <w:w w:val="98"/>
                </w:rPr>
                <w:t>the period ended December 31, 2019 on Form 10-Q (File No. 001-34972))</w:t>
              </w:r>
            </w:hyperlink>
          </w:p>
        </w:tc>
        <w:tc>
          <w:tcPr>
            <w:tcW w:w="602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w:t>
            </w:r>
          </w:p>
        </w:tc>
        <w:tc>
          <w:tcPr>
            <w:tcW w:w="10400" w:type="dxa"/>
            <w:vAlign w:val="bottom"/>
            <w:gridSpan w:val="34"/>
          </w:tcPr>
          <w:p>
            <w:pPr>
              <w:spacing w:after="0"/>
              <w:rPr>
                <w:rFonts w:ascii="Arial" w:cs="Arial" w:eastAsia="Arial" w:hAnsi="Arial"/>
                <w:sz w:val="14"/>
                <w:szCs w:val="14"/>
                <w:color w:val="0000FF"/>
                <w:w w:val="98"/>
              </w:rPr>
            </w:pPr>
            <w:hyperlink r:id="rId154">
              <w:r>
                <w:rPr>
                  <w:rFonts w:ascii="Arial" w:cs="Arial" w:eastAsia="Arial" w:hAnsi="Arial"/>
                  <w:sz w:val="14"/>
                  <w:szCs w:val="14"/>
                  <w:color w:val="0000FF"/>
                  <w:w w:val="98"/>
                </w:rPr>
                <w:t>Form of Stock Option Agreement under the Equity Incentive Plan of Booz Allen Hamilton Holding Corporation (Incorporated by reference to Exhibit 10.10 to the Company’s</w:t>
              </w:r>
            </w:hyperlink>
          </w:p>
        </w:tc>
      </w:tr>
      <w:tr>
        <w:trPr>
          <w:trHeight w:val="118"/>
        </w:trPr>
        <w:tc>
          <w:tcPr>
            <w:tcW w:w="88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54">
              <w:r>
                <w:rPr>
                  <w:rFonts w:ascii="Arial" w:cs="Arial" w:eastAsia="Arial" w:hAnsi="Arial"/>
                  <w:sz w:val="13"/>
                  <w:szCs w:val="13"/>
                  <w:color w:val="0000FF"/>
                  <w:w w:val="98"/>
                </w:rPr>
                <w:t>Registration Statement on Form S-1 (File No. 333-167645))</w:t>
              </w:r>
            </w:hyperlink>
          </w:p>
        </w:tc>
        <w:tc>
          <w:tcPr>
            <w:tcW w:w="650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10.3†</w:t>
            </w:r>
          </w:p>
        </w:tc>
        <w:tc>
          <w:tcPr>
            <w:tcW w:w="10400" w:type="dxa"/>
            <w:vAlign w:val="bottom"/>
            <w:gridSpan w:val="34"/>
          </w:tcPr>
          <w:p>
            <w:pPr>
              <w:spacing w:after="0"/>
              <w:rPr>
                <w:rFonts w:ascii="Arial" w:cs="Arial" w:eastAsia="Arial" w:hAnsi="Arial"/>
                <w:sz w:val="14"/>
                <w:szCs w:val="14"/>
                <w:color w:val="0000FF"/>
                <w:w w:val="98"/>
              </w:rPr>
            </w:pPr>
            <w:hyperlink r:id="rId155">
              <w:r>
                <w:rPr>
                  <w:rFonts w:ascii="Arial" w:cs="Arial" w:eastAsia="Arial" w:hAnsi="Arial"/>
                  <w:sz w:val="14"/>
                  <w:szCs w:val="14"/>
                  <w:color w:val="0000FF"/>
                  <w:w w:val="98"/>
                </w:rPr>
                <w:t>Form of Stock Option Agreement under the Equity Incentive Plan of Booz Allen Hamilton Holding Corporation (Incorporated by reference to Exhibit 10.11 to the Company’s</w:t>
              </w:r>
            </w:hyperlink>
          </w:p>
        </w:tc>
      </w:tr>
      <w:tr>
        <w:trPr>
          <w:trHeight w:val="118"/>
        </w:trPr>
        <w:tc>
          <w:tcPr>
            <w:tcW w:w="88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155">
              <w:r>
                <w:rPr>
                  <w:rFonts w:ascii="Arial" w:cs="Arial" w:eastAsia="Arial" w:hAnsi="Arial"/>
                  <w:sz w:val="13"/>
                  <w:szCs w:val="13"/>
                  <w:color w:val="0000FF"/>
                  <w:w w:val="98"/>
                </w:rPr>
                <w:t>Registration Statement on Form S-1 (File No. 333-167645))</w:t>
              </w:r>
            </w:hyperlink>
          </w:p>
        </w:tc>
        <w:tc>
          <w:tcPr>
            <w:tcW w:w="6480" w:type="dxa"/>
            <w:vAlign w:val="bottom"/>
            <w:tcBorders>
              <w:top w:val="single" w:sz="8" w:color="0000FF"/>
            </w:tcBorders>
            <w:gridSpan w:val="6"/>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10.4†</w:t>
            </w:r>
          </w:p>
        </w:tc>
        <w:tc>
          <w:tcPr>
            <w:tcW w:w="8840" w:type="dxa"/>
            <w:vAlign w:val="bottom"/>
            <w:tcBorders>
              <w:bottom w:val="single" w:sz="8" w:color="0000FF"/>
            </w:tcBorders>
            <w:gridSpan w:val="13"/>
          </w:tcPr>
          <w:p>
            <w:pPr>
              <w:spacing w:after="0"/>
              <w:rPr>
                <w:rFonts w:ascii="Arial" w:cs="Arial" w:eastAsia="Arial" w:hAnsi="Arial"/>
                <w:sz w:val="14"/>
                <w:szCs w:val="14"/>
                <w:color w:val="0000FF"/>
                <w:w w:val="92"/>
              </w:rPr>
            </w:pPr>
            <w:hyperlink r:id="rId156">
              <w:r>
                <w:rPr>
                  <w:rFonts w:ascii="Arial" w:cs="Arial" w:eastAsia="Arial" w:hAnsi="Arial"/>
                  <w:sz w:val="14"/>
                  <w:szCs w:val="14"/>
                  <w:color w:val="0000FF"/>
                  <w:w w:val="92"/>
                </w:rPr>
                <w:t>Form of Subscription Agreement (Incorporated by reference to Exhibit 10.12 to the Company’s Registration Statement on Form S-1 (File No. 333-167645))</w:t>
              </w:r>
            </w:hyperlink>
          </w:p>
        </w:tc>
        <w:tc>
          <w:tcPr>
            <w:tcW w:w="1560" w:type="dxa"/>
            <w:vAlign w:val="bottom"/>
            <w:gridSpan w:val="21"/>
          </w:tcPr>
          <w:p>
            <w:pPr>
              <w:spacing w:after="0"/>
              <w:rPr>
                <w:sz w:val="17"/>
                <w:szCs w:val="17"/>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w:t>
            </w:r>
          </w:p>
        </w:tc>
        <w:tc>
          <w:tcPr>
            <w:tcW w:w="10400" w:type="dxa"/>
            <w:vAlign w:val="bottom"/>
            <w:gridSpan w:val="34"/>
          </w:tcPr>
          <w:p>
            <w:pPr>
              <w:spacing w:after="0"/>
              <w:rPr>
                <w:rFonts w:ascii="Arial" w:cs="Arial" w:eastAsia="Arial" w:hAnsi="Arial"/>
                <w:sz w:val="14"/>
                <w:szCs w:val="14"/>
                <w:color w:val="0000FF"/>
                <w:w w:val="94"/>
              </w:rPr>
            </w:pPr>
            <w:hyperlink r:id="rId157">
              <w:r>
                <w:rPr>
                  <w:rFonts w:ascii="Arial" w:cs="Arial" w:eastAsia="Arial" w:hAnsi="Arial"/>
                  <w:sz w:val="14"/>
                  <w:szCs w:val="14"/>
                  <w:color w:val="0000FF"/>
                  <w:w w:val="94"/>
                </w:rPr>
                <w:t>Second Amended and Restated Booz Allen Hamilton Holding Corporation Annual Incentive Plan (Incorporated by reference to Exhibit 10.3 to the Company’s Quarterly Report for</w:t>
              </w:r>
            </w:hyperlink>
          </w:p>
        </w:tc>
      </w:tr>
      <w:tr>
        <w:trPr>
          <w:trHeight w:val="118"/>
        </w:trPr>
        <w:tc>
          <w:tcPr>
            <w:tcW w:w="88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8"/>
              </w:rPr>
            </w:pPr>
            <w:hyperlink r:id="rId157">
              <w:r>
                <w:rPr>
                  <w:rFonts w:ascii="Arial" w:cs="Arial" w:eastAsia="Arial" w:hAnsi="Arial"/>
                  <w:sz w:val="13"/>
                  <w:szCs w:val="13"/>
                  <w:color w:val="0000FF"/>
                  <w:w w:val="98"/>
                </w:rPr>
                <w:t>the period ended December 31, 2019 on Form 10-Q (File No. 001-34972))</w:t>
              </w:r>
            </w:hyperlink>
          </w:p>
        </w:tc>
        <w:tc>
          <w:tcPr>
            <w:tcW w:w="59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w:t>
            </w:r>
          </w:p>
        </w:tc>
        <w:tc>
          <w:tcPr>
            <w:tcW w:w="10400" w:type="dxa"/>
            <w:vAlign w:val="bottom"/>
            <w:gridSpan w:val="34"/>
          </w:tcPr>
          <w:p>
            <w:pPr>
              <w:spacing w:after="0"/>
              <w:rPr>
                <w:rFonts w:ascii="Arial" w:cs="Arial" w:eastAsia="Arial" w:hAnsi="Arial"/>
                <w:sz w:val="14"/>
                <w:szCs w:val="14"/>
                <w:color w:val="0000FF"/>
                <w:w w:val="94"/>
              </w:rPr>
            </w:pPr>
            <w:hyperlink r:id="rId158">
              <w:r>
                <w:rPr>
                  <w:rFonts w:ascii="Arial" w:cs="Arial" w:eastAsia="Arial" w:hAnsi="Arial"/>
                  <w:sz w:val="14"/>
                  <w:szCs w:val="14"/>
                  <w:color w:val="0000FF"/>
                  <w:w w:val="94"/>
                </w:rPr>
                <w:t>Booz Allen Hamilton Holding Corporation Officers’ Retirement Plan (Incorporated by reference to Exhibit 10.6 to the Company’s Annual Report for the year ended March 31, 2018</w:t>
              </w:r>
            </w:hyperlink>
          </w:p>
        </w:tc>
      </w:tr>
      <w:tr>
        <w:trPr>
          <w:trHeight w:val="118"/>
        </w:trPr>
        <w:tc>
          <w:tcPr>
            <w:tcW w:w="880" w:type="dxa"/>
            <w:vAlign w:val="bottom"/>
          </w:tcPr>
          <w:p>
            <w:pPr>
              <w:spacing w:after="0"/>
              <w:rPr>
                <w:sz w:val="10"/>
                <w:szCs w:val="10"/>
                <w:color w:val="auto"/>
              </w:rPr>
            </w:pPr>
          </w:p>
        </w:tc>
        <w:tc>
          <w:tcPr>
            <w:tcW w:w="21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58">
              <w:r>
                <w:rPr>
                  <w:rFonts w:ascii="Arial" w:cs="Arial" w:eastAsia="Arial" w:hAnsi="Arial"/>
                  <w:sz w:val="13"/>
                  <w:szCs w:val="13"/>
                  <w:color w:val="0000FF"/>
                </w:rPr>
                <w:t>on Form 10-K (File No. 001-34972))</w:t>
              </w:r>
            </w:hyperlink>
          </w:p>
        </w:tc>
        <w:tc>
          <w:tcPr>
            <w:tcW w:w="818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10.7†</w:t>
            </w:r>
          </w:p>
        </w:tc>
        <w:tc>
          <w:tcPr>
            <w:tcW w:w="10400" w:type="dxa"/>
            <w:vAlign w:val="bottom"/>
            <w:gridSpan w:val="34"/>
          </w:tcPr>
          <w:p>
            <w:pPr>
              <w:spacing w:after="0"/>
              <w:rPr>
                <w:rFonts w:ascii="Arial" w:cs="Arial" w:eastAsia="Arial" w:hAnsi="Arial"/>
                <w:sz w:val="14"/>
                <w:szCs w:val="14"/>
                <w:color w:val="0000FF"/>
                <w:w w:val="93"/>
              </w:rPr>
            </w:pPr>
            <w:hyperlink r:id="rId159">
              <w:r>
                <w:rPr>
                  <w:rFonts w:ascii="Arial" w:cs="Arial" w:eastAsia="Arial" w:hAnsi="Arial"/>
                  <w:sz w:val="14"/>
                  <w:szCs w:val="14"/>
                  <w:color w:val="0000FF"/>
                  <w:w w:val="93"/>
                </w:rPr>
                <w:t>Officer’s Comprehensive Medical and Dental Choice Plans (Incorporated by reference to Exhibit 10.7 to the Company’s Annual Report for the year ended March 31, 2018 on Form</w:t>
              </w:r>
            </w:hyperlink>
          </w:p>
        </w:tc>
      </w:tr>
      <w:tr>
        <w:trPr>
          <w:trHeight w:val="118"/>
        </w:trPr>
        <w:tc>
          <w:tcPr>
            <w:tcW w:w="88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59">
              <w:r>
                <w:rPr>
                  <w:rFonts w:ascii="Arial" w:cs="Arial" w:eastAsia="Arial" w:hAnsi="Arial"/>
                  <w:sz w:val="13"/>
                  <w:szCs w:val="13"/>
                  <w:color w:val="0000FF"/>
                </w:rPr>
                <w:t>10-K (File No. 001-34972))</w:t>
              </w:r>
            </w:hyperlink>
          </w:p>
        </w:tc>
        <w:tc>
          <w:tcPr>
            <w:tcW w:w="8640" w:type="dxa"/>
            <w:vAlign w:val="bottom"/>
            <w:tcBorders>
              <w:top w:val="single" w:sz="8" w:color="0000FF"/>
            </w:tcBorders>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10.8†</w:t>
            </w:r>
          </w:p>
        </w:tc>
        <w:tc>
          <w:tcPr>
            <w:tcW w:w="10400" w:type="dxa"/>
            <w:vAlign w:val="bottom"/>
            <w:gridSpan w:val="34"/>
          </w:tcPr>
          <w:p>
            <w:pPr>
              <w:spacing w:after="0"/>
              <w:rPr>
                <w:rFonts w:ascii="Arial" w:cs="Arial" w:eastAsia="Arial" w:hAnsi="Arial"/>
                <w:sz w:val="14"/>
                <w:szCs w:val="14"/>
                <w:color w:val="0000FF"/>
                <w:w w:val="92"/>
              </w:rPr>
            </w:pPr>
            <w:hyperlink r:id="rId160">
              <w:r>
                <w:rPr>
                  <w:rFonts w:ascii="Arial" w:cs="Arial" w:eastAsia="Arial" w:hAnsi="Arial"/>
                  <w:sz w:val="14"/>
                  <w:szCs w:val="14"/>
                  <w:color w:val="0000FF"/>
                  <w:w w:val="92"/>
                </w:rPr>
                <w:t>Retired Officer’s Comprehensive Medical and Dental Choice Plans (Incorporated by reference to Exhibit 10.8 to the Company’s Annual Report for the year ended March 31, 2018 on</w:t>
              </w:r>
            </w:hyperlink>
          </w:p>
        </w:tc>
      </w:tr>
      <w:tr>
        <w:trPr>
          <w:trHeight w:val="118"/>
        </w:trPr>
        <w:tc>
          <w:tcPr>
            <w:tcW w:w="880" w:type="dxa"/>
            <w:vAlign w:val="bottom"/>
          </w:tcPr>
          <w:p>
            <w:pPr>
              <w:spacing w:after="0"/>
              <w:rPr>
                <w:sz w:val="10"/>
                <w:szCs w:val="10"/>
                <w:color w:val="auto"/>
              </w:rPr>
            </w:pPr>
          </w:p>
        </w:tc>
        <w:tc>
          <w:tcPr>
            <w:tcW w:w="192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60">
              <w:r>
                <w:rPr>
                  <w:rFonts w:ascii="Arial" w:cs="Arial" w:eastAsia="Arial" w:hAnsi="Arial"/>
                  <w:sz w:val="13"/>
                  <w:szCs w:val="13"/>
                  <w:color w:val="0000FF"/>
                </w:rPr>
                <w:t>Form 10-K (File No. 001-34972))</w:t>
              </w:r>
            </w:hyperlink>
          </w:p>
        </w:tc>
        <w:tc>
          <w:tcPr>
            <w:tcW w:w="840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10.9†</w:t>
            </w:r>
          </w:p>
        </w:tc>
        <w:tc>
          <w:tcPr>
            <w:tcW w:w="10400" w:type="dxa"/>
            <w:vAlign w:val="bottom"/>
            <w:gridSpan w:val="34"/>
          </w:tcPr>
          <w:p>
            <w:pPr>
              <w:spacing w:after="0"/>
              <w:rPr>
                <w:rFonts w:ascii="Arial" w:cs="Arial" w:eastAsia="Arial" w:hAnsi="Arial"/>
                <w:sz w:val="14"/>
                <w:szCs w:val="14"/>
                <w:color w:val="0000FF"/>
                <w:w w:val="95"/>
              </w:rPr>
            </w:pPr>
            <w:hyperlink r:id="rId161">
              <w:r>
                <w:rPr>
                  <w:rFonts w:ascii="Arial" w:cs="Arial" w:eastAsia="Arial" w:hAnsi="Arial"/>
                  <w:sz w:val="14"/>
                  <w:szCs w:val="14"/>
                  <w:color w:val="0000FF"/>
                  <w:w w:val="95"/>
                </w:rPr>
                <w:t>Group Variable Universal Life Insurance (Incorporated by reference to Exhibit 10.14 to the Company’s Annual Report for the year ended March 31, 2015 on Form 10-K (File No.</w:t>
              </w:r>
            </w:hyperlink>
          </w:p>
        </w:tc>
      </w:tr>
      <w:tr>
        <w:trPr>
          <w:trHeight w:val="118"/>
        </w:trPr>
        <w:tc>
          <w:tcPr>
            <w:tcW w:w="8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5"/>
              </w:rPr>
            </w:pPr>
            <w:hyperlink r:id="rId161">
              <w:r>
                <w:rPr>
                  <w:rFonts w:ascii="Arial" w:cs="Arial" w:eastAsia="Arial" w:hAnsi="Arial"/>
                  <w:sz w:val="13"/>
                  <w:szCs w:val="13"/>
                  <w:color w:val="0000FF"/>
                  <w:w w:val="95"/>
                </w:rPr>
                <w:t>001-34972))</w:t>
              </w:r>
            </w:hyperlink>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54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10.10†</w:t>
            </w:r>
          </w:p>
        </w:tc>
        <w:tc>
          <w:tcPr>
            <w:tcW w:w="10400" w:type="dxa"/>
            <w:vAlign w:val="bottom"/>
            <w:gridSpan w:val="34"/>
          </w:tcPr>
          <w:p>
            <w:pPr>
              <w:spacing w:after="0"/>
              <w:rPr>
                <w:rFonts w:ascii="Arial" w:cs="Arial" w:eastAsia="Arial" w:hAnsi="Arial"/>
                <w:sz w:val="14"/>
                <w:szCs w:val="14"/>
                <w:color w:val="0000FF"/>
              </w:rPr>
            </w:pPr>
            <w:hyperlink w:anchor="page126">
              <w:r>
                <w:rPr>
                  <w:rFonts w:ascii="Arial" w:cs="Arial" w:eastAsia="Arial" w:hAnsi="Arial"/>
                  <w:sz w:val="14"/>
                  <w:szCs w:val="14"/>
                  <w:color w:val="0000FF"/>
                </w:rPr>
                <w:t>Group Personal Excess Liability Insurance*</w:t>
              </w:r>
            </w:hyperlink>
          </w:p>
        </w:tc>
      </w:tr>
      <w:tr>
        <w:trPr>
          <w:trHeight w:val="20"/>
        </w:trPr>
        <w:tc>
          <w:tcPr>
            <w:tcW w:w="8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10.11†</w:t>
            </w:r>
          </w:p>
        </w:tc>
        <w:tc>
          <w:tcPr>
            <w:tcW w:w="10400" w:type="dxa"/>
            <w:vAlign w:val="bottom"/>
            <w:gridSpan w:val="34"/>
          </w:tcPr>
          <w:p>
            <w:pPr>
              <w:spacing w:after="0"/>
              <w:rPr>
                <w:rFonts w:ascii="Arial" w:cs="Arial" w:eastAsia="Arial" w:hAnsi="Arial"/>
                <w:sz w:val="14"/>
                <w:szCs w:val="14"/>
                <w:color w:val="0000FF"/>
                <w:w w:val="94"/>
              </w:rPr>
            </w:pPr>
            <w:hyperlink r:id="rId162">
              <w:r>
                <w:rPr>
                  <w:rFonts w:ascii="Arial" w:cs="Arial" w:eastAsia="Arial" w:hAnsi="Arial"/>
                  <w:sz w:val="14"/>
                  <w:szCs w:val="14"/>
                  <w:color w:val="0000FF"/>
                  <w:w w:val="94"/>
                </w:rPr>
                <w:t>Officer Annual Performance Bonus Policy (Incorporated by reference to Exhibit 10.11 to the Company’s Annual Report for the year ended March 31, 2018 on Form 10-K (File No.</w:t>
              </w:r>
            </w:hyperlink>
          </w:p>
        </w:tc>
      </w:tr>
      <w:tr>
        <w:trPr>
          <w:trHeight w:val="118"/>
        </w:trPr>
        <w:tc>
          <w:tcPr>
            <w:tcW w:w="8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5"/>
              </w:rPr>
            </w:pPr>
            <w:hyperlink r:id="rId162">
              <w:r>
                <w:rPr>
                  <w:rFonts w:ascii="Arial" w:cs="Arial" w:eastAsia="Arial" w:hAnsi="Arial"/>
                  <w:sz w:val="13"/>
                  <w:szCs w:val="13"/>
                  <w:color w:val="0000FF"/>
                  <w:w w:val="95"/>
                </w:rPr>
                <w:t>001-34972))</w:t>
              </w:r>
            </w:hyperlink>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62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54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10.12†</w:t>
            </w:r>
          </w:p>
        </w:tc>
        <w:tc>
          <w:tcPr>
            <w:tcW w:w="10400" w:type="dxa"/>
            <w:vAlign w:val="bottom"/>
            <w:gridSpan w:val="34"/>
          </w:tcPr>
          <w:p>
            <w:pPr>
              <w:spacing w:after="0"/>
              <w:rPr>
                <w:rFonts w:ascii="Arial" w:cs="Arial" w:eastAsia="Arial" w:hAnsi="Arial"/>
                <w:sz w:val="14"/>
                <w:szCs w:val="14"/>
                <w:color w:val="0000FF"/>
                <w:w w:val="97"/>
              </w:rPr>
            </w:pPr>
            <w:hyperlink r:id="rId163">
              <w:r>
                <w:rPr>
                  <w:rFonts w:ascii="Arial" w:cs="Arial" w:eastAsia="Arial" w:hAnsi="Arial"/>
                  <w:sz w:val="14"/>
                  <w:szCs w:val="14"/>
                  <w:color w:val="0000FF"/>
                  <w:w w:val="97"/>
                </w:rPr>
                <w:t>Form of Booz Allen Hamilton Holding Corporation Director and Officer Indemnification Agreement (Incorporated by reference to Exhibit 10.23 to the Company’s Registration</w:t>
              </w:r>
            </w:hyperlink>
          </w:p>
        </w:tc>
      </w:tr>
      <w:tr>
        <w:trPr>
          <w:trHeight w:val="118"/>
        </w:trPr>
        <w:tc>
          <w:tcPr>
            <w:tcW w:w="88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163">
              <w:r>
                <w:rPr>
                  <w:rFonts w:ascii="Arial" w:cs="Arial" w:eastAsia="Arial" w:hAnsi="Arial"/>
                  <w:sz w:val="13"/>
                  <w:szCs w:val="13"/>
                  <w:color w:val="0000FF"/>
                  <w:w w:val="98"/>
                </w:rPr>
                <w:t>Statement on Form S-1 (File No. 333-167645))</w:t>
              </w:r>
            </w:hyperlink>
          </w:p>
        </w:tc>
        <w:tc>
          <w:tcPr>
            <w:tcW w:w="7300" w:type="dxa"/>
            <w:vAlign w:val="bottom"/>
            <w:tcBorders>
              <w:top w:val="single" w:sz="8" w:color="0000FF"/>
            </w:tcBorders>
            <w:gridSpan w:val="11"/>
          </w:tcPr>
          <w:p>
            <w:pPr>
              <w:spacing w:after="0"/>
              <w:rPr>
                <w:sz w:val="10"/>
                <w:szCs w:val="10"/>
                <w:color w:val="auto"/>
              </w:rPr>
            </w:pPr>
          </w:p>
        </w:tc>
        <w:tc>
          <w:tcPr>
            <w:tcW w:w="1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10.13†</w:t>
            </w:r>
          </w:p>
        </w:tc>
        <w:tc>
          <w:tcPr>
            <w:tcW w:w="10400" w:type="dxa"/>
            <w:vAlign w:val="bottom"/>
            <w:gridSpan w:val="34"/>
          </w:tcPr>
          <w:p>
            <w:pPr>
              <w:spacing w:after="0"/>
              <w:rPr>
                <w:rFonts w:ascii="Arial" w:cs="Arial" w:eastAsia="Arial" w:hAnsi="Arial"/>
                <w:sz w:val="14"/>
                <w:szCs w:val="14"/>
                <w:color w:val="0000FF"/>
                <w:w w:val="93"/>
              </w:rPr>
            </w:pPr>
            <w:hyperlink r:id="rId164">
              <w:r>
                <w:rPr>
                  <w:rFonts w:ascii="Arial" w:cs="Arial" w:eastAsia="Arial" w:hAnsi="Arial"/>
                  <w:sz w:val="14"/>
                  <w:szCs w:val="14"/>
                  <w:color w:val="0000FF"/>
                  <w:w w:val="93"/>
                </w:rPr>
                <w:t>Form of Stock Option Agreement under the Amended and Restated Equity Incentive Plan of Booz Allen Hamilton Holding Corporation (Incorporated by reference to Exhibit 10.23 to</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the Company’s Annual Report for the year ended March 31, 2011 on Form 10-K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0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10.14†</w:t>
            </w:r>
          </w:p>
        </w:tc>
        <w:tc>
          <w:tcPr>
            <w:tcW w:w="9940" w:type="dxa"/>
            <w:vAlign w:val="bottom"/>
            <w:tcBorders>
              <w:bottom w:val="single" w:sz="8" w:color="0000FF"/>
            </w:tcBorders>
            <w:gridSpan w:val="17"/>
          </w:tcPr>
          <w:p>
            <w:pPr>
              <w:spacing w:after="0"/>
              <w:rPr>
                <w:rFonts w:ascii="Arial" w:cs="Arial" w:eastAsia="Arial" w:hAnsi="Arial"/>
                <w:sz w:val="14"/>
                <w:szCs w:val="14"/>
                <w:color w:val="0000FF"/>
                <w:w w:val="92"/>
              </w:rPr>
            </w:pPr>
            <w:hyperlink r:id="rId165">
              <w:r>
                <w:rPr>
                  <w:rFonts w:ascii="Arial" w:cs="Arial" w:eastAsia="Arial" w:hAnsi="Arial"/>
                  <w:sz w:val="14"/>
                  <w:szCs w:val="14"/>
                  <w:color w:val="0000FF"/>
                  <w:w w:val="92"/>
                </w:rPr>
                <w:t>Officer Transition Policy (Incorporated by reference to Exhibit 10.14 to the Company’s Annual Report for the year ended March 31, 2018 on Form 10-K (File No. 001-34972))</w:t>
              </w:r>
            </w:hyperlink>
          </w:p>
        </w:tc>
        <w:tc>
          <w:tcPr>
            <w:tcW w:w="460" w:type="dxa"/>
            <w:vAlign w:val="bottom"/>
            <w:gridSpan w:val="17"/>
          </w:tcPr>
          <w:p>
            <w:pPr>
              <w:spacing w:after="0"/>
              <w:rPr>
                <w:sz w:val="17"/>
                <w:szCs w:val="17"/>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10.15†</w:t>
            </w:r>
          </w:p>
        </w:tc>
        <w:tc>
          <w:tcPr>
            <w:tcW w:w="10400" w:type="dxa"/>
            <w:vAlign w:val="bottom"/>
            <w:gridSpan w:val="34"/>
          </w:tcPr>
          <w:p>
            <w:pPr>
              <w:spacing w:after="0"/>
              <w:rPr>
                <w:rFonts w:ascii="Arial" w:cs="Arial" w:eastAsia="Arial" w:hAnsi="Arial"/>
                <w:sz w:val="14"/>
                <w:szCs w:val="14"/>
                <w:color w:val="0000FF"/>
                <w:w w:val="93"/>
              </w:rPr>
            </w:pPr>
            <w:hyperlink r:id="rId166">
              <w:r>
                <w:rPr>
                  <w:rFonts w:ascii="Arial" w:cs="Arial" w:eastAsia="Arial" w:hAnsi="Arial"/>
                  <w:sz w:val="14"/>
                  <w:szCs w:val="14"/>
                  <w:color w:val="0000FF"/>
                  <w:w w:val="93"/>
                </w:rPr>
                <w:t>Form of Stock Option Agreement under the Amended and Restated Equity Incentive Plan of Booz Allen Hamilton Holding Corporation (Incorporated by reference to Exhibit 10.25 to</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66">
              <w:r>
                <w:rPr>
                  <w:rFonts w:ascii="Arial" w:cs="Arial" w:eastAsia="Arial" w:hAnsi="Arial"/>
                  <w:sz w:val="13"/>
                  <w:szCs w:val="13"/>
                  <w:color w:val="0000FF"/>
                </w:rPr>
                <w:t>the Company’s Quarterly Report for the period ended December 31, 2011 on Form 10-Q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10.16</w:t>
            </w:r>
          </w:p>
        </w:tc>
        <w:tc>
          <w:tcPr>
            <w:tcW w:w="10400" w:type="dxa"/>
            <w:vAlign w:val="bottom"/>
            <w:gridSpan w:val="34"/>
          </w:tcPr>
          <w:p>
            <w:pPr>
              <w:spacing w:after="0"/>
              <w:rPr>
                <w:rFonts w:ascii="Arial" w:cs="Arial" w:eastAsia="Arial" w:hAnsi="Arial"/>
                <w:sz w:val="14"/>
                <w:szCs w:val="14"/>
                <w:color w:val="0000FF"/>
                <w:w w:val="98"/>
              </w:rPr>
            </w:pPr>
            <w:hyperlink r:id="rId167">
              <w:r>
                <w:rPr>
                  <w:rFonts w:ascii="Arial" w:cs="Arial" w:eastAsia="Arial" w:hAnsi="Arial"/>
                  <w:sz w:val="14"/>
                  <w:szCs w:val="14"/>
                  <w:color w:val="0000FF"/>
                  <w:w w:val="98"/>
                </w:rPr>
                <w:t>Credit Agreement among Booz Allen Hamilton Inc., as the Borrower, the several lenders from time to time parties thereto, Bank of America, N.A., as Administrative Agent,</w:t>
              </w:r>
            </w:hyperlink>
          </w:p>
        </w:tc>
      </w:tr>
      <w:tr>
        <w:trPr>
          <w:trHeight w:val="118"/>
        </w:trPr>
        <w:tc>
          <w:tcPr>
            <w:tcW w:w="880" w:type="dxa"/>
            <w:vAlign w:val="bottom"/>
          </w:tcPr>
          <w:p>
            <w:pPr>
              <w:spacing w:after="0"/>
              <w:rPr>
                <w:sz w:val="10"/>
                <w:szCs w:val="10"/>
                <w:color w:val="auto"/>
              </w:rPr>
            </w:pPr>
          </w:p>
        </w:tc>
        <w:tc>
          <w:tcPr>
            <w:tcW w:w="978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Collateral Agent and Issuing Lender, Merrill Lynch, Pierce, Fenner &amp; Smith Incorporated and Credit Suisse Securities (USA) LLC, as Joint Lead Arrangers, Merrill Lynch,</w:t>
              </w:r>
            </w:hyperlink>
          </w:p>
        </w:tc>
        <w:tc>
          <w:tcPr>
            <w:tcW w:w="620" w:type="dxa"/>
            <w:vAlign w:val="bottom"/>
            <w:gridSpan w:val="20"/>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Pierce,</w:t>
              </w:r>
            </w:hyperlink>
          </w:p>
        </w:tc>
      </w:tr>
      <w:tr>
        <w:trPr>
          <w:trHeight w:val="118"/>
        </w:trPr>
        <w:tc>
          <w:tcPr>
            <w:tcW w:w="880" w:type="dxa"/>
            <w:vAlign w:val="bottom"/>
          </w:tcPr>
          <w:p>
            <w:pPr>
              <w:spacing w:after="0"/>
              <w:rPr>
                <w:sz w:val="10"/>
                <w:szCs w:val="10"/>
                <w:color w:val="auto"/>
              </w:rPr>
            </w:pPr>
          </w:p>
        </w:tc>
        <w:tc>
          <w:tcPr>
            <w:tcW w:w="1016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Fenner &amp; Smith Incorporated, Credit Suisse Securities (USA) LLC, Barclays Bank PLC, Citigroup Global Markets Inc., HSBC Securities (USA) Inc., J.P. Morgan Securities LLC,</w:t>
              </w:r>
            </w:hyperlink>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140" w:type="dxa"/>
            <w:vAlign w:val="bottom"/>
            <w:tcBorders>
              <w:top w:val="single" w:sz="8" w:color="0000FF"/>
              <w:bottom w:val="single" w:sz="8" w:color="0000FF"/>
            </w:tcBorders>
            <w:gridSpan w:val="21"/>
          </w:tcPr>
          <w:p>
            <w:pPr>
              <w:spacing w:after="0" w:line="118"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Morgan Stanley Senior Funding, Inc. and Sumimoto Mitsui Banking Corporation, as Joint Bookrunners, Credit Suisse Securities (USA) LLC, as Syndication Agent, Barclays Bank</w:t>
              </w:r>
            </w:hyperlink>
          </w:p>
        </w:tc>
        <w:tc>
          <w:tcPr>
            <w:tcW w:w="40" w:type="dxa"/>
            <w:vAlign w:val="bottom"/>
            <w:tcBorders>
              <w:bottom w:val="single" w:sz="8" w:color="0000FF"/>
            </w:tcBorders>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4"/>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PLC, Citigroup Global Markets Inc., HSBC Securities (USA) Inc., J.P. Morgan Securities LLC, Morgan Stanley Senior Funding, Inc., Sumimoto Mitsui Banking Corporation and The</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32"/>
          </w:tcPr>
          <w:p>
            <w:pPr>
              <w:spacing w:after="0" w:line="118"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Bank of Tokyo-Mitsubishi UFJ, Ltd., as Co-Documentation Agents, dated as of July 31, 2012 (Incorporated by reference to Exhibit 10.1 to the Company’s Current Report on Form 8-</w:t>
              </w:r>
            </w:hyperlink>
          </w:p>
        </w:tc>
        <w:tc>
          <w:tcPr>
            <w:tcW w:w="40" w:type="dxa"/>
            <w:vAlign w:val="bottom"/>
            <w:gridSpan w:val="2"/>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34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K filed on August 1, 2012 (File No. 001-34972))</w:t>
              </w:r>
            </w:hyperlink>
          </w:p>
        </w:tc>
        <w:tc>
          <w:tcPr>
            <w:tcW w:w="60" w:type="dxa"/>
            <w:vAlign w:val="bottom"/>
            <w:gridSpan w:val="3"/>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750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10.17</w:t>
            </w:r>
          </w:p>
        </w:tc>
        <w:tc>
          <w:tcPr>
            <w:tcW w:w="10260" w:type="dxa"/>
            <w:vAlign w:val="bottom"/>
            <w:tcBorders>
              <w:bottom w:val="single" w:sz="8" w:color="0000FF"/>
            </w:tcBorders>
            <w:gridSpan w:val="27"/>
          </w:tcPr>
          <w:p>
            <w:pPr>
              <w:spacing w:after="0"/>
              <w:rPr>
                <w:rFonts w:ascii="Arial" w:cs="Arial" w:eastAsia="Arial" w:hAnsi="Arial"/>
                <w:sz w:val="14"/>
                <w:szCs w:val="14"/>
                <w:color w:val="0000FF"/>
                <w:w w:val="94"/>
              </w:rPr>
            </w:pPr>
            <w:hyperlink r:id="rId168">
              <w:r>
                <w:rPr>
                  <w:rFonts w:ascii="Arial" w:cs="Arial" w:eastAsia="Arial" w:hAnsi="Arial"/>
                  <w:sz w:val="14"/>
                  <w:szCs w:val="14"/>
                  <w:color w:val="0000FF"/>
                  <w:w w:val="94"/>
                </w:rPr>
                <w:t>Guarantee and Collateral Agreement, among Booz Allen Hamilton Investor Corporation, Booz Allen Hamilton Inc., ASE, Inc. and Booz Allen Hamilton International, Inc., in favor</w:t>
              </w:r>
            </w:hyperlink>
          </w:p>
        </w:tc>
        <w:tc>
          <w:tcPr>
            <w:tcW w:w="140" w:type="dxa"/>
            <w:vAlign w:val="bottom"/>
            <w:gridSpan w:val="7"/>
          </w:tcPr>
          <w:p>
            <w:pPr>
              <w:spacing w:after="0"/>
              <w:rPr>
                <w:sz w:val="17"/>
                <w:szCs w:val="17"/>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4"/>
          </w:tcPr>
          <w:p>
            <w:pPr>
              <w:spacing w:after="0" w:line="118" w:lineRule="exact"/>
              <w:rPr>
                <w:rFonts w:ascii="Arial" w:cs="Arial" w:eastAsia="Arial" w:hAnsi="Arial"/>
                <w:sz w:val="13"/>
                <w:szCs w:val="13"/>
                <w:color w:val="0000FF"/>
              </w:rPr>
            </w:pPr>
            <w:hyperlink r:id="rId168">
              <w:r>
                <w:rPr>
                  <w:rFonts w:ascii="Arial" w:cs="Arial" w:eastAsia="Arial" w:hAnsi="Arial"/>
                  <w:sz w:val="13"/>
                  <w:szCs w:val="13"/>
                  <w:color w:val="0000FF"/>
                </w:rPr>
                <w:t>of Bank of America, N.A., as Collateral Agent, dated as of July 31, 2012 (Incorporated by reference to Exhibit 10.2 to the Company’s Current Report on Form 8-K filed on August 1,</w:t>
              </w:r>
            </w:hyperlink>
          </w:p>
        </w:tc>
      </w:tr>
      <w:tr>
        <w:trPr>
          <w:trHeight w:val="118"/>
        </w:trPr>
        <w:tc>
          <w:tcPr>
            <w:tcW w:w="880" w:type="dxa"/>
            <w:vAlign w:val="bottom"/>
          </w:tcPr>
          <w:p>
            <w:pPr>
              <w:spacing w:after="0"/>
              <w:rPr>
                <w:sz w:val="10"/>
                <w:szCs w:val="10"/>
                <w:color w:val="auto"/>
              </w:rPr>
            </w:pPr>
          </w:p>
        </w:tc>
        <w:tc>
          <w:tcPr>
            <w:tcW w:w="1030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68">
              <w:r>
                <w:rPr>
                  <w:rFonts w:ascii="Arial" w:cs="Arial" w:eastAsia="Arial" w:hAnsi="Arial"/>
                  <w:sz w:val="13"/>
                  <w:szCs w:val="13"/>
                  <w:color w:val="0000FF"/>
                </w:rPr>
                <w:t>2012 (File No. 001-34972))</w:t>
              </w:r>
            </w:hyperlink>
          </w:p>
        </w:tc>
        <w:tc>
          <w:tcPr>
            <w:tcW w:w="100" w:type="dxa"/>
            <w:vAlign w:val="bottom"/>
            <w:gridSpan w:val="5"/>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1560" w:type="dxa"/>
            <w:vAlign w:val="bottom"/>
            <w:tcBorders>
              <w:top w:val="single" w:sz="8" w:color="0000FF"/>
            </w:tcBorders>
            <w:gridSpan w:val="2"/>
          </w:tcPr>
          <w:p>
            <w:pPr>
              <w:spacing w:after="0"/>
              <w:rPr>
                <w:sz w:val="24"/>
                <w:szCs w:val="24"/>
                <w:color w:val="auto"/>
              </w:rPr>
            </w:pPr>
          </w:p>
        </w:tc>
        <w:tc>
          <w:tcPr>
            <w:tcW w:w="4280" w:type="dxa"/>
            <w:vAlign w:val="bottom"/>
            <w:gridSpan w:val="9"/>
          </w:tcPr>
          <w:p>
            <w:pPr>
              <w:jc w:val="right"/>
              <w:ind w:right="1000"/>
              <w:spacing w:after="0"/>
              <w:rPr>
                <w:sz w:val="20"/>
                <w:szCs w:val="20"/>
                <w:color w:val="auto"/>
              </w:rPr>
            </w:pPr>
            <w:r>
              <w:rPr>
                <w:rFonts w:ascii="Arial" w:cs="Arial" w:eastAsia="Arial" w:hAnsi="Arial"/>
                <w:sz w:val="14"/>
                <w:szCs w:val="14"/>
                <w:color w:val="auto"/>
              </w:rPr>
              <w:t>72</w:t>
            </w: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0"/>
        </w:trPr>
        <w:tc>
          <w:tcPr>
            <w:tcW w:w="880" w:type="dxa"/>
            <w:vAlign w:val="bottom"/>
          </w:tcPr>
          <w:p>
            <w:pPr>
              <w:ind w:left="20"/>
              <w:spacing w:after="0"/>
              <w:rPr>
                <w:sz w:val="20"/>
                <w:szCs w:val="20"/>
                <w:color w:val="auto"/>
              </w:rPr>
            </w:pPr>
            <w:r>
              <w:rPr>
                <w:rFonts w:ascii="Arial" w:cs="Arial" w:eastAsia="Arial" w:hAnsi="Arial"/>
                <w:sz w:val="14"/>
                <w:szCs w:val="14"/>
                <w:color w:val="auto"/>
              </w:rPr>
              <w:t>10.18</w:t>
            </w:r>
          </w:p>
        </w:tc>
        <w:tc>
          <w:tcPr>
            <w:tcW w:w="10420" w:type="dxa"/>
            <w:vAlign w:val="bottom"/>
            <w:gridSpan w:val="33"/>
            <w:vMerge w:val="restart"/>
          </w:tcPr>
          <w:p>
            <w:pPr>
              <w:spacing w:after="0"/>
              <w:rPr>
                <w:rFonts w:ascii="Arial" w:cs="Arial" w:eastAsia="Arial" w:hAnsi="Arial"/>
                <w:sz w:val="14"/>
                <w:szCs w:val="14"/>
                <w:color w:val="0000FF"/>
                <w:w w:val="93"/>
              </w:rPr>
            </w:pPr>
            <w:hyperlink r:id="rId171">
              <w:r>
                <w:rPr>
                  <w:rFonts w:ascii="Arial" w:cs="Arial" w:eastAsia="Arial" w:hAnsi="Arial"/>
                  <w:sz w:val="14"/>
                  <w:szCs w:val="14"/>
                  <w:color w:val="0000FF"/>
                  <w:w w:val="93"/>
                </w:rPr>
                <w:t>First Amendment to Credit Agreement, dated as of August 16, 2013,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10420" w:type="dxa"/>
            <w:vAlign w:val="bottom"/>
            <w:gridSpan w:val="3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Engineering Holding Co., LLC, Booz Allen Hamilton Engineering Services, LLC, SDI Technology Corporation, and Booz Allen Hamilton International, Inc., as Guarantors,, Bank of</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America, N.A., as Administrative Agent, Collateral Agent and New Refinancing Tranche B Term Lender, and the other Lenders and financial institutions from time to time party</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828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71">
              <w:r>
                <w:rPr>
                  <w:rFonts w:ascii="Arial" w:cs="Arial" w:eastAsia="Arial" w:hAnsi="Arial"/>
                  <w:sz w:val="13"/>
                  <w:szCs w:val="13"/>
                  <w:color w:val="0000FF"/>
                  <w:w w:val="99"/>
                </w:rPr>
                <w:t>thereto. (Incorporated by reference to Exhibit 10.1 to the Company’s Current Report on Form 8-K filed on August 20, 2013 (File No. 001-34972))</w:t>
              </w:r>
            </w:hyperlink>
          </w:p>
        </w:tc>
        <w:tc>
          <w:tcPr>
            <w:tcW w:w="1760" w:type="dxa"/>
            <w:vAlign w:val="bottom"/>
            <w:tcBorders>
              <w:top w:val="single" w:sz="8" w:color="0000FF"/>
            </w:tcBorders>
            <w:gridSpan w:val="11"/>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4"/>
                <w:szCs w:val="14"/>
                <w:color w:val="auto"/>
              </w:rPr>
              <w:t>10.19†</w:t>
            </w:r>
          </w:p>
        </w:tc>
        <w:tc>
          <w:tcPr>
            <w:tcW w:w="10420" w:type="dxa"/>
            <w:vAlign w:val="bottom"/>
            <w:gridSpan w:val="33"/>
          </w:tcPr>
          <w:p>
            <w:pPr>
              <w:spacing w:after="0"/>
              <w:rPr>
                <w:rFonts w:ascii="Arial" w:cs="Arial" w:eastAsia="Arial" w:hAnsi="Arial"/>
                <w:sz w:val="14"/>
                <w:szCs w:val="14"/>
                <w:color w:val="0000FF"/>
                <w:w w:val="96"/>
              </w:rPr>
            </w:pPr>
            <w:hyperlink r:id="rId172">
              <w:r>
                <w:rPr>
                  <w:rFonts w:ascii="Arial" w:cs="Arial" w:eastAsia="Arial" w:hAnsi="Arial"/>
                  <w:sz w:val="14"/>
                  <w:szCs w:val="14"/>
                  <w:color w:val="0000FF"/>
                  <w:w w:val="96"/>
                </w:rPr>
                <w:t>Form of Employment Agreement (Incorporated by reference to Exhibit 10.27 to the Company’s Annual Report for the year ended March 31, 2014 on Form 10-K (File No. 001-</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3"/>
              </w:rPr>
            </w:pPr>
            <w:hyperlink r:id="rId172">
              <w:r>
                <w:rPr>
                  <w:rFonts w:ascii="Arial" w:cs="Arial" w:eastAsia="Arial" w:hAnsi="Arial"/>
                  <w:sz w:val="13"/>
                  <w:szCs w:val="13"/>
                  <w:color w:val="0000FF"/>
                  <w:w w:val="93"/>
                </w:rPr>
                <w:t>34972)</w:t>
              </w:r>
              <w:r>
                <w:rPr>
                  <w:rFonts w:ascii="Arial" w:cs="Arial" w:eastAsia="Arial" w:hAnsi="Arial"/>
                  <w:sz w:val="13"/>
                  <w:szCs w:val="13"/>
                  <w:u w:val="single" w:color="auto"/>
                  <w:color w:val="0000FF"/>
                  <w:w w:val="93"/>
                </w:rPr>
                <w:t>)</w:t>
              </w:r>
            </w:hyperlink>
          </w:p>
        </w:tc>
        <w:tc>
          <w:tcPr>
            <w:tcW w:w="50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880" w:type="dxa"/>
            <w:vAlign w:val="bottom"/>
          </w:tcPr>
          <w:p>
            <w:pPr>
              <w:ind w:left="20"/>
              <w:spacing w:after="0"/>
              <w:rPr>
                <w:sz w:val="20"/>
                <w:szCs w:val="20"/>
                <w:color w:val="auto"/>
              </w:rPr>
            </w:pPr>
            <w:r>
              <w:rPr>
                <w:rFonts w:ascii="Arial" w:cs="Arial" w:eastAsia="Arial" w:hAnsi="Arial"/>
                <w:sz w:val="14"/>
                <w:szCs w:val="14"/>
                <w:color w:val="auto"/>
              </w:rPr>
              <w:t>10.20</w:t>
            </w:r>
          </w:p>
        </w:tc>
        <w:tc>
          <w:tcPr>
            <w:tcW w:w="10420" w:type="dxa"/>
            <w:vAlign w:val="bottom"/>
            <w:gridSpan w:val="33"/>
          </w:tcPr>
          <w:p>
            <w:pPr>
              <w:spacing w:after="0"/>
              <w:rPr>
                <w:rFonts w:ascii="Arial" w:cs="Arial" w:eastAsia="Arial" w:hAnsi="Arial"/>
                <w:sz w:val="14"/>
                <w:szCs w:val="14"/>
                <w:color w:val="0000FF"/>
                <w:w w:val="94"/>
              </w:rPr>
            </w:pPr>
            <w:hyperlink r:id="rId173">
              <w:r>
                <w:rPr>
                  <w:rFonts w:ascii="Arial" w:cs="Arial" w:eastAsia="Arial" w:hAnsi="Arial"/>
                  <w:sz w:val="14"/>
                  <w:szCs w:val="14"/>
                  <w:color w:val="0000FF"/>
                  <w:w w:val="94"/>
                </w:rPr>
                <w:t>Second Amendment to Credit Agreement, dated as of May 7, 2014,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2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Engineering Holding Co., LLC, Booz Allen Hamilton Engineering Services, LLC, SDI Technology Corporation, ASE, Inc. and Booz Allen Hamilton International, Inc., as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70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Guarantors, Bank of America, N.A., as Administrative Agent, Collateral Agent and Issuing Lender, and the other Lenders and financial institutions from time to time party</w:t>
              </w:r>
            </w:hyperlink>
          </w:p>
        </w:tc>
        <w:tc>
          <w:tcPr>
            <w:tcW w:w="720" w:type="dxa"/>
            <w:vAlign w:val="bottom"/>
            <w:gridSpan w:val="22"/>
          </w:tcPr>
          <w:p>
            <w:pPr>
              <w:ind w:left="20"/>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thereto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10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(Incorporated by reference to Exhibit 10.1 to the Company’s Current Report on Form 8-K filed on May 13, 2014 (File No. 001-34972))</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10.21</w:t>
            </w:r>
          </w:p>
        </w:tc>
        <w:tc>
          <w:tcPr>
            <w:tcW w:w="10420" w:type="dxa"/>
            <w:vAlign w:val="bottom"/>
            <w:gridSpan w:val="33"/>
          </w:tcPr>
          <w:p>
            <w:pPr>
              <w:spacing w:after="0"/>
              <w:rPr>
                <w:rFonts w:ascii="Arial" w:cs="Arial" w:eastAsia="Arial" w:hAnsi="Arial"/>
                <w:sz w:val="14"/>
                <w:szCs w:val="14"/>
                <w:color w:val="0000FF"/>
                <w:w w:val="95"/>
              </w:rPr>
            </w:pPr>
            <w:hyperlink r:id="rId174">
              <w:r>
                <w:rPr>
                  <w:rFonts w:ascii="Arial" w:cs="Arial" w:eastAsia="Arial" w:hAnsi="Arial"/>
                  <w:sz w:val="14"/>
                  <w:szCs w:val="14"/>
                  <w:color w:val="0000FF"/>
                  <w:w w:val="95"/>
                </w:rPr>
                <w:t>Third Amendment to Credit Agreement, dated as of July 13, 2016,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72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Engineering Holding Co., LLC, Booz Allen Hamilton Engineering Services, LLC, SDI Technology Corporation, ASE, Inc. and Booz Allen Hamilton International, Inc., as</w:t>
              </w:r>
            </w:hyperlink>
          </w:p>
        </w:tc>
        <w:tc>
          <w:tcPr>
            <w:tcW w:w="54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gridSpan w:val="33"/>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1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74">
              <w:r>
                <w:rPr>
                  <w:rFonts w:ascii="Arial" w:cs="Arial" w:eastAsia="Arial" w:hAnsi="Arial"/>
                  <w:sz w:val="13"/>
                  <w:szCs w:val="13"/>
                  <w:color w:val="0000FF"/>
                  <w:w w:val="99"/>
                </w:rPr>
                <w:t>time to time party thereto (Incorporated by reference to Exhibit 10.1 to the Company’s Current Report on Form 8-K filed on July 18, 2016 (File No. 001-34972))</w:t>
              </w:r>
            </w:hyperlink>
          </w:p>
        </w:tc>
        <w:tc>
          <w:tcPr>
            <w:tcW w:w="10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10.22</w:t>
            </w:r>
          </w:p>
        </w:tc>
        <w:tc>
          <w:tcPr>
            <w:tcW w:w="10420" w:type="dxa"/>
            <w:vAlign w:val="bottom"/>
            <w:gridSpan w:val="33"/>
          </w:tcPr>
          <w:p>
            <w:pPr>
              <w:spacing w:after="0"/>
              <w:rPr>
                <w:rFonts w:ascii="Arial" w:cs="Arial" w:eastAsia="Arial" w:hAnsi="Arial"/>
                <w:sz w:val="14"/>
                <w:szCs w:val="14"/>
                <w:color w:val="0000FF"/>
                <w:w w:val="97"/>
              </w:rPr>
            </w:pPr>
            <w:hyperlink r:id="rId175">
              <w:r>
                <w:rPr>
                  <w:rFonts w:ascii="Arial" w:cs="Arial" w:eastAsia="Arial" w:hAnsi="Arial"/>
                  <w:sz w:val="14"/>
                  <w:szCs w:val="14"/>
                  <w:color w:val="0000FF"/>
                  <w:w w:val="97"/>
                </w:rPr>
                <w:t>Fourth Amendment to Credit Agreement, dated as of February 6, 2017,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94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Hamilton Engineering Holding Co., LLC, Booz Allen Hamilton Engineering Services, LLC and SDI Technology Corporation, as Guarantors, Bank of America, N.A.,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5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Administrative Agent, Collateral Agent and New Refinancing Tranche B Term Lender, and the other Lenders and financial institutions from time to time party thereto</w:t>
              </w:r>
            </w:hyperlink>
          </w:p>
        </w:tc>
        <w:tc>
          <w:tcPr>
            <w:tcW w:w="860" w:type="dxa"/>
            <w:vAlign w:val="bottom"/>
            <w:gridSpan w:val="23"/>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(Incorporated</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704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9"/>
              </w:rPr>
            </w:pPr>
            <w:hyperlink r:id="rId175">
              <w:r>
                <w:rPr>
                  <w:rFonts w:ascii="Arial" w:cs="Arial" w:eastAsia="Arial" w:hAnsi="Arial"/>
                  <w:sz w:val="13"/>
                  <w:szCs w:val="13"/>
                  <w:color w:val="0000FF"/>
                  <w:w w:val="99"/>
                </w:rPr>
                <w:t>by reference to Exhibit 10.1 to the Company’s Current Report on Form 8-K filed on February 7, 2017 (File No. 001-34972))</w:t>
              </w:r>
            </w:hyperlink>
          </w:p>
        </w:tc>
        <w:tc>
          <w:tcPr>
            <w:tcW w:w="318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10.23</w:t>
            </w:r>
          </w:p>
        </w:tc>
        <w:tc>
          <w:tcPr>
            <w:tcW w:w="10420" w:type="dxa"/>
            <w:vAlign w:val="bottom"/>
            <w:gridSpan w:val="33"/>
          </w:tcPr>
          <w:p>
            <w:pPr>
              <w:spacing w:after="0"/>
              <w:rPr>
                <w:rFonts w:ascii="Arial" w:cs="Arial" w:eastAsia="Arial" w:hAnsi="Arial"/>
                <w:sz w:val="14"/>
                <w:szCs w:val="14"/>
                <w:color w:val="0000FF"/>
                <w:w w:val="94"/>
              </w:rPr>
            </w:pPr>
            <w:hyperlink r:id="rId176">
              <w:r>
                <w:rPr>
                  <w:rFonts w:ascii="Arial" w:cs="Arial" w:eastAsia="Arial" w:hAnsi="Arial"/>
                  <w:sz w:val="14"/>
                  <w:szCs w:val="14"/>
                  <w:color w:val="0000FF"/>
                  <w:w w:val="94"/>
                </w:rPr>
                <w:t>Fifth Amendment to Credit Agreement, dated as of March 7, 2018,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02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Engineering Holding Co., LLC, Booz Allen Hamilton Engineering Services, LLC, SDI Technology Corporation, eGov Holdings, Inc. and Aquilent, Inc., as Guarantors, Bank of</w:t>
              </w:r>
            </w:hyperlink>
          </w:p>
        </w:tc>
        <w:tc>
          <w:tcPr>
            <w:tcW w:w="28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gridSpan w:val="33"/>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America, N.A., as Administrative Agent, Collateral Agent, Exchanging Lender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18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76">
              <w:r>
                <w:rPr>
                  <w:rFonts w:ascii="Arial" w:cs="Arial" w:eastAsia="Arial" w:hAnsi="Arial"/>
                  <w:sz w:val="13"/>
                  <w:szCs w:val="13"/>
                  <w:color w:val="0000FF"/>
                  <w:w w:val="99"/>
                </w:rPr>
                <w:t>time to time party thereto (Incorporated by reference to Exhibit 10.1 to the Company’s Current Report on Form 8-K filed on March 7, 2018 (File No. 001-34972))</w:t>
              </w:r>
            </w:hyperlink>
          </w:p>
        </w:tc>
        <w:tc>
          <w:tcPr>
            <w:tcW w:w="1000" w:type="dxa"/>
            <w:vAlign w:val="bottom"/>
            <w:tcBorders>
              <w:top w:val="single" w:sz="8" w:color="0000FF"/>
            </w:tcBorders>
            <w:gridSpan w:val="1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10.24</w:t>
            </w:r>
          </w:p>
        </w:tc>
        <w:tc>
          <w:tcPr>
            <w:tcW w:w="10420" w:type="dxa"/>
            <w:vAlign w:val="bottom"/>
            <w:gridSpan w:val="33"/>
          </w:tcPr>
          <w:p>
            <w:pPr>
              <w:spacing w:after="0"/>
              <w:rPr>
                <w:rFonts w:ascii="Arial" w:cs="Arial" w:eastAsia="Arial" w:hAnsi="Arial"/>
                <w:sz w:val="14"/>
                <w:szCs w:val="14"/>
                <w:color w:val="0000FF"/>
                <w:w w:val="95"/>
              </w:rPr>
            </w:pPr>
            <w:hyperlink r:id="rId177">
              <w:r>
                <w:rPr>
                  <w:rFonts w:ascii="Arial" w:cs="Arial" w:eastAsia="Arial" w:hAnsi="Arial"/>
                  <w:sz w:val="14"/>
                  <w:szCs w:val="14"/>
                  <w:color w:val="0000FF"/>
                  <w:w w:val="95"/>
                </w:rPr>
                <w:t>Sixth Amendment to Credit Agreement, dated as of July 23, 2018,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96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Engineering Holding Co., LLC, Booz Allen Hamilton Engineering Services, LLC, SDI Technology Corporation, eGov Holdings, Inc. and Aquilent, Inc. as Guarantors, Bank of</w:t>
              </w:r>
            </w:hyperlink>
          </w:p>
        </w:tc>
        <w:tc>
          <w:tcPr>
            <w:tcW w:w="280" w:type="dxa"/>
            <w:vAlign w:val="bottom"/>
            <w:tcBorders>
              <w:top w:val="single" w:sz="8" w:color="0000FF"/>
            </w:tcBorders>
            <w:gridSpan w:val="10"/>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gridSpan w:val="33"/>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America, N.A., as Administrative Agent and Collateral Agent and the other Lenders and financial institutions from time to time party thereto (Incorporated by reference to Exhibit</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1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Current Report on Form 8-K filed on July 24, 2018 (File No. 001-34972))</w:t>
              </w:r>
            </w:hyperlink>
          </w:p>
        </w:tc>
        <w:tc>
          <w:tcPr>
            <w:tcW w:w="160" w:type="dxa"/>
            <w:vAlign w:val="bottom"/>
            <w:gridSpan w:val="6"/>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10.25</w:t>
            </w:r>
          </w:p>
        </w:tc>
        <w:tc>
          <w:tcPr>
            <w:tcW w:w="10420" w:type="dxa"/>
            <w:vAlign w:val="bottom"/>
            <w:gridSpan w:val="33"/>
          </w:tcPr>
          <w:p>
            <w:pPr>
              <w:spacing w:after="0"/>
              <w:rPr>
                <w:rFonts w:ascii="Arial" w:cs="Arial" w:eastAsia="Arial" w:hAnsi="Arial"/>
                <w:sz w:val="14"/>
                <w:szCs w:val="14"/>
                <w:color w:val="0000FF"/>
                <w:w w:val="96"/>
              </w:rPr>
            </w:pPr>
            <w:hyperlink r:id="rId178">
              <w:r>
                <w:rPr>
                  <w:rFonts w:ascii="Arial" w:cs="Arial" w:eastAsia="Arial" w:hAnsi="Arial"/>
                  <w:sz w:val="14"/>
                  <w:szCs w:val="14"/>
                  <w:color w:val="0000FF"/>
                  <w:w w:val="96"/>
                </w:rPr>
                <w:t>Seventh Amendment to the Credit Agreement, dated as of November 26, 2019, among Booz Allen Hamilton Inc., as Borrower, Booz Allen Hamilton Investor Corporation, Booz</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0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Allen Hamilton Engineering Holding Co., LLC, Booz Allen Hamilton Engineering Services, LLC, SDI Technology Corporation, eGov Holdings, Inc. and Aquilent, Inc., as</w:t>
              </w:r>
            </w:hyperlink>
          </w:p>
        </w:tc>
        <w:tc>
          <w:tcPr>
            <w:tcW w:w="24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gridSpan w:val="33"/>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Guarantors, Bank of America, N.A., as Administrative Agent, Collateral Agent, Exchanging Lender and New Refinancing Tranche B Term Lender and the other Lenders and financial</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institutions from time to time party thereto (Incorporated by reference to Exhibit 10.1 to the Company’s Current Report on Form 8-K filed on November 26, 2019 (File No. 001-</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3"/>
              </w:rPr>
            </w:pPr>
            <w:hyperlink r:id="rId178">
              <w:r>
                <w:rPr>
                  <w:rFonts w:ascii="Arial" w:cs="Arial" w:eastAsia="Arial" w:hAnsi="Arial"/>
                  <w:sz w:val="13"/>
                  <w:szCs w:val="13"/>
                  <w:color w:val="0000FF"/>
                  <w:w w:val="93"/>
                </w:rPr>
                <w:t>34972)</w:t>
              </w:r>
              <w:r>
                <w:rPr>
                  <w:rFonts w:ascii="Arial" w:cs="Arial" w:eastAsia="Arial" w:hAnsi="Arial"/>
                  <w:sz w:val="13"/>
                  <w:szCs w:val="13"/>
                  <w:u w:val="single" w:color="auto"/>
                  <w:color w:val="0000FF"/>
                  <w:w w:val="93"/>
                </w:rPr>
                <w:t>)</w:t>
              </w:r>
            </w:hyperlink>
          </w:p>
        </w:tc>
        <w:tc>
          <w:tcPr>
            <w:tcW w:w="50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10.26</w:t>
            </w:r>
          </w:p>
        </w:tc>
        <w:tc>
          <w:tcPr>
            <w:tcW w:w="10420" w:type="dxa"/>
            <w:vAlign w:val="bottom"/>
            <w:gridSpan w:val="33"/>
          </w:tcPr>
          <w:p>
            <w:pPr>
              <w:spacing w:after="0"/>
              <w:rPr>
                <w:rFonts w:ascii="Arial" w:cs="Arial" w:eastAsia="Arial" w:hAnsi="Arial"/>
                <w:sz w:val="14"/>
                <w:szCs w:val="14"/>
                <w:color w:val="0000FF"/>
                <w:w w:val="94"/>
              </w:rPr>
            </w:pPr>
            <w:hyperlink r:id="rId179">
              <w:r>
                <w:rPr>
                  <w:rFonts w:ascii="Arial" w:cs="Arial" w:eastAsia="Arial" w:hAnsi="Arial"/>
                  <w:sz w:val="14"/>
                  <w:szCs w:val="14"/>
                  <w:color w:val="0000FF"/>
                  <w:w w:val="94"/>
                </w:rPr>
                <w:t>Eighth Amendment to Credit Agreement, dated as of June 24, 2021, among Booz Allen Hamilton Inc., as Borrower, Booz Allen Hamilton Investor Corporation, eGov Holdings, Inc.</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28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and Aquilent, Inc., as Guarantors, Bank of America, N.A., as Administrative Agent and Collateral Agent and the other Lenders and financial institutions from time to time party</w:t>
              </w:r>
            </w:hyperlink>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81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79">
              <w:r>
                <w:rPr>
                  <w:rFonts w:ascii="Arial" w:cs="Arial" w:eastAsia="Arial" w:hAnsi="Arial"/>
                  <w:sz w:val="13"/>
                  <w:szCs w:val="13"/>
                  <w:color w:val="0000FF"/>
                  <w:w w:val="99"/>
                </w:rPr>
                <w:t>thereto (Incorporated by reference to Exhibit 10.1 to the Company’s Current Report on Form 8-K filed on June 25, 2021 (File No. 001-34972))</w:t>
              </w:r>
            </w:hyperlink>
          </w:p>
        </w:tc>
        <w:tc>
          <w:tcPr>
            <w:tcW w:w="18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1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4"/>
                <w:szCs w:val="14"/>
                <w:color w:val="auto"/>
              </w:rPr>
              <w:t>10.27</w:t>
            </w:r>
          </w:p>
        </w:tc>
        <w:tc>
          <w:tcPr>
            <w:tcW w:w="10000" w:type="dxa"/>
            <w:vAlign w:val="bottom"/>
            <w:tcBorders>
              <w:bottom w:val="single" w:sz="8" w:color="0000FF"/>
            </w:tcBorders>
            <w:gridSpan w:val="16"/>
          </w:tcPr>
          <w:p>
            <w:pPr>
              <w:spacing w:after="0"/>
              <w:rPr>
                <w:rFonts w:ascii="Arial" w:cs="Arial" w:eastAsia="Arial" w:hAnsi="Arial"/>
                <w:sz w:val="14"/>
                <w:szCs w:val="14"/>
                <w:color w:val="0000FF"/>
                <w:w w:val="93"/>
              </w:rPr>
            </w:pPr>
            <w:hyperlink r:id="rId180">
              <w:r>
                <w:rPr>
                  <w:rFonts w:ascii="Arial" w:cs="Arial" w:eastAsia="Arial" w:hAnsi="Arial"/>
                  <w:sz w:val="14"/>
                  <w:szCs w:val="14"/>
                  <w:color w:val="0000FF"/>
                  <w:w w:val="93"/>
                </w:rPr>
                <w:t>ISDA Master Agreement, by and between Booz Allen Hamilton Inc. and The Bank of Tokyo-Mitsubishi UFJ, Ltd. dated as of January 13, 2015 (the “Bank of Tokyo-Mitsubishi</w:t>
              </w:r>
            </w:hyperlink>
          </w:p>
        </w:tc>
        <w:tc>
          <w:tcPr>
            <w:tcW w:w="4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gridSpan w:val="33"/>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Master Agreement”), and the Amendment to the Bank of Tokyo-Mitsubishi Master Agreement, dated as of April 18, 2017 (including the Schedule thereto) (Incorporated by reference</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4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to Exhibit 10.1 to the Company's Current Report on Form 8-K filed on May 31, 2017 (File No. 001-34972))</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880" w:type="dxa"/>
            <w:vAlign w:val="bottom"/>
          </w:tcPr>
          <w:p>
            <w:pPr>
              <w:spacing w:after="0"/>
              <w:rPr>
                <w:sz w:val="24"/>
                <w:szCs w:val="24"/>
                <w:color w:val="auto"/>
              </w:rPr>
            </w:pPr>
          </w:p>
        </w:tc>
        <w:tc>
          <w:tcPr>
            <w:tcW w:w="5480" w:type="dxa"/>
            <w:vAlign w:val="bottom"/>
            <w:tcBorders>
              <w:top w:val="single" w:sz="8" w:color="0000FF"/>
            </w:tcBorders>
            <w:gridSpan w:val="2"/>
          </w:tcPr>
          <w:p>
            <w:pPr>
              <w:ind w:left="4700"/>
              <w:spacing w:after="0"/>
              <w:rPr>
                <w:sz w:val="20"/>
                <w:szCs w:val="20"/>
                <w:color w:val="auto"/>
              </w:rPr>
            </w:pPr>
            <w:r>
              <w:rPr>
                <w:rFonts w:ascii="Arial" w:cs="Arial" w:eastAsia="Arial" w:hAnsi="Arial"/>
                <w:sz w:val="14"/>
                <w:szCs w:val="14"/>
                <w:color w:val="auto"/>
              </w:rPr>
              <w:t>73</w:t>
            </w:r>
          </w:p>
        </w:tc>
        <w:tc>
          <w:tcPr>
            <w:tcW w:w="620" w:type="dxa"/>
            <w:vAlign w:val="bottom"/>
            <w:tcBorders>
              <w:top w:val="single" w:sz="8" w:color="0000FF"/>
            </w:tcBorders>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50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10.28</w:t>
            </w:r>
          </w:p>
        </w:tc>
        <w:tc>
          <w:tcPr>
            <w:tcW w:w="10440" w:type="dxa"/>
            <w:vAlign w:val="bottom"/>
            <w:gridSpan w:val="30"/>
          </w:tcPr>
          <w:p>
            <w:pPr>
              <w:spacing w:after="0"/>
              <w:rPr>
                <w:rFonts w:ascii="Arial" w:cs="Arial" w:eastAsia="Arial" w:hAnsi="Arial"/>
                <w:sz w:val="14"/>
                <w:szCs w:val="14"/>
                <w:color w:val="0000FF"/>
                <w:w w:val="93"/>
              </w:rPr>
            </w:pPr>
            <w:hyperlink r:id="rId183">
              <w:r>
                <w:rPr>
                  <w:rFonts w:ascii="Arial" w:cs="Arial" w:eastAsia="Arial" w:hAnsi="Arial"/>
                  <w:sz w:val="14"/>
                  <w:szCs w:val="14"/>
                  <w:color w:val="0000FF"/>
                  <w:w w:val="93"/>
                </w:rPr>
                <w:t>ISDA Master Agreement, by and between Booz Allen Hamilton Inc. and Barclays Bank Plc, dated as of December 11, 2014 (the “Barclays Master Agreement”), and the Amendment</w:t>
              </w:r>
            </w:hyperlink>
          </w:p>
        </w:tc>
      </w:tr>
      <w:tr>
        <w:trPr>
          <w:trHeight w:val="118"/>
        </w:trPr>
        <w:tc>
          <w:tcPr>
            <w:tcW w:w="880" w:type="dxa"/>
            <w:vAlign w:val="bottom"/>
          </w:tcPr>
          <w:p>
            <w:pPr>
              <w:spacing w:after="0"/>
              <w:rPr>
                <w:sz w:val="10"/>
                <w:szCs w:val="10"/>
                <w:color w:val="auto"/>
              </w:rPr>
            </w:pPr>
          </w:p>
        </w:tc>
        <w:tc>
          <w:tcPr>
            <w:tcW w:w="1034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to the Barclays Master Agreement, dated as of May 18, 2017 (including the Amended and Restated Schedule thereto) (Incorporated by reference to Exhibit 10.2 to the Company's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08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Current Report on Form 8-K filed on May 31, 2017 (File No. 001-34972))</w:t>
              </w:r>
            </w:hyperlink>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10.29</w:t>
            </w:r>
          </w:p>
        </w:tc>
        <w:tc>
          <w:tcPr>
            <w:tcW w:w="10440" w:type="dxa"/>
            <w:vAlign w:val="bottom"/>
            <w:gridSpan w:val="30"/>
          </w:tcPr>
          <w:p>
            <w:pPr>
              <w:spacing w:after="0"/>
              <w:rPr>
                <w:rFonts w:ascii="Arial" w:cs="Arial" w:eastAsia="Arial" w:hAnsi="Arial"/>
                <w:sz w:val="14"/>
                <w:szCs w:val="14"/>
                <w:color w:val="0000FF"/>
                <w:w w:val="93"/>
              </w:rPr>
            </w:pPr>
            <w:hyperlink r:id="rId184">
              <w:r>
                <w:rPr>
                  <w:rFonts w:ascii="Arial" w:cs="Arial" w:eastAsia="Arial" w:hAnsi="Arial"/>
                  <w:sz w:val="14"/>
                  <w:szCs w:val="14"/>
                  <w:color w:val="0000FF"/>
                  <w:w w:val="93"/>
                </w:rPr>
                <w:t>ISDA Master Agreement, by and between Booz Allen Hamilton Inc. and Wells Fargo Bank, N.A., dated as of February 13, 2017 (the “Wells Fargo Master Agreement”), including the</w:t>
              </w:r>
            </w:hyperlink>
          </w:p>
        </w:tc>
      </w:tr>
      <w:tr>
        <w:trPr>
          <w:trHeight w:val="118"/>
        </w:trPr>
        <w:tc>
          <w:tcPr>
            <w:tcW w:w="880" w:type="dxa"/>
            <w:vAlign w:val="bottom"/>
          </w:tcPr>
          <w:p>
            <w:pPr>
              <w:spacing w:after="0"/>
              <w:rPr>
                <w:sz w:val="10"/>
                <w:szCs w:val="10"/>
                <w:color w:val="auto"/>
              </w:rPr>
            </w:pPr>
          </w:p>
        </w:tc>
        <w:tc>
          <w:tcPr>
            <w:tcW w:w="86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9"/>
              </w:rPr>
            </w:pPr>
            <w:hyperlink r:id="rId184">
              <w:r>
                <w:rPr>
                  <w:rFonts w:ascii="Arial" w:cs="Arial" w:eastAsia="Arial" w:hAnsi="Arial"/>
                  <w:sz w:val="13"/>
                  <w:szCs w:val="13"/>
                  <w:color w:val="0000FF"/>
                  <w:w w:val="99"/>
                </w:rPr>
                <w:t>Schedule thereto (Incorporated by reference to Exhibit 10.3 to the Company's Current Report on Form 8-K filed on May 31, 2017 (File No. 001-34972))</w:t>
              </w:r>
            </w:hyperlink>
          </w:p>
        </w:tc>
        <w:tc>
          <w:tcPr>
            <w:tcW w:w="17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10.30</w:t>
            </w:r>
          </w:p>
        </w:tc>
        <w:tc>
          <w:tcPr>
            <w:tcW w:w="10440" w:type="dxa"/>
            <w:vAlign w:val="bottom"/>
            <w:gridSpan w:val="30"/>
          </w:tcPr>
          <w:p>
            <w:pPr>
              <w:spacing w:after="0"/>
              <w:rPr>
                <w:rFonts w:ascii="Arial" w:cs="Arial" w:eastAsia="Arial" w:hAnsi="Arial"/>
                <w:sz w:val="14"/>
                <w:szCs w:val="14"/>
                <w:color w:val="0000FF"/>
                <w:w w:val="95"/>
              </w:rPr>
            </w:pPr>
            <w:hyperlink r:id="rId185">
              <w:r>
                <w:rPr>
                  <w:rFonts w:ascii="Arial" w:cs="Arial" w:eastAsia="Arial" w:hAnsi="Arial"/>
                  <w:sz w:val="14"/>
                  <w:szCs w:val="14"/>
                  <w:color w:val="0000FF"/>
                  <w:w w:val="95"/>
                </w:rPr>
                <w:t>ISDA Master Agreement, by and between Booz Allen Hamilton Inc. and SMBC Capital Markets, Inc., dated as of December 11, 2014, and the Amended and Restated Schedule</w:t>
              </w:r>
            </w:hyperlink>
          </w:p>
        </w:tc>
      </w:tr>
      <w:tr>
        <w:trPr>
          <w:trHeight w:val="118"/>
        </w:trPr>
        <w:tc>
          <w:tcPr>
            <w:tcW w:w="880" w:type="dxa"/>
            <w:vAlign w:val="bottom"/>
          </w:tcPr>
          <w:p>
            <w:pPr>
              <w:spacing w:after="0"/>
              <w:rPr>
                <w:sz w:val="10"/>
                <w:szCs w:val="10"/>
                <w:color w:val="auto"/>
              </w:rPr>
            </w:pPr>
          </w:p>
        </w:tc>
        <w:tc>
          <w:tcPr>
            <w:tcW w:w="9980" w:type="dxa"/>
            <w:vAlign w:val="bottom"/>
            <w:tcBorders>
              <w:top w:val="single" w:sz="8" w:color="0000FF"/>
              <w:bottom w:val="single" w:sz="8" w:color="0000FF"/>
            </w:tcBorders>
            <w:gridSpan w:val="16"/>
          </w:tcPr>
          <w:p>
            <w:pPr>
              <w:spacing w:after="0" w:line="118" w:lineRule="exact"/>
              <w:rPr>
                <w:rFonts w:ascii="Arial" w:cs="Arial" w:eastAsia="Arial" w:hAnsi="Arial"/>
                <w:sz w:val="13"/>
                <w:szCs w:val="13"/>
                <w:color w:val="0000FF"/>
                <w:w w:val="98"/>
              </w:rPr>
            </w:pPr>
            <w:hyperlink r:id="rId185">
              <w:r>
                <w:rPr>
                  <w:rFonts w:ascii="Arial" w:cs="Arial" w:eastAsia="Arial" w:hAnsi="Arial"/>
                  <w:sz w:val="13"/>
                  <w:szCs w:val="13"/>
                  <w:color w:val="0000FF"/>
                  <w:w w:val="98"/>
                </w:rPr>
                <w:t>thereto, dated as of February 6, 2017 (Incorporated by reference to Exhibit 10.1 to the Company's Current Report on Form 8-K filed on November 1, 2018 (File No. 001-34972))</w:t>
              </w:r>
            </w:hyperlink>
          </w:p>
        </w:tc>
        <w:tc>
          <w:tcPr>
            <w:tcW w:w="60" w:type="dxa"/>
            <w:vAlign w:val="bottom"/>
            <w:tcBorders>
              <w:bottom w:val="single" w:sz="8" w:color="0000FF"/>
            </w:tcBorders>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10.31</w:t>
            </w:r>
          </w:p>
        </w:tc>
        <w:tc>
          <w:tcPr>
            <w:tcW w:w="10440" w:type="dxa"/>
            <w:vAlign w:val="bottom"/>
            <w:gridSpan w:val="30"/>
          </w:tcPr>
          <w:p>
            <w:pPr>
              <w:spacing w:after="0"/>
              <w:rPr>
                <w:rFonts w:ascii="Arial" w:cs="Arial" w:eastAsia="Arial" w:hAnsi="Arial"/>
                <w:sz w:val="14"/>
                <w:szCs w:val="14"/>
                <w:color w:val="0000FF"/>
                <w:w w:val="95"/>
              </w:rPr>
            </w:pPr>
            <w:hyperlink r:id="rId186">
              <w:r>
                <w:rPr>
                  <w:rFonts w:ascii="Arial" w:cs="Arial" w:eastAsia="Arial" w:hAnsi="Arial"/>
                  <w:sz w:val="14"/>
                  <w:szCs w:val="14"/>
                  <w:color w:val="0000FF"/>
                  <w:w w:val="95"/>
                </w:rPr>
                <w:t>ISDA Master Agreement, by and between Booz Allen Hamilton Inc. and SunTrust Bank, dated as of April 10, 2017, including the Schedule thereto (Incorporated by reference to</w:t>
              </w:r>
            </w:hyperlink>
          </w:p>
        </w:tc>
      </w:tr>
      <w:tr>
        <w:trPr>
          <w:trHeight w:val="118"/>
        </w:trPr>
        <w:tc>
          <w:tcPr>
            <w:tcW w:w="880" w:type="dxa"/>
            <w:vAlign w:val="bottom"/>
          </w:tcPr>
          <w:p>
            <w:pPr>
              <w:spacing w:after="0"/>
              <w:rPr>
                <w:sz w:val="10"/>
                <w:szCs w:val="10"/>
                <w:color w:val="auto"/>
              </w:rPr>
            </w:pPr>
          </w:p>
        </w:tc>
        <w:tc>
          <w:tcPr>
            <w:tcW w:w="100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Exhibit 10.2 to the Company's Current Report on Form 8-K filed on November 1, 2018 (File No. 001-34972))</w:t>
              </w:r>
            </w:hyperlink>
          </w:p>
        </w:tc>
        <w:tc>
          <w:tcPr>
            <w:tcW w:w="1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10.32</w:t>
            </w:r>
          </w:p>
        </w:tc>
        <w:tc>
          <w:tcPr>
            <w:tcW w:w="10440" w:type="dxa"/>
            <w:vAlign w:val="bottom"/>
            <w:gridSpan w:val="30"/>
          </w:tcPr>
          <w:p>
            <w:pPr>
              <w:spacing w:after="0"/>
              <w:rPr>
                <w:rFonts w:ascii="Arial" w:cs="Arial" w:eastAsia="Arial" w:hAnsi="Arial"/>
                <w:sz w:val="14"/>
                <w:szCs w:val="14"/>
                <w:color w:val="0000FF"/>
                <w:w w:val="99"/>
              </w:rPr>
            </w:pPr>
            <w:hyperlink r:id="rId187">
              <w:r>
                <w:rPr>
                  <w:rFonts w:ascii="Arial" w:cs="Arial" w:eastAsia="Arial" w:hAnsi="Arial"/>
                  <w:sz w:val="14"/>
                  <w:szCs w:val="14"/>
                  <w:color w:val="0000FF"/>
                  <w:w w:val="99"/>
                </w:rPr>
                <w:t>ISDA Master Agreement, by and between Booz Allen Hamilton Inc. and U.S. Bank National Association, dated as of September 26, 2018, including the Schedule thereto</w:t>
              </w:r>
            </w:hyperlink>
          </w:p>
        </w:tc>
      </w:tr>
      <w:tr>
        <w:trPr>
          <w:trHeight w:val="118"/>
        </w:trPr>
        <w:tc>
          <w:tcPr>
            <w:tcW w:w="880" w:type="dxa"/>
            <w:vAlign w:val="bottom"/>
          </w:tcPr>
          <w:p>
            <w:pPr>
              <w:spacing w:after="0"/>
              <w:rPr>
                <w:sz w:val="10"/>
                <w:szCs w:val="10"/>
                <w:color w:val="auto"/>
              </w:rPr>
            </w:pPr>
          </w:p>
        </w:tc>
        <w:tc>
          <w:tcPr>
            <w:tcW w:w="792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87">
              <w:r>
                <w:rPr>
                  <w:rFonts w:ascii="Arial" w:cs="Arial" w:eastAsia="Arial" w:hAnsi="Arial"/>
                  <w:sz w:val="13"/>
                  <w:szCs w:val="13"/>
                  <w:color w:val="0000FF"/>
                  <w:w w:val="99"/>
                </w:rPr>
                <w:t>(Incorporated by reference to Exhibit 10.3 to the Company's Current Report on Form 8-K filed on November 1, 2018 (File No. 001-34972))</w:t>
              </w:r>
            </w:hyperlink>
          </w:p>
        </w:tc>
        <w:tc>
          <w:tcPr>
            <w:tcW w:w="170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10.33</w:t>
            </w:r>
          </w:p>
        </w:tc>
        <w:tc>
          <w:tcPr>
            <w:tcW w:w="10440" w:type="dxa"/>
            <w:vAlign w:val="bottom"/>
            <w:gridSpan w:val="30"/>
          </w:tcPr>
          <w:p>
            <w:pPr>
              <w:spacing w:after="0"/>
              <w:rPr>
                <w:rFonts w:ascii="Arial" w:cs="Arial" w:eastAsia="Arial" w:hAnsi="Arial"/>
                <w:sz w:val="14"/>
                <w:szCs w:val="14"/>
                <w:color w:val="0000FF"/>
                <w:w w:val="93"/>
              </w:rPr>
            </w:pPr>
            <w:hyperlink r:id="rId188">
              <w:r>
                <w:rPr>
                  <w:rFonts w:ascii="Arial" w:cs="Arial" w:eastAsia="Arial" w:hAnsi="Arial"/>
                  <w:sz w:val="14"/>
                  <w:szCs w:val="14"/>
                  <w:color w:val="0000FF"/>
                  <w:w w:val="93"/>
                </w:rPr>
                <w:t>ISDA Master Agreement, by and between Booz Allen Hamilton Inc. and Capital One, National Association, dated as of March 27, 2019, including the Schedule thereto (Incorporated</w:t>
              </w:r>
            </w:hyperlink>
          </w:p>
        </w:tc>
      </w:tr>
      <w:tr>
        <w:trPr>
          <w:trHeight w:val="118"/>
        </w:trPr>
        <w:tc>
          <w:tcPr>
            <w:tcW w:w="880" w:type="dxa"/>
            <w:vAlign w:val="bottom"/>
          </w:tcPr>
          <w:p>
            <w:pPr>
              <w:spacing w:after="0"/>
              <w:rPr>
                <w:sz w:val="10"/>
                <w:szCs w:val="10"/>
                <w:color w:val="auto"/>
              </w:rPr>
            </w:pPr>
          </w:p>
        </w:tc>
        <w:tc>
          <w:tcPr>
            <w:tcW w:w="68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188">
              <w:r>
                <w:rPr>
                  <w:rFonts w:ascii="Arial" w:cs="Arial" w:eastAsia="Arial" w:hAnsi="Arial"/>
                  <w:sz w:val="13"/>
                  <w:szCs w:val="13"/>
                  <w:color w:val="0000FF"/>
                </w:rPr>
                <w:t>by reference to Exhibit 10.1 to the Company's Current Report on Form 8-K filed on April 8, 2019 (File No. 001-34972))</w:t>
              </w:r>
            </w:hyperlink>
          </w:p>
        </w:tc>
        <w:tc>
          <w:tcPr>
            <w:tcW w:w="3580" w:type="dxa"/>
            <w:vAlign w:val="bottom"/>
            <w:tcBorders>
              <w:top w:val="single" w:sz="8" w:color="0000FF"/>
            </w:tcBorders>
            <w:gridSpan w:val="19"/>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10.34</w:t>
            </w:r>
          </w:p>
        </w:tc>
        <w:tc>
          <w:tcPr>
            <w:tcW w:w="10440" w:type="dxa"/>
            <w:vAlign w:val="bottom"/>
            <w:gridSpan w:val="30"/>
          </w:tcPr>
          <w:p>
            <w:pPr>
              <w:spacing w:after="0"/>
              <w:rPr>
                <w:rFonts w:ascii="Arial" w:cs="Arial" w:eastAsia="Arial" w:hAnsi="Arial"/>
                <w:sz w:val="14"/>
                <w:szCs w:val="14"/>
                <w:color w:val="0000FF"/>
                <w:w w:val="99"/>
              </w:rPr>
            </w:pPr>
            <w:hyperlink r:id="rId189">
              <w:r>
                <w:rPr>
                  <w:rFonts w:ascii="Arial" w:cs="Arial" w:eastAsia="Arial" w:hAnsi="Arial"/>
                  <w:sz w:val="14"/>
                  <w:szCs w:val="14"/>
                  <w:color w:val="0000FF"/>
                  <w:w w:val="99"/>
                </w:rPr>
                <w:t>ISDA Master Agreement, by and between Booz Allen Hamilton Inc. and PNC Bank, National Association, dated as of December 11, 2018, including the Schedule thereto</w:t>
              </w:r>
            </w:hyperlink>
          </w:p>
        </w:tc>
      </w:tr>
      <w:tr>
        <w:trPr>
          <w:trHeight w:val="118"/>
        </w:trPr>
        <w:tc>
          <w:tcPr>
            <w:tcW w:w="880" w:type="dxa"/>
            <w:vAlign w:val="bottom"/>
          </w:tcPr>
          <w:p>
            <w:pPr>
              <w:spacing w:after="0"/>
              <w:rPr>
                <w:sz w:val="10"/>
                <w:szCs w:val="10"/>
                <w:color w:val="auto"/>
              </w:rPr>
            </w:pPr>
          </w:p>
        </w:tc>
        <w:tc>
          <w:tcPr>
            <w:tcW w:w="76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89">
              <w:r>
                <w:rPr>
                  <w:rFonts w:ascii="Arial" w:cs="Arial" w:eastAsia="Arial" w:hAnsi="Arial"/>
                  <w:sz w:val="13"/>
                  <w:szCs w:val="13"/>
                  <w:color w:val="0000FF"/>
                </w:rPr>
                <w:t>(Incorporated by reference to Exhibit 10.2 to the Company's Current Report on Form 8-K filed on April 8, 2019 (File No. 001-34972))</w:t>
              </w:r>
            </w:hyperlink>
          </w:p>
        </w:tc>
        <w:tc>
          <w:tcPr>
            <w:tcW w:w="2020" w:type="dxa"/>
            <w:vAlign w:val="bottom"/>
            <w:tcBorders>
              <w:top w:val="single" w:sz="8" w:color="0000FF"/>
            </w:tcBorders>
            <w:gridSpan w:val="4"/>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10.35</w:t>
            </w:r>
          </w:p>
        </w:tc>
        <w:tc>
          <w:tcPr>
            <w:tcW w:w="10440" w:type="dxa"/>
            <w:vAlign w:val="bottom"/>
            <w:gridSpan w:val="30"/>
          </w:tcPr>
          <w:p>
            <w:pPr>
              <w:spacing w:after="0"/>
              <w:rPr>
                <w:rFonts w:ascii="Arial" w:cs="Arial" w:eastAsia="Arial" w:hAnsi="Arial"/>
                <w:sz w:val="14"/>
                <w:szCs w:val="14"/>
                <w:color w:val="0000FF"/>
                <w:w w:val="94"/>
              </w:rPr>
            </w:pPr>
            <w:hyperlink r:id="rId190">
              <w:r>
                <w:rPr>
                  <w:rFonts w:ascii="Arial" w:cs="Arial" w:eastAsia="Arial" w:hAnsi="Arial"/>
                  <w:sz w:val="14"/>
                  <w:szCs w:val="14"/>
                  <w:color w:val="0000FF"/>
                  <w:w w:val="94"/>
                </w:rPr>
                <w:t>Confirmation of transaction, by and between Booz Allen Hamilton Inc. and The Bank of Tokyo-Mitsubishi UFJ, Ltd., dated as of May 26, 2017 (Incorporated by reference to Exhibit</w:t>
              </w:r>
            </w:hyperlink>
          </w:p>
        </w:tc>
      </w:tr>
      <w:tr>
        <w:trPr>
          <w:trHeight w:val="118"/>
        </w:trPr>
        <w:tc>
          <w:tcPr>
            <w:tcW w:w="880" w:type="dxa"/>
            <w:vAlign w:val="bottom"/>
          </w:tcPr>
          <w:p>
            <w:pPr>
              <w:spacing w:after="0"/>
              <w:rPr>
                <w:sz w:val="10"/>
                <w:szCs w:val="10"/>
                <w:color w:val="auto"/>
              </w:rPr>
            </w:pPr>
          </w:p>
        </w:tc>
        <w:tc>
          <w:tcPr>
            <w:tcW w:w="55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90">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4</w:t>
              </w:r>
              <w:r>
                <w:rPr>
                  <w:rFonts w:ascii="Arial" w:cs="Arial" w:eastAsia="Arial" w:hAnsi="Arial"/>
                  <w:sz w:val="13"/>
                  <w:szCs w:val="13"/>
                  <w:color w:val="0000FF"/>
                  <w:w w:val="99"/>
                </w:rPr>
                <w:t xml:space="preserve"> to the Company's Current Report on Form 8-K filed on May 31, 2017 (File No. 001-34972))</w:t>
              </w:r>
            </w:hyperlink>
          </w:p>
        </w:tc>
        <w:tc>
          <w:tcPr>
            <w:tcW w:w="47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10.36</w:t>
            </w:r>
          </w:p>
        </w:tc>
        <w:tc>
          <w:tcPr>
            <w:tcW w:w="10440" w:type="dxa"/>
            <w:vAlign w:val="bottom"/>
            <w:gridSpan w:val="30"/>
          </w:tcPr>
          <w:p>
            <w:pPr>
              <w:spacing w:after="0"/>
              <w:rPr>
                <w:rFonts w:ascii="Arial" w:cs="Arial" w:eastAsia="Arial" w:hAnsi="Arial"/>
                <w:sz w:val="14"/>
                <w:szCs w:val="14"/>
                <w:color w:val="0000FF"/>
                <w:w w:val="93"/>
              </w:rPr>
            </w:pPr>
            <w:hyperlink r:id="rId191">
              <w:r>
                <w:rPr>
                  <w:rFonts w:ascii="Arial" w:cs="Arial" w:eastAsia="Arial" w:hAnsi="Arial"/>
                  <w:sz w:val="14"/>
                  <w:szCs w:val="14"/>
                  <w:color w:val="0000FF"/>
                  <w:w w:val="93"/>
                </w:rPr>
                <w:t>Confirmation of transaction, by and between Booz Allen Hamilton Inc. and Barclays Bank Plc, dated as of May 30, 2017 (Incorporated by reference to Exhibit 10.5 to the Company's</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91">
              <w:r>
                <w:rPr>
                  <w:rFonts w:ascii="Arial" w:cs="Arial" w:eastAsia="Arial" w:hAnsi="Arial"/>
                  <w:sz w:val="13"/>
                  <w:szCs w:val="13"/>
                  <w:color w:val="0000FF"/>
                </w:rPr>
                <w:t>Current Report on Form 8-K filed on May 31, 2017 (File No. 001-34972))</w:t>
              </w:r>
            </w:hyperlink>
          </w:p>
        </w:tc>
        <w:tc>
          <w:tcPr>
            <w:tcW w:w="60" w:type="dxa"/>
            <w:vAlign w:val="bottom"/>
            <w:gridSpan w:val="3"/>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10.37</w:t>
            </w:r>
          </w:p>
        </w:tc>
        <w:tc>
          <w:tcPr>
            <w:tcW w:w="10440" w:type="dxa"/>
            <w:vAlign w:val="bottom"/>
            <w:gridSpan w:val="30"/>
          </w:tcPr>
          <w:p>
            <w:pPr>
              <w:spacing w:after="0"/>
              <w:rPr>
                <w:rFonts w:ascii="Arial" w:cs="Arial" w:eastAsia="Arial" w:hAnsi="Arial"/>
                <w:sz w:val="14"/>
                <w:szCs w:val="14"/>
                <w:color w:val="0000FF"/>
                <w:w w:val="97"/>
              </w:rPr>
            </w:pPr>
            <w:hyperlink r:id="rId192">
              <w:r>
                <w:rPr>
                  <w:rFonts w:ascii="Arial" w:cs="Arial" w:eastAsia="Arial" w:hAnsi="Arial"/>
                  <w:sz w:val="14"/>
                  <w:szCs w:val="14"/>
                  <w:color w:val="0000FF"/>
                  <w:w w:val="97"/>
                </w:rPr>
                <w:t>Confirmation of transaction, by and between Booz Allen Hamilton Inc. and Wells Fargo Bank, N.A., dated as of May 25, 2017 (Incorporated by reference to Exhibit 10.6 to the</w:t>
              </w:r>
            </w:hyperlink>
          </w:p>
        </w:tc>
      </w:tr>
      <w:tr>
        <w:trPr>
          <w:trHeight w:val="118"/>
        </w:trPr>
        <w:tc>
          <w:tcPr>
            <w:tcW w:w="88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92">
              <w:r>
                <w:rPr>
                  <w:rFonts w:ascii="Arial" w:cs="Arial" w:eastAsia="Arial" w:hAnsi="Arial"/>
                  <w:sz w:val="13"/>
                  <w:szCs w:val="13"/>
                  <w:color w:val="0000FF"/>
                </w:rPr>
                <w:t>Company's Current Report on Form 8-K filed on May 31, 2017 (File No. 001-34972))</w:t>
              </w:r>
            </w:hyperlink>
          </w:p>
        </w:tc>
        <w:tc>
          <w:tcPr>
            <w:tcW w:w="5080" w:type="dxa"/>
            <w:vAlign w:val="bottom"/>
            <w:tcBorders>
              <w:top w:val="single" w:sz="8" w:color="0000FF"/>
            </w:tcBorders>
            <w:gridSpan w:val="11"/>
          </w:tcPr>
          <w:p>
            <w:pPr>
              <w:spacing w:after="0"/>
              <w:rPr>
                <w:sz w:val="10"/>
                <w:szCs w:val="10"/>
                <w:color w:val="auto"/>
              </w:rPr>
            </w:pPr>
          </w:p>
        </w:tc>
        <w:tc>
          <w:tcPr>
            <w:tcW w:w="220" w:type="dxa"/>
            <w:vAlign w:val="bottom"/>
            <w:gridSpan w:val="4"/>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10.38</w:t>
            </w:r>
          </w:p>
        </w:tc>
        <w:tc>
          <w:tcPr>
            <w:tcW w:w="10440" w:type="dxa"/>
            <w:vAlign w:val="bottom"/>
            <w:gridSpan w:val="30"/>
          </w:tcPr>
          <w:p>
            <w:pPr>
              <w:spacing w:after="0"/>
              <w:rPr>
                <w:rFonts w:ascii="Arial" w:cs="Arial" w:eastAsia="Arial" w:hAnsi="Arial"/>
                <w:sz w:val="14"/>
                <w:szCs w:val="14"/>
                <w:color w:val="0000FF"/>
                <w:w w:val="93"/>
              </w:rPr>
            </w:pPr>
            <w:hyperlink r:id="rId193">
              <w:r>
                <w:rPr>
                  <w:rFonts w:ascii="Arial" w:cs="Arial" w:eastAsia="Arial" w:hAnsi="Arial"/>
                  <w:sz w:val="14"/>
                  <w:szCs w:val="14"/>
                  <w:color w:val="0000FF"/>
                  <w:w w:val="93"/>
                </w:rPr>
                <w:t>Confirmation of transaction, by and between Booz Allen Hamilton Inc. and SunTrust Bank, dated as of October 29, 2018 (Incorporated by reference to Exhibit 10.5 to the Company's</w:t>
              </w:r>
            </w:hyperlink>
          </w:p>
        </w:tc>
      </w:tr>
      <w:tr>
        <w:trPr>
          <w:trHeight w:val="118"/>
        </w:trPr>
        <w:tc>
          <w:tcPr>
            <w:tcW w:w="880" w:type="dxa"/>
            <w:vAlign w:val="bottom"/>
          </w:tcPr>
          <w:p>
            <w:pPr>
              <w:spacing w:after="0"/>
              <w:rPr>
                <w:sz w:val="10"/>
                <w:szCs w:val="10"/>
                <w:color w:val="auto"/>
              </w:rPr>
            </w:pPr>
          </w:p>
        </w:tc>
        <w:tc>
          <w:tcPr>
            <w:tcW w:w="44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Current Report on Form 8-K filed on November 1, 2018 (File No. 001-34972))</w:t>
              </w:r>
            </w:hyperlink>
          </w:p>
        </w:tc>
        <w:tc>
          <w:tcPr>
            <w:tcW w:w="5880" w:type="dxa"/>
            <w:vAlign w:val="bottom"/>
            <w:tcBorders>
              <w:top w:val="single" w:sz="8" w:color="0000FF"/>
            </w:tcBorders>
            <w:gridSpan w:val="24"/>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10.39</w:t>
            </w:r>
          </w:p>
        </w:tc>
        <w:tc>
          <w:tcPr>
            <w:tcW w:w="10440" w:type="dxa"/>
            <w:vAlign w:val="bottom"/>
            <w:gridSpan w:val="30"/>
          </w:tcPr>
          <w:p>
            <w:pPr>
              <w:spacing w:after="0"/>
              <w:rPr>
                <w:rFonts w:ascii="Arial" w:cs="Arial" w:eastAsia="Arial" w:hAnsi="Arial"/>
                <w:sz w:val="14"/>
                <w:szCs w:val="14"/>
                <w:color w:val="0000FF"/>
                <w:w w:val="94"/>
              </w:rPr>
            </w:pPr>
            <w:hyperlink r:id="rId194">
              <w:r>
                <w:rPr>
                  <w:rFonts w:ascii="Arial" w:cs="Arial" w:eastAsia="Arial" w:hAnsi="Arial"/>
                  <w:sz w:val="14"/>
                  <w:szCs w:val="14"/>
                  <w:color w:val="0000FF"/>
                  <w:w w:val="94"/>
                </w:rPr>
                <w:t>Confirmation of transaction, by and between Booz Allen Hamilton Inc. and U.S. Bank National Association, dated as of October 29, 2018 (Incorporated by reference to Exhibit 10.6</w:t>
              </w:r>
            </w:hyperlink>
          </w:p>
        </w:tc>
      </w:tr>
      <w:tr>
        <w:trPr>
          <w:trHeight w:val="118"/>
        </w:trPr>
        <w:tc>
          <w:tcPr>
            <w:tcW w:w="88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94">
              <w:r>
                <w:rPr>
                  <w:rFonts w:ascii="Arial" w:cs="Arial" w:eastAsia="Arial" w:hAnsi="Arial"/>
                  <w:sz w:val="13"/>
                  <w:szCs w:val="13"/>
                  <w:color w:val="0000FF"/>
                  <w:w w:val="99"/>
                </w:rPr>
                <w:t>to the Company's Current Report on Form 8-K filed on November 1, 2018 (File No. 001-34972))</w:t>
              </w:r>
            </w:hyperlink>
          </w:p>
        </w:tc>
        <w:tc>
          <w:tcPr>
            <w:tcW w:w="474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10.40</w:t>
            </w:r>
          </w:p>
        </w:tc>
        <w:tc>
          <w:tcPr>
            <w:tcW w:w="10440" w:type="dxa"/>
            <w:vAlign w:val="bottom"/>
            <w:gridSpan w:val="30"/>
          </w:tcPr>
          <w:p>
            <w:pPr>
              <w:spacing w:after="0"/>
              <w:rPr>
                <w:rFonts w:ascii="Arial" w:cs="Arial" w:eastAsia="Arial" w:hAnsi="Arial"/>
                <w:sz w:val="14"/>
                <w:szCs w:val="14"/>
                <w:color w:val="0000FF"/>
                <w:w w:val="94"/>
              </w:rPr>
            </w:pPr>
            <w:hyperlink r:id="rId195">
              <w:r>
                <w:rPr>
                  <w:rFonts w:ascii="Arial" w:cs="Arial" w:eastAsia="Arial" w:hAnsi="Arial"/>
                  <w:sz w:val="14"/>
                  <w:szCs w:val="14"/>
                  <w:color w:val="0000FF"/>
                  <w:w w:val="94"/>
                </w:rPr>
                <w:t>Confirmation of transaction, by and between Booz Allen Hamilton Inc. and Capital One, National Association, dated as of April 4, 2019 (Incorporated by reference to Exhibit 10.7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the Company's Current Report on Form 8-K filed on April 8, 2019 (File No. 001-34972))</w:t>
              </w:r>
            </w:hyperlink>
          </w:p>
        </w:tc>
        <w:tc>
          <w:tcPr>
            <w:tcW w:w="52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10.41</w:t>
            </w:r>
          </w:p>
        </w:tc>
        <w:tc>
          <w:tcPr>
            <w:tcW w:w="10440" w:type="dxa"/>
            <w:vAlign w:val="bottom"/>
            <w:gridSpan w:val="30"/>
          </w:tcPr>
          <w:p>
            <w:pPr>
              <w:spacing w:after="0"/>
              <w:rPr>
                <w:rFonts w:ascii="Arial" w:cs="Arial" w:eastAsia="Arial" w:hAnsi="Arial"/>
                <w:sz w:val="14"/>
                <w:szCs w:val="14"/>
                <w:color w:val="0000FF"/>
                <w:w w:val="95"/>
              </w:rPr>
            </w:pPr>
            <w:hyperlink r:id="rId196">
              <w:r>
                <w:rPr>
                  <w:rFonts w:ascii="Arial" w:cs="Arial" w:eastAsia="Arial" w:hAnsi="Arial"/>
                  <w:sz w:val="14"/>
                  <w:szCs w:val="14"/>
                  <w:color w:val="0000FF"/>
                  <w:w w:val="95"/>
                </w:rPr>
                <w:t>Confirmation of transaction, by and between Booz Allen Hamilton Inc. and Fifth Third Bank, dated as of April 2, 2019 (Incorporated by reference to Exhibit 10.8 to the Company's</w:t>
              </w:r>
            </w:hyperlink>
          </w:p>
        </w:tc>
      </w:tr>
      <w:tr>
        <w:trPr>
          <w:trHeight w:val="118"/>
        </w:trPr>
        <w:tc>
          <w:tcPr>
            <w:tcW w:w="880" w:type="dxa"/>
            <w:vAlign w:val="bottom"/>
          </w:tcPr>
          <w:p>
            <w:pPr>
              <w:spacing w:after="0"/>
              <w:rPr>
                <w:sz w:val="10"/>
                <w:szCs w:val="10"/>
                <w:color w:val="auto"/>
              </w:rPr>
            </w:pPr>
          </w:p>
        </w:tc>
        <w:tc>
          <w:tcPr>
            <w:tcW w:w="42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196">
              <w:r>
                <w:rPr>
                  <w:rFonts w:ascii="Arial" w:cs="Arial" w:eastAsia="Arial" w:hAnsi="Arial"/>
                  <w:sz w:val="13"/>
                  <w:szCs w:val="13"/>
                  <w:color w:val="0000FF"/>
                </w:rPr>
                <w:t>Current Report on Form 8-K filed on April 8, 2019 (File No. 001-34972))</w:t>
              </w:r>
            </w:hyperlink>
          </w:p>
        </w:tc>
        <w:tc>
          <w:tcPr>
            <w:tcW w:w="5980" w:type="dxa"/>
            <w:vAlign w:val="bottom"/>
            <w:tcBorders>
              <w:top w:val="single" w:sz="8" w:color="0000FF"/>
            </w:tcBorders>
            <w:gridSpan w:val="18"/>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10.42</w:t>
            </w:r>
          </w:p>
        </w:tc>
        <w:tc>
          <w:tcPr>
            <w:tcW w:w="10440" w:type="dxa"/>
            <w:vAlign w:val="bottom"/>
            <w:gridSpan w:val="30"/>
          </w:tcPr>
          <w:p>
            <w:pPr>
              <w:spacing w:after="0"/>
              <w:rPr>
                <w:rFonts w:ascii="Arial" w:cs="Arial" w:eastAsia="Arial" w:hAnsi="Arial"/>
                <w:sz w:val="14"/>
                <w:szCs w:val="14"/>
                <w:color w:val="0000FF"/>
                <w:w w:val="94"/>
              </w:rPr>
            </w:pPr>
            <w:hyperlink r:id="rId197">
              <w:r>
                <w:rPr>
                  <w:rFonts w:ascii="Arial" w:cs="Arial" w:eastAsia="Arial" w:hAnsi="Arial"/>
                  <w:sz w:val="14"/>
                  <w:szCs w:val="14"/>
                  <w:color w:val="0000FF"/>
                  <w:w w:val="94"/>
                </w:rPr>
                <w:t>Confirmation of transaction, by and between Booz Allen Hamilton Inc. and Capital One, National Association, dated as of April 4, 2019 (Incorporated by reference to Exhibit 10.9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the Company's Current Report on Form 8-K filed on April 8, 2019 (File No. 001-34972))</w:t>
              </w:r>
            </w:hyperlink>
          </w:p>
        </w:tc>
        <w:tc>
          <w:tcPr>
            <w:tcW w:w="52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10.43</w:t>
            </w:r>
          </w:p>
        </w:tc>
        <w:tc>
          <w:tcPr>
            <w:tcW w:w="10440" w:type="dxa"/>
            <w:vAlign w:val="bottom"/>
            <w:gridSpan w:val="30"/>
          </w:tcPr>
          <w:p>
            <w:pPr>
              <w:spacing w:after="0"/>
              <w:rPr>
                <w:rFonts w:ascii="Arial" w:cs="Arial" w:eastAsia="Arial" w:hAnsi="Arial"/>
                <w:sz w:val="14"/>
                <w:szCs w:val="14"/>
                <w:color w:val="0000FF"/>
                <w:w w:val="94"/>
              </w:rPr>
            </w:pPr>
            <w:hyperlink r:id="rId198">
              <w:r>
                <w:rPr>
                  <w:rFonts w:ascii="Arial" w:cs="Arial" w:eastAsia="Arial" w:hAnsi="Arial"/>
                  <w:sz w:val="14"/>
                  <w:szCs w:val="14"/>
                  <w:color w:val="0000FF"/>
                  <w:w w:val="94"/>
                </w:rPr>
                <w:t>Confirmation of transaction, by and between Booz Allen Hamilton Inc. and PNC Bank, National Association, dated as of April 2, 2019 (Incorporated by reference to Exhibit 10.10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98">
              <w:r>
                <w:rPr>
                  <w:rFonts w:ascii="Arial" w:cs="Arial" w:eastAsia="Arial" w:hAnsi="Arial"/>
                  <w:sz w:val="13"/>
                  <w:szCs w:val="13"/>
                  <w:color w:val="0000FF"/>
                </w:rPr>
                <w:t>the Company's Current Report on Form 8-K filed on April 8, 2019 (File No. 001-34972))</w:t>
              </w:r>
            </w:hyperlink>
          </w:p>
        </w:tc>
        <w:tc>
          <w:tcPr>
            <w:tcW w:w="5260" w:type="dxa"/>
            <w:vAlign w:val="bottom"/>
            <w:tcBorders>
              <w:top w:val="single" w:sz="8" w:color="0000FF"/>
            </w:tcBorders>
            <w:gridSpan w:val="19"/>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10.44</w:t>
            </w:r>
          </w:p>
        </w:tc>
        <w:tc>
          <w:tcPr>
            <w:tcW w:w="10440" w:type="dxa"/>
            <w:vAlign w:val="bottom"/>
            <w:gridSpan w:val="30"/>
          </w:tcPr>
          <w:p>
            <w:pPr>
              <w:spacing w:after="0"/>
              <w:rPr>
                <w:rFonts w:ascii="Arial" w:cs="Arial" w:eastAsia="Arial" w:hAnsi="Arial"/>
                <w:sz w:val="14"/>
                <w:szCs w:val="14"/>
                <w:color w:val="0000FF"/>
                <w:w w:val="94"/>
              </w:rPr>
            </w:pPr>
            <w:hyperlink r:id="rId199">
              <w:r>
                <w:rPr>
                  <w:rFonts w:ascii="Arial" w:cs="Arial" w:eastAsia="Arial" w:hAnsi="Arial"/>
                  <w:sz w:val="14"/>
                  <w:szCs w:val="14"/>
                  <w:color w:val="0000FF"/>
                  <w:w w:val="94"/>
                </w:rPr>
                <w:t>Confirmation of transaction, by and between Booz Allen Hamilton Inc. and SMBC Capital Markets, Inc., dated as of April 2, 2019 (Incorporated by reference to Exhibit 10.11 to the</w:t>
              </w:r>
            </w:hyperlink>
          </w:p>
        </w:tc>
      </w:tr>
      <w:tr>
        <w:trPr>
          <w:trHeight w:val="118"/>
        </w:trPr>
        <w:tc>
          <w:tcPr>
            <w:tcW w:w="880" w:type="dxa"/>
            <w:vAlign w:val="bottom"/>
          </w:tcPr>
          <w:p>
            <w:pPr>
              <w:spacing w:after="0"/>
              <w:rPr>
                <w:sz w:val="10"/>
                <w:szCs w:val="10"/>
                <w:color w:val="auto"/>
              </w:rPr>
            </w:pPr>
          </w:p>
        </w:tc>
        <w:tc>
          <w:tcPr>
            <w:tcW w:w="1026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Company's Current Report on Form 8-K filed on April 8, 2019 (File No. 001-34972))</w:t>
              </w:r>
            </w:hyperlink>
          </w:p>
        </w:tc>
        <w:tc>
          <w:tcPr>
            <w:tcW w:w="180" w:type="dxa"/>
            <w:vAlign w:val="bottom"/>
            <w:gridSpan w:val="9"/>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4840" w:type="dxa"/>
            <w:vAlign w:val="bottom"/>
            <w:tcBorders>
              <w:top w:val="single" w:sz="8" w:color="0000FF"/>
            </w:tcBorders>
            <w:gridSpan w:val="3"/>
          </w:tcPr>
          <w:p>
            <w:pPr>
              <w:ind w:left="4700"/>
              <w:spacing w:after="0"/>
              <w:rPr>
                <w:sz w:val="20"/>
                <w:szCs w:val="20"/>
                <w:color w:val="auto"/>
              </w:rPr>
            </w:pPr>
            <w:r>
              <w:rPr>
                <w:rFonts w:ascii="Arial" w:cs="Arial" w:eastAsia="Arial" w:hAnsi="Arial"/>
                <w:sz w:val="14"/>
                <w:szCs w:val="14"/>
                <w:color w:val="auto"/>
                <w:w w:val="76"/>
              </w:rPr>
              <w:t>74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color w:val="auto"/>
              </w:rPr>
              <w:t>10.45</w:t>
            </w:r>
          </w:p>
        </w:tc>
        <w:tc>
          <w:tcPr>
            <w:tcW w:w="10420" w:type="dxa"/>
            <w:vAlign w:val="bottom"/>
            <w:gridSpan w:val="29"/>
          </w:tcPr>
          <w:p>
            <w:pPr>
              <w:spacing w:after="0"/>
              <w:rPr>
                <w:rFonts w:ascii="Arial" w:cs="Arial" w:eastAsia="Arial" w:hAnsi="Arial"/>
                <w:sz w:val="14"/>
                <w:szCs w:val="14"/>
                <w:color w:val="0000FF"/>
                <w:w w:val="97"/>
              </w:rPr>
            </w:pPr>
            <w:hyperlink r:id="rId202">
              <w:r>
                <w:rPr>
                  <w:rFonts w:ascii="Arial" w:cs="Arial" w:eastAsia="Arial" w:hAnsi="Arial"/>
                  <w:sz w:val="14"/>
                  <w:szCs w:val="14"/>
                  <w:color w:val="0000FF"/>
                  <w:w w:val="97"/>
                </w:rPr>
                <w:t>Confirmation of transaction, by and between Booz Allen Hamilton Inc. and Bank of America, N.A., dated as of April 3, 2019 (Incorporated by reference to Exhibit 10.12 to the</w:t>
              </w:r>
            </w:hyperlink>
          </w:p>
        </w:tc>
      </w:tr>
      <w:tr>
        <w:trPr>
          <w:trHeight w:val="118"/>
        </w:trPr>
        <w:tc>
          <w:tcPr>
            <w:tcW w:w="880" w:type="dxa"/>
            <w:vAlign w:val="bottom"/>
          </w:tcPr>
          <w:p>
            <w:pPr>
              <w:spacing w:after="0"/>
              <w:rPr>
                <w:sz w:val="10"/>
                <w:szCs w:val="10"/>
                <w:color w:val="auto"/>
              </w:rPr>
            </w:pPr>
          </w:p>
        </w:tc>
        <w:tc>
          <w:tcPr>
            <w:tcW w:w="994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202">
              <w:r>
                <w:rPr>
                  <w:rFonts w:ascii="Arial" w:cs="Arial" w:eastAsia="Arial" w:hAnsi="Arial"/>
                  <w:sz w:val="13"/>
                  <w:szCs w:val="13"/>
                  <w:color w:val="0000FF"/>
                </w:rPr>
                <w:t>Company's Current Report on Form 8-K filed on April 8, 2019 (File No. 001-34972))</w:t>
              </w:r>
            </w:hyperlink>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10.46</w:t>
            </w:r>
          </w:p>
        </w:tc>
        <w:tc>
          <w:tcPr>
            <w:tcW w:w="10420" w:type="dxa"/>
            <w:vAlign w:val="bottom"/>
            <w:gridSpan w:val="29"/>
          </w:tcPr>
          <w:p>
            <w:pPr>
              <w:spacing w:after="0"/>
              <w:rPr>
                <w:rFonts w:ascii="Arial" w:cs="Arial" w:eastAsia="Arial" w:hAnsi="Arial"/>
                <w:sz w:val="14"/>
                <w:szCs w:val="14"/>
                <w:color w:val="0000FF"/>
                <w:w w:val="94"/>
              </w:rPr>
            </w:pPr>
            <w:hyperlink r:id="rId203">
              <w:r>
                <w:rPr>
                  <w:rFonts w:ascii="Arial" w:cs="Arial" w:eastAsia="Arial" w:hAnsi="Arial"/>
                  <w:sz w:val="14"/>
                  <w:szCs w:val="14"/>
                  <w:color w:val="0000FF"/>
                  <w:w w:val="94"/>
                </w:rPr>
                <w:t>Confirmation of transaction, by and between Booz Allen Hamilton Inc. and U.S. Bank National Association, dated as of April 2, 2019 (Incorporated by reference to Exhibit 10.13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the Company's Current Report on Form 8-K filed on April 8, 2019 (File No. 001-34972))</w:t>
              </w:r>
            </w:hyperlink>
          </w:p>
        </w:tc>
        <w:tc>
          <w:tcPr>
            <w:tcW w:w="52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10.47</w:t>
            </w:r>
          </w:p>
        </w:tc>
        <w:tc>
          <w:tcPr>
            <w:tcW w:w="10420" w:type="dxa"/>
            <w:vAlign w:val="bottom"/>
            <w:gridSpan w:val="29"/>
          </w:tcPr>
          <w:p>
            <w:pPr>
              <w:spacing w:after="0"/>
              <w:rPr>
                <w:rFonts w:ascii="Arial" w:cs="Arial" w:eastAsia="Arial" w:hAnsi="Arial"/>
                <w:sz w:val="14"/>
                <w:szCs w:val="14"/>
                <w:color w:val="0000FF"/>
                <w:w w:val="94"/>
              </w:rPr>
            </w:pPr>
            <w:hyperlink r:id="rId204">
              <w:r>
                <w:rPr>
                  <w:rFonts w:ascii="Arial" w:cs="Arial" w:eastAsia="Arial" w:hAnsi="Arial"/>
                  <w:sz w:val="14"/>
                  <w:szCs w:val="14"/>
                  <w:color w:val="0000FF"/>
                  <w:w w:val="94"/>
                </w:rPr>
                <w:t>Confirmation of transaction, by and between Booz Allen Hamilton Inc. and Fifth Third Bank, dated as of April 2, 2019 (Incorporated by reference to Exhibit 10.14 to the Company's</w:t>
              </w:r>
            </w:hyperlink>
          </w:p>
        </w:tc>
      </w:tr>
      <w:tr>
        <w:trPr>
          <w:trHeight w:val="118"/>
        </w:trPr>
        <w:tc>
          <w:tcPr>
            <w:tcW w:w="88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Current Report on Form 8-K filed on April 8, 2019 (File No. 001-34972))</w:t>
              </w:r>
            </w:hyperlink>
          </w:p>
        </w:tc>
        <w:tc>
          <w:tcPr>
            <w:tcW w:w="61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10.48</w:t>
            </w:r>
          </w:p>
        </w:tc>
        <w:tc>
          <w:tcPr>
            <w:tcW w:w="10420" w:type="dxa"/>
            <w:vAlign w:val="bottom"/>
            <w:gridSpan w:val="29"/>
          </w:tcPr>
          <w:p>
            <w:pPr>
              <w:spacing w:after="0"/>
              <w:rPr>
                <w:rFonts w:ascii="Arial" w:cs="Arial" w:eastAsia="Arial" w:hAnsi="Arial"/>
                <w:sz w:val="14"/>
                <w:szCs w:val="14"/>
                <w:color w:val="0000FF"/>
                <w:w w:val="94"/>
              </w:rPr>
            </w:pPr>
            <w:hyperlink r:id="rId205">
              <w:r>
                <w:rPr>
                  <w:rFonts w:ascii="Arial" w:cs="Arial" w:eastAsia="Arial" w:hAnsi="Arial"/>
                  <w:sz w:val="14"/>
                  <w:szCs w:val="14"/>
                  <w:color w:val="0000FF"/>
                  <w:w w:val="94"/>
                </w:rPr>
                <w:t>Assumption Agreement, dated as of April 14, 2017, by eGov Holdings, Inc. and Aquilent, Inc. in favor of Bank of America, N.A., as collateral agent for the banks and other financial</w:t>
              </w:r>
            </w:hyperlink>
          </w:p>
        </w:tc>
      </w:tr>
      <w:tr>
        <w:trPr>
          <w:trHeight w:val="118"/>
        </w:trPr>
        <w:tc>
          <w:tcPr>
            <w:tcW w:w="880" w:type="dxa"/>
            <w:vAlign w:val="bottom"/>
          </w:tcPr>
          <w:p>
            <w:pPr>
              <w:spacing w:after="0"/>
              <w:rPr>
                <w:sz w:val="10"/>
                <w:szCs w:val="10"/>
                <w:color w:val="auto"/>
              </w:rPr>
            </w:pPr>
          </w:p>
        </w:tc>
        <w:tc>
          <w:tcPr>
            <w:tcW w:w="10340" w:type="dxa"/>
            <w:vAlign w:val="bottom"/>
            <w:tcBorders>
              <w:top w:val="single" w:sz="8" w:color="0000FF"/>
            </w:tcBorders>
            <w:gridSpan w:val="25"/>
          </w:tcPr>
          <w:p>
            <w:pPr>
              <w:spacing w:after="0" w:line="118" w:lineRule="exact"/>
              <w:rPr>
                <w:rFonts w:ascii="Arial" w:cs="Arial" w:eastAsia="Arial" w:hAnsi="Arial"/>
                <w:sz w:val="13"/>
                <w:szCs w:val="13"/>
                <w:color w:val="0000FF"/>
                <w:w w:val="99"/>
              </w:rPr>
            </w:pPr>
            <w:hyperlink r:id="rId205">
              <w:r>
                <w:rPr>
                  <w:rFonts w:ascii="Arial" w:cs="Arial" w:eastAsia="Arial" w:hAnsi="Arial"/>
                  <w:sz w:val="13"/>
                  <w:szCs w:val="13"/>
                  <w:color w:val="0000FF"/>
                  <w:w w:val="99"/>
                </w:rPr>
                <w:t>institutions or entities party to the Credit Agreement, as amended (Incorporated by reference to Exhibit 10.10 to the Company’s Quarterly Report for the period ended June 30,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21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9"/>
              </w:rPr>
            </w:pPr>
            <w:hyperlink r:id="rId205">
              <w:r>
                <w:rPr>
                  <w:rFonts w:ascii="Arial" w:cs="Arial" w:eastAsia="Arial" w:hAnsi="Arial"/>
                  <w:sz w:val="13"/>
                  <w:szCs w:val="13"/>
                  <w:color w:val="0000FF"/>
                  <w:w w:val="99"/>
                </w:rPr>
                <w:t>on Form 10-Q (File No. 001-34972))</w:t>
              </w:r>
            </w:hyperlink>
          </w:p>
        </w:tc>
        <w:tc>
          <w:tcPr>
            <w:tcW w:w="8140" w:type="dxa"/>
            <w:vAlign w:val="bottom"/>
            <w:tcBorders>
              <w:top w:val="single" w:sz="8" w:color="0000FF"/>
            </w:tcBorders>
            <w:gridSpan w:val="19"/>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10.49</w:t>
            </w:r>
          </w:p>
        </w:tc>
        <w:tc>
          <w:tcPr>
            <w:tcW w:w="10420" w:type="dxa"/>
            <w:vAlign w:val="bottom"/>
            <w:gridSpan w:val="29"/>
          </w:tcPr>
          <w:p>
            <w:pPr>
              <w:spacing w:after="0"/>
              <w:rPr>
                <w:rFonts w:ascii="Arial" w:cs="Arial" w:eastAsia="Arial" w:hAnsi="Arial"/>
                <w:sz w:val="14"/>
                <w:szCs w:val="14"/>
                <w:color w:val="0000FF"/>
                <w:w w:val="98"/>
              </w:rPr>
            </w:pPr>
            <w:hyperlink r:id="rId206">
              <w:r>
                <w:rPr>
                  <w:rFonts w:ascii="Arial" w:cs="Arial" w:eastAsia="Arial" w:hAnsi="Arial"/>
                  <w:sz w:val="14"/>
                  <w:szCs w:val="14"/>
                  <w:color w:val="0000FF"/>
                  <w:w w:val="98"/>
                </w:rPr>
                <w:t>Assumption Agreement, dated as of November 5, 2021, by Liberty IT Solutions, LLC, in favor of Bank of America, N.A., as collateral agent for the banks and other financial</w:t>
              </w:r>
            </w:hyperlink>
          </w:p>
        </w:tc>
      </w:tr>
      <w:tr>
        <w:trPr>
          <w:trHeight w:val="118"/>
        </w:trPr>
        <w:tc>
          <w:tcPr>
            <w:tcW w:w="880" w:type="dxa"/>
            <w:vAlign w:val="bottom"/>
          </w:tcPr>
          <w:p>
            <w:pPr>
              <w:spacing w:after="0"/>
              <w:rPr>
                <w:sz w:val="10"/>
                <w:szCs w:val="10"/>
                <w:color w:val="auto"/>
              </w:rPr>
            </w:pPr>
          </w:p>
        </w:tc>
        <w:tc>
          <w:tcPr>
            <w:tcW w:w="9840" w:type="dxa"/>
            <w:vAlign w:val="bottom"/>
            <w:tcBorders>
              <w:top w:val="single" w:sz="8" w:color="0000FF"/>
            </w:tcBorders>
            <w:gridSpan w:val="12"/>
          </w:tcPr>
          <w:p>
            <w:pPr>
              <w:spacing w:after="0" w:line="118" w:lineRule="exact"/>
              <w:rPr>
                <w:rFonts w:ascii="Arial" w:cs="Arial" w:eastAsia="Arial" w:hAnsi="Arial"/>
                <w:sz w:val="13"/>
                <w:szCs w:val="13"/>
                <w:color w:val="0000FF"/>
                <w:w w:val="97"/>
              </w:rPr>
            </w:pPr>
            <w:hyperlink r:id="rId206">
              <w:r>
                <w:rPr>
                  <w:rFonts w:ascii="Arial" w:cs="Arial" w:eastAsia="Arial" w:hAnsi="Arial"/>
                  <w:sz w:val="13"/>
                  <w:szCs w:val="13"/>
                  <w:color w:val="0000FF"/>
                  <w:w w:val="97"/>
                </w:rPr>
                <w:t>institutions or entities party to the Credit Agreement, as amended (Incorporated by reference to Exhibit 10.1 to the Company’s Quarterly Report for the period ended December</w:t>
              </w:r>
            </w:hyperlink>
          </w:p>
        </w:tc>
        <w:tc>
          <w:tcPr>
            <w:tcW w:w="340" w:type="dxa"/>
            <w:vAlign w:val="bottom"/>
            <w:gridSpan w:val="5"/>
          </w:tcPr>
          <w:p>
            <w:pPr>
              <w:jc w:val="right"/>
              <w:ind w:right="40"/>
              <w:spacing w:after="0" w:line="118" w:lineRule="exact"/>
              <w:rPr>
                <w:rFonts w:ascii="Arial" w:cs="Arial" w:eastAsia="Arial" w:hAnsi="Arial"/>
                <w:sz w:val="13"/>
                <w:szCs w:val="13"/>
                <w:color w:val="0000FF"/>
              </w:rPr>
            </w:pPr>
            <w:hyperlink r:id="rId206">
              <w:r>
                <w:rPr>
                  <w:rFonts w:ascii="Arial" w:cs="Arial" w:eastAsia="Arial" w:hAnsi="Arial"/>
                  <w:sz w:val="13"/>
                  <w:szCs w:val="13"/>
                  <w:color w:val="0000FF"/>
                </w:rPr>
                <w:t>31,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206">
              <w:r>
                <w:rPr>
                  <w:rFonts w:ascii="Arial" w:cs="Arial" w:eastAsia="Arial" w:hAnsi="Arial"/>
                  <w:sz w:val="13"/>
                  <w:szCs w:val="13"/>
                  <w:color w:val="0000FF"/>
                  <w:w w:val="99"/>
                </w:rPr>
                <w:t>2021 on Form 10-Q (File No. 001-34972))</w:t>
              </w:r>
            </w:hyperlink>
          </w:p>
        </w:tc>
        <w:tc>
          <w:tcPr>
            <w:tcW w:w="7720" w:type="dxa"/>
            <w:vAlign w:val="bottom"/>
            <w:tcBorders>
              <w:top w:val="single" w:sz="8" w:color="0000FF"/>
            </w:tcBorders>
            <w:gridSpan w:val="1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10.50†</w:t>
            </w:r>
          </w:p>
        </w:tc>
        <w:tc>
          <w:tcPr>
            <w:tcW w:w="10420" w:type="dxa"/>
            <w:vAlign w:val="bottom"/>
            <w:gridSpan w:val="29"/>
          </w:tcPr>
          <w:p>
            <w:pPr>
              <w:spacing w:after="0"/>
              <w:rPr>
                <w:rFonts w:ascii="Arial" w:cs="Arial" w:eastAsia="Arial" w:hAnsi="Arial"/>
                <w:sz w:val="14"/>
                <w:szCs w:val="14"/>
                <w:color w:val="0000FF"/>
                <w:w w:val="94"/>
              </w:rPr>
            </w:pPr>
            <w:hyperlink r:id="rId207">
              <w:r>
                <w:rPr>
                  <w:rFonts w:ascii="Arial" w:cs="Arial" w:eastAsia="Arial" w:hAnsi="Arial"/>
                  <w:sz w:val="14"/>
                  <w:szCs w:val="14"/>
                  <w:color w:val="0000FF"/>
                  <w:w w:val="94"/>
                </w:rPr>
                <w:t>Booz Allen Hamilton Inc. Nonqualified Deferred Compensation Plan (Incorporated by reference to Exhibit 10.7 to the Company’s Quarterly Report for the period ended December</w:t>
              </w:r>
            </w:hyperlink>
          </w:p>
        </w:tc>
      </w:tr>
      <w:tr>
        <w:trPr>
          <w:trHeight w:val="118"/>
        </w:trPr>
        <w:tc>
          <w:tcPr>
            <w:tcW w:w="880" w:type="dxa"/>
            <w:vAlign w:val="bottom"/>
          </w:tcPr>
          <w:p>
            <w:pPr>
              <w:spacing w:after="0"/>
              <w:rPr>
                <w:sz w:val="10"/>
                <w:szCs w:val="10"/>
                <w:color w:val="auto"/>
              </w:rPr>
            </w:pPr>
          </w:p>
        </w:tc>
        <w:tc>
          <w:tcPr>
            <w:tcW w:w="1018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31, 2018 on Form 10-Q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10.51†</w:t>
            </w:r>
          </w:p>
        </w:tc>
        <w:tc>
          <w:tcPr>
            <w:tcW w:w="10420" w:type="dxa"/>
            <w:vAlign w:val="bottom"/>
            <w:gridSpan w:val="29"/>
          </w:tcPr>
          <w:p>
            <w:pPr>
              <w:spacing w:after="0"/>
              <w:rPr>
                <w:rFonts w:ascii="Arial" w:cs="Arial" w:eastAsia="Arial" w:hAnsi="Arial"/>
                <w:sz w:val="14"/>
                <w:szCs w:val="14"/>
                <w:color w:val="0000FF"/>
                <w:w w:val="93"/>
              </w:rPr>
            </w:pPr>
            <w:hyperlink r:id="rId208">
              <w:r>
                <w:rPr>
                  <w:rFonts w:ascii="Arial" w:cs="Arial" w:eastAsia="Arial" w:hAnsi="Arial"/>
                  <w:sz w:val="14"/>
                  <w:szCs w:val="14"/>
                  <w:color w:val="0000FF"/>
                  <w:w w:val="93"/>
                </w:rPr>
                <w:t>First Amendment to the Nonqualified Deferred Compensation Plan (Incorporated by reference to Exhibit 10.1 to the Company’s Quarterly Report for the period ended September 30,</w:t>
              </w:r>
            </w:hyperlink>
          </w:p>
        </w:tc>
      </w:tr>
      <w:tr>
        <w:trPr>
          <w:trHeight w:val="118"/>
        </w:trPr>
        <w:tc>
          <w:tcPr>
            <w:tcW w:w="88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208">
              <w:r>
                <w:rPr>
                  <w:rFonts w:ascii="Arial" w:cs="Arial" w:eastAsia="Arial" w:hAnsi="Arial"/>
                  <w:sz w:val="13"/>
                  <w:szCs w:val="13"/>
                  <w:color w:val="0000FF"/>
                  <w:w w:val="99"/>
                </w:rPr>
                <w:t>2019 on Form 10-Q (File No. 001-34972))</w:t>
              </w:r>
            </w:hyperlink>
          </w:p>
        </w:tc>
        <w:tc>
          <w:tcPr>
            <w:tcW w:w="7900" w:type="dxa"/>
            <w:vAlign w:val="bottom"/>
            <w:tcBorders>
              <w:top w:val="single" w:sz="8" w:color="0000FF"/>
            </w:tcBorders>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10.52†</w:t>
            </w:r>
          </w:p>
        </w:tc>
        <w:tc>
          <w:tcPr>
            <w:tcW w:w="10420" w:type="dxa"/>
            <w:vAlign w:val="bottom"/>
            <w:gridSpan w:val="29"/>
          </w:tcPr>
          <w:p>
            <w:pPr>
              <w:spacing w:after="0"/>
              <w:rPr>
                <w:rFonts w:ascii="Arial" w:cs="Arial" w:eastAsia="Arial" w:hAnsi="Arial"/>
                <w:sz w:val="14"/>
                <w:szCs w:val="14"/>
                <w:color w:val="0000FF"/>
                <w:w w:val="93"/>
              </w:rPr>
            </w:pPr>
            <w:hyperlink r:id="rId209">
              <w:r>
                <w:rPr>
                  <w:rFonts w:ascii="Arial" w:cs="Arial" w:eastAsia="Arial" w:hAnsi="Arial"/>
                  <w:sz w:val="14"/>
                  <w:szCs w:val="14"/>
                  <w:color w:val="0000FF"/>
                  <w:w w:val="93"/>
                </w:rPr>
                <w:t>Form of Restricted Stock Unit Agreement under the Second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209">
              <w:r>
                <w:rPr>
                  <w:rFonts w:ascii="Arial" w:cs="Arial" w:eastAsia="Arial" w:hAnsi="Arial"/>
                  <w:sz w:val="13"/>
                  <w:szCs w:val="13"/>
                  <w:color w:val="0000FF"/>
                </w:rPr>
                <w:t>Exhibit 10.39 to the Company’s Annual Report for the year ended March 31, 2017 on Form 10-K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10.53†</w:t>
            </w:r>
          </w:p>
        </w:tc>
        <w:tc>
          <w:tcPr>
            <w:tcW w:w="10420" w:type="dxa"/>
            <w:vAlign w:val="bottom"/>
            <w:gridSpan w:val="29"/>
          </w:tcPr>
          <w:p>
            <w:pPr>
              <w:spacing w:after="0"/>
              <w:rPr>
                <w:rFonts w:ascii="Arial" w:cs="Arial" w:eastAsia="Arial" w:hAnsi="Arial"/>
                <w:sz w:val="14"/>
                <w:szCs w:val="14"/>
                <w:color w:val="0000FF"/>
                <w:w w:val="93"/>
              </w:rPr>
            </w:pPr>
            <w:hyperlink r:id="rId210">
              <w:r>
                <w:rPr>
                  <w:rFonts w:ascii="Arial" w:cs="Arial" w:eastAsia="Arial" w:hAnsi="Arial"/>
                  <w:sz w:val="14"/>
                  <w:szCs w:val="14"/>
                  <w:color w:val="0000FF"/>
                  <w:w w:val="93"/>
                </w:rPr>
                <w:t>Form of Restricted Stock Unit Agreement under the Second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Exhibit 10.58 to the Company’s Annual Report for the year ended March 31, 2019 on Form 10-K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10.54†</w:t>
            </w:r>
          </w:p>
        </w:tc>
        <w:tc>
          <w:tcPr>
            <w:tcW w:w="10420" w:type="dxa"/>
            <w:vAlign w:val="bottom"/>
            <w:gridSpan w:val="29"/>
          </w:tcPr>
          <w:p>
            <w:pPr>
              <w:spacing w:after="0"/>
              <w:rPr>
                <w:rFonts w:ascii="Arial" w:cs="Arial" w:eastAsia="Arial" w:hAnsi="Arial"/>
                <w:sz w:val="14"/>
                <w:szCs w:val="14"/>
                <w:color w:val="0000FF"/>
                <w:w w:val="94"/>
              </w:rPr>
            </w:pPr>
            <w:hyperlink r:id="rId210">
              <w:r>
                <w:rPr>
                  <w:rFonts w:ascii="Arial" w:cs="Arial" w:eastAsia="Arial" w:hAnsi="Arial"/>
                  <w:sz w:val="14"/>
                  <w:szCs w:val="14"/>
                  <w:color w:val="0000FF"/>
                  <w:w w:val="94"/>
                </w:rPr>
                <w:t>Form of Restricted Stock Unit Agreement under the Third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22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Exhibit 10.58 to the Company’s Annual Report for the year ended March 31, 2020 on Form 10-K (File No. 001-34972))</w:t>
              </w:r>
            </w:hyperlink>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10.55†</w:t>
            </w:r>
          </w:p>
        </w:tc>
        <w:tc>
          <w:tcPr>
            <w:tcW w:w="10420" w:type="dxa"/>
            <w:vAlign w:val="bottom"/>
            <w:gridSpan w:val="29"/>
          </w:tcPr>
          <w:p>
            <w:pPr>
              <w:spacing w:after="0"/>
              <w:rPr>
                <w:rFonts w:ascii="Arial" w:cs="Arial" w:eastAsia="Arial" w:hAnsi="Arial"/>
                <w:sz w:val="14"/>
                <w:szCs w:val="14"/>
                <w:color w:val="0000FF"/>
                <w:w w:val="93"/>
              </w:rPr>
            </w:pPr>
            <w:hyperlink r:id="rId211">
              <w:r>
                <w:rPr>
                  <w:rFonts w:ascii="Arial" w:cs="Arial" w:eastAsia="Arial" w:hAnsi="Arial"/>
                  <w:sz w:val="14"/>
                  <w:szCs w:val="14"/>
                  <w:color w:val="0000FF"/>
                  <w:w w:val="93"/>
                </w:rPr>
                <w:t>Form of Stock Option Agreement under the Second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11">
              <w:r>
                <w:rPr>
                  <w:rFonts w:ascii="Arial" w:cs="Arial" w:eastAsia="Arial" w:hAnsi="Arial"/>
                  <w:sz w:val="13"/>
                  <w:szCs w:val="13"/>
                  <w:color w:val="0000FF"/>
                </w:rPr>
                <w:t>10.</w:t>
              </w:r>
              <w:r>
                <w:rPr>
                  <w:rFonts w:ascii="Arial" w:cs="Arial" w:eastAsia="Arial" w:hAnsi="Arial"/>
                  <w:sz w:val="13"/>
                  <w:szCs w:val="13"/>
                  <w:u w:val="single" w:color="auto"/>
                  <w:color w:val="0000FF"/>
                </w:rPr>
                <w:t>36</w:t>
              </w:r>
              <w:r>
                <w:rPr>
                  <w:rFonts w:ascii="Arial" w:cs="Arial" w:eastAsia="Arial" w:hAnsi="Arial"/>
                  <w:sz w:val="13"/>
                  <w:szCs w:val="13"/>
                  <w:color w:val="0000FF"/>
                </w:rPr>
                <w:t xml:space="preserve"> to the Company’s Annual Report for the year ended March 31, 2017 on Form 10-K (File No. 001-34972))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10.56†</w:t>
            </w:r>
          </w:p>
        </w:tc>
        <w:tc>
          <w:tcPr>
            <w:tcW w:w="10420" w:type="dxa"/>
            <w:vAlign w:val="bottom"/>
            <w:gridSpan w:val="29"/>
          </w:tcPr>
          <w:p>
            <w:pPr>
              <w:spacing w:after="0"/>
              <w:rPr>
                <w:rFonts w:ascii="Arial" w:cs="Arial" w:eastAsia="Arial" w:hAnsi="Arial"/>
                <w:sz w:val="14"/>
                <w:szCs w:val="14"/>
                <w:color w:val="0000FF"/>
                <w:w w:val="93"/>
              </w:rPr>
            </w:pPr>
            <w:hyperlink r:id="rId212">
              <w:r>
                <w:rPr>
                  <w:rFonts w:ascii="Arial" w:cs="Arial" w:eastAsia="Arial" w:hAnsi="Arial"/>
                  <w:sz w:val="14"/>
                  <w:szCs w:val="14"/>
                  <w:color w:val="0000FF"/>
                  <w:w w:val="93"/>
                </w:rPr>
                <w:t>Form of Stock Option Agreement under the Second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12">
              <w:r>
                <w:rPr>
                  <w:rFonts w:ascii="Arial" w:cs="Arial" w:eastAsia="Arial" w:hAnsi="Arial"/>
                  <w:sz w:val="13"/>
                  <w:szCs w:val="13"/>
                  <w:color w:val="0000FF"/>
                </w:rPr>
                <w:t>10.</w:t>
              </w:r>
              <w:r>
                <w:rPr>
                  <w:rFonts w:ascii="Arial" w:cs="Arial" w:eastAsia="Arial" w:hAnsi="Arial"/>
                  <w:sz w:val="13"/>
                  <w:szCs w:val="13"/>
                  <w:u w:val="single" w:color="auto"/>
                  <w:color w:val="0000FF"/>
                </w:rPr>
                <w:t>59</w:t>
              </w:r>
              <w:r>
                <w:rPr>
                  <w:rFonts w:ascii="Arial" w:cs="Arial" w:eastAsia="Arial" w:hAnsi="Arial"/>
                  <w:sz w:val="13"/>
                  <w:szCs w:val="13"/>
                  <w:color w:val="0000FF"/>
                </w:rPr>
                <w:t xml:space="preserve"> to the Company’s Annual Report for the year ended March 31, 2019 on Form 10-K (File No. 001-34972))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10.57†</w:t>
            </w:r>
          </w:p>
        </w:tc>
        <w:tc>
          <w:tcPr>
            <w:tcW w:w="10420" w:type="dxa"/>
            <w:vAlign w:val="bottom"/>
            <w:gridSpan w:val="29"/>
          </w:tcPr>
          <w:p>
            <w:pPr>
              <w:spacing w:after="0"/>
              <w:rPr>
                <w:rFonts w:ascii="Arial" w:cs="Arial" w:eastAsia="Arial" w:hAnsi="Arial"/>
                <w:sz w:val="14"/>
                <w:szCs w:val="14"/>
                <w:color w:val="0000FF"/>
                <w:w w:val="95"/>
              </w:rPr>
            </w:pPr>
            <w:hyperlink r:id="rId213">
              <w:r>
                <w:rPr>
                  <w:rFonts w:ascii="Arial" w:cs="Arial" w:eastAsia="Arial" w:hAnsi="Arial"/>
                  <w:sz w:val="14"/>
                  <w:szCs w:val="14"/>
                  <w:color w:val="0000FF"/>
                  <w:w w:val="95"/>
                </w:rPr>
                <w:t>Form of Stock Option Agreement under the Third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626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213">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61</w:t>
              </w:r>
              <w:r>
                <w:rPr>
                  <w:rFonts w:ascii="Arial" w:cs="Arial" w:eastAsia="Arial" w:hAnsi="Arial"/>
                  <w:sz w:val="13"/>
                  <w:szCs w:val="13"/>
                  <w:color w:val="0000FF"/>
                  <w:w w:val="99"/>
                </w:rPr>
                <w:t xml:space="preserve"> to the Company's Annual Report for the year ended March 31, 2020 on Form 10-K (file No. 001-34972)</w:t>
              </w:r>
            </w:hyperlink>
          </w:p>
        </w:tc>
        <w:tc>
          <w:tcPr>
            <w:tcW w:w="3940" w:type="dxa"/>
            <w:vAlign w:val="bottom"/>
            <w:tcBorders>
              <w:top w:val="single" w:sz="8" w:color="0000FF"/>
            </w:tcBorders>
            <w:gridSpan w:val="11"/>
          </w:tcPr>
          <w:p>
            <w:pPr>
              <w:spacing w:after="0"/>
              <w:rPr>
                <w:sz w:val="10"/>
                <w:szCs w:val="10"/>
                <w:color w:val="auto"/>
              </w:rPr>
            </w:pPr>
          </w:p>
        </w:tc>
        <w:tc>
          <w:tcPr>
            <w:tcW w:w="100" w:type="dxa"/>
            <w:vAlign w:val="bottom"/>
            <w:gridSpan w:val="5"/>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10.58†</w:t>
            </w:r>
          </w:p>
        </w:tc>
        <w:tc>
          <w:tcPr>
            <w:tcW w:w="10420" w:type="dxa"/>
            <w:vAlign w:val="bottom"/>
            <w:gridSpan w:val="29"/>
          </w:tcPr>
          <w:p>
            <w:pPr>
              <w:spacing w:after="0"/>
              <w:rPr>
                <w:rFonts w:ascii="Arial" w:cs="Arial" w:eastAsia="Arial" w:hAnsi="Arial"/>
                <w:sz w:val="14"/>
                <w:szCs w:val="14"/>
                <w:color w:val="0000FF"/>
                <w:w w:val="92"/>
              </w:rPr>
            </w:pPr>
            <w:hyperlink r:id="rId214">
              <w:r>
                <w:rPr>
                  <w:rFonts w:ascii="Arial" w:cs="Arial" w:eastAsia="Arial" w:hAnsi="Arial"/>
                  <w:sz w:val="14"/>
                  <w:szCs w:val="14"/>
                  <w:color w:val="0000FF"/>
                  <w:w w:val="92"/>
                </w:rPr>
                <w:t>Form of Performance Restricted Stock Unit Agreement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214">
              <w:r>
                <w:rPr>
                  <w:rFonts w:ascii="Arial" w:cs="Arial" w:eastAsia="Arial" w:hAnsi="Arial"/>
                  <w:sz w:val="13"/>
                  <w:szCs w:val="13"/>
                  <w:color w:val="0000FF"/>
                </w:rPr>
                <w:t>reference to Exhibit 10.37 to the Company’s Annual Report for the year ended March 31, 2017 on Form 10-K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10.59†</w:t>
            </w:r>
          </w:p>
        </w:tc>
        <w:tc>
          <w:tcPr>
            <w:tcW w:w="10420" w:type="dxa"/>
            <w:vAlign w:val="bottom"/>
            <w:gridSpan w:val="29"/>
          </w:tcPr>
          <w:p>
            <w:pPr>
              <w:spacing w:after="0"/>
              <w:rPr>
                <w:rFonts w:ascii="Arial" w:cs="Arial" w:eastAsia="Arial" w:hAnsi="Arial"/>
                <w:sz w:val="14"/>
                <w:szCs w:val="14"/>
                <w:color w:val="0000FF"/>
                <w:w w:val="92"/>
              </w:rPr>
            </w:pPr>
            <w:hyperlink r:id="rId215">
              <w:r>
                <w:rPr>
                  <w:rFonts w:ascii="Arial" w:cs="Arial" w:eastAsia="Arial" w:hAnsi="Arial"/>
                  <w:sz w:val="14"/>
                  <w:szCs w:val="14"/>
                  <w:color w:val="0000FF"/>
                  <w:w w:val="92"/>
                </w:rPr>
                <w:t>Form of Performance Restricted Stock Unit Agreement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215">
              <w:r>
                <w:rPr>
                  <w:rFonts w:ascii="Arial" w:cs="Arial" w:eastAsia="Arial" w:hAnsi="Arial"/>
                  <w:sz w:val="13"/>
                  <w:szCs w:val="13"/>
                  <w:color w:val="0000FF"/>
                </w:rPr>
                <w:t>reference to Exhibit 10.60 to the Company’s Annual Report for the year ended March 31, 2019 on Form 10-K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4"/>
                <w:szCs w:val="14"/>
                <w:color w:val="auto"/>
              </w:rPr>
              <w:t>10.60†</w:t>
            </w:r>
          </w:p>
        </w:tc>
        <w:tc>
          <w:tcPr>
            <w:tcW w:w="10420" w:type="dxa"/>
            <w:vAlign w:val="bottom"/>
            <w:gridSpan w:val="29"/>
          </w:tcPr>
          <w:p>
            <w:pPr>
              <w:spacing w:after="0"/>
              <w:rPr>
                <w:rFonts w:ascii="Arial" w:cs="Arial" w:eastAsia="Arial" w:hAnsi="Arial"/>
                <w:sz w:val="14"/>
                <w:szCs w:val="14"/>
                <w:color w:val="0000FF"/>
                <w:w w:val="95"/>
              </w:rPr>
            </w:pPr>
            <w:hyperlink r:id="rId216">
              <w:r>
                <w:rPr>
                  <w:rFonts w:ascii="Arial" w:cs="Arial" w:eastAsia="Arial" w:hAnsi="Arial"/>
                  <w:sz w:val="14"/>
                  <w:szCs w:val="14"/>
                  <w:color w:val="0000FF"/>
                  <w:w w:val="95"/>
                </w:rPr>
                <w:t>Form of Restricted Stock Agreement for Directors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0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reference to Exhibit 10.44 to the Company’s Annual Report for the year ended March 31, 2018 on Form 10-K (File No. 001-34972))</w:t>
              </w:r>
            </w:hyperlink>
          </w:p>
        </w:tc>
        <w:tc>
          <w:tcPr>
            <w:tcW w:w="220" w:type="dxa"/>
            <w:vAlign w:val="bottom"/>
            <w:gridSpan w:val="8"/>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4"/>
                <w:szCs w:val="14"/>
                <w:color w:val="auto"/>
              </w:rPr>
              <w:t>10.61†</w:t>
            </w:r>
          </w:p>
        </w:tc>
        <w:tc>
          <w:tcPr>
            <w:tcW w:w="10420" w:type="dxa"/>
            <w:vAlign w:val="bottom"/>
            <w:gridSpan w:val="29"/>
          </w:tcPr>
          <w:p>
            <w:pPr>
              <w:spacing w:after="0"/>
              <w:rPr>
                <w:rFonts w:ascii="Arial" w:cs="Arial" w:eastAsia="Arial" w:hAnsi="Arial"/>
                <w:sz w:val="14"/>
                <w:szCs w:val="14"/>
                <w:color w:val="0000FF"/>
                <w:w w:val="96"/>
              </w:rPr>
            </w:pPr>
            <w:hyperlink r:id="rId217">
              <w:r>
                <w:rPr>
                  <w:rFonts w:ascii="Arial" w:cs="Arial" w:eastAsia="Arial" w:hAnsi="Arial"/>
                  <w:sz w:val="14"/>
                  <w:szCs w:val="14"/>
                  <w:color w:val="0000FF"/>
                  <w:w w:val="96"/>
                </w:rPr>
                <w:t>Officer Perquisites Policy (Incorporated by reference to Exhibit 10.45 to the Company’s Annual Report for the year ended March 31, 2018 on Form 10-K (File No. 001-34972))</w:t>
              </w:r>
            </w:hyperlink>
          </w:p>
        </w:tc>
      </w:tr>
      <w:tr>
        <w:trPr>
          <w:trHeight w:val="20"/>
        </w:trPr>
        <w:tc>
          <w:tcPr>
            <w:tcW w:w="880" w:type="dxa"/>
            <w:vAlign w:val="bottom"/>
          </w:tcPr>
          <w:p>
            <w:pPr>
              <w:spacing w:after="0" w:line="20" w:lineRule="exact"/>
              <w:rPr>
                <w:sz w:val="1"/>
                <w:szCs w:val="1"/>
                <w:color w:val="auto"/>
              </w:rPr>
            </w:pPr>
          </w:p>
        </w:tc>
        <w:tc>
          <w:tcPr>
            <w:tcW w:w="7900" w:type="dxa"/>
            <w:vAlign w:val="bottom"/>
            <w:gridSpan w:val="11"/>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10.62†</w:t>
            </w:r>
          </w:p>
        </w:tc>
        <w:tc>
          <w:tcPr>
            <w:tcW w:w="10420" w:type="dxa"/>
            <w:vAlign w:val="bottom"/>
            <w:gridSpan w:val="29"/>
          </w:tcPr>
          <w:p>
            <w:pPr>
              <w:spacing w:after="0"/>
              <w:rPr>
                <w:rFonts w:ascii="Arial" w:cs="Arial" w:eastAsia="Arial" w:hAnsi="Arial"/>
                <w:sz w:val="14"/>
                <w:szCs w:val="14"/>
                <w:color w:val="0000FF"/>
                <w:w w:val="94"/>
              </w:rPr>
            </w:pPr>
            <w:hyperlink r:id="rId218">
              <w:r>
                <w:rPr>
                  <w:rFonts w:ascii="Arial" w:cs="Arial" w:eastAsia="Arial" w:hAnsi="Arial"/>
                  <w:sz w:val="14"/>
                  <w:szCs w:val="14"/>
                  <w:color w:val="0000FF"/>
                  <w:w w:val="94"/>
                </w:rPr>
                <w:t>Form of Performance Restricted Stock Unit Agreement under the Third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30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218">
              <w:r>
                <w:rPr>
                  <w:rFonts w:ascii="Arial" w:cs="Arial" w:eastAsia="Arial" w:hAnsi="Arial"/>
                  <w:sz w:val="13"/>
                  <w:szCs w:val="13"/>
                  <w:color w:val="0000FF"/>
                </w:rPr>
                <w:t>reference to Exhibit 10.1 to the Company's Quarterly Report for the period ended September 30, 2020 on Form 10-Q (File No. 001-34972))</w:t>
              </w:r>
            </w:hyperlink>
          </w:p>
        </w:tc>
        <w:tc>
          <w:tcPr>
            <w:tcW w:w="120" w:type="dxa"/>
            <w:vAlign w:val="bottom"/>
            <w:gridSpan w:val="6"/>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4840" w:type="dxa"/>
            <w:vAlign w:val="bottom"/>
            <w:tcBorders>
              <w:top w:val="single" w:sz="8" w:color="0000FF"/>
            </w:tcBorders>
            <w:gridSpan w:val="5"/>
          </w:tcPr>
          <w:p>
            <w:pPr>
              <w:ind w:left="4700"/>
              <w:spacing w:after="0"/>
              <w:rPr>
                <w:sz w:val="20"/>
                <w:szCs w:val="20"/>
                <w:color w:val="auto"/>
              </w:rPr>
            </w:pPr>
            <w:r>
              <w:rPr>
                <w:rFonts w:ascii="Arial" w:cs="Arial" w:eastAsia="Arial" w:hAnsi="Arial"/>
                <w:sz w:val="14"/>
                <w:szCs w:val="14"/>
                <w:color w:val="auto"/>
                <w:w w:val="76"/>
              </w:rPr>
              <w:t>75</w:t>
            </w:r>
          </w:p>
        </w:tc>
        <w:tc>
          <w:tcPr>
            <w:tcW w:w="2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10.63†</w:t>
            </w:r>
          </w:p>
        </w:tc>
        <w:tc>
          <w:tcPr>
            <w:tcW w:w="10280" w:type="dxa"/>
            <w:vAlign w:val="bottom"/>
            <w:gridSpan w:val="7"/>
          </w:tcPr>
          <w:p>
            <w:pPr>
              <w:spacing w:after="0"/>
              <w:rPr>
                <w:rFonts w:ascii="Arial" w:cs="Arial" w:eastAsia="Arial" w:hAnsi="Arial"/>
                <w:sz w:val="14"/>
                <w:szCs w:val="14"/>
                <w:color w:val="0000FF"/>
                <w:w w:val="93"/>
              </w:rPr>
            </w:pPr>
            <w:hyperlink r:id="rId221">
              <w:r>
                <w:rPr>
                  <w:rFonts w:ascii="Arial" w:cs="Arial" w:eastAsia="Arial" w:hAnsi="Arial"/>
                  <w:sz w:val="14"/>
                  <w:szCs w:val="14"/>
                  <w:color w:val="0000FF"/>
                  <w:w w:val="93"/>
                </w:rPr>
                <w:t>Form of Restricted Stock Unit Agreement for Directors under the Third Amended and Restated Equity Incentive Plan of Booz Allen Hamilton Holding Corporation (Incorporated by</w:t>
              </w:r>
            </w:hyperlink>
          </w:p>
        </w:tc>
      </w:tr>
      <w:tr>
        <w:trPr>
          <w:trHeight w:val="118"/>
        </w:trPr>
        <w:tc>
          <w:tcPr>
            <w:tcW w:w="860" w:type="dxa"/>
            <w:vAlign w:val="bottom"/>
          </w:tcPr>
          <w:p>
            <w:pPr>
              <w:spacing w:after="0"/>
              <w:rPr>
                <w:sz w:val="10"/>
                <w:szCs w:val="10"/>
                <w:color w:val="auto"/>
              </w:rPr>
            </w:pPr>
          </w:p>
        </w:tc>
        <w:tc>
          <w:tcPr>
            <w:tcW w:w="10260" w:type="dxa"/>
            <w:vAlign w:val="bottom"/>
            <w:tcBorders>
              <w:top w:val="single" w:sz="8" w:color="0000FF"/>
            </w:tcBorders>
            <w:gridSpan w:val="6"/>
          </w:tcPr>
          <w:p>
            <w:pPr>
              <w:spacing w:after="0" w:line="118" w:lineRule="exact"/>
              <w:rPr>
                <w:rFonts w:ascii="Arial" w:cs="Arial" w:eastAsia="Arial" w:hAnsi="Arial"/>
                <w:sz w:val="13"/>
                <w:szCs w:val="13"/>
                <w:color w:val="0000FF"/>
              </w:rPr>
            </w:pPr>
            <w:hyperlink r:id="rId221">
              <w:r>
                <w:rPr>
                  <w:rFonts w:ascii="Arial" w:cs="Arial" w:eastAsia="Arial" w:hAnsi="Arial"/>
                  <w:sz w:val="13"/>
                  <w:szCs w:val="13"/>
                  <w:color w:val="0000FF"/>
                </w:rPr>
                <w:t>reference to Exhibit 10.2 to the Company's Quarterly Report for the period ended September 30, 2020 on Form 10-Q (File No. 001-34972))</w:t>
              </w:r>
            </w:hyperlink>
          </w:p>
        </w:tc>
        <w:tc>
          <w:tcPr>
            <w:tcW w:w="2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10.64†</w:t>
            </w:r>
          </w:p>
        </w:tc>
        <w:tc>
          <w:tcPr>
            <w:tcW w:w="10260" w:type="dxa"/>
            <w:vAlign w:val="bottom"/>
            <w:tcBorders>
              <w:bottom w:val="single" w:sz="8" w:color="0000FF"/>
            </w:tcBorders>
            <w:gridSpan w:val="6"/>
          </w:tcPr>
          <w:p>
            <w:pPr>
              <w:spacing w:after="0"/>
              <w:rPr>
                <w:rFonts w:ascii="Arial" w:cs="Arial" w:eastAsia="Arial" w:hAnsi="Arial"/>
                <w:sz w:val="14"/>
                <w:szCs w:val="14"/>
                <w:color w:val="0000FF"/>
                <w:w w:val="92"/>
              </w:rPr>
            </w:pPr>
            <w:hyperlink r:id="rId222">
              <w:r>
                <w:rPr>
                  <w:rFonts w:ascii="Arial" w:cs="Arial" w:eastAsia="Arial" w:hAnsi="Arial"/>
                  <w:sz w:val="14"/>
                  <w:szCs w:val="14"/>
                  <w:color w:val="0000FF"/>
                  <w:w w:val="92"/>
                </w:rPr>
                <w:t>Form of Performance Restricted Stock Unit Agreement under the Third Amended and Restated Equity Incentive Plan of Booz Allen Hamilton Holding Corporation (Incorporated by</w:t>
              </w:r>
            </w:hyperlink>
          </w:p>
        </w:tc>
        <w:tc>
          <w:tcPr>
            <w:tcW w:w="20" w:type="dxa"/>
            <w:vAlign w:val="bottom"/>
          </w:tcPr>
          <w:p>
            <w:pPr>
              <w:spacing w:after="0"/>
              <w:rPr>
                <w:sz w:val="17"/>
                <w:szCs w:val="17"/>
                <w:color w:val="auto"/>
              </w:rPr>
            </w:pPr>
          </w:p>
        </w:tc>
      </w:tr>
      <w:tr>
        <w:trPr>
          <w:trHeight w:val="118"/>
        </w:trPr>
        <w:tc>
          <w:tcPr>
            <w:tcW w:w="860" w:type="dxa"/>
            <w:vAlign w:val="bottom"/>
          </w:tcPr>
          <w:p>
            <w:pPr>
              <w:spacing w:after="0"/>
              <w:rPr>
                <w:sz w:val="10"/>
                <w:szCs w:val="10"/>
                <w:color w:val="auto"/>
              </w:rPr>
            </w:pPr>
          </w:p>
        </w:tc>
        <w:tc>
          <w:tcPr>
            <w:tcW w:w="10280" w:type="dxa"/>
            <w:vAlign w:val="bottom"/>
            <w:gridSpan w:val="7"/>
          </w:tcPr>
          <w:p>
            <w:pPr>
              <w:spacing w:after="0" w:line="118" w:lineRule="exact"/>
              <w:rPr>
                <w:rFonts w:ascii="Arial" w:cs="Arial" w:eastAsia="Arial" w:hAnsi="Arial"/>
                <w:sz w:val="13"/>
                <w:szCs w:val="13"/>
                <w:color w:val="0000FF"/>
              </w:rPr>
            </w:pPr>
            <w:hyperlink r:id="rId222">
              <w:r>
                <w:rPr>
                  <w:rFonts w:ascii="Arial" w:cs="Arial" w:eastAsia="Arial" w:hAnsi="Arial"/>
                  <w:sz w:val="13"/>
                  <w:szCs w:val="13"/>
                  <w:color w:val="0000FF"/>
                </w:rPr>
                <w:t>reference to Exhibit 10.2 to the Company’s Quarterly Report for the period ended June 30, 2021 on Form 10-Q (File No. 001-34972))</w:t>
              </w:r>
            </w:hyperlink>
          </w:p>
        </w:tc>
      </w:tr>
      <w:tr>
        <w:trPr>
          <w:trHeight w:val="20"/>
        </w:trPr>
        <w:tc>
          <w:tcPr>
            <w:tcW w:w="860" w:type="dxa"/>
            <w:vAlign w:val="bottom"/>
          </w:tcPr>
          <w:p>
            <w:pPr>
              <w:spacing w:after="0" w:line="20" w:lineRule="exact"/>
              <w:rPr>
                <w:sz w:val="1"/>
                <w:szCs w:val="1"/>
                <w:color w:val="auto"/>
              </w:rPr>
            </w:pPr>
          </w:p>
        </w:tc>
        <w:tc>
          <w:tcPr>
            <w:tcW w:w="7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10.65†</w:t>
            </w:r>
          </w:p>
        </w:tc>
        <w:tc>
          <w:tcPr>
            <w:tcW w:w="10280" w:type="dxa"/>
            <w:vAlign w:val="bottom"/>
            <w:gridSpan w:val="7"/>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Form of Stock Option Agreement under the Third Amended and Restated Equity Incentive Plan of Booz Allen Hamilton Holding Corporation*</w:t>
              </w:r>
            </w:hyperlink>
          </w:p>
        </w:tc>
      </w:tr>
      <w:tr>
        <w:trPr>
          <w:trHeight w:val="20"/>
        </w:trPr>
        <w:tc>
          <w:tcPr>
            <w:tcW w:w="860" w:type="dxa"/>
            <w:vAlign w:val="bottom"/>
          </w:tcPr>
          <w:p>
            <w:pPr>
              <w:spacing w:after="0" w:line="20" w:lineRule="exact"/>
              <w:rPr>
                <w:sz w:val="1"/>
                <w:szCs w:val="1"/>
                <w:color w:val="auto"/>
              </w:rPr>
            </w:pPr>
          </w:p>
        </w:tc>
        <w:tc>
          <w:tcPr>
            <w:tcW w:w="81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10.66†</w:t>
            </w:r>
          </w:p>
        </w:tc>
        <w:tc>
          <w:tcPr>
            <w:tcW w:w="8600" w:type="dxa"/>
            <w:vAlign w:val="bottom"/>
            <w:tcBorders>
              <w:bottom w:val="single" w:sz="8" w:color="0000FF"/>
            </w:tcBorders>
            <w:gridSpan w:val="4"/>
          </w:tcPr>
          <w:p>
            <w:pPr>
              <w:spacing w:after="0"/>
              <w:rPr>
                <w:rFonts w:ascii="Arial" w:cs="Arial" w:eastAsia="Arial" w:hAnsi="Arial"/>
                <w:sz w:val="14"/>
                <w:szCs w:val="14"/>
                <w:color w:val="0000FF"/>
                <w:w w:val="93"/>
              </w:rPr>
            </w:pPr>
            <w:hyperlink w:anchor="page159">
              <w:r>
                <w:rPr>
                  <w:rFonts w:ascii="Arial" w:cs="Arial" w:eastAsia="Arial" w:hAnsi="Arial"/>
                  <w:sz w:val="14"/>
                  <w:szCs w:val="14"/>
                  <w:color w:val="0000FF"/>
                  <w:w w:val="93"/>
                </w:rPr>
                <w:t>Form of Restricted Stock Unit Agreement under the Third Amended and Restated Equity Incentive Plan of Booz Allen Hamilton Holding Corporation*</w:t>
              </w:r>
            </w:hyperlink>
          </w:p>
        </w:tc>
        <w:tc>
          <w:tcPr>
            <w:tcW w:w="1680" w:type="dxa"/>
            <w:vAlign w:val="bottom"/>
            <w:gridSpan w:val="3"/>
          </w:tcPr>
          <w:p>
            <w:pPr>
              <w:spacing w:after="0"/>
              <w:rPr>
                <w:sz w:val="17"/>
                <w:szCs w:val="17"/>
                <w:color w:val="auto"/>
              </w:rPr>
            </w:pPr>
          </w:p>
        </w:tc>
      </w:tr>
      <w:tr>
        <w:trPr>
          <w:trHeight w:val="203"/>
        </w:trPr>
        <w:tc>
          <w:tcPr>
            <w:tcW w:w="860" w:type="dxa"/>
            <w:vAlign w:val="bottom"/>
          </w:tcPr>
          <w:p>
            <w:pPr>
              <w:spacing w:after="0"/>
              <w:rPr>
                <w:sz w:val="20"/>
                <w:szCs w:val="20"/>
                <w:color w:val="auto"/>
              </w:rPr>
            </w:pPr>
            <w:r>
              <w:rPr>
                <w:rFonts w:ascii="Arial" w:cs="Arial" w:eastAsia="Arial" w:hAnsi="Arial"/>
                <w:sz w:val="14"/>
                <w:szCs w:val="14"/>
                <w:color w:val="auto"/>
              </w:rPr>
              <w:t>10.67†</w:t>
            </w:r>
          </w:p>
        </w:tc>
        <w:tc>
          <w:tcPr>
            <w:tcW w:w="10280" w:type="dxa"/>
            <w:vAlign w:val="bottom"/>
            <w:gridSpan w:val="7"/>
          </w:tcPr>
          <w:p>
            <w:pPr>
              <w:spacing w:after="0"/>
              <w:rPr>
                <w:rFonts w:ascii="Arial" w:cs="Arial" w:eastAsia="Arial" w:hAnsi="Arial"/>
                <w:sz w:val="14"/>
                <w:szCs w:val="14"/>
                <w:color w:val="0000FF"/>
              </w:rPr>
            </w:pPr>
            <w:hyperlink w:anchor="page168">
              <w:r>
                <w:rPr>
                  <w:rFonts w:ascii="Arial" w:cs="Arial" w:eastAsia="Arial" w:hAnsi="Arial"/>
                  <w:sz w:val="14"/>
                  <w:szCs w:val="14"/>
                  <w:color w:val="0000FF"/>
                </w:rPr>
                <w:t>Form of Performance Restricted Stock Unit Agreement under the Third Amended and Restated Equity Incentive Plan of Booz Allen Hamilton Holding Corporation*</w:t>
              </w:r>
            </w:hyperlink>
          </w:p>
        </w:tc>
      </w:tr>
      <w:tr>
        <w:trPr>
          <w:trHeight w:val="20"/>
        </w:trPr>
        <w:tc>
          <w:tcPr>
            <w:tcW w:w="860" w:type="dxa"/>
            <w:vAlign w:val="bottom"/>
          </w:tcPr>
          <w:p>
            <w:pPr>
              <w:spacing w:after="0" w:line="20" w:lineRule="exact"/>
              <w:rPr>
                <w:sz w:val="1"/>
                <w:szCs w:val="1"/>
                <w:color w:val="auto"/>
              </w:rPr>
            </w:pPr>
          </w:p>
        </w:tc>
        <w:tc>
          <w:tcPr>
            <w:tcW w:w="7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880" w:hanging="861"/>
        <w:spacing w:after="0"/>
        <w:tabs>
          <w:tab w:leader="none" w:pos="880" w:val="left"/>
        </w:tabs>
        <w:numPr>
          <w:ilvl w:val="0"/>
          <w:numId w:val="70"/>
        </w:numPr>
        <w:rPr>
          <w:rFonts w:ascii="Arial" w:cs="Arial" w:eastAsia="Arial" w:hAnsi="Arial"/>
          <w:sz w:val="14"/>
          <w:szCs w:val="14"/>
          <w:u w:val="single" w:color="auto"/>
          <w:color w:val="0000FF"/>
        </w:rPr>
      </w:pPr>
      <w:hyperlink w:anchor="page177">
        <w:r>
          <w:rPr>
            <w:rFonts w:ascii="Arial" w:cs="Arial" w:eastAsia="Arial" w:hAnsi="Arial"/>
            <w:sz w:val="14"/>
            <w:szCs w:val="14"/>
            <w:u w:val="single" w:color="auto"/>
            <w:color w:val="0000FF"/>
          </w:rPr>
          <w:t>Subsidiaries of the registrant*</w:t>
        </w:r>
      </w:hyperlink>
    </w:p>
    <w:p>
      <w:pPr>
        <w:spacing w:after="0" w:line="62" w:lineRule="exact"/>
        <w:rPr>
          <w:sz w:val="20"/>
          <w:szCs w:val="20"/>
          <w:color w:val="auto"/>
        </w:rPr>
      </w:pPr>
    </w:p>
    <w:p>
      <w:pPr>
        <w:ind w:left="880" w:hanging="861"/>
        <w:spacing w:after="0"/>
        <w:tabs>
          <w:tab w:leader="none" w:pos="880" w:val="left"/>
        </w:tabs>
        <w:numPr>
          <w:ilvl w:val="0"/>
          <w:numId w:val="71"/>
        </w:numPr>
        <w:rPr>
          <w:rFonts w:ascii="Arial" w:cs="Arial" w:eastAsia="Arial" w:hAnsi="Arial"/>
          <w:sz w:val="14"/>
          <w:szCs w:val="14"/>
          <w:u w:val="single" w:color="auto"/>
          <w:color w:val="0000FF"/>
        </w:rPr>
      </w:pPr>
      <w:hyperlink w:anchor="page178">
        <w:r>
          <w:rPr>
            <w:rFonts w:ascii="Arial" w:cs="Arial" w:eastAsia="Arial" w:hAnsi="Arial"/>
            <w:sz w:val="14"/>
            <w:szCs w:val="14"/>
            <w:u w:val="single" w:color="auto"/>
            <w:color w:val="0000FF"/>
          </w:rPr>
          <w:t>Consent of Independent Registered Public Accounting Firm*</w:t>
        </w:r>
      </w:hyperlink>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31.1</w:t>
            </w:r>
          </w:p>
        </w:tc>
        <w:tc>
          <w:tcPr>
            <w:tcW w:w="10120" w:type="dxa"/>
            <w:vAlign w:val="bottom"/>
            <w:gridSpan w:val="4"/>
          </w:tcPr>
          <w:p>
            <w:pPr>
              <w:spacing w:after="0"/>
              <w:rPr>
                <w:rFonts w:ascii="Arial" w:cs="Arial" w:eastAsia="Arial" w:hAnsi="Arial"/>
                <w:sz w:val="14"/>
                <w:szCs w:val="14"/>
                <w:color w:val="0000FF"/>
              </w:rPr>
            </w:pPr>
            <w:hyperlink w:anchor="page179">
              <w:r>
                <w:rPr>
                  <w:rFonts w:ascii="Arial" w:cs="Arial" w:eastAsia="Arial" w:hAnsi="Arial"/>
                  <w:sz w:val="14"/>
                  <w:szCs w:val="14"/>
                  <w:color w:val="0000FF"/>
                </w:rPr>
                <w:t>Rule 13a-14(a)/15d-14(a) Certification of the Chief Executive Officer*</w:t>
              </w:r>
            </w:hyperlink>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31.2</w:t>
            </w:r>
          </w:p>
        </w:tc>
        <w:tc>
          <w:tcPr>
            <w:tcW w:w="4020" w:type="dxa"/>
            <w:vAlign w:val="bottom"/>
            <w:tcBorders>
              <w:top w:val="single" w:sz="8" w:color="0000FF"/>
            </w:tcBorders>
            <w:gridSpan w:val="2"/>
          </w:tcPr>
          <w:p>
            <w:pPr>
              <w:spacing w:after="0"/>
              <w:rPr>
                <w:rFonts w:ascii="Arial" w:cs="Arial" w:eastAsia="Arial" w:hAnsi="Arial"/>
                <w:sz w:val="14"/>
                <w:szCs w:val="14"/>
                <w:color w:val="0000FF"/>
                <w:w w:val="94"/>
              </w:rPr>
            </w:pPr>
            <w:hyperlink w:anchor="page180">
              <w:r>
                <w:rPr>
                  <w:rFonts w:ascii="Arial" w:cs="Arial" w:eastAsia="Arial" w:hAnsi="Arial"/>
                  <w:sz w:val="14"/>
                  <w:szCs w:val="14"/>
                  <w:color w:val="0000FF"/>
                  <w:w w:val="94"/>
                </w:rPr>
                <w:t>Rule 13a-14(a)/15d-14(a) Certification of the Chief Financial Officer*</w:t>
              </w:r>
            </w:hyperlink>
          </w:p>
        </w:tc>
        <w:tc>
          <w:tcPr>
            <w:tcW w:w="6100" w:type="dxa"/>
            <w:vAlign w:val="bottom"/>
            <w:gridSpan w:val="2"/>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32.1</w:t>
            </w:r>
          </w:p>
        </w:tc>
        <w:tc>
          <w:tcPr>
            <w:tcW w:w="1012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181">
              <w:r>
                <w:rPr>
                  <w:rFonts w:ascii="Arial" w:cs="Arial" w:eastAsia="Arial" w:hAnsi="Arial"/>
                  <w:sz w:val="14"/>
                  <w:szCs w:val="14"/>
                  <w:color w:val="0000FF"/>
                  <w:w w:val="92"/>
                </w:rPr>
                <w:t>Certification of the Chief Executive Officer required by Rule 13a-14(b) or Rule 15d-14(b) and Section 1350 of Chapter 63 of Title 18 of the United States Code (18 U.S.C. 1350)*</w:t>
              </w:r>
            </w:hyperlink>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32.2</w:t>
            </w:r>
          </w:p>
        </w:tc>
        <w:tc>
          <w:tcPr>
            <w:tcW w:w="10120" w:type="dxa"/>
            <w:vAlign w:val="bottom"/>
            <w:gridSpan w:val="4"/>
          </w:tcPr>
          <w:p>
            <w:pPr>
              <w:spacing w:after="0"/>
              <w:rPr>
                <w:rFonts w:ascii="Arial" w:cs="Arial" w:eastAsia="Arial" w:hAnsi="Arial"/>
                <w:sz w:val="14"/>
                <w:szCs w:val="14"/>
                <w:color w:val="0000FF"/>
                <w:w w:val="93"/>
              </w:rPr>
            </w:pPr>
            <w:hyperlink w:anchor="page182">
              <w:r>
                <w:rPr>
                  <w:rFonts w:ascii="Arial" w:cs="Arial" w:eastAsia="Arial" w:hAnsi="Arial"/>
                  <w:sz w:val="14"/>
                  <w:szCs w:val="14"/>
                  <w:color w:val="0000FF"/>
                  <w:w w:val="93"/>
                </w:rPr>
                <w:t>Certification of the Chief Financial Officer required by Rule 13a-14(b) or Rule 15d-14(b) and Section 1350 of Chapter 63 of Title 18 of the United States Code (18 U.S.C. 1350)*</w:t>
              </w:r>
            </w:hyperlink>
          </w:p>
        </w:tc>
      </w:tr>
      <w:tr>
        <w:trPr>
          <w:trHeight w:val="20"/>
        </w:trPr>
        <w:tc>
          <w:tcPr>
            <w:tcW w:w="86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 w:lineRule="exact"/>
        <w:rPr>
          <w:sz w:val="20"/>
          <w:szCs w:val="20"/>
          <w:color w:val="auto"/>
        </w:rPr>
      </w:pPr>
    </w:p>
    <w:p>
      <w:pPr>
        <w:ind w:left="880" w:hanging="861"/>
        <w:spacing w:after="0" w:line="218" w:lineRule="auto"/>
        <w:tabs>
          <w:tab w:leader="none" w:pos="8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following materials from Booz Allen Hamilton Holding Corporation’s Annual Report on Form 10-K for the fiscal year ended March 31, 2022, formatted in Inline XBRL (eXtensible Business Reporting Language): (i) Consolidated Balance Sheets as of March 31, 2022 and 2021; (ii) Consolidated Statements of Operations for the fiscal years ended March 31, 2022, 2021 and 2020; (iii) Consolidated Statements of Comprehensive Income for the fiscal years ended March 31, 2022, 2021 and 2020; (iv) Consolidated Statements of Cash Flows for the fiscal years ended March 31, 2022, 2021 and 2020; (v) Consolidated Statements of Stockholders' Equity for the fiscal years ended March 31, 2022, 2021 and 2020; and (vi) Notes to Consolidated Financial Statements.</w:t>
      </w:r>
    </w:p>
    <w:p>
      <w:pPr>
        <w:spacing w:after="0" w:line="43" w:lineRule="exact"/>
        <w:rPr>
          <w:sz w:val="20"/>
          <w:szCs w:val="20"/>
          <w:color w:val="auto"/>
        </w:rPr>
      </w:pPr>
    </w:p>
    <w:p>
      <w:pPr>
        <w:ind w:left="880" w:hanging="861"/>
        <w:spacing w:after="0"/>
        <w:tabs>
          <w:tab w:leader="none" w:pos="880" w:val="left"/>
        </w:tabs>
        <w:numPr>
          <w:ilvl w:val="1"/>
          <w:numId w:val="7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7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w:t>
      </w:r>
    </w:p>
    <w:p>
      <w:pPr>
        <w:spacing w:after="0" w:line="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electronically herewith.</w:t>
      </w:r>
    </w:p>
    <w:p>
      <w:pPr>
        <w:spacing w:after="0" w:line="5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Management contract or compensatory arrangement.</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Form 10-K Summary.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27" w:right="379" w:bottom="1440" w:gutter="0" w:footer="0" w:header="0"/>
        </w:sectPr>
      </w:pPr>
    </w:p>
    <w:bookmarkStart w:id="123" w:name="page124"/>
    <w:bookmarkEnd w:id="123"/>
    <w:p>
      <w:pPr>
        <w:jc w:val="center"/>
        <w:ind w:right="-29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this 20th day of May, 2022.</w:t>
      </w:r>
    </w:p>
    <w:p>
      <w:pPr>
        <w:spacing w:after="0" w:line="200" w:lineRule="exact"/>
        <w:rPr>
          <w:sz w:val="20"/>
          <w:szCs w:val="20"/>
          <w:color w:val="auto"/>
        </w:rPr>
      </w:pPr>
    </w:p>
    <w:p>
      <w:pPr>
        <w:spacing w:after="0" w:line="303"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BOOZ ALLEN HAMILTON HOLDING CORPORATION</w:t>
      </w:r>
    </w:p>
    <w:p>
      <w:pPr>
        <w:jc w:val="center"/>
        <w:ind w:right="160"/>
        <w:spacing w:after="0"/>
        <w:rPr>
          <w:sz w:val="20"/>
          <w:szCs w:val="20"/>
          <w:color w:val="auto"/>
        </w:rPr>
      </w:pPr>
      <w:r>
        <w:rPr>
          <w:rFonts w:ascii="Arial" w:cs="Arial" w:eastAsia="Arial" w:hAnsi="Arial"/>
          <w:sz w:val="14"/>
          <w:szCs w:val="14"/>
          <w:color w:val="auto"/>
        </w:rPr>
        <w:t>(Registrant)</w:t>
      </w:r>
    </w:p>
    <w:p>
      <w:pPr>
        <w:spacing w:after="0" w:line="220" w:lineRule="exact"/>
        <w:rPr>
          <w:sz w:val="20"/>
          <w:szCs w:val="20"/>
          <w:color w:val="auto"/>
        </w:rPr>
      </w:pPr>
    </w:p>
    <w:tbl>
      <w:tblPr>
        <w:tblLayout w:type="fixed"/>
        <w:tblInd w:w="3580" w:type="dxa"/>
        <w:tblCellMar>
          <w:top w:w="0" w:type="dxa"/>
          <w:left w:w="0" w:type="dxa"/>
          <w:bottom w:w="0" w:type="dxa"/>
          <w:right w:w="0" w:type="dxa"/>
        </w:tblCellMar>
      </w:tblP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Horacio D. Rozanski</w:t>
            </w:r>
          </w:p>
        </w:tc>
      </w:tr>
      <w:tr>
        <w:trPr>
          <w:trHeight w:val="171"/>
        </w:trPr>
        <w:tc>
          <w:tcPr>
            <w:tcW w:w="78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Name: Horacio D. Rozanski</w:t>
            </w:r>
          </w:p>
        </w:tc>
      </w:tr>
      <w:tr>
        <w:trPr>
          <w:trHeight w:val="180"/>
        </w:trPr>
        <w:tc>
          <w:tcPr>
            <w:tcW w:w="78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Title: President and Chief Executive Officer</w:t>
            </w:r>
          </w:p>
        </w:tc>
      </w:tr>
    </w:tbl>
    <w:p>
      <w:pPr>
        <w:spacing w:after="0" w:line="24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this report has been signed by the following persons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80" w:type="dxa"/>
            <w:vAlign w:val="bottom"/>
          </w:tcPr>
          <w:p>
            <w:pPr>
              <w:ind w:left="1860"/>
              <w:spacing w:after="0"/>
              <w:rPr>
                <w:sz w:val="20"/>
                <w:szCs w:val="20"/>
                <w:color w:val="auto"/>
              </w:rPr>
            </w:pPr>
            <w:r>
              <w:rPr>
                <w:rFonts w:ascii="Arial" w:cs="Arial" w:eastAsia="Arial" w:hAnsi="Arial"/>
                <w:sz w:val="11"/>
                <w:szCs w:val="11"/>
                <w:b w:val="1"/>
                <w:bCs w:val="1"/>
                <w:color w:val="auto"/>
              </w:rPr>
              <w:t>Signature</w:t>
            </w:r>
          </w:p>
        </w:tc>
        <w:tc>
          <w:tcPr>
            <w:tcW w:w="5120" w:type="dxa"/>
            <w:vAlign w:val="bottom"/>
          </w:tcPr>
          <w:p>
            <w:pPr>
              <w:jc w:val="center"/>
              <w:ind w:right="30"/>
              <w:spacing w:after="0"/>
              <w:rPr>
                <w:sz w:val="20"/>
                <w:szCs w:val="20"/>
                <w:color w:val="auto"/>
              </w:rPr>
            </w:pPr>
            <w:r>
              <w:rPr>
                <w:rFonts w:ascii="Arial" w:cs="Arial" w:eastAsia="Arial" w:hAnsi="Arial"/>
                <w:sz w:val="11"/>
                <w:szCs w:val="11"/>
                <w:b w:val="1"/>
                <w:bCs w:val="1"/>
                <w:color w:val="auto"/>
                <w:w w:val="97"/>
              </w:rPr>
              <w:t>Title</w:t>
            </w:r>
          </w:p>
        </w:tc>
        <w:tc>
          <w:tcPr>
            <w:tcW w:w="1300" w:type="dxa"/>
            <w:vAlign w:val="bottom"/>
          </w:tcPr>
          <w:p>
            <w:pPr>
              <w:jc w:val="center"/>
              <w:ind w:left="451"/>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390"/>
        </w:trPr>
        <w:tc>
          <w:tcPr>
            <w:tcW w:w="4180" w:type="dxa"/>
            <w:vAlign w:val="bottom"/>
          </w:tcPr>
          <w:p>
            <w:pPr>
              <w:ind w:left="20"/>
              <w:spacing w:after="0"/>
              <w:rPr>
                <w:sz w:val="20"/>
                <w:szCs w:val="20"/>
                <w:color w:val="auto"/>
              </w:rPr>
            </w:pPr>
            <w:r>
              <w:rPr>
                <w:rFonts w:ascii="Arial" w:cs="Arial" w:eastAsia="Arial" w:hAnsi="Arial"/>
                <w:sz w:val="14"/>
                <w:szCs w:val="14"/>
                <w:color w:val="auto"/>
              </w:rPr>
              <w:t>/s/ Horacio D. Rozanski</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President, Chief Executive Officer and Director (Principal Executive</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42"/>
        </w:trPr>
        <w:tc>
          <w:tcPr>
            <w:tcW w:w="4180" w:type="dxa"/>
            <w:vAlign w:val="bottom"/>
            <w:tcBorders>
              <w:bottom w:val="single" w:sz="8" w:color="auto"/>
            </w:tcBorders>
          </w:tcPr>
          <w:p>
            <w:pPr>
              <w:spacing w:after="0"/>
              <w:rPr>
                <w:sz w:val="3"/>
                <w:szCs w:val="3"/>
                <w:color w:val="auto"/>
              </w:rPr>
            </w:pPr>
          </w:p>
        </w:tc>
        <w:tc>
          <w:tcPr>
            <w:tcW w:w="5120" w:type="dxa"/>
            <w:vAlign w:val="bottom"/>
            <w:vMerge w:val="restart"/>
          </w:tcPr>
          <w:p>
            <w:pPr>
              <w:jc w:val="center"/>
              <w:ind w:right="30"/>
              <w:spacing w:after="0"/>
              <w:rPr>
                <w:sz w:val="20"/>
                <w:szCs w:val="20"/>
                <w:color w:val="auto"/>
              </w:rPr>
            </w:pPr>
            <w:r>
              <w:rPr>
                <w:rFonts w:ascii="Arial" w:cs="Arial" w:eastAsia="Arial" w:hAnsi="Arial"/>
                <w:sz w:val="14"/>
                <w:szCs w:val="14"/>
                <w:color w:val="auto"/>
              </w:rPr>
              <w:t>Officer)</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Horacio D. Rozanski</w:t>
            </w:r>
          </w:p>
        </w:tc>
        <w:tc>
          <w:tcPr>
            <w:tcW w:w="51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18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4180" w:type="dxa"/>
            <w:vAlign w:val="bottom"/>
          </w:tcPr>
          <w:p>
            <w:pPr>
              <w:ind w:left="20"/>
              <w:spacing w:after="0"/>
              <w:rPr>
                <w:sz w:val="20"/>
                <w:szCs w:val="20"/>
                <w:color w:val="auto"/>
              </w:rPr>
            </w:pPr>
            <w:r>
              <w:rPr>
                <w:rFonts w:ascii="Arial" w:cs="Arial" w:eastAsia="Arial" w:hAnsi="Arial"/>
                <w:sz w:val="14"/>
                <w:szCs w:val="14"/>
                <w:color w:val="auto"/>
              </w:rPr>
              <w:t>/s/ Lloyd W. Howell, Jr.</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Executive Vice President and Chief Financial Officer (Principal Financial</w:t>
            </w:r>
          </w:p>
        </w:tc>
        <w:tc>
          <w:tcPr>
            <w:tcW w:w="1300" w:type="dxa"/>
            <w:vAlign w:val="bottom"/>
            <w:vMerge w:val="restart"/>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06"/>
        </w:trPr>
        <w:tc>
          <w:tcPr>
            <w:tcW w:w="4180" w:type="dxa"/>
            <w:vAlign w:val="bottom"/>
            <w:tcBorders>
              <w:bottom w:val="single" w:sz="8" w:color="auto"/>
            </w:tcBorders>
          </w:tcPr>
          <w:p>
            <w:pPr>
              <w:spacing w:after="0"/>
              <w:rPr>
                <w:sz w:val="9"/>
                <w:szCs w:val="9"/>
                <w:color w:val="auto"/>
              </w:rPr>
            </w:pPr>
          </w:p>
        </w:tc>
        <w:tc>
          <w:tcPr>
            <w:tcW w:w="5120" w:type="dxa"/>
            <w:vAlign w:val="bottom"/>
            <w:vMerge w:val="restart"/>
          </w:tcPr>
          <w:p>
            <w:pPr>
              <w:jc w:val="center"/>
              <w:ind w:right="30"/>
              <w:spacing w:after="0"/>
              <w:rPr>
                <w:sz w:val="20"/>
                <w:szCs w:val="20"/>
                <w:color w:val="auto"/>
              </w:rPr>
            </w:pPr>
            <w:r>
              <w:rPr>
                <w:rFonts w:ascii="Arial" w:cs="Arial" w:eastAsia="Arial" w:hAnsi="Arial"/>
                <w:sz w:val="14"/>
                <w:szCs w:val="14"/>
                <w:color w:val="auto"/>
              </w:rPr>
              <w:t>Officer)</w:t>
            </w: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Lloyd W. Howell, Jr.</w:t>
            </w:r>
          </w:p>
        </w:tc>
        <w:tc>
          <w:tcPr>
            <w:tcW w:w="512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180" w:type="dxa"/>
            <w:vAlign w:val="bottom"/>
            <w:vMerge w:val="continue"/>
          </w:tcPr>
          <w:p>
            <w:pPr>
              <w:spacing w:after="0"/>
              <w:rPr>
                <w:sz w:val="10"/>
                <w:szCs w:val="10"/>
                <w:color w:val="auto"/>
              </w:rPr>
            </w:pPr>
          </w:p>
        </w:tc>
        <w:tc>
          <w:tcPr>
            <w:tcW w:w="5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180" w:type="dxa"/>
            <w:vAlign w:val="bottom"/>
          </w:tcPr>
          <w:p>
            <w:pPr>
              <w:ind w:left="20"/>
              <w:spacing w:after="0"/>
              <w:rPr>
                <w:sz w:val="20"/>
                <w:szCs w:val="20"/>
                <w:color w:val="auto"/>
              </w:rPr>
            </w:pPr>
            <w:r>
              <w:rPr>
                <w:rFonts w:ascii="Arial" w:cs="Arial" w:eastAsia="Arial" w:hAnsi="Arial"/>
                <w:sz w:val="14"/>
                <w:szCs w:val="14"/>
                <w:color w:val="auto"/>
              </w:rPr>
              <w:t>/s/ Scott M. Murphy</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Vice President, Chief Accounting Officer and Controller (Principal</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62"/>
        </w:trPr>
        <w:tc>
          <w:tcPr>
            <w:tcW w:w="4180" w:type="dxa"/>
            <w:vAlign w:val="bottom"/>
            <w:tcBorders>
              <w:bottom w:val="single" w:sz="8" w:color="auto"/>
            </w:tcBorders>
          </w:tcPr>
          <w:p>
            <w:pPr>
              <w:spacing w:after="0"/>
              <w:rPr>
                <w:sz w:val="5"/>
                <w:szCs w:val="5"/>
                <w:color w:val="auto"/>
              </w:rPr>
            </w:pPr>
          </w:p>
        </w:tc>
        <w:tc>
          <w:tcPr>
            <w:tcW w:w="5120" w:type="dxa"/>
            <w:vAlign w:val="bottom"/>
            <w:vMerge w:val="restart"/>
          </w:tcPr>
          <w:p>
            <w:pPr>
              <w:jc w:val="center"/>
              <w:ind w:right="30"/>
              <w:spacing w:after="0"/>
              <w:rPr>
                <w:sz w:val="20"/>
                <w:szCs w:val="20"/>
                <w:color w:val="auto"/>
              </w:rPr>
            </w:pPr>
            <w:r>
              <w:rPr>
                <w:rFonts w:ascii="Arial" w:cs="Arial" w:eastAsia="Arial" w:hAnsi="Arial"/>
                <w:sz w:val="14"/>
                <w:szCs w:val="14"/>
                <w:color w:val="auto"/>
                <w:w w:val="95"/>
              </w:rPr>
              <w:t>Accounting Officer)</w:t>
            </w: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Scott M. Murphy</w:t>
            </w:r>
          </w:p>
        </w:tc>
        <w:tc>
          <w:tcPr>
            <w:tcW w:w="512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18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Ralph W. Shrader</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2"/>
              </w:rPr>
              <w:t>Chairman of the Board</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Ralph W. Shrader</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Joan Lordi C. Amble</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Director</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Joan Lordi C. Amble</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Melody C. Barnes</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Director</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Melody C. Barnes</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Michèle A. Flournoy</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Director</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Michèle A. Flournoy</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Ian Fujiyama</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Director</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Ian Fujiyama</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E. Gaumond</w:t>
            </w:r>
          </w:p>
        </w:tc>
        <w:tc>
          <w:tcPr>
            <w:tcW w:w="5120" w:type="dxa"/>
            <w:vAlign w:val="bottom"/>
          </w:tcPr>
          <w:p>
            <w:pPr>
              <w:jc w:val="center"/>
              <w:ind w:right="30"/>
              <w:spacing w:after="0"/>
              <w:rPr>
                <w:sz w:val="20"/>
                <w:szCs w:val="20"/>
                <w:color w:val="auto"/>
              </w:rPr>
            </w:pPr>
            <w:r>
              <w:rPr>
                <w:rFonts w:ascii="Arial" w:cs="Arial" w:eastAsia="Arial" w:hAnsi="Arial"/>
                <w:sz w:val="14"/>
                <w:szCs w:val="14"/>
                <w:color w:val="auto"/>
                <w:w w:val="93"/>
              </w:rPr>
              <w:t>Director</w:t>
            </w:r>
          </w:p>
        </w:tc>
        <w:tc>
          <w:tcPr>
            <w:tcW w:w="1300" w:type="dxa"/>
            <w:vAlign w:val="bottom"/>
          </w:tcPr>
          <w:p>
            <w:pPr>
              <w:jc w:val="center"/>
              <w:ind w:left="451"/>
              <w:spacing w:after="0"/>
              <w:rPr>
                <w:sz w:val="20"/>
                <w:szCs w:val="20"/>
                <w:color w:val="auto"/>
              </w:rPr>
            </w:pPr>
            <w:r>
              <w:rPr>
                <w:rFonts w:ascii="Arial" w:cs="Arial" w:eastAsia="Arial" w:hAnsi="Arial"/>
                <w:sz w:val="14"/>
                <w:szCs w:val="14"/>
                <w:color w:val="auto"/>
                <w:w w:val="91"/>
              </w:rPr>
              <w:t>May 20, 2022</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Mark E. Gaumond</w:t>
            </w:r>
          </w:p>
        </w:tc>
        <w:tc>
          <w:tcPr>
            <w:tcW w:w="5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729" w:right="6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Ellen Jewett</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20, 2022</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Ellen Jewett</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Arthur E. Johnson</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20, 2022</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Arthur E. Johnson</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Gretchen W. McClain</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20, 2022</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Gretchen W. McClain</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Charles O. Rossotti</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20, 2022</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Charles O. Rossotti</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59"/>
        </w:trPr>
        <w:tc>
          <w:tcPr>
            <w:tcW w:w="4180" w:type="dxa"/>
            <w:vAlign w:val="bottom"/>
          </w:tcPr>
          <w:p>
            <w:pPr>
              <w:spacing w:after="0"/>
              <w:rPr>
                <w:sz w:val="24"/>
                <w:szCs w:val="24"/>
                <w:color w:val="auto"/>
              </w:rPr>
            </w:pPr>
          </w:p>
        </w:tc>
        <w:tc>
          <w:tcPr>
            <w:tcW w:w="4200" w:type="dxa"/>
            <w:vAlign w:val="bottom"/>
          </w:tcPr>
          <w:p>
            <w:pPr>
              <w:ind w:left="1400"/>
              <w:spacing w:after="0"/>
              <w:rPr>
                <w:sz w:val="20"/>
                <w:szCs w:val="20"/>
                <w:color w:val="auto"/>
              </w:rPr>
            </w:pPr>
            <w:r>
              <w:rPr>
                <w:rFonts w:ascii="Arial" w:cs="Arial" w:eastAsia="Arial" w:hAnsi="Arial"/>
                <w:sz w:val="14"/>
                <w:szCs w:val="14"/>
                <w:color w:val="auto"/>
              </w:rPr>
              <w:t>78</w:t>
            </w:r>
          </w:p>
        </w:tc>
        <w:tc>
          <w:tcPr>
            <w:tcW w:w="2220" w:type="dxa"/>
            <w:vAlign w:val="bottom"/>
          </w:tcPr>
          <w:p>
            <w:pPr>
              <w:spacing w:after="0"/>
              <w:rPr>
                <w:sz w:val="24"/>
                <w:szCs w:val="24"/>
                <w:color w:val="auto"/>
              </w:rPr>
            </w:pPr>
          </w:p>
        </w:tc>
      </w:tr>
    </w:tbl>
    <w:p>
      <w:pPr>
        <w:sectPr>
          <w:pgSz w:w="11900" w:h="16838" w:orient="portrait"/>
          <w:cols w:equalWidth="0" w:num="1">
            <w:col w:w="10600"/>
          </w:cols>
          <w:pgMar w:left="300" w:top="1179" w:right="999" w:bottom="1440"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center"/>
        <w:ind w:right="-79"/>
        <w:spacing w:after="0"/>
        <w:rPr>
          <w:sz w:val="20"/>
          <w:szCs w:val="20"/>
          <w:color w:val="auto"/>
        </w:rPr>
      </w:pPr>
      <w:r>
        <w:rPr>
          <w:rFonts w:ascii="Arial" w:cs="Arial" w:eastAsia="Arial" w:hAnsi="Arial"/>
          <w:sz w:val="16"/>
          <w:szCs w:val="16"/>
          <w:b w:val="1"/>
          <w:bCs w:val="1"/>
          <w:color w:val="auto"/>
        </w:rPr>
        <w:t>THIRD AMENDED AND RESTATED EQUITY INCENTIVE PLAN OF</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STOCK OPTION AGREEMENT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GRANT NOTICE</w:t>
      </w:r>
    </w:p>
    <w:p>
      <w:pPr>
        <w:spacing w:after="0" w:line="140" w:lineRule="exact"/>
        <w:rPr>
          <w:sz w:val="20"/>
          <w:szCs w:val="20"/>
          <w:color w:val="auto"/>
        </w:rPr>
      </w:pPr>
    </w:p>
    <w:p>
      <w:pPr>
        <w:ind w:right="420"/>
        <w:spacing w:after="0" w:line="209" w:lineRule="auto"/>
        <w:rPr>
          <w:sz w:val="20"/>
          <w:szCs w:val="20"/>
          <w:color w:val="auto"/>
        </w:rPr>
      </w:pPr>
      <w:r>
        <w:rPr>
          <w:rFonts w:ascii="Arial" w:cs="Arial" w:eastAsia="Arial" w:hAnsi="Arial"/>
          <w:sz w:val="16"/>
          <w:szCs w:val="16"/>
          <w:color w:val="auto"/>
        </w:rPr>
        <w:t>Unless otherwise defined herein, the terms defined in the Third Amended and Restated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of Booz Allen Hamilton Holding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shall have the same defined meanings in this Stock Option Agreement, which includes the terms in this Grant Notice, including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attached hereto and any special terms and conditions set out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your country of employment and/or residence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23"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You (the “</w:t>
      </w:r>
      <w:r>
        <w:rPr>
          <w:rFonts w:ascii="Arial" w:cs="Arial" w:eastAsia="Arial" w:hAnsi="Arial"/>
          <w:sz w:val="14"/>
          <w:szCs w:val="14"/>
          <w:u w:val="single" w:color="auto"/>
          <w:color w:val="auto"/>
        </w:rPr>
        <w:t>Optionee</w:t>
      </w:r>
      <w:r>
        <w:rPr>
          <w:rFonts w:ascii="Arial" w:cs="Arial" w:eastAsia="Arial" w:hAnsi="Arial"/>
          <w:sz w:val="14"/>
          <w:szCs w:val="14"/>
          <w:color w:val="auto"/>
        </w:rPr>
        <w:t>”) have been granted an Option to purchase the number of shares (the “</w:t>
      </w:r>
      <w:r>
        <w:rPr>
          <w:rFonts w:ascii="Arial" w:cs="Arial" w:eastAsia="Arial" w:hAnsi="Arial"/>
          <w:sz w:val="14"/>
          <w:szCs w:val="14"/>
          <w:u w:val="single" w:color="auto"/>
          <w:color w:val="auto"/>
        </w:rPr>
        <w:t>Shares</w:t>
      </w:r>
      <w:r>
        <w:rPr>
          <w:rFonts w:ascii="Arial" w:cs="Arial" w:eastAsia="Arial" w:hAnsi="Arial"/>
          <w:sz w:val="14"/>
          <w:szCs w:val="14"/>
          <w:color w:val="auto"/>
        </w:rPr>
        <w:t>”) of Class A Common Stock, par value $0.01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of the Company, as set forth on the Fidelity NetBenefits system at www.netbenefits.com, subject to the terms and conditions of the Plan and this Agreement, as follows:</w:t>
      </w:r>
    </w:p>
    <w:p>
      <w:pPr>
        <w:sectPr>
          <w:pgSz w:w="11900" w:h="16838" w:orient="portrait"/>
          <w:cols w:equalWidth="0" w:num="1">
            <w:col w:w="11200"/>
          </w:cols>
          <w:pgMar w:left="300" w:top="1298" w:right="399" w:bottom="1440" w:gutter="0" w:footer="0" w:header="0"/>
        </w:sectPr>
      </w:pPr>
    </w:p>
    <w:p>
      <w:pPr>
        <w:spacing w:after="0" w:line="1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Type of Option: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260"/>
        <w:spacing w:after="0"/>
        <w:rPr>
          <w:sz w:val="20"/>
          <w:szCs w:val="20"/>
          <w:color w:val="auto"/>
        </w:rPr>
      </w:pPr>
      <w:r>
        <w:rPr>
          <w:rFonts w:ascii="Arial" w:cs="Arial" w:eastAsia="Arial" w:hAnsi="Arial"/>
          <w:sz w:val="14"/>
          <w:szCs w:val="14"/>
          <w:color w:val="auto"/>
        </w:rPr>
        <w:t>Non-Qualified Stock Option</w:t>
      </w:r>
    </w:p>
    <w:p>
      <w:pPr>
        <w:spacing w:after="0" w:line="36" w:lineRule="exact"/>
        <w:rPr>
          <w:sz w:val="20"/>
          <w:szCs w:val="20"/>
          <w:color w:val="auto"/>
        </w:rPr>
      </w:pPr>
    </w:p>
    <w:p>
      <w:pPr>
        <w:sectPr>
          <w:pgSz w:w="11900" w:h="16838" w:orient="portrait"/>
          <w:cols w:equalWidth="0" w:num="2">
            <w:col w:w="4460" w:space="720"/>
            <w:col w:w="6020"/>
          </w:cols>
          <w:pgMar w:left="300" w:top="1298" w:right="3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Final Expiration Date:</w:t>
      </w:r>
    </w:p>
    <w:p>
      <w:pPr>
        <w:spacing w:after="0" w:line="20" w:lineRule="exact"/>
        <w:rPr>
          <w:sz w:val="20"/>
          <w:szCs w:val="20"/>
          <w:color w:val="auto"/>
        </w:rPr>
      </w:pPr>
      <w:r>
        <w:rPr>
          <w:sz w:val="20"/>
          <w:szCs w:val="20"/>
          <w:color w:val="auto"/>
        </w:rPr>
        <w:br w:type="column"/>
      </w:r>
    </w:p>
    <w:p>
      <w:pPr>
        <w:jc w:val="center"/>
        <w:ind w:right="4040"/>
        <w:spacing w:after="0"/>
        <w:rPr>
          <w:sz w:val="20"/>
          <w:szCs w:val="20"/>
          <w:color w:val="auto"/>
        </w:rPr>
      </w:pPr>
      <w:r>
        <w:rPr>
          <w:rFonts w:ascii="Arial" w:cs="Arial" w:eastAsia="Arial" w:hAnsi="Arial"/>
          <w:sz w:val="13"/>
          <w:szCs w:val="13"/>
          <w:color w:val="auto"/>
        </w:rPr>
        <w:t>Ten years from the date of grant</w:t>
      </w:r>
    </w:p>
    <w:p>
      <w:pPr>
        <w:spacing w:after="0" w:line="211" w:lineRule="exact"/>
        <w:rPr>
          <w:sz w:val="20"/>
          <w:szCs w:val="20"/>
          <w:color w:val="auto"/>
        </w:rPr>
      </w:pPr>
    </w:p>
    <w:p>
      <w:pPr>
        <w:sectPr>
          <w:pgSz w:w="11900" w:h="16838" w:orient="portrait"/>
          <w:cols w:equalWidth="0" w:num="2">
            <w:col w:w="4460" w:space="720"/>
            <w:col w:w="6020"/>
          </w:cols>
          <w:pgMar w:left="300" w:top="1298" w:right="39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Your acceptance of this Option indicates your agreement and understanding that this Option is subject to all of the terms and conditions contained in the Agreement and the Plan.</w:t>
      </w:r>
    </w:p>
    <w:p>
      <w:pPr>
        <w:jc w:val="both"/>
        <w:ind w:right="220"/>
        <w:spacing w:after="0" w:line="209" w:lineRule="auto"/>
        <w:rPr>
          <w:sz w:val="20"/>
          <w:szCs w:val="20"/>
          <w:color w:val="auto"/>
        </w:rPr>
      </w:pPr>
      <w:r>
        <w:rPr>
          <w:rFonts w:ascii="Arial" w:cs="Arial" w:eastAsia="Arial" w:hAnsi="Arial"/>
          <w:sz w:val="16"/>
          <w:szCs w:val="16"/>
          <w:b w:val="1"/>
          <w:bCs w:val="1"/>
          <w:color w:val="auto"/>
        </w:rPr>
        <w:t xml:space="preserve">ACCORDINGLY, PLEASE BE SURE TO READ ALL OF THE PLAN AND </w:t>
      </w:r>
      <w:r>
        <w:rPr>
          <w:rFonts w:ascii="Arial" w:cs="Arial" w:eastAsia="Arial" w:hAnsi="Arial"/>
          <w:sz w:val="16"/>
          <w:szCs w:val="16"/>
          <w:b w:val="1"/>
          <w:bCs w:val="1"/>
          <w:u w:val="single" w:color="auto"/>
          <w:color w:val="auto"/>
        </w:rPr>
        <w:t>APPENDIX A</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APPENDIX B</w:t>
      </w:r>
      <w:r>
        <w:rPr>
          <w:rFonts w:ascii="Arial" w:cs="Arial" w:eastAsia="Arial" w:hAnsi="Arial"/>
          <w:sz w:val="16"/>
          <w:szCs w:val="16"/>
          <w:b w:val="1"/>
          <w:bCs w:val="1"/>
          <w:color w:val="auto"/>
        </w:rPr>
        <w:t xml:space="preserve"> AND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WHICH CONTAIN THE SPECIFIC TERMS AND CONDITIONS OF THIS OPTION. IN PARTICULAR, BY ACCEPTANCE OF THIS OPTION, YOU AGREE TO THE TERMS AND CONDITIONS CONTAINED IN THE AGREEMENT RELATING TO ELECTRONIC DELIVERY OF ANY DOCUMENTS RELATED TO THE OPTION.</w:t>
      </w:r>
    </w:p>
    <w:p>
      <w:pPr>
        <w:sectPr>
          <w:pgSz w:w="11900" w:h="16838" w:orient="portrait"/>
          <w:cols w:equalWidth="0" w:num="1">
            <w:col w:w="11200"/>
          </w:cols>
          <w:pgMar w:left="300" w:top="1298" w:right="399" w:bottom="1440"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6"/>
          <w:szCs w:val="16"/>
          <w:b w:val="1"/>
          <w:bCs w:val="1"/>
          <w:color w:val="auto"/>
        </w:rPr>
        <w:t>APPENDIX A TO STOCK OPTION AGREEMENT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GRANT OF OPTION</w:t>
      </w:r>
    </w:p>
    <w:p>
      <w:pPr>
        <w:spacing w:after="0" w:line="140" w:lineRule="exact"/>
        <w:rPr>
          <w:sz w:val="20"/>
          <w:szCs w:val="20"/>
          <w:color w:val="auto"/>
        </w:rPr>
      </w:pPr>
    </w:p>
    <w:p>
      <w:pPr>
        <w:spacing w:after="0" w:line="209" w:lineRule="auto"/>
        <w:rPr>
          <w:sz w:val="20"/>
          <w:szCs w:val="20"/>
          <w:color w:val="auto"/>
        </w:rPr>
      </w:pPr>
      <w:r>
        <w:rPr>
          <w:rFonts w:ascii="Arial" w:cs="Arial" w:eastAsia="Arial" w:hAnsi="Arial"/>
          <w:sz w:val="16"/>
          <w:szCs w:val="16"/>
          <w:u w:val="single" w:color="auto"/>
          <w:color w:val="auto"/>
        </w:rPr>
        <w:t>Section 1.1 Grant of Option</w:t>
      </w:r>
      <w:r>
        <w:rPr>
          <w:rFonts w:ascii="Arial" w:cs="Arial" w:eastAsia="Arial" w:hAnsi="Arial"/>
          <w:sz w:val="16"/>
          <w:szCs w:val="16"/>
          <w:color w:val="auto"/>
        </w:rPr>
        <w:t xml:space="preserve">. The Company hereby grants to the Optionee the Option to purchase any part or all of the Shares upon the terms and conditions set forth in the Plan and this Agreement (including the Grant Notice and any special terms and conditions for the Optionee’s country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to this Agreement).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123" w:lineRule="exact"/>
        <w:rPr>
          <w:sz w:val="20"/>
          <w:szCs w:val="20"/>
          <w:color w:val="auto"/>
        </w:rPr>
      </w:pPr>
    </w:p>
    <w:p>
      <w:pPr>
        <w:ind w:right="620"/>
        <w:spacing w:after="0" w:line="225" w:lineRule="auto"/>
        <w:rPr>
          <w:sz w:val="20"/>
          <w:szCs w:val="20"/>
          <w:color w:val="auto"/>
        </w:rPr>
      </w:pPr>
      <w:r>
        <w:rPr>
          <w:rFonts w:ascii="Arial" w:cs="Arial" w:eastAsia="Arial" w:hAnsi="Arial"/>
          <w:sz w:val="16"/>
          <w:szCs w:val="16"/>
          <w:u w:val="single" w:color="auto"/>
          <w:color w:val="auto"/>
        </w:rPr>
        <w:t>Section 1.2 Option Subject to Plan</w:t>
      </w:r>
      <w:r>
        <w:rPr>
          <w:rFonts w:ascii="Arial" w:cs="Arial" w:eastAsia="Arial" w:hAnsi="Arial"/>
          <w:sz w:val="16"/>
          <w:szCs w:val="16"/>
          <w:color w:val="auto"/>
        </w:rPr>
        <w:t>. The Option granted hereunder is subject to the terms and provisions of the Plan, including, but not limited to, Article V, Article XI, Article XII, Article XIII and Article XIV thereof.</w:t>
      </w:r>
    </w:p>
    <w:p>
      <w:pPr>
        <w:spacing w:after="0" w:line="122" w:lineRule="exact"/>
        <w:rPr>
          <w:sz w:val="20"/>
          <w:szCs w:val="20"/>
          <w:color w:val="auto"/>
        </w:rPr>
      </w:pPr>
    </w:p>
    <w:p>
      <w:pPr>
        <w:ind w:right="300"/>
        <w:spacing w:after="0" w:line="225" w:lineRule="auto"/>
        <w:rPr>
          <w:sz w:val="20"/>
          <w:szCs w:val="20"/>
          <w:color w:val="auto"/>
        </w:rPr>
      </w:pPr>
      <w:r>
        <w:rPr>
          <w:rFonts w:ascii="Arial" w:cs="Arial" w:eastAsia="Arial" w:hAnsi="Arial"/>
          <w:sz w:val="16"/>
          <w:szCs w:val="16"/>
          <w:u w:val="single" w:color="auto"/>
          <w:color w:val="auto"/>
        </w:rPr>
        <w:t>Section 1.3 Exercise Price</w:t>
      </w:r>
      <w:r>
        <w:rPr>
          <w:rFonts w:ascii="Arial" w:cs="Arial" w:eastAsia="Arial" w:hAnsi="Arial"/>
          <w:sz w:val="16"/>
          <w:szCs w:val="16"/>
          <w:color w:val="auto"/>
        </w:rPr>
        <w:t>. The Exercise Price of the Shares covered by the Option has been determined in accordance with the provisions set forth in the Plan and does not include any commission or other charges.</w:t>
      </w:r>
    </w:p>
    <w:p>
      <w:pPr>
        <w:spacing w:after="0" w:line="116"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Article II.</w:t>
      </w:r>
    </w:p>
    <w:p>
      <w:pPr>
        <w:spacing w:after="0" w:line="134" w:lineRule="exact"/>
        <w:rPr>
          <w:sz w:val="20"/>
          <w:szCs w:val="20"/>
          <w:color w:val="auto"/>
        </w:rPr>
      </w:pPr>
    </w:p>
    <w:p>
      <w:pPr>
        <w:ind w:left="4120"/>
        <w:spacing w:after="0"/>
        <w:rPr>
          <w:sz w:val="20"/>
          <w:szCs w:val="20"/>
          <w:color w:val="auto"/>
        </w:rPr>
      </w:pPr>
      <w:r>
        <w:rPr>
          <w:rFonts w:ascii="Arial" w:cs="Arial" w:eastAsia="Arial" w:hAnsi="Arial"/>
          <w:sz w:val="16"/>
          <w:szCs w:val="16"/>
          <w:b w:val="1"/>
          <w:bCs w:val="1"/>
          <w:u w:val="single" w:color="auto"/>
          <w:color w:val="auto"/>
        </w:rPr>
        <w:t>VESTING SCHEDULE; EXERCISABILITY</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2.1</w:t>
      </w:r>
      <w:r>
        <w:rPr>
          <w:sz w:val="20"/>
          <w:szCs w:val="20"/>
          <w:color w:val="auto"/>
        </w:rPr>
        <w:tab/>
      </w:r>
      <w:r>
        <w:rPr>
          <w:rFonts w:ascii="Arial" w:cs="Arial" w:eastAsia="Arial" w:hAnsi="Arial"/>
          <w:sz w:val="14"/>
          <w:szCs w:val="14"/>
          <w:u w:val="single" w:color="auto"/>
          <w:color w:val="auto"/>
        </w:rPr>
        <w:t>Vesting and Exercisability of the Option</w:t>
      </w:r>
      <w:r>
        <w:rPr>
          <w:rFonts w:ascii="Arial" w:cs="Arial" w:eastAsia="Arial" w:hAnsi="Arial"/>
          <w:sz w:val="14"/>
          <w:szCs w:val="14"/>
          <w:color w:val="auto"/>
        </w:rPr>
        <w:t>.</w:t>
      </w:r>
    </w:p>
    <w:p>
      <w:pPr>
        <w:spacing w:after="0" w:line="134" w:lineRule="exact"/>
        <w:rPr>
          <w:sz w:val="20"/>
          <w:szCs w:val="20"/>
          <w:color w:val="auto"/>
        </w:rPr>
      </w:pPr>
    </w:p>
    <w:p>
      <w:pPr>
        <w:ind w:right="420" w:firstLine="514"/>
        <w:spacing w:after="0" w:line="225" w:lineRule="auto"/>
        <w:tabs>
          <w:tab w:leader="none" w:pos="1011"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Except as provided in this Section 2, the Option shall become vested and exercisable in the amount(s) and on the vesting date(s)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i w:val="1"/>
          <w:iCs w:val="1"/>
          <w:color w:val="auto"/>
        </w:rPr>
        <w:t xml:space="preserve"> </w:t>
      </w:r>
      <w:r>
        <w:rPr>
          <w:rFonts w:ascii="Arial" w:cs="Arial" w:eastAsia="Arial" w:hAnsi="Arial"/>
          <w:sz w:val="16"/>
          <w:szCs w:val="16"/>
          <w:color w:val="auto"/>
        </w:rPr>
        <w:t>(each, a “</w:t>
      </w:r>
      <w:r>
        <w:rPr>
          <w:rFonts w:ascii="Arial" w:cs="Arial" w:eastAsia="Arial" w:hAnsi="Arial"/>
          <w:sz w:val="16"/>
          <w:szCs w:val="16"/>
          <w:u w:val="single" w:color="auto"/>
          <w:color w:val="auto"/>
        </w:rPr>
        <w:t>Vesting Date</w:t>
      </w:r>
      <w:r>
        <w:rPr>
          <w:rFonts w:ascii="Arial" w:cs="Arial" w:eastAsia="Arial" w:hAnsi="Arial"/>
          <w:sz w:val="16"/>
          <w:szCs w:val="16"/>
          <w:color w:val="auto"/>
        </w:rPr>
        <w:t>”), so long as the Optionee remains continuously in service as a Service Provider through such Vesting Date.</w:t>
      </w:r>
    </w:p>
    <w:p>
      <w:pPr>
        <w:spacing w:after="0" w:line="121" w:lineRule="exact"/>
        <w:rPr>
          <w:rFonts w:ascii="Arial" w:cs="Arial" w:eastAsia="Arial" w:hAnsi="Arial"/>
          <w:sz w:val="16"/>
          <w:szCs w:val="16"/>
          <w:color w:val="auto"/>
        </w:rPr>
      </w:pPr>
    </w:p>
    <w:p>
      <w:pPr>
        <w:ind w:left="1020" w:hanging="506"/>
        <w:spacing w:after="0"/>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Change in Control Vesting</w:t>
      </w:r>
      <w:r>
        <w:rPr>
          <w:rFonts w:ascii="Arial" w:cs="Arial" w:eastAsia="Arial" w:hAnsi="Arial"/>
          <w:sz w:val="16"/>
          <w:szCs w:val="16"/>
          <w:color w:val="auto"/>
        </w:rPr>
        <w:t>. Upon the occurrence of a Change in Control, any Option shall vest as set forth in Section 2.9.</w:t>
      </w:r>
    </w:p>
    <w:p>
      <w:pPr>
        <w:spacing w:after="0" w:line="133" w:lineRule="exact"/>
        <w:rPr>
          <w:rFonts w:ascii="Arial" w:cs="Arial" w:eastAsia="Arial" w:hAnsi="Arial"/>
          <w:sz w:val="16"/>
          <w:szCs w:val="16"/>
          <w:color w:val="auto"/>
        </w:rPr>
      </w:pPr>
    </w:p>
    <w:p>
      <w:pPr>
        <w:ind w:left="1020" w:hanging="506"/>
        <w:spacing w:after="0"/>
        <w:tabs>
          <w:tab w:leader="none" w:pos="1020" w:val="left"/>
        </w:tabs>
        <w:numPr>
          <w:ilvl w:val="0"/>
          <w:numId w:val="74"/>
        </w:numPr>
        <w:rPr>
          <w:rFonts w:ascii="Arial" w:cs="Arial" w:eastAsia="Arial" w:hAnsi="Arial"/>
          <w:sz w:val="14"/>
          <w:szCs w:val="14"/>
          <w:color w:val="auto"/>
        </w:rPr>
      </w:pPr>
      <w:r>
        <w:rPr>
          <w:rFonts w:ascii="Arial" w:cs="Arial" w:eastAsia="Arial" w:hAnsi="Arial"/>
          <w:sz w:val="14"/>
          <w:szCs w:val="14"/>
          <w:i w:val="1"/>
          <w:iCs w:val="1"/>
          <w:color w:val="auto"/>
        </w:rPr>
        <w:t>Discretionary Vesting</w:t>
      </w:r>
      <w:r>
        <w:rPr>
          <w:rFonts w:ascii="Arial" w:cs="Arial" w:eastAsia="Arial" w:hAnsi="Arial"/>
          <w:sz w:val="14"/>
          <w:szCs w:val="14"/>
          <w:color w:val="auto"/>
        </w:rPr>
        <w:t>. The Administrator in its sole discretion may accelerate the vesting of any portion of the Option that does not otherwise vest pursuant to this</w:t>
      </w:r>
    </w:p>
    <w:p>
      <w:pPr>
        <w:spacing w:after="0"/>
        <w:rPr>
          <w:rFonts w:ascii="Arial" w:cs="Arial" w:eastAsia="Arial" w:hAnsi="Arial"/>
          <w:sz w:val="14"/>
          <w:szCs w:val="14"/>
          <w:color w:val="auto"/>
        </w:rPr>
      </w:pPr>
      <w:r>
        <w:rPr>
          <w:rFonts w:ascii="Arial" w:cs="Arial" w:eastAsia="Arial" w:hAnsi="Arial"/>
          <w:sz w:val="16"/>
          <w:szCs w:val="16"/>
          <w:color w:val="auto"/>
        </w:rPr>
        <w:t>Section 2.1.</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2.2</w:t>
      </w:r>
      <w:r>
        <w:rPr>
          <w:sz w:val="20"/>
          <w:szCs w:val="20"/>
          <w:color w:val="auto"/>
        </w:rPr>
        <w:tab/>
      </w:r>
      <w:r>
        <w:rPr>
          <w:rFonts w:ascii="Arial" w:cs="Arial" w:eastAsia="Arial" w:hAnsi="Arial"/>
          <w:sz w:val="14"/>
          <w:szCs w:val="14"/>
          <w:u w:val="single" w:color="auto"/>
          <w:color w:val="auto"/>
        </w:rPr>
        <w:t>Termination of Employment or Service</w:t>
      </w:r>
      <w:r>
        <w:rPr>
          <w:rFonts w:ascii="Arial" w:cs="Arial" w:eastAsia="Arial" w:hAnsi="Arial"/>
          <w:sz w:val="14"/>
          <w:szCs w:val="14"/>
          <w:color w:val="auto"/>
        </w:rPr>
        <w:t>.</w:t>
      </w:r>
    </w:p>
    <w:p>
      <w:pPr>
        <w:spacing w:after="0" w:line="134" w:lineRule="exact"/>
        <w:rPr>
          <w:sz w:val="20"/>
          <w:szCs w:val="20"/>
          <w:color w:val="auto"/>
        </w:rPr>
      </w:pPr>
    </w:p>
    <w:p>
      <w:pPr>
        <w:ind w:firstLine="514"/>
        <w:spacing w:after="0" w:line="214" w:lineRule="auto"/>
        <w:tabs>
          <w:tab w:leader="none" w:pos="1011"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Termination Due to Death</w:t>
      </w:r>
      <w:r>
        <w:rPr>
          <w:rFonts w:ascii="Arial" w:cs="Arial" w:eastAsia="Arial" w:hAnsi="Arial"/>
          <w:sz w:val="16"/>
          <w:szCs w:val="16"/>
          <w:color w:val="auto"/>
        </w:rPr>
        <w:t>. If an Optionee’s employment or service terminates due to the Optionee’s death, all Options shall immediately vest and shall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until (</w:t>
      </w:r>
      <w:r>
        <w:rPr>
          <w:rFonts w:ascii="Arial" w:cs="Arial" w:eastAsia="Arial" w:hAnsi="Arial"/>
          <w:sz w:val="16"/>
          <w:szCs w:val="16"/>
          <w:u w:val="single" w:color="auto"/>
          <w:color w:val="auto"/>
        </w:rPr>
        <w:t>i</w:t>
      </w:r>
      <w:r>
        <w:rPr>
          <w:rFonts w:ascii="Arial" w:cs="Arial" w:eastAsia="Arial" w:hAnsi="Arial"/>
          <w:sz w:val="16"/>
          <w:szCs w:val="16"/>
          <w:color w:val="auto"/>
        </w:rPr>
        <w:t>) the first anniversary of the date of the Optionee’s death or (</w:t>
      </w:r>
      <w:r>
        <w:rPr>
          <w:rFonts w:ascii="Arial" w:cs="Arial" w:eastAsia="Arial" w:hAnsi="Arial"/>
          <w:sz w:val="16"/>
          <w:szCs w:val="16"/>
          <w:u w:val="single" w:color="auto"/>
          <w:color w:val="auto"/>
        </w:rPr>
        <w:t>ii</w:t>
      </w:r>
      <w:r>
        <w:rPr>
          <w:rFonts w:ascii="Arial" w:cs="Arial" w:eastAsia="Arial" w:hAnsi="Arial"/>
          <w:sz w:val="16"/>
          <w:szCs w:val="16"/>
          <w:color w:val="auto"/>
        </w:rPr>
        <w:t>) the Option’s Final Expiration Date, whichever is earlier, after which any unexercised Options shall immediately terminate.</w:t>
      </w:r>
    </w:p>
    <w:p>
      <w:pPr>
        <w:spacing w:after="0" w:line="123" w:lineRule="exact"/>
        <w:rPr>
          <w:rFonts w:ascii="Arial" w:cs="Arial" w:eastAsia="Arial" w:hAnsi="Arial"/>
          <w:sz w:val="16"/>
          <w:szCs w:val="16"/>
          <w:color w:val="auto"/>
        </w:rPr>
      </w:pPr>
    </w:p>
    <w:p>
      <w:pPr>
        <w:ind w:right="60" w:firstLine="514"/>
        <w:spacing w:after="0" w:line="209" w:lineRule="auto"/>
        <w:tabs>
          <w:tab w:leader="none" w:pos="1009"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Termination Due to Disability</w:t>
      </w:r>
      <w:r>
        <w:rPr>
          <w:rFonts w:ascii="Arial" w:cs="Arial" w:eastAsia="Arial" w:hAnsi="Arial"/>
          <w:sz w:val="16"/>
          <w:szCs w:val="16"/>
          <w:color w:val="auto"/>
        </w:rPr>
        <w:t>. If an Optionee’s employment or service terminates due to the Optionee’s Disability, unvested Options shall not be forfeited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vest in accordance with the schedule set forth in this Agreement. All vested Options shall remain outstanding until (</w:t>
      </w:r>
      <w:r>
        <w:rPr>
          <w:rFonts w:ascii="Arial" w:cs="Arial" w:eastAsia="Arial" w:hAnsi="Arial"/>
          <w:sz w:val="16"/>
          <w:szCs w:val="16"/>
          <w:u w:val="single" w:color="auto"/>
          <w:color w:val="auto"/>
        </w:rPr>
        <w:t>i</w:t>
      </w:r>
      <w:r>
        <w:rPr>
          <w:rFonts w:ascii="Arial" w:cs="Arial" w:eastAsia="Arial" w:hAnsi="Arial"/>
          <w:sz w:val="16"/>
          <w:szCs w:val="16"/>
          <w:color w:val="auto"/>
        </w:rPr>
        <w:t>) the later of the first anniversary of either (</w:t>
      </w:r>
      <w:r>
        <w:rPr>
          <w:rFonts w:ascii="Arial" w:cs="Arial" w:eastAsia="Arial" w:hAnsi="Arial"/>
          <w:sz w:val="16"/>
          <w:szCs w:val="16"/>
          <w:u w:val="single" w:color="auto"/>
          <w:color w:val="auto"/>
        </w:rPr>
        <w:t>x</w:t>
      </w:r>
      <w:r>
        <w:rPr>
          <w:rFonts w:ascii="Arial" w:cs="Arial" w:eastAsia="Arial" w:hAnsi="Arial"/>
          <w:sz w:val="16"/>
          <w:szCs w:val="16"/>
          <w:color w:val="auto"/>
        </w:rPr>
        <w:t>) the date of termination due to Disability or (</w:t>
      </w:r>
      <w:r>
        <w:rPr>
          <w:rFonts w:ascii="Arial" w:cs="Arial" w:eastAsia="Arial" w:hAnsi="Arial"/>
          <w:sz w:val="16"/>
          <w:szCs w:val="16"/>
          <w:u w:val="single" w:color="auto"/>
          <w:color w:val="auto"/>
        </w:rPr>
        <w:t>y</w:t>
      </w:r>
      <w:r>
        <w:rPr>
          <w:rFonts w:ascii="Arial" w:cs="Arial" w:eastAsia="Arial" w:hAnsi="Arial"/>
          <w:sz w:val="16"/>
          <w:szCs w:val="16"/>
          <w:color w:val="auto"/>
        </w:rPr>
        <w:t>) the date of vesting or (</w:t>
      </w:r>
      <w:r>
        <w:rPr>
          <w:rFonts w:ascii="Arial" w:cs="Arial" w:eastAsia="Arial" w:hAnsi="Arial"/>
          <w:sz w:val="16"/>
          <w:szCs w:val="16"/>
          <w:u w:val="single" w:color="auto"/>
          <w:color w:val="auto"/>
        </w:rPr>
        <w:t>ii</w:t>
      </w:r>
      <w:r>
        <w:rPr>
          <w:rFonts w:ascii="Arial" w:cs="Arial" w:eastAsia="Arial" w:hAnsi="Arial"/>
          <w:sz w:val="16"/>
          <w:szCs w:val="16"/>
          <w:color w:val="auto"/>
        </w:rPr>
        <w:t>) the Option’s Final Expiration Date, whichever is earlier, after which any unexercised Options shall immediately terminate.</w:t>
      </w:r>
    </w:p>
    <w:p>
      <w:pPr>
        <w:spacing w:after="0" w:line="123" w:lineRule="exact"/>
        <w:rPr>
          <w:rFonts w:ascii="Arial" w:cs="Arial" w:eastAsia="Arial" w:hAnsi="Arial"/>
          <w:sz w:val="16"/>
          <w:szCs w:val="16"/>
          <w:color w:val="auto"/>
        </w:rPr>
      </w:pPr>
    </w:p>
    <w:p>
      <w:pPr>
        <w:ind w:right="180" w:firstLine="514"/>
        <w:spacing w:after="0" w:line="209" w:lineRule="auto"/>
        <w:tabs>
          <w:tab w:leader="none" w:pos="1011"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Termination for Cause</w:t>
      </w:r>
      <w:r>
        <w:rPr>
          <w:rFonts w:ascii="Arial" w:cs="Arial" w:eastAsia="Arial" w:hAnsi="Arial"/>
          <w:sz w:val="16"/>
          <w:szCs w:val="16"/>
          <w:color w:val="auto"/>
        </w:rPr>
        <w:t>. Unless otherwise determined by the Administrator, if the Optionee’s employment or service terminates for Cause, all Options,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vested or unvested, shall be immediately forfeited and canceled, effective as of the date of the Optionee’s termination of employment or service. Notwithstanding the foregoing, unless otherwise determined by the Administrator and set forth in writing, any Option that vested during the twelve (12) months prior to or any time after the Optionee engaged in the conduct that gave rise to the termination for Cause shall upon demand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298" w:right="319" w:bottom="1440" w:gutter="0" w:footer="0" w:header="0"/>
        </w:sectPr>
      </w:pPr>
    </w:p>
    <w:bookmarkStart w:id="151" w:name="page152"/>
    <w:bookmarkEnd w:id="151"/>
    <w:p>
      <w:pPr>
        <w:ind w:right="400"/>
        <w:spacing w:after="0" w:line="225" w:lineRule="auto"/>
        <w:rPr>
          <w:sz w:val="20"/>
          <w:szCs w:val="20"/>
          <w:color w:val="auto"/>
        </w:rPr>
      </w:pPr>
      <w:r>
        <w:rPr>
          <w:rFonts w:ascii="Arial" w:cs="Arial" w:eastAsia="Arial" w:hAnsi="Arial"/>
          <w:sz w:val="16"/>
          <w:szCs w:val="16"/>
          <w:color w:val="auto"/>
        </w:rPr>
        <w:t>Administrator be immediately forfeited and disgorged or paid to the Company together with all gains earned or accrued due to the exercise of such Option or sale of Company Common Stock issued pursuant to such Option.</w:t>
      </w:r>
    </w:p>
    <w:p>
      <w:pPr>
        <w:spacing w:after="0" w:line="122" w:lineRule="exact"/>
        <w:rPr>
          <w:sz w:val="20"/>
          <w:szCs w:val="20"/>
          <w:color w:val="auto"/>
        </w:rPr>
      </w:pPr>
    </w:p>
    <w:p>
      <w:pPr>
        <w:ind w:right="180" w:firstLine="514"/>
        <w:spacing w:after="0" w:line="197" w:lineRule="auto"/>
        <w:tabs>
          <w:tab w:leader="none" w:pos="1009"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Termination for Any Other Reason</w:t>
      </w:r>
      <w:r>
        <w:rPr>
          <w:rFonts w:ascii="Arial" w:cs="Arial" w:eastAsia="Arial" w:hAnsi="Arial"/>
          <w:sz w:val="16"/>
          <w:szCs w:val="16"/>
          <w:color w:val="auto"/>
        </w:rPr>
        <w:t>. Unless otherwise determined by the Administrator and set forth in writing, if an Optionee’s employment or service terminates</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reason other than death, Disability or Cause, all Options that are unvested shall be immediately forfeited and canceled, and all Options that are vested shall remain outstanding until (</w:t>
      </w:r>
      <w:r>
        <w:rPr>
          <w:rFonts w:ascii="Arial" w:cs="Arial" w:eastAsia="Arial" w:hAnsi="Arial"/>
          <w:sz w:val="16"/>
          <w:szCs w:val="16"/>
          <w:u w:val="single" w:color="auto"/>
          <w:color w:val="auto"/>
        </w:rPr>
        <w:t>x</w:t>
      </w:r>
      <w:r>
        <w:rPr>
          <w:rFonts w:ascii="Arial" w:cs="Arial" w:eastAsia="Arial" w:hAnsi="Arial"/>
          <w:sz w:val="16"/>
          <w:szCs w:val="16"/>
          <w:color w:val="auto"/>
        </w:rPr>
        <w:t>)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termination of Optionee’s employment or service or (</w:t>
      </w:r>
      <w:r>
        <w:rPr>
          <w:rFonts w:ascii="Arial" w:cs="Arial" w:eastAsia="Arial" w:hAnsi="Arial"/>
          <w:sz w:val="16"/>
          <w:szCs w:val="16"/>
          <w:u w:val="single" w:color="auto"/>
          <w:color w:val="auto"/>
        </w:rPr>
        <w:t>y</w:t>
      </w:r>
      <w:r>
        <w:rPr>
          <w:rFonts w:ascii="Arial" w:cs="Arial" w:eastAsia="Arial" w:hAnsi="Arial"/>
          <w:sz w:val="16"/>
          <w:szCs w:val="16"/>
          <w:color w:val="auto"/>
        </w:rPr>
        <w:t>) the Final Expiration Date, whichever is earlier, after which any unexercised Options shall immediately terminate.</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u w:val="single" w:color="auto"/>
          <w:color w:val="auto"/>
        </w:rPr>
        <w:t>Section 2.3 Additional Forfeiture Provisions</w:t>
      </w:r>
      <w:r>
        <w:rPr>
          <w:rFonts w:ascii="Arial" w:cs="Arial" w:eastAsia="Arial" w:hAnsi="Arial"/>
          <w:sz w:val="14"/>
          <w:szCs w:val="14"/>
          <w:color w:val="auto"/>
        </w:rPr>
        <w:t>. The Optionee acknowledges and agrees that the Option shall be immediately forfeited and cease to be exercisable, and the Optionee shall be required to disgorge to the Company all gains earned or accrued due to the exercise of Options or sale of any Shares issued pursuant to such Options upon certain accounting restatements, if the Optionee engages in Competitive Activity (excluding, only if the Optionee is located in California, clause (a) of the definition of Competitive Activity contained in the Plan), as required by applicable law or if the Optionee engages in certain other misconduct as provided in Section 11.4 of the Plan.</w:t>
      </w:r>
    </w:p>
    <w:p>
      <w:pPr>
        <w:spacing w:after="0" w:line="123" w:lineRule="exact"/>
        <w:rPr>
          <w:sz w:val="20"/>
          <w:szCs w:val="20"/>
          <w:color w:val="auto"/>
        </w:rPr>
      </w:pPr>
    </w:p>
    <w:p>
      <w:pPr>
        <w:spacing w:after="0" w:line="230" w:lineRule="auto"/>
        <w:rPr>
          <w:sz w:val="20"/>
          <w:szCs w:val="20"/>
          <w:color w:val="auto"/>
        </w:rPr>
      </w:pPr>
      <w:r>
        <w:rPr>
          <w:rFonts w:ascii="Arial" w:cs="Arial" w:eastAsia="Arial" w:hAnsi="Arial"/>
          <w:sz w:val="14"/>
          <w:szCs w:val="14"/>
          <w:u w:val="single" w:color="auto"/>
          <w:color w:val="auto"/>
        </w:rPr>
        <w:t>Section 2.4 Exercisability of the Option</w:t>
      </w:r>
      <w:r>
        <w:rPr>
          <w:rFonts w:ascii="Arial" w:cs="Arial" w:eastAsia="Arial" w:hAnsi="Arial"/>
          <w:sz w:val="14"/>
          <w:szCs w:val="14"/>
          <w:color w:val="auto"/>
        </w:rPr>
        <w:t>. The Optionee shall not have the right to exercise the Option until the date the applicable portion of the Option becomes vested pursuant to Section 2.1 or Section 2.2. The date that the applicable portion of the Option becomes exercisable is referred to herein as the “Exercise Commencement Date.” Subject to</w:t>
      </w:r>
    </w:p>
    <w:p>
      <w:pPr>
        <w:spacing w:after="0" w:line="1" w:lineRule="exact"/>
        <w:rPr>
          <w:sz w:val="20"/>
          <w:szCs w:val="20"/>
          <w:color w:val="auto"/>
        </w:rPr>
      </w:pPr>
    </w:p>
    <w:p>
      <w:pPr>
        <w:ind w:right="720"/>
        <w:spacing w:after="0" w:line="217" w:lineRule="auto"/>
        <w:rPr>
          <w:sz w:val="20"/>
          <w:szCs w:val="20"/>
          <w:color w:val="auto"/>
        </w:rPr>
      </w:pPr>
      <w:r>
        <w:rPr>
          <w:rFonts w:ascii="Arial" w:cs="Arial" w:eastAsia="Arial" w:hAnsi="Arial"/>
          <w:sz w:val="16"/>
          <w:szCs w:val="16"/>
          <w:color w:val="auto"/>
        </w:rPr>
        <w:t>Section 14.1 of the Plan, following the Exercise Commencement Date, the applicable portion of the Option shall remain exercisable until it becomes unexercisable under Section 2.5. Once the Option becomes unexercisable, it shall be forfeited immediately.</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2.5</w:t>
      </w:r>
      <w:r>
        <w:rPr>
          <w:sz w:val="20"/>
          <w:szCs w:val="20"/>
          <w:color w:val="auto"/>
        </w:rPr>
        <w:tab/>
      </w:r>
      <w:r>
        <w:rPr>
          <w:rFonts w:ascii="Arial" w:cs="Arial" w:eastAsia="Arial" w:hAnsi="Arial"/>
          <w:sz w:val="14"/>
          <w:szCs w:val="14"/>
          <w:u w:val="single" w:color="auto"/>
          <w:color w:val="auto"/>
        </w:rPr>
        <w:t>Expiration of Option</w:t>
      </w:r>
      <w:r>
        <w:rPr>
          <w:rFonts w:ascii="Arial" w:cs="Arial" w:eastAsia="Arial" w:hAnsi="Arial"/>
          <w:sz w:val="14"/>
          <w:szCs w:val="14"/>
          <w:color w:val="auto"/>
        </w:rPr>
        <w:t>. The Option may not be exercised to any extent by anyone after the first to occur of the following events:</w:t>
      </w:r>
    </w:p>
    <w:p>
      <w:pPr>
        <w:spacing w:after="0" w:line="134" w:lineRule="exact"/>
        <w:rPr>
          <w:sz w:val="20"/>
          <w:szCs w:val="20"/>
          <w:color w:val="auto"/>
        </w:rPr>
      </w:pPr>
    </w:p>
    <w:p>
      <w:pPr>
        <w:ind w:left="1020" w:hanging="506"/>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Final Expiration Date;</w:t>
      </w:r>
    </w:p>
    <w:p>
      <w:pPr>
        <w:spacing w:after="0" w:line="134" w:lineRule="exact"/>
        <w:rPr>
          <w:rFonts w:ascii="Arial" w:cs="Arial" w:eastAsia="Arial" w:hAnsi="Arial"/>
          <w:sz w:val="16"/>
          <w:szCs w:val="16"/>
          <w:color w:val="auto"/>
        </w:rPr>
      </w:pPr>
    </w:p>
    <w:p>
      <w:pPr>
        <w:jc w:val="both"/>
        <w:ind w:right="440" w:firstLine="514"/>
        <w:spacing w:after="0" w:line="214" w:lineRule="auto"/>
        <w:tabs>
          <w:tab w:leader="none" w:pos="10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in the event of a termination of the Optionee’s employment or service as a Service Provider for any reason other than Cause, death or Disability, ninety (90) days following the date of the Optionee’s termination of employment or service as a Service Provider for any reason other than Cause, death, or Disability;</w:t>
      </w:r>
    </w:p>
    <w:p>
      <w:pPr>
        <w:spacing w:after="0" w:line="123" w:lineRule="exact"/>
        <w:rPr>
          <w:rFonts w:ascii="Arial" w:cs="Arial" w:eastAsia="Arial" w:hAnsi="Arial"/>
          <w:sz w:val="16"/>
          <w:szCs w:val="16"/>
          <w:color w:val="auto"/>
        </w:rPr>
      </w:pPr>
    </w:p>
    <w:p>
      <w:pPr>
        <w:ind w:left="1020" w:hanging="506"/>
        <w:spacing w:after="0"/>
        <w:tabs>
          <w:tab w:leader="none" w:pos="10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except as the Administrator may otherwise approve, the date that the Company terminates the Optionee’s employment or service as a Service Provider for Cause;</w:t>
      </w:r>
    </w:p>
    <w:p>
      <w:pPr>
        <w:spacing w:after="0" w:line="157" w:lineRule="exact"/>
        <w:rPr>
          <w:rFonts w:ascii="Arial" w:cs="Arial" w:eastAsia="Arial" w:hAnsi="Arial"/>
          <w:sz w:val="14"/>
          <w:szCs w:val="14"/>
          <w:color w:val="auto"/>
        </w:rPr>
      </w:pPr>
    </w:p>
    <w:p>
      <w:pPr>
        <w:ind w:right="40" w:firstLine="514"/>
        <w:spacing w:after="0" w:line="225" w:lineRule="auto"/>
        <w:tabs>
          <w:tab w:leader="none" w:pos="1009"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the first anniversary of the Optionee’s termination of employment or service as a Service Provider by reason of the Optionee’s death;</w:t>
      </w:r>
    </w:p>
    <w:p>
      <w:pPr>
        <w:spacing w:after="0" w:line="121" w:lineRule="exact"/>
        <w:rPr>
          <w:rFonts w:ascii="Arial" w:cs="Arial" w:eastAsia="Arial" w:hAnsi="Arial"/>
          <w:sz w:val="16"/>
          <w:szCs w:val="16"/>
          <w:color w:val="auto"/>
        </w:rPr>
      </w:pPr>
    </w:p>
    <w:p>
      <w:pPr>
        <w:ind w:right="60" w:firstLine="514"/>
        <w:spacing w:after="0" w:line="214" w:lineRule="auto"/>
        <w:tabs>
          <w:tab w:leader="none" w:pos="1011" w:val="left"/>
        </w:tabs>
        <w:numPr>
          <w:ilvl w:val="0"/>
          <w:numId w:val="77"/>
        </w:numPr>
        <w:rPr>
          <w:rFonts w:ascii="Arial" w:cs="Arial" w:eastAsia="Arial" w:hAnsi="Arial"/>
          <w:sz w:val="16"/>
          <w:szCs w:val="16"/>
          <w:color w:val="auto"/>
        </w:rPr>
      </w:pPr>
      <w:r>
        <w:rPr>
          <w:rFonts w:ascii="Arial" w:cs="Arial" w:eastAsia="Arial" w:hAnsi="Arial"/>
          <w:sz w:val="16"/>
          <w:szCs w:val="16"/>
          <w:color w:val="auto"/>
        </w:rPr>
        <w:t>except for such longer period of time as the Administrator may otherwise approve, in the event of the Optionee’s termination of employment or service as a Service Provider by reason of the Optionee’s Disability, the first anniversary of the later of (</w:t>
      </w:r>
      <w:r>
        <w:rPr>
          <w:rFonts w:ascii="Arial" w:cs="Arial" w:eastAsia="Arial" w:hAnsi="Arial"/>
          <w:sz w:val="16"/>
          <w:szCs w:val="16"/>
          <w:u w:val="single" w:color="auto"/>
          <w:color w:val="auto"/>
        </w:rPr>
        <w:t>A</w:t>
      </w:r>
      <w:r>
        <w:rPr>
          <w:rFonts w:ascii="Arial" w:cs="Arial" w:eastAsia="Arial" w:hAnsi="Arial"/>
          <w:sz w:val="16"/>
          <w:szCs w:val="16"/>
          <w:color w:val="auto"/>
        </w:rPr>
        <w:t>) the Optionee’s termination of employment or service or (</w:t>
      </w:r>
      <w:r>
        <w:rPr>
          <w:rFonts w:ascii="Arial" w:cs="Arial" w:eastAsia="Arial" w:hAnsi="Arial"/>
          <w:sz w:val="16"/>
          <w:szCs w:val="16"/>
          <w:u w:val="single" w:color="auto"/>
          <w:color w:val="auto"/>
        </w:rPr>
        <w:t>B</w:t>
      </w:r>
      <w:r>
        <w:rPr>
          <w:rFonts w:ascii="Arial" w:cs="Arial" w:eastAsia="Arial" w:hAnsi="Arial"/>
          <w:sz w:val="16"/>
          <w:szCs w:val="16"/>
          <w:color w:val="auto"/>
        </w:rPr>
        <w:t>) the date of vesting of the applicable Option; or</w:t>
      </w:r>
    </w:p>
    <w:p>
      <w:pPr>
        <w:spacing w:after="0" w:line="123" w:lineRule="exact"/>
        <w:rPr>
          <w:rFonts w:ascii="Arial" w:cs="Arial" w:eastAsia="Arial" w:hAnsi="Arial"/>
          <w:sz w:val="16"/>
          <w:szCs w:val="16"/>
          <w:color w:val="auto"/>
        </w:rPr>
      </w:pPr>
    </w:p>
    <w:p>
      <w:pPr>
        <w:ind w:left="1020" w:hanging="506"/>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forfeiture of an Option as provided in Section 11.4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00" w:top="1304" w:right="339" w:bottom="1440" w:gutter="0" w:footer="0" w:header="0"/>
        </w:sectPr>
      </w:pPr>
    </w:p>
    <w:bookmarkStart w:id="152" w:name="page153"/>
    <w:bookmarkEnd w:id="152"/>
    <w:p>
      <w:pPr>
        <w:ind w:right="240"/>
        <w:spacing w:after="0" w:line="225" w:lineRule="auto"/>
        <w:rPr>
          <w:sz w:val="20"/>
          <w:szCs w:val="20"/>
          <w:color w:val="auto"/>
        </w:rPr>
      </w:pPr>
      <w:r>
        <w:rPr>
          <w:rFonts w:ascii="Arial" w:cs="Arial" w:eastAsia="Arial" w:hAnsi="Arial"/>
          <w:sz w:val="16"/>
          <w:szCs w:val="16"/>
          <w:u w:val="single" w:color="auto"/>
          <w:color w:val="auto"/>
        </w:rPr>
        <w:t>Section 2.6 Partial Exercise</w:t>
      </w:r>
      <w:r>
        <w:rPr>
          <w:rFonts w:ascii="Arial" w:cs="Arial" w:eastAsia="Arial" w:hAnsi="Arial"/>
          <w:sz w:val="16"/>
          <w:szCs w:val="16"/>
          <w:color w:val="auto"/>
        </w:rPr>
        <w:t>. Any exercisable portion of the Option or the entire Option, if then wholly exercisable, may be exercised in whole or in part at any time prior to the time when the Option or portion thereof becomes unexercisable.</w:t>
      </w:r>
    </w:p>
    <w:p>
      <w:pPr>
        <w:spacing w:after="0" w:line="122" w:lineRule="exact"/>
        <w:rPr>
          <w:sz w:val="20"/>
          <w:szCs w:val="20"/>
          <w:color w:val="auto"/>
        </w:rPr>
      </w:pPr>
    </w:p>
    <w:p>
      <w:pPr>
        <w:spacing w:after="0" w:line="225" w:lineRule="auto"/>
        <w:rPr>
          <w:sz w:val="20"/>
          <w:szCs w:val="20"/>
          <w:color w:val="auto"/>
        </w:rPr>
      </w:pPr>
      <w:r>
        <w:rPr>
          <w:rFonts w:ascii="Arial" w:cs="Arial" w:eastAsia="Arial" w:hAnsi="Arial"/>
          <w:sz w:val="16"/>
          <w:szCs w:val="16"/>
          <w:u w:val="single" w:color="auto"/>
          <w:color w:val="auto"/>
        </w:rPr>
        <w:t>Section 2.7 Exercise of Option</w:t>
      </w:r>
      <w:r>
        <w:rPr>
          <w:rFonts w:ascii="Arial" w:cs="Arial" w:eastAsia="Arial" w:hAnsi="Arial"/>
          <w:sz w:val="16"/>
          <w:szCs w:val="16"/>
          <w:color w:val="auto"/>
        </w:rPr>
        <w:t>. The exercise of the Option shall be governed by the terms of this Agreement and the terms of the Plan, including, without limitation, the provisions of Article V of the Plan.</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2.8</w:t>
      </w:r>
      <w:r>
        <w:rPr>
          <w:sz w:val="20"/>
          <w:szCs w:val="20"/>
          <w:color w:val="auto"/>
        </w:rPr>
        <w:tab/>
      </w:r>
      <w:r>
        <w:rPr>
          <w:rFonts w:ascii="Arial" w:cs="Arial" w:eastAsia="Arial" w:hAnsi="Arial"/>
          <w:sz w:val="14"/>
          <w:szCs w:val="14"/>
          <w:u w:val="single" w:color="auto"/>
          <w:color w:val="auto"/>
        </w:rPr>
        <w:t>Manner of Exercise</w:t>
      </w:r>
      <w:r>
        <w:rPr>
          <w:rFonts w:ascii="Arial" w:cs="Arial" w:eastAsia="Arial" w:hAnsi="Arial"/>
          <w:sz w:val="14"/>
          <w:szCs w:val="14"/>
          <w:color w:val="auto"/>
        </w:rPr>
        <w:t>.</w:t>
      </w:r>
    </w:p>
    <w:p>
      <w:pPr>
        <w:spacing w:after="0" w:line="134" w:lineRule="exact"/>
        <w:rPr>
          <w:sz w:val="20"/>
          <w:szCs w:val="20"/>
          <w:color w:val="auto"/>
        </w:rPr>
      </w:pPr>
    </w:p>
    <w:p>
      <w:pPr>
        <w:ind w:right="200" w:firstLine="514"/>
        <w:spacing w:after="0" w:line="214" w:lineRule="auto"/>
        <w:tabs>
          <w:tab w:leader="none" w:pos="10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a condition to the exercise of the Option, the Optionee shall (</w:t>
      </w:r>
      <w:r>
        <w:rPr>
          <w:rFonts w:ascii="Arial" w:cs="Arial" w:eastAsia="Arial" w:hAnsi="Arial"/>
          <w:sz w:val="16"/>
          <w:szCs w:val="16"/>
          <w:u w:val="single" w:color="auto"/>
          <w:color w:val="auto"/>
        </w:rPr>
        <w:t>i</w:t>
      </w:r>
      <w:r>
        <w:rPr>
          <w:rFonts w:ascii="Arial" w:cs="Arial" w:eastAsia="Arial" w:hAnsi="Arial"/>
          <w:sz w:val="16"/>
          <w:szCs w:val="16"/>
          <w:color w:val="auto"/>
        </w:rPr>
        <w:t>) notify the Company at least three (3) days prior to exercise and no earlier than ninety (90) days prior to exercise that the Optionee intends to exercise and (</w:t>
      </w:r>
      <w:r>
        <w:rPr>
          <w:rFonts w:ascii="Arial" w:cs="Arial" w:eastAsia="Arial" w:hAnsi="Arial"/>
          <w:sz w:val="16"/>
          <w:szCs w:val="16"/>
          <w:u w:val="single" w:color="auto"/>
          <w:color w:val="auto"/>
        </w:rPr>
        <w:t>ii</w:t>
      </w:r>
      <w:r>
        <w:rPr>
          <w:rFonts w:ascii="Arial" w:cs="Arial" w:eastAsia="Arial" w:hAnsi="Arial"/>
          <w:sz w:val="16"/>
          <w:szCs w:val="16"/>
          <w:color w:val="auto"/>
        </w:rPr>
        <w:t>) provide the Company with payment of the Exercise Price of the Option, together with any Tax-Related Items (as defined in Section 3.1 below), which shall be payable to the Company in full as set forth in this Section 2.8.</w:t>
      </w:r>
    </w:p>
    <w:p>
      <w:pPr>
        <w:spacing w:after="0" w:line="123" w:lineRule="exact"/>
        <w:rPr>
          <w:rFonts w:ascii="Arial" w:cs="Arial" w:eastAsia="Arial" w:hAnsi="Arial"/>
          <w:sz w:val="16"/>
          <w:szCs w:val="16"/>
          <w:color w:val="auto"/>
        </w:rPr>
      </w:pPr>
    </w:p>
    <w:p>
      <w:pPr>
        <w:ind w:right="40" w:firstLine="514"/>
        <w:spacing w:after="0" w:line="230" w:lineRule="auto"/>
        <w:tabs>
          <w:tab w:leader="none" w:pos="100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To the extent permitted by law or the applicable listing rules, if any, the Optionee may pay for the Shares with respect to which such Option or portion of such Option is exercised through (</w:t>
      </w:r>
      <w:r>
        <w:rPr>
          <w:rFonts w:ascii="Arial" w:cs="Arial" w:eastAsia="Arial" w:hAnsi="Arial"/>
          <w:sz w:val="14"/>
          <w:szCs w:val="14"/>
          <w:u w:val="single" w:color="auto"/>
          <w:color w:val="auto"/>
        </w:rPr>
        <w:t>i</w:t>
      </w:r>
      <w:r>
        <w:rPr>
          <w:rFonts w:ascii="Arial" w:cs="Arial" w:eastAsia="Arial" w:hAnsi="Arial"/>
          <w:sz w:val="14"/>
          <w:szCs w:val="14"/>
          <w:color w:val="auto"/>
        </w:rPr>
        <w:t>) payment in cash; (</w:t>
      </w:r>
      <w:r>
        <w:rPr>
          <w:rFonts w:ascii="Arial" w:cs="Arial" w:eastAsia="Arial" w:hAnsi="Arial"/>
          <w:sz w:val="14"/>
          <w:szCs w:val="14"/>
          <w:u w:val="single" w:color="auto"/>
          <w:color w:val="auto"/>
        </w:rPr>
        <w:t>ii</w:t>
      </w:r>
      <w:r>
        <w:rPr>
          <w:rFonts w:ascii="Arial" w:cs="Arial" w:eastAsia="Arial" w:hAnsi="Arial"/>
          <w:sz w:val="14"/>
          <w:szCs w:val="14"/>
          <w:color w:val="auto"/>
        </w:rPr>
        <w:t>) with the consent of the Administrator, the delivery of Shares which are owned by the Optionee, duly endorsed for transfer to the Company with a Fair Market Value on the date of delivery equal to the aggregate Exercise Price of the exercised portion of the Option; (</w:t>
      </w:r>
      <w:r>
        <w:rPr>
          <w:rFonts w:ascii="Arial" w:cs="Arial" w:eastAsia="Arial" w:hAnsi="Arial"/>
          <w:sz w:val="14"/>
          <w:szCs w:val="14"/>
          <w:u w:val="single" w:color="auto"/>
          <w:color w:val="auto"/>
        </w:rPr>
        <w:t>iii</w:t>
      </w:r>
      <w:r>
        <w:rPr>
          <w:rFonts w:ascii="Arial" w:cs="Arial" w:eastAsia="Arial" w:hAnsi="Arial"/>
          <w:sz w:val="14"/>
          <w:szCs w:val="14"/>
          <w:color w:val="auto"/>
        </w:rPr>
        <w:t>) with the consent of the Administrator, through the surrender of Shares then issuable upon exercise of the Option having a Fair Market Value on the date of the exercise of the Option equal to the aggregate Exercise Price of the exercised portion of the Option; or (</w:t>
      </w:r>
      <w:r>
        <w:rPr>
          <w:rFonts w:ascii="Arial" w:cs="Arial" w:eastAsia="Arial" w:hAnsi="Arial"/>
          <w:sz w:val="14"/>
          <w:szCs w:val="14"/>
          <w:u w:val="single" w:color="auto"/>
          <w:color w:val="auto"/>
        </w:rPr>
        <w:t>iv</w:t>
      </w:r>
      <w:r>
        <w:rPr>
          <w:rFonts w:ascii="Arial" w:cs="Arial" w:eastAsia="Arial" w:hAnsi="Arial"/>
          <w:sz w:val="14"/>
          <w:szCs w:val="14"/>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14"/>
          <w:szCs w:val="14"/>
          <w:i w:val="1"/>
          <w:iCs w:val="1"/>
          <w:color w:val="auto"/>
        </w:rPr>
        <w:t>provided</w:t>
      </w:r>
      <w:r>
        <w:rPr>
          <w:rFonts w:ascii="Arial" w:cs="Arial" w:eastAsia="Arial" w:hAnsi="Arial"/>
          <w:sz w:val="14"/>
          <w:szCs w:val="14"/>
          <w:color w:val="auto"/>
        </w:rPr>
        <w:t>, that payment of such proceeds is then made to the Company upon settlement of such sale. Notwithstanding the foregoing, the consent of the Administrator shall not be required with respect to clauses (iii) and (iv) of this Section 2.8(b) if the Optionee exercises such Option on or after the date of the Optionee’s Retirement.</w:t>
      </w:r>
    </w:p>
    <w:p>
      <w:pPr>
        <w:spacing w:after="0" w:line="123" w:lineRule="exact"/>
        <w:rPr>
          <w:rFonts w:ascii="Arial" w:cs="Arial" w:eastAsia="Arial" w:hAnsi="Arial"/>
          <w:sz w:val="14"/>
          <w:szCs w:val="14"/>
          <w:color w:val="auto"/>
        </w:rPr>
      </w:pPr>
    </w:p>
    <w:p>
      <w:pPr>
        <w:jc w:val="both"/>
        <w:ind w:right="60" w:firstLine="514"/>
        <w:spacing w:after="0" w:line="235" w:lineRule="auto"/>
        <w:tabs>
          <w:tab w:leader="none" w:pos="1011"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Notwithstanding any provision of the Agreement to the contrary, if the Optionee resides and/or works outside of the United States, the Company may require that the Optionee exercise the Option in a method other than specified above, may require the Optionee to exercise the Option only by means of a “same day sale” transaction (either a sell-all transaction or a sell-to-cover transaction) as it determines in its sole discretion, or may require the Optionee to sell any Shares he or she acquires under the Plan immediately or within a specified period following the termination of the Optionee’s employment or service with the Company or any Subsidiary (in which case, the Optionee hereby agrees that the Company shall have the authority to issue sale instructions in relation to such Shares on the Optionee’s behalf).</w:t>
      </w:r>
    </w:p>
    <w:p>
      <w:pPr>
        <w:spacing w:after="0" w:line="12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u w:val="single" w:color="auto"/>
          <w:color w:val="auto"/>
        </w:rPr>
        <w:t>Section 2.9 Change in Control</w:t>
      </w:r>
      <w:r>
        <w:rPr>
          <w:rFonts w:ascii="Arial" w:cs="Arial" w:eastAsia="Arial" w:hAnsi="Arial"/>
          <w:sz w:val="14"/>
          <w:szCs w:val="14"/>
          <w:color w:val="auto"/>
        </w:rPr>
        <w:t xml:space="preserve">. In the event of a Change in Control prior to the Vesting Date, notwithstanding anything in Article XIII of the Plan to the contrary, any unvested Options shall remain outstanding and shall vest on the applicable Vesting Date, subject to the continued employment or service of the Participant by the Company or any Subsidiary thereof through such date; </w:t>
      </w:r>
      <w:r>
        <w:rPr>
          <w:rFonts w:ascii="Arial" w:cs="Arial" w:eastAsia="Arial" w:hAnsi="Arial"/>
          <w:sz w:val="14"/>
          <w:szCs w:val="14"/>
          <w:u w:val="single" w:color="auto"/>
          <w:color w:val="auto"/>
        </w:rPr>
        <w:t>provided, that</w:t>
      </w:r>
      <w:r>
        <w:rPr>
          <w:rFonts w:ascii="Arial" w:cs="Arial" w:eastAsia="Arial" w:hAnsi="Arial"/>
          <w:sz w:val="14"/>
          <w:szCs w:val="14"/>
          <w:color w:val="auto"/>
        </w:rPr>
        <w:t>, if the Participant’s employment or service is terminated by the Company without Cause or for Good Reason (each, a “</w:t>
      </w:r>
      <w:r>
        <w:rPr>
          <w:rFonts w:ascii="Arial" w:cs="Arial" w:eastAsia="Arial" w:hAnsi="Arial"/>
          <w:sz w:val="14"/>
          <w:szCs w:val="14"/>
          <w:u w:val="single" w:color="auto"/>
          <w:color w:val="auto"/>
        </w:rPr>
        <w:t>Qualifying CIC</w:t>
      </w:r>
      <w:r>
        <w:rPr>
          <w:rFonts w:ascii="Arial" w:cs="Arial" w:eastAsia="Arial" w:hAnsi="Arial"/>
          <w:sz w:val="14"/>
          <w:szCs w:val="14"/>
          <w:color w:val="auto"/>
        </w:rPr>
        <w:t xml:space="preserve"> </w:t>
      </w:r>
      <w:r>
        <w:rPr>
          <w:rFonts w:ascii="Arial" w:cs="Arial" w:eastAsia="Arial" w:hAnsi="Arial"/>
          <w:sz w:val="14"/>
          <w:szCs w:val="14"/>
          <w:u w:val="single" w:color="auto"/>
          <w:color w:val="auto"/>
        </w:rPr>
        <w:t>Termination</w:t>
      </w:r>
      <w:r>
        <w:rPr>
          <w:rFonts w:ascii="Arial" w:cs="Arial" w:eastAsia="Arial" w:hAnsi="Arial"/>
          <w:sz w:val="14"/>
          <w:szCs w:val="14"/>
          <w:color w:val="auto"/>
        </w:rPr>
        <w:t>”) within two (2) years following the effective date of the Change in Control, such outstanding Options shall vest as of the date of such Qualifying CIC Termination. For purposes of this Agreement, “</w:t>
      </w:r>
      <w:r>
        <w:rPr>
          <w:rFonts w:ascii="Arial" w:cs="Arial" w:eastAsia="Arial" w:hAnsi="Arial"/>
          <w:sz w:val="14"/>
          <w:szCs w:val="14"/>
          <w:u w:val="single" w:color="auto"/>
          <w:color w:val="auto"/>
        </w:rPr>
        <w:t>Good Reason</w:t>
      </w:r>
      <w:r>
        <w:rPr>
          <w:rFonts w:ascii="Arial" w:cs="Arial" w:eastAsia="Arial" w:hAnsi="Arial"/>
          <w:sz w:val="14"/>
          <w:szCs w:val="14"/>
          <w:color w:val="auto"/>
        </w:rPr>
        <w:t>” means (</w:t>
      </w:r>
      <w:r>
        <w:rPr>
          <w:rFonts w:ascii="Arial" w:cs="Arial" w:eastAsia="Arial" w:hAnsi="Arial"/>
          <w:sz w:val="14"/>
          <w:szCs w:val="14"/>
          <w:u w:val="single" w:color="auto"/>
          <w:color w:val="auto"/>
        </w:rPr>
        <w:t>i</w:t>
      </w:r>
      <w:r>
        <w:rPr>
          <w:rFonts w:ascii="Arial" w:cs="Arial" w:eastAsia="Arial" w:hAnsi="Arial"/>
          <w:sz w:val="14"/>
          <w:szCs w:val="14"/>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4"/>
          <w:szCs w:val="14"/>
          <w:u w:val="single" w:color="auto"/>
          <w:color w:val="auto"/>
        </w:rPr>
        <w:t>ii</w:t>
      </w:r>
      <w:r>
        <w:rPr>
          <w:rFonts w:ascii="Arial" w:cs="Arial" w:eastAsia="Arial" w:hAnsi="Arial"/>
          <w:sz w:val="14"/>
          <w:szCs w:val="14"/>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4"/>
          <w:szCs w:val="14"/>
          <w:u w:val="single" w:color="auto"/>
          <w:color w:val="auto"/>
        </w:rPr>
        <w:t>A</w:t>
      </w:r>
      <w:r>
        <w:rPr>
          <w:rFonts w:ascii="Arial" w:cs="Arial" w:eastAsia="Arial" w:hAnsi="Arial"/>
          <w:sz w:val="14"/>
          <w:szCs w:val="14"/>
          <w:color w:val="auto"/>
        </w:rPr>
        <w:t>) any material, adverse change in the Participant’s duties, responsibilities or authority; (</w:t>
      </w:r>
      <w:r>
        <w:rPr>
          <w:rFonts w:ascii="Arial" w:cs="Arial" w:eastAsia="Arial" w:hAnsi="Arial"/>
          <w:sz w:val="14"/>
          <w:szCs w:val="14"/>
          <w:u w:val="single" w:color="auto"/>
          <w:color w:val="auto"/>
        </w:rPr>
        <w:t>B</w:t>
      </w:r>
      <w:r>
        <w:rPr>
          <w:rFonts w:ascii="Arial" w:cs="Arial" w:eastAsia="Arial" w:hAnsi="Arial"/>
          <w:sz w:val="14"/>
          <w:szCs w:val="14"/>
          <w:color w:val="auto"/>
        </w:rPr>
        <w:t>) a material reduction in the Participant’s base salary or bonus opportunity; or (</w:t>
      </w:r>
      <w:r>
        <w:rPr>
          <w:rFonts w:ascii="Arial" w:cs="Arial" w:eastAsia="Arial" w:hAnsi="Arial"/>
          <w:sz w:val="14"/>
          <w:szCs w:val="14"/>
          <w:u w:val="single" w:color="auto"/>
          <w:color w:val="auto"/>
        </w:rPr>
        <w:t>C</w:t>
      </w:r>
      <w:r>
        <w:rPr>
          <w:rFonts w:ascii="Arial" w:cs="Arial" w:eastAsia="Arial" w:hAnsi="Arial"/>
          <w:sz w:val="14"/>
          <w:szCs w:val="14"/>
          <w:color w:val="auto"/>
        </w:rPr>
        <w:t>) a geographical relocation of the Participant’s principal office location by more than fifty (50) miles (other than a temporary geographical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304" w:right="319" w:bottom="1440" w:gutter="0" w:footer="0" w:header="0"/>
        </w:sectPr>
      </w:pPr>
    </w:p>
    <w:bookmarkStart w:id="153" w:name="page154"/>
    <w:bookmarkEnd w:id="153"/>
    <w:p>
      <w:pPr>
        <w:spacing w:after="0" w:line="230" w:lineRule="auto"/>
        <w:rPr>
          <w:sz w:val="20"/>
          <w:szCs w:val="20"/>
          <w:color w:val="auto"/>
        </w:rPr>
      </w:pPr>
      <w:r>
        <w:rPr>
          <w:rFonts w:ascii="Arial" w:cs="Arial" w:eastAsia="Arial" w:hAnsi="Arial"/>
          <w:sz w:val="14"/>
          <w:szCs w:val="14"/>
          <w:color w:val="auto"/>
        </w:rPr>
        <w:t>relocation for business reasons). At the discretion of the Administrator (as constituted immediately prior to the Change in Control), any or all vested Options may be canceled in exchange for an amount equal to the product of (</w:t>
      </w:r>
      <w:r>
        <w:rPr>
          <w:rFonts w:ascii="Arial" w:cs="Arial" w:eastAsia="Arial" w:hAnsi="Arial"/>
          <w:sz w:val="14"/>
          <w:szCs w:val="14"/>
          <w:u w:val="single" w:color="auto"/>
          <w:color w:val="auto"/>
        </w:rPr>
        <w:t>A</w:t>
      </w:r>
      <w:r>
        <w:rPr>
          <w:rFonts w:ascii="Arial" w:cs="Arial" w:eastAsia="Arial" w:hAnsi="Arial"/>
          <w:sz w:val="14"/>
          <w:szCs w:val="14"/>
          <w:color w:val="auto"/>
        </w:rPr>
        <w:t>) the excess, if any, of the Fair Market Value of the Shares upon the Change in Control over the exercise price for such vested Options, multiplied by (</w:t>
      </w:r>
      <w:r>
        <w:rPr>
          <w:rFonts w:ascii="Arial" w:cs="Arial" w:eastAsia="Arial" w:hAnsi="Arial"/>
          <w:sz w:val="14"/>
          <w:szCs w:val="14"/>
          <w:u w:val="single" w:color="auto"/>
          <w:color w:val="auto"/>
        </w:rPr>
        <w:t>B</w:t>
      </w:r>
      <w:r>
        <w:rPr>
          <w:rFonts w:ascii="Arial" w:cs="Arial" w:eastAsia="Arial" w:hAnsi="Arial"/>
          <w:sz w:val="14"/>
          <w:szCs w:val="14"/>
          <w:color w:val="auto"/>
        </w:rPr>
        <w:t xml:space="preserve">) the aggregate number of shares of Company Common Stock covered by such vested Options. Payment of any amounts calculated in accordance with this Section 2.9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all such payments shall in all events be payable to the stockholders generally within five years after the Change in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OTHER PROVISIONS</w:t>
      </w:r>
    </w:p>
    <w:p>
      <w:pPr>
        <w:spacing w:after="0" w:line="140"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u w:val="single" w:color="auto"/>
          <w:color w:val="auto"/>
        </w:rPr>
        <w:t>Section 3.1 Tax Withholding</w:t>
      </w:r>
      <w:r>
        <w:rPr>
          <w:rFonts w:ascii="Arial" w:cs="Arial" w:eastAsia="Arial" w:hAnsi="Arial"/>
          <w:sz w:val="14"/>
          <w:szCs w:val="14"/>
          <w:color w:val="auto"/>
        </w:rPr>
        <w:t>. The Optionee acknowledges that, regardless of any action taken by the Company or, if different, the Optionee’s employer (the “</w:t>
      </w:r>
      <w:r>
        <w:rPr>
          <w:rFonts w:ascii="Arial" w:cs="Arial" w:eastAsia="Arial" w:hAnsi="Arial"/>
          <w:sz w:val="14"/>
          <w:szCs w:val="14"/>
          <w:u w:val="single" w:color="auto"/>
          <w:color w:val="auto"/>
        </w:rPr>
        <w:t>Employer</w:t>
      </w:r>
      <w:r>
        <w:rPr>
          <w:rFonts w:ascii="Arial" w:cs="Arial" w:eastAsia="Arial" w:hAnsi="Arial"/>
          <w:sz w:val="14"/>
          <w:szCs w:val="14"/>
          <w:color w:val="auto"/>
        </w:rPr>
        <w:t>”) with respect to any or all income tax (including U.S. federal, state and local taxes and/or non-U.S. taxes), social insurance, payroll tax, fringe benefits tax, payment on account or other tax-related items related to the Optionee’s participation in the Plan and legally applicable to the Optionee (“</w:t>
      </w:r>
      <w:r>
        <w:rPr>
          <w:rFonts w:ascii="Arial" w:cs="Arial" w:eastAsia="Arial" w:hAnsi="Arial"/>
          <w:sz w:val="14"/>
          <w:szCs w:val="14"/>
          <w:u w:val="single" w:color="auto"/>
          <w:color w:val="auto"/>
        </w:rPr>
        <w:t>Tax-Related Items</w:t>
      </w:r>
      <w:r>
        <w:rPr>
          <w:rFonts w:ascii="Arial" w:cs="Arial" w:eastAsia="Arial" w:hAnsi="Arial"/>
          <w:sz w:val="14"/>
          <w:szCs w:val="14"/>
          <w:color w:val="auto"/>
        </w:rPr>
        <w:t>”), the ultimate liability for all Tax-Related Items is and remains the Optionee’s personal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Optionee’s participation in the Plan, including, but not limited to, the grant of Option, the vesting of Option, the exercise of Option, the issuance or sale of Shares, or the receipt of any dividends; and (b) do not commit to and are under no obligation to structure the terms of the Option or any aspect of the Plan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24" w:lineRule="exact"/>
        <w:rPr>
          <w:sz w:val="20"/>
          <w:szCs w:val="20"/>
          <w:color w:val="auto"/>
        </w:rPr>
      </w:pPr>
    </w:p>
    <w:p>
      <w:pPr>
        <w:ind w:firstLine="509"/>
        <w:spacing w:after="0" w:line="233" w:lineRule="auto"/>
        <w:rPr>
          <w:sz w:val="20"/>
          <w:szCs w:val="20"/>
          <w:color w:val="auto"/>
        </w:rPr>
      </w:pPr>
      <w:r>
        <w:rPr>
          <w:rFonts w:ascii="Arial" w:cs="Arial" w:eastAsia="Arial" w:hAnsi="Arial"/>
          <w:sz w:val="14"/>
          <w:szCs w:val="14"/>
          <w:color w:val="auto"/>
        </w:rPr>
        <w:t>Prior to any relevant taxable or tax withholding event, as applicable, the Optionee agrees to make arrangements satisfactory to the Company and/or the Employer to satisfy all Tax-Related Items. In this regard, the Optionee authorizes the Company and/or the Employer, or their respective agents, at their discretion, to satisfy their withholding obligations with regard to any Tax-Related Items by one or a combination of the following: (a) withholding from the Optionee’s wages or other cash compensation payable to the Optionee by the Company and/or the Employer, (b) withholding from proceeds of the sale of Shares under the Plan, either through a voluntary sale or through a mandatory sale arranged by the Company (on the Optionee’s behalf pursuant to this authorization without further consent) to cover the Tax-Related Items required to be withheld, and (c) withholding in Shares to be issued upon exercise of the Options.</w:t>
      </w:r>
    </w:p>
    <w:p>
      <w:pPr>
        <w:spacing w:after="0" w:line="123" w:lineRule="exact"/>
        <w:rPr>
          <w:sz w:val="20"/>
          <w:szCs w:val="20"/>
          <w:color w:val="auto"/>
        </w:rPr>
      </w:pPr>
    </w:p>
    <w:p>
      <w:pPr>
        <w:ind w:right="200" w:firstLine="509"/>
        <w:spacing w:after="0" w:line="225" w:lineRule="auto"/>
        <w:rPr>
          <w:sz w:val="20"/>
          <w:szCs w:val="20"/>
          <w:color w:val="auto"/>
        </w:rPr>
      </w:pPr>
      <w:r>
        <w:rPr>
          <w:rFonts w:ascii="Arial" w:cs="Arial" w:eastAsia="Arial" w:hAnsi="Arial"/>
          <w:sz w:val="16"/>
          <w:szCs w:val="16"/>
          <w:color w:val="auto"/>
        </w:rPr>
        <w:t>If the obligation for Tax-Related Items is satisfied by withholding in Shares, for tax purposes, the Optionee will be deemed to have been issued the full number of Shares, notwithstanding that a number of the Shares are held back solely for the purpose of paying the Tax-Related Items.</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3.2</w:t>
      </w:r>
      <w:r>
        <w:rPr>
          <w:sz w:val="20"/>
          <w:szCs w:val="20"/>
          <w:color w:val="auto"/>
        </w:rPr>
        <w:tab/>
      </w:r>
      <w:r>
        <w:rPr>
          <w:rFonts w:ascii="Arial" w:cs="Arial" w:eastAsia="Arial" w:hAnsi="Arial"/>
          <w:sz w:val="13"/>
          <w:szCs w:val="13"/>
          <w:u w:val="single" w:color="auto"/>
          <w:color w:val="auto"/>
        </w:rPr>
        <w:t>Nature of Grant</w:t>
      </w:r>
      <w:r>
        <w:rPr>
          <w:rFonts w:ascii="Arial" w:cs="Arial" w:eastAsia="Arial" w:hAnsi="Arial"/>
          <w:sz w:val="13"/>
          <w:szCs w:val="13"/>
          <w:color w:val="auto"/>
        </w:rPr>
        <w:t>. By accepting the Option, the Optionee acknowledges, understands and agrees that:</w:t>
      </w:r>
    </w:p>
    <w:p>
      <w:pPr>
        <w:spacing w:after="0" w:line="134" w:lineRule="exact"/>
        <w:rPr>
          <w:sz w:val="20"/>
          <w:szCs w:val="20"/>
          <w:color w:val="auto"/>
        </w:rPr>
      </w:pPr>
    </w:p>
    <w:p>
      <w:pPr>
        <w:ind w:right="60" w:firstLine="514"/>
        <w:spacing w:after="0" w:line="225" w:lineRule="auto"/>
        <w:tabs>
          <w:tab w:leader="none" w:pos="10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terminated, suspended or amended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304" w:right="319" w:bottom="1440" w:gutter="0" w:footer="0" w:header="0"/>
        </w:sectPr>
      </w:pPr>
    </w:p>
    <w:bookmarkStart w:id="154" w:name="page155"/>
    <w:bookmarkEnd w:id="154"/>
    <w:p>
      <w:pPr>
        <w:ind w:right="200" w:firstLine="514"/>
        <w:spacing w:after="0" w:line="225" w:lineRule="auto"/>
        <w:tabs>
          <w:tab w:leader="none" w:pos="10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grant of the Option is voluntary and does not create any contractual or other right to receive future Options or benefits in lieu of Options, even if Options have been granted in the past;</w:t>
      </w:r>
    </w:p>
    <w:p>
      <w:pPr>
        <w:spacing w:after="0" w:line="121" w:lineRule="exact"/>
        <w:rPr>
          <w:rFonts w:ascii="Arial" w:cs="Arial" w:eastAsia="Arial" w:hAnsi="Arial"/>
          <w:sz w:val="16"/>
          <w:szCs w:val="16"/>
          <w:color w:val="auto"/>
        </w:rPr>
      </w:pPr>
    </w:p>
    <w:p>
      <w:pPr>
        <w:ind w:left="1020" w:hanging="506"/>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all decisions with respect to future Options or other grants, if any, will be at the sole discretion of the Company;</w:t>
      </w:r>
    </w:p>
    <w:p>
      <w:pPr>
        <w:spacing w:after="0" w:line="134" w:lineRule="exact"/>
        <w:rPr>
          <w:rFonts w:ascii="Arial" w:cs="Arial" w:eastAsia="Arial" w:hAnsi="Arial"/>
          <w:sz w:val="16"/>
          <w:szCs w:val="16"/>
          <w:color w:val="auto"/>
        </w:rPr>
      </w:pPr>
    </w:p>
    <w:p>
      <w:pPr>
        <w:jc w:val="both"/>
        <w:ind w:right="300" w:firstLine="514"/>
        <w:spacing w:after="0" w:line="214" w:lineRule="auto"/>
        <w:tabs>
          <w:tab w:leader="none" w:pos="10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grant of the Option and the Optionee’s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Optionee’s employment relationship (if any);</w:t>
      </w:r>
    </w:p>
    <w:p>
      <w:pPr>
        <w:spacing w:after="0" w:line="123" w:lineRule="exact"/>
        <w:rPr>
          <w:rFonts w:ascii="Arial" w:cs="Arial" w:eastAsia="Arial" w:hAnsi="Arial"/>
          <w:sz w:val="16"/>
          <w:szCs w:val="16"/>
          <w:color w:val="auto"/>
        </w:rPr>
      </w:pPr>
    </w:p>
    <w:p>
      <w:pPr>
        <w:ind w:left="1020" w:hanging="506"/>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Optionee is voluntarily participating in the Plan;</w:t>
      </w:r>
    </w:p>
    <w:p>
      <w:pPr>
        <w:spacing w:after="0" w:line="134" w:lineRule="exact"/>
        <w:rPr>
          <w:rFonts w:ascii="Arial" w:cs="Arial" w:eastAsia="Arial" w:hAnsi="Arial"/>
          <w:sz w:val="16"/>
          <w:szCs w:val="16"/>
          <w:color w:val="auto"/>
        </w:rPr>
      </w:pPr>
    </w:p>
    <w:p>
      <w:pPr>
        <w:ind w:left="1020" w:hanging="506"/>
        <w:spacing w:after="0"/>
        <w:tabs>
          <w:tab w:leader="none" w:pos="10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Option and any Shares acquired under the Plan, and the income from and value of the same, are not intended to replace any pension rights or compensation;</w:t>
      </w:r>
    </w:p>
    <w:p>
      <w:pPr>
        <w:spacing w:after="0" w:line="157" w:lineRule="exact"/>
        <w:rPr>
          <w:rFonts w:ascii="Arial" w:cs="Arial" w:eastAsia="Arial" w:hAnsi="Arial"/>
          <w:sz w:val="14"/>
          <w:szCs w:val="14"/>
          <w:color w:val="auto"/>
        </w:rPr>
      </w:pPr>
    </w:p>
    <w:p>
      <w:pPr>
        <w:jc w:val="both"/>
        <w:ind w:right="140" w:firstLine="514"/>
        <w:spacing w:after="0" w:line="214" w:lineRule="auto"/>
        <w:tabs>
          <w:tab w:leader="none" w:pos="10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Option and any Shares acquired under the Plan, and the income from and value of the same, are extraordinary items that do not constitute compensation of any kind for services of any kind rendered to the Company or the Employer, and which are outside the scope of the Optionee’s employment and the Optionee’s employment or service agreement, if any;</w:t>
      </w:r>
    </w:p>
    <w:p>
      <w:pPr>
        <w:spacing w:after="0" w:line="123" w:lineRule="exact"/>
        <w:rPr>
          <w:rFonts w:ascii="Arial" w:cs="Arial" w:eastAsia="Arial" w:hAnsi="Arial"/>
          <w:sz w:val="16"/>
          <w:szCs w:val="16"/>
          <w:color w:val="auto"/>
        </w:rPr>
      </w:pPr>
    </w:p>
    <w:p>
      <w:pPr>
        <w:ind w:right="200" w:firstLine="514"/>
        <w:spacing w:after="0" w:line="247" w:lineRule="auto"/>
        <w:tabs>
          <w:tab w:leader="none" w:pos="100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Option and any Shares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17" w:lineRule="exact"/>
        <w:rPr>
          <w:rFonts w:ascii="Arial" w:cs="Arial" w:eastAsia="Arial" w:hAnsi="Arial"/>
          <w:sz w:val="14"/>
          <w:szCs w:val="14"/>
          <w:color w:val="auto"/>
        </w:rPr>
      </w:pPr>
    </w:p>
    <w:p>
      <w:pPr>
        <w:ind w:left="1020" w:hanging="506"/>
        <w:spacing w:after="0"/>
        <w:tabs>
          <w:tab w:leader="none" w:pos="10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indeterminable and cannot be predicted with certainty and the value of such Shares may increase or decrease</w:t>
      </w:r>
    </w:p>
    <w:p>
      <w:pPr>
        <w:spacing w:after="0"/>
        <w:rPr>
          <w:rFonts w:ascii="Arial" w:cs="Arial" w:eastAsia="Arial" w:hAnsi="Arial"/>
          <w:sz w:val="14"/>
          <w:szCs w:val="14"/>
          <w:color w:val="auto"/>
        </w:rPr>
      </w:pPr>
      <w:r>
        <w:rPr>
          <w:rFonts w:ascii="Arial" w:cs="Arial" w:eastAsia="Arial" w:hAnsi="Arial"/>
          <w:sz w:val="16"/>
          <w:szCs w:val="16"/>
          <w:color w:val="auto"/>
        </w:rPr>
        <w:t>in the future;</w:t>
      </w:r>
    </w:p>
    <w:p>
      <w:pPr>
        <w:spacing w:after="0" w:line="122" w:lineRule="exact"/>
        <w:rPr>
          <w:rFonts w:ascii="Arial" w:cs="Arial" w:eastAsia="Arial" w:hAnsi="Arial"/>
          <w:sz w:val="14"/>
          <w:szCs w:val="14"/>
          <w:color w:val="auto"/>
        </w:rPr>
      </w:pPr>
    </w:p>
    <w:p>
      <w:pPr>
        <w:ind w:left="1020" w:hanging="506"/>
        <w:spacing w:after="0"/>
        <w:tabs>
          <w:tab w:leader="none" w:pos="10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underlying Shares do not increase in value, the Option will have no value;</w:t>
      </w:r>
    </w:p>
    <w:p>
      <w:pPr>
        <w:spacing w:after="0" w:line="134" w:lineRule="exact"/>
        <w:rPr>
          <w:rFonts w:ascii="Arial" w:cs="Arial" w:eastAsia="Arial" w:hAnsi="Arial"/>
          <w:sz w:val="16"/>
          <w:szCs w:val="16"/>
          <w:color w:val="auto"/>
        </w:rPr>
      </w:pPr>
    </w:p>
    <w:p>
      <w:pPr>
        <w:ind w:left="1020" w:hanging="506"/>
        <w:spacing w:after="0"/>
        <w:tabs>
          <w:tab w:leader="none" w:pos="10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if the Optionee exercises the Option and acquires Shares, the value of such Shares may increase or decrease in value, even below the Exercise Price;</w:t>
      </w:r>
    </w:p>
    <w:p>
      <w:pPr>
        <w:spacing w:after="0" w:line="157" w:lineRule="exact"/>
        <w:rPr>
          <w:rFonts w:ascii="Arial" w:cs="Arial" w:eastAsia="Arial" w:hAnsi="Arial"/>
          <w:sz w:val="14"/>
          <w:szCs w:val="14"/>
          <w:color w:val="auto"/>
        </w:rPr>
      </w:pPr>
    </w:p>
    <w:p>
      <w:pPr>
        <w:ind w:firstLine="514"/>
        <w:spacing w:after="0" w:line="214" w:lineRule="auto"/>
        <w:tabs>
          <w:tab w:leader="none" w:pos="1017"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termination of the Optionee’s employment (regardless of the reason for the termination and whether or not the termination is later found to be invalid or in breach of employment laws in the jurisdiction where the Optionee is employed or the terms of the Optionee’s employment or service agreement, if any); and</w:t>
      </w:r>
    </w:p>
    <w:p>
      <w:pPr>
        <w:spacing w:after="0" w:line="123" w:lineRule="exact"/>
        <w:rPr>
          <w:rFonts w:ascii="Arial" w:cs="Arial" w:eastAsia="Arial" w:hAnsi="Arial"/>
          <w:sz w:val="16"/>
          <w:szCs w:val="16"/>
          <w:color w:val="auto"/>
        </w:rPr>
      </w:pPr>
    </w:p>
    <w:p>
      <w:pPr>
        <w:jc w:val="both"/>
        <w:ind w:right="60" w:firstLine="514"/>
        <w:spacing w:after="0" w:line="314" w:lineRule="auto"/>
        <w:tabs>
          <w:tab w:leader="none" w:pos="1010" w:val="left"/>
        </w:tabs>
        <w:numPr>
          <w:ilvl w:val="0"/>
          <w:numId w:val="80"/>
        </w:numPr>
        <w:rPr>
          <w:rFonts w:ascii="Arial" w:cs="Arial" w:eastAsia="Arial" w:hAnsi="Arial"/>
          <w:sz w:val="13"/>
          <w:szCs w:val="13"/>
          <w:color w:val="auto"/>
        </w:rPr>
      </w:pPr>
      <w:r>
        <w:rPr>
          <w:rFonts w:ascii="Arial" w:cs="Arial" w:eastAsia="Arial" w:hAnsi="Arial"/>
          <w:sz w:val="13"/>
          <w:szCs w:val="13"/>
          <w:color w:val="auto"/>
        </w:rPr>
        <w:t>neither the Company, the Employer nor any other Subsidiary shall be liable for any foreign exchange rate fluctuation between the Optionee’s local currency and the United States Dollar that may affect the value of the Shares or any amounts due pursuant to the issuance of the Shares, or the subsequent sale of any Shares acquired under the Plan.</w:t>
      </w:r>
    </w:p>
    <w:p>
      <w:pPr>
        <w:spacing w:after="0" w:line="76" w:lineRule="exact"/>
        <w:rPr>
          <w:sz w:val="20"/>
          <w:szCs w:val="20"/>
          <w:color w:val="auto"/>
        </w:rPr>
      </w:pPr>
    </w:p>
    <w:p>
      <w:pPr>
        <w:ind w:right="260"/>
        <w:spacing w:after="0" w:line="274" w:lineRule="auto"/>
        <w:rPr>
          <w:sz w:val="20"/>
          <w:szCs w:val="20"/>
          <w:color w:val="auto"/>
        </w:rPr>
      </w:pPr>
      <w:r>
        <w:rPr>
          <w:rFonts w:ascii="Arial" w:cs="Arial" w:eastAsia="Arial" w:hAnsi="Arial"/>
          <w:sz w:val="14"/>
          <w:szCs w:val="14"/>
          <w:u w:val="single" w:color="auto"/>
          <w:color w:val="auto"/>
        </w:rPr>
        <w:t>Section 3.3 Shares Subject to Plan; Restrictions on the Transfer of Option and Company Common Stock</w:t>
      </w:r>
      <w:r>
        <w:rPr>
          <w:rFonts w:ascii="Arial" w:cs="Arial" w:eastAsia="Arial" w:hAnsi="Arial"/>
          <w:sz w:val="14"/>
          <w:szCs w:val="14"/>
          <w:color w:val="auto"/>
        </w:rPr>
        <w:t>. The Optionee acknowledges that this Option and any Shares acquired upon exercise of the Option are subject to the terms of the Plan, including, without limitation, the restrictions set forth in Sections 5.7 and 5.8 of the Plan.</w:t>
      </w:r>
    </w:p>
    <w:p>
      <w:pPr>
        <w:spacing w:after="0" w:line="99" w:lineRule="exact"/>
        <w:rPr>
          <w:sz w:val="20"/>
          <w:szCs w:val="20"/>
          <w:color w:val="auto"/>
        </w:rPr>
      </w:pPr>
    </w:p>
    <w:p>
      <w:pPr>
        <w:ind w:right="120"/>
        <w:spacing w:after="0" w:line="209" w:lineRule="auto"/>
        <w:rPr>
          <w:sz w:val="20"/>
          <w:szCs w:val="20"/>
          <w:color w:val="auto"/>
        </w:rPr>
      </w:pPr>
      <w:r>
        <w:rPr>
          <w:rFonts w:ascii="Arial" w:cs="Arial" w:eastAsia="Arial" w:hAnsi="Arial"/>
          <w:sz w:val="16"/>
          <w:szCs w:val="16"/>
          <w:u w:val="single" w:color="auto"/>
          <w:color w:val="auto"/>
        </w:rPr>
        <w:t>Section 3.4 Registration of Shares</w:t>
      </w:r>
      <w:r>
        <w:rPr>
          <w:rFonts w:ascii="Arial" w:cs="Arial" w:eastAsia="Arial" w:hAnsi="Arial"/>
          <w:sz w:val="16"/>
          <w:szCs w:val="16"/>
          <w:color w:val="auto"/>
        </w:rPr>
        <w:t>.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 acquired upon exercise of the Option unless such Shares are registered under the Securities Act of 1933, as amended from time to time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if such Shares are not then so registered, such sale would be exempt from the registration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305" w:right="319" w:bottom="1440" w:gutter="0" w:footer="0" w:header="0"/>
        </w:sectPr>
      </w:pPr>
    </w:p>
    <w:bookmarkStart w:id="155" w:name="page156"/>
    <w:bookmarkEnd w:id="155"/>
    <w:p>
      <w:pPr>
        <w:ind w:right="500"/>
        <w:spacing w:after="0" w:line="225" w:lineRule="auto"/>
        <w:rPr>
          <w:sz w:val="20"/>
          <w:szCs w:val="20"/>
          <w:color w:val="auto"/>
        </w:rPr>
      </w:pPr>
      <w:r>
        <w:rPr>
          <w:rFonts w:ascii="Arial" w:cs="Arial" w:eastAsia="Arial" w:hAnsi="Arial"/>
          <w:sz w:val="16"/>
          <w:szCs w:val="16"/>
          <w:color w:val="auto"/>
        </w:rPr>
        <w:t>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3.5</w:t>
      </w:r>
      <w:r>
        <w:rPr>
          <w:sz w:val="20"/>
          <w:szCs w:val="20"/>
          <w:color w:val="auto"/>
        </w:rPr>
        <w:tab/>
      </w: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shall be administered, interpreted and enforced under the laws of the State of Delaware.</w:t>
      </w:r>
    </w:p>
    <w:p>
      <w:pPr>
        <w:spacing w:after="0" w:line="134" w:lineRule="exact"/>
        <w:rPr>
          <w:sz w:val="20"/>
          <w:szCs w:val="20"/>
          <w:color w:val="auto"/>
        </w:rPr>
      </w:pPr>
    </w:p>
    <w:p>
      <w:pPr>
        <w:ind w:right="100"/>
        <w:spacing w:after="0" w:line="206" w:lineRule="auto"/>
        <w:rPr>
          <w:sz w:val="20"/>
          <w:szCs w:val="20"/>
          <w:color w:val="auto"/>
        </w:rPr>
      </w:pPr>
      <w:r>
        <w:rPr>
          <w:rFonts w:ascii="Arial" w:cs="Arial" w:eastAsia="Arial" w:hAnsi="Arial"/>
          <w:sz w:val="16"/>
          <w:szCs w:val="16"/>
          <w:u w:val="single" w:color="auto"/>
          <w:color w:val="auto"/>
        </w:rPr>
        <w:t>Section 3.6 Conformity to Securities Laws</w:t>
      </w:r>
      <w:r>
        <w:rPr>
          <w:rFonts w:ascii="Arial" w:cs="Arial" w:eastAsia="Arial" w:hAnsi="Arial"/>
          <w:sz w:val="16"/>
          <w:szCs w:val="16"/>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23" w:lineRule="exact"/>
        <w:rPr>
          <w:sz w:val="20"/>
          <w:szCs w:val="20"/>
          <w:color w:val="auto"/>
        </w:rPr>
      </w:pPr>
    </w:p>
    <w:p>
      <w:pPr>
        <w:spacing w:after="0" w:line="247" w:lineRule="auto"/>
        <w:rPr>
          <w:sz w:val="20"/>
          <w:szCs w:val="20"/>
          <w:color w:val="auto"/>
        </w:rPr>
      </w:pPr>
      <w:r>
        <w:rPr>
          <w:rFonts w:ascii="Arial" w:cs="Arial" w:eastAsia="Arial" w:hAnsi="Arial"/>
          <w:sz w:val="14"/>
          <w:szCs w:val="14"/>
          <w:u w:val="single" w:color="auto"/>
          <w:color w:val="auto"/>
        </w:rPr>
        <w:t>Section 3.7 Amendment, Suspension and Termination</w:t>
      </w:r>
      <w:r>
        <w:rPr>
          <w:rFonts w:ascii="Arial" w:cs="Arial" w:eastAsia="Arial" w:hAnsi="Arial"/>
          <w:sz w:val="14"/>
          <w:szCs w:val="14"/>
          <w:color w:val="auto"/>
        </w:rPr>
        <w:t xml:space="preserve">. The Option may be wholly or partially amended or otherwise modified, suspended or terminated at any time or from time to time by the Administrator or the Board, </w:t>
      </w:r>
      <w:r>
        <w:rPr>
          <w:rFonts w:ascii="Arial" w:cs="Arial" w:eastAsia="Arial" w:hAnsi="Arial"/>
          <w:sz w:val="14"/>
          <w:szCs w:val="14"/>
          <w:i w:val="1"/>
          <w:iCs w:val="1"/>
          <w:color w:val="auto"/>
        </w:rPr>
        <w:t>provided that</w:t>
      </w:r>
      <w:r>
        <w:rPr>
          <w:rFonts w:ascii="Arial" w:cs="Arial" w:eastAsia="Arial" w:hAnsi="Arial"/>
          <w:sz w:val="14"/>
          <w:szCs w:val="14"/>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118" w:lineRule="exact"/>
        <w:rPr>
          <w:sz w:val="20"/>
          <w:szCs w:val="20"/>
          <w:color w:val="auto"/>
        </w:rPr>
      </w:pPr>
    </w:p>
    <w:p>
      <w:pPr>
        <w:spacing w:after="0" w:line="235" w:lineRule="auto"/>
        <w:rPr>
          <w:sz w:val="20"/>
          <w:szCs w:val="20"/>
          <w:color w:val="auto"/>
        </w:rPr>
      </w:pPr>
      <w:r>
        <w:rPr>
          <w:rFonts w:ascii="Arial" w:cs="Arial" w:eastAsia="Arial" w:hAnsi="Arial"/>
          <w:sz w:val="14"/>
          <w:szCs w:val="14"/>
          <w:u w:val="single" w:color="auto"/>
          <w:color w:val="auto"/>
        </w:rPr>
        <w:t>Section 3.8 Employee Data Privacy</w:t>
      </w:r>
      <w:r>
        <w:rPr>
          <w:rFonts w:ascii="Arial" w:cs="Arial" w:eastAsia="Arial" w:hAnsi="Arial"/>
          <w:sz w:val="14"/>
          <w:szCs w:val="14"/>
          <w:color w:val="auto"/>
        </w:rPr>
        <w:t>. The collection, use, disclosure and transfer, in electronic or other form, of personally identifiable information by and among, as applicable, the Company and its Subsidiaries and Affiliates for the purpose of implementing, administering and managing the Optionee’s participation in the Plan is governed by the Employee Privacy Notice (the “</w:t>
      </w:r>
      <w:r>
        <w:rPr>
          <w:rFonts w:ascii="Arial" w:cs="Arial" w:eastAsia="Arial" w:hAnsi="Arial"/>
          <w:sz w:val="14"/>
          <w:szCs w:val="14"/>
          <w:u w:val="single" w:color="auto"/>
          <w:color w:val="auto"/>
        </w:rPr>
        <w:t>Privacy Notice</w:t>
      </w:r>
      <w:r>
        <w:rPr>
          <w:rFonts w:ascii="Arial" w:cs="Arial" w:eastAsia="Arial" w:hAnsi="Arial"/>
          <w:sz w:val="14"/>
          <w:szCs w:val="14"/>
          <w:color w:val="auto"/>
        </w:rPr>
        <w:t xml:space="preserve">”) that Optionee received in the course of his or her relationship with the Company. The Optionee understands that he or she may review the </w:t>
      </w:r>
      <w:r>
        <w:rPr>
          <w:rFonts w:ascii="Arial" w:cs="Arial" w:eastAsia="Arial" w:hAnsi="Arial"/>
          <w:sz w:val="14"/>
          <w:szCs w:val="14"/>
          <w:u w:val="single" w:color="auto"/>
          <w:color w:val="0000FF"/>
        </w:rPr>
        <w:t>Privacy Notice</w:t>
      </w:r>
      <w:r>
        <w:rPr>
          <w:rFonts w:ascii="Arial" w:cs="Arial" w:eastAsia="Arial" w:hAnsi="Arial"/>
          <w:sz w:val="14"/>
          <w:szCs w:val="14"/>
          <w:color w:val="0000FF"/>
        </w:rPr>
        <w:t xml:space="preserve"> </w:t>
      </w:r>
      <w:r>
        <w:rPr>
          <w:rFonts w:ascii="Arial" w:cs="Arial" w:eastAsia="Arial" w:hAnsi="Arial"/>
          <w:sz w:val="14"/>
          <w:szCs w:val="14"/>
          <w:color w:val="000000"/>
        </w:rPr>
        <w:t>or contact his or her local human resources representative to request a copy of the Privacy Notice. Please contact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ethics@bah.com</w:t>
      </w:r>
      <w:r>
        <w:rPr>
          <w:rFonts w:ascii="Arial" w:cs="Arial" w:eastAsia="Arial" w:hAnsi="Arial"/>
          <w:sz w:val="14"/>
          <w:szCs w:val="14"/>
          <w:color w:val="0000FF"/>
        </w:rPr>
        <w:t xml:space="preserve"> </w:t>
      </w:r>
      <w:r>
        <w:rPr>
          <w:rFonts w:ascii="Arial" w:cs="Arial" w:eastAsia="Arial" w:hAnsi="Arial"/>
          <w:sz w:val="14"/>
          <w:szCs w:val="14"/>
          <w:color w:val="000000"/>
        </w:rPr>
        <w:t>if the Optionee has any questions</w:t>
      </w:r>
      <w:r>
        <w:rPr>
          <w:rFonts w:ascii="Arial" w:cs="Arial" w:eastAsia="Arial" w:hAnsi="Arial"/>
          <w:sz w:val="14"/>
          <w:szCs w:val="14"/>
          <w:color w:val="0000FF"/>
        </w:rPr>
        <w:t xml:space="preserve"> </w:t>
      </w:r>
      <w:r>
        <w:rPr>
          <w:rFonts w:ascii="Arial" w:cs="Arial" w:eastAsia="Arial" w:hAnsi="Arial"/>
          <w:sz w:val="14"/>
          <w:szCs w:val="14"/>
          <w:color w:val="000000"/>
        </w:rPr>
        <w:t>or concerns about how the Company or its Subsidiaries and Affiliates process personally identifiable information.</w:t>
      </w:r>
    </w:p>
    <w:p>
      <w:pPr>
        <w:spacing w:after="0" w:line="124"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u w:val="single" w:color="auto"/>
          <w:color w:val="auto"/>
        </w:rPr>
        <w:t>Section 3.9 No Advice Regarding Grant</w:t>
      </w:r>
      <w:r>
        <w:rPr>
          <w:rFonts w:ascii="Arial" w:cs="Arial" w:eastAsia="Arial" w:hAnsi="Arial"/>
          <w:sz w:val="14"/>
          <w:szCs w:val="14"/>
          <w:color w:val="auto"/>
        </w:rPr>
        <w:t>. The Optionee acknowledges that neither the Company nor the Employer are providing any tax, legal or financial advice, nor is the Company or the Employer making any recommendations regarding the Optionee’s participation in the Plan. The Optionee should consult his or her own personal tax, legal and financial advisors regarding the Optionee’s participation in the Plan before taking any action related to the Plan.</w:t>
      </w:r>
    </w:p>
    <w:p>
      <w:pPr>
        <w:spacing w:after="0" w:line="118" w:lineRule="exact"/>
        <w:rPr>
          <w:sz w:val="20"/>
          <w:szCs w:val="20"/>
          <w:color w:val="auto"/>
        </w:rPr>
      </w:pPr>
    </w:p>
    <w:p>
      <w:pPr>
        <w:ind w:right="80"/>
        <w:spacing w:after="0" w:line="209" w:lineRule="auto"/>
        <w:rPr>
          <w:sz w:val="20"/>
          <w:szCs w:val="20"/>
          <w:color w:val="auto"/>
        </w:rPr>
      </w:pPr>
      <w:r>
        <w:rPr>
          <w:rFonts w:ascii="Arial" w:cs="Arial" w:eastAsia="Arial" w:hAnsi="Arial"/>
          <w:sz w:val="16"/>
          <w:szCs w:val="16"/>
          <w:u w:val="single" w:color="auto"/>
          <w:color w:val="auto"/>
        </w:rPr>
        <w:t>Section 3.10 Country-Specific Provisions</w:t>
      </w:r>
      <w:r>
        <w:rPr>
          <w:rFonts w:ascii="Arial" w:cs="Arial" w:eastAsia="Arial" w:hAnsi="Arial"/>
          <w:sz w:val="16"/>
          <w:szCs w:val="16"/>
          <w:color w:val="auto"/>
        </w:rPr>
        <w:t xml:space="preserve">. The Optionee’s participation in the Plan shall be subject to any special terms and conditions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the Optionee’s country. Moreover, if the Optionee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special terms and conditions for such country will apply to the Optionee,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constitutes part of this Agreement.</w:t>
      </w:r>
    </w:p>
    <w:p>
      <w:pPr>
        <w:spacing w:after="0" w:line="123" w:lineRule="exact"/>
        <w:rPr>
          <w:sz w:val="20"/>
          <w:szCs w:val="20"/>
          <w:color w:val="auto"/>
        </w:rPr>
      </w:pPr>
    </w:p>
    <w:p>
      <w:pPr>
        <w:ind w:right="120"/>
        <w:spacing w:after="0" w:line="214" w:lineRule="auto"/>
        <w:rPr>
          <w:sz w:val="20"/>
          <w:szCs w:val="20"/>
          <w:color w:val="auto"/>
        </w:rPr>
      </w:pPr>
      <w:r>
        <w:rPr>
          <w:rFonts w:ascii="Arial" w:cs="Arial" w:eastAsia="Arial" w:hAnsi="Arial"/>
          <w:sz w:val="16"/>
          <w:szCs w:val="16"/>
          <w:u w:val="single" w:color="auto"/>
          <w:color w:val="auto"/>
        </w:rPr>
        <w:t>Section 3.11 Other Requirements</w:t>
      </w:r>
      <w:r>
        <w:rPr>
          <w:rFonts w:ascii="Arial" w:cs="Arial" w:eastAsia="Arial" w:hAnsi="Arial"/>
          <w:sz w:val="16"/>
          <w:szCs w:val="16"/>
          <w:color w:val="auto"/>
        </w:rPr>
        <w:t>. The Company reserves the right to impose other requirements on the Optionee’s participation in the Plan and on any Shares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23" w:lineRule="exact"/>
        <w:rPr>
          <w:sz w:val="20"/>
          <w:szCs w:val="20"/>
          <w:color w:val="auto"/>
        </w:rPr>
      </w:pPr>
    </w:p>
    <w:p>
      <w:pPr>
        <w:ind w:right="200"/>
        <w:spacing w:after="0" w:line="209" w:lineRule="auto"/>
        <w:rPr>
          <w:sz w:val="20"/>
          <w:szCs w:val="20"/>
          <w:color w:val="auto"/>
        </w:rPr>
      </w:pPr>
      <w:r>
        <w:rPr>
          <w:rFonts w:ascii="Arial" w:cs="Arial" w:eastAsia="Arial" w:hAnsi="Arial"/>
          <w:sz w:val="16"/>
          <w:szCs w:val="16"/>
          <w:u w:val="single" w:color="auto"/>
          <w:color w:val="auto"/>
        </w:rPr>
        <w:t>Section 3.12 Electronic Delivery</w:t>
      </w:r>
      <w:r>
        <w:rPr>
          <w:rFonts w:ascii="Arial" w:cs="Arial" w:eastAsia="Arial" w:hAnsi="Arial"/>
          <w:sz w:val="16"/>
          <w:szCs w:val="16"/>
          <w:color w:val="auto"/>
        </w:rPr>
        <w:t>. The Company may, in its sole discretion, decide to deliver any documents related to any Option granted under the Plan by electronic means or request the Optionee’s consent to participate in the Plan by electronic means. The Optionee hereby explicitly and unambiguously consents to receive such documents (including, without limitation, information required to be delivered to the Optionee pursuant to applicable securities laws) by electronic delivery and, if requested, agrees to participate in the Plan through an on-line or electronic system established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305" w:right="319" w:bottom="1440" w:gutter="0" w:footer="0" w:header="0"/>
        </w:sectPr>
      </w:pPr>
    </w:p>
    <w:bookmarkStart w:id="156" w:name="page157"/>
    <w:bookmarkEnd w:id="156"/>
    <w:p>
      <w:pPr>
        <w:ind w:right="120"/>
        <w:spacing w:after="0" w:line="235" w:lineRule="auto"/>
        <w:rPr>
          <w:sz w:val="20"/>
          <w:szCs w:val="20"/>
          <w:color w:val="auto"/>
        </w:rPr>
      </w:pPr>
      <w:r>
        <w:rPr>
          <w:rFonts w:ascii="Arial" w:cs="Arial" w:eastAsia="Arial" w:hAnsi="Arial"/>
          <w:sz w:val="14"/>
          <w:szCs w:val="14"/>
          <w:color w:val="auto"/>
        </w:rPr>
        <w:t>maintained by the Company or another third 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 party administrator with a paper copy of any documents if the attempted electronic delivery of such documents fails.</w:t>
      </w:r>
    </w:p>
    <w:p>
      <w:pPr>
        <w:spacing w:after="0" w:line="12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u w:val="single" w:color="auto"/>
          <w:color w:val="auto"/>
        </w:rPr>
        <w:t>Section 3.13</w:t>
      </w:r>
      <w:r>
        <w:rPr>
          <w:sz w:val="20"/>
          <w:szCs w:val="20"/>
          <w:color w:val="auto"/>
        </w:rPr>
        <w:tab/>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34" w:lineRule="exact"/>
        <w:rPr>
          <w:sz w:val="20"/>
          <w:szCs w:val="20"/>
          <w:color w:val="auto"/>
        </w:rPr>
      </w:pPr>
    </w:p>
    <w:p>
      <w:pPr>
        <w:jc w:val="both"/>
        <w:ind w:firstLine="514"/>
        <w:spacing w:after="0" w:line="214" w:lineRule="auto"/>
        <w:tabs>
          <w:tab w:leader="none" w:pos="10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Optionee shall have no rights as a stockholder of the Company with respect to the shares of Company Common Stock subject to this Agreement until such time as the purchase price has been paid and the other requirements of Section 2.8 above have been satisfied, and the shares of Company Common Stock have been issued and delivered to the Optionee.</w:t>
      </w:r>
    </w:p>
    <w:p>
      <w:pPr>
        <w:spacing w:after="0" w:line="123" w:lineRule="exact"/>
        <w:rPr>
          <w:rFonts w:ascii="Arial" w:cs="Arial" w:eastAsia="Arial" w:hAnsi="Arial"/>
          <w:sz w:val="16"/>
          <w:szCs w:val="16"/>
          <w:color w:val="auto"/>
        </w:rPr>
      </w:pPr>
    </w:p>
    <w:p>
      <w:pPr>
        <w:ind w:right="380" w:firstLine="514"/>
        <w:spacing w:after="0" w:line="225" w:lineRule="auto"/>
        <w:tabs>
          <w:tab w:leader="none" w:pos="100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Agreement shall be subject to all applicable laws, rules, and regulations, and to such approvals by any governmental agencies or United States or foreign securities exchanges as may be required.</w:t>
      </w:r>
    </w:p>
    <w:p>
      <w:pPr>
        <w:spacing w:after="0" w:line="121" w:lineRule="exact"/>
        <w:rPr>
          <w:rFonts w:ascii="Arial" w:cs="Arial" w:eastAsia="Arial" w:hAnsi="Arial"/>
          <w:sz w:val="16"/>
          <w:szCs w:val="16"/>
          <w:color w:val="auto"/>
        </w:rPr>
      </w:pPr>
    </w:p>
    <w:p>
      <w:pPr>
        <w:ind w:firstLine="514"/>
        <w:spacing w:after="0" w:line="214" w:lineRule="auto"/>
        <w:tabs>
          <w:tab w:leader="none" w:pos="10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Optionee acknowledges that the Company is organized under the laws of the State of Delaware, U.S.A. The Optionee and the Company agree that this Agreement shall be construed in accordance with and governed by the laws of the State of Delaware, U.S.A., without reference to principles of conflict of laws that would apply the laws of any other jurisdiction.</w:t>
      </w:r>
    </w:p>
    <w:p>
      <w:pPr>
        <w:spacing w:after="0" w:line="123" w:lineRule="exact"/>
        <w:rPr>
          <w:rFonts w:ascii="Arial" w:cs="Arial" w:eastAsia="Arial" w:hAnsi="Arial"/>
          <w:sz w:val="16"/>
          <w:szCs w:val="16"/>
          <w:color w:val="auto"/>
        </w:rPr>
      </w:pPr>
    </w:p>
    <w:p>
      <w:pPr>
        <w:ind w:right="40" w:firstLine="514"/>
        <w:spacing w:after="0" w:line="231" w:lineRule="auto"/>
        <w:tabs>
          <w:tab w:leader="none" w:pos="1009"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 breach, shall be in the appropriate state or federal court located in the Commonwealth of Virginia, U.S.A. The Optionee and the Company hereby consent to the personal jurisdiction of such courts over the parties to this 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124" w:lineRule="exact"/>
        <w:rPr>
          <w:rFonts w:ascii="Arial" w:cs="Arial" w:eastAsia="Arial" w:hAnsi="Arial"/>
          <w:sz w:val="14"/>
          <w:szCs w:val="14"/>
          <w:color w:val="auto"/>
        </w:rPr>
      </w:pPr>
    </w:p>
    <w:p>
      <w:pPr>
        <w:ind w:right="80" w:firstLine="514"/>
        <w:spacing w:after="0" w:line="274" w:lineRule="auto"/>
        <w:tabs>
          <w:tab w:leader="none" w:pos="1011" w:val="left"/>
        </w:tabs>
        <w:numPr>
          <w:ilvl w:val="0"/>
          <w:numId w:val="81"/>
        </w:numPr>
        <w:rPr>
          <w:rFonts w:ascii="Arial" w:cs="Arial" w:eastAsia="Arial" w:hAnsi="Arial"/>
          <w:sz w:val="14"/>
          <w:szCs w:val="14"/>
          <w:color w:val="auto"/>
        </w:rPr>
      </w:pPr>
      <w:r>
        <w:rPr>
          <w:rFonts w:ascii="Arial" w:cs="Arial" w:eastAsia="Arial" w:hAnsi="Arial"/>
          <w:sz w:val="14"/>
          <w:szCs w:val="14"/>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99" w:lineRule="exact"/>
        <w:rPr>
          <w:rFonts w:ascii="Arial" w:cs="Arial" w:eastAsia="Arial" w:hAnsi="Arial"/>
          <w:sz w:val="14"/>
          <w:szCs w:val="14"/>
          <w:color w:val="auto"/>
        </w:rPr>
      </w:pPr>
    </w:p>
    <w:p>
      <w:pPr>
        <w:ind w:right="300" w:firstLine="514"/>
        <w:spacing w:after="0" w:line="225" w:lineRule="auto"/>
        <w:tabs>
          <w:tab w:leader="none" w:pos="10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116"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Article IV.</w:t>
      </w:r>
    </w:p>
    <w:p>
      <w:pPr>
        <w:spacing w:after="0" w:line="134" w:lineRule="exact"/>
        <w:rPr>
          <w:sz w:val="20"/>
          <w:szCs w:val="20"/>
          <w:color w:val="auto"/>
        </w:rPr>
      </w:pPr>
    </w:p>
    <w:p>
      <w:pPr>
        <w:ind w:left="5140"/>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40" w:lineRule="exact"/>
        <w:rPr>
          <w:sz w:val="20"/>
          <w:szCs w:val="20"/>
          <w:color w:val="auto"/>
        </w:rPr>
      </w:pPr>
    </w:p>
    <w:p>
      <w:pPr>
        <w:ind w:right="140" w:firstLine="509"/>
        <w:spacing w:after="0" w:line="214" w:lineRule="auto"/>
        <w:rPr>
          <w:sz w:val="20"/>
          <w:szCs w:val="20"/>
          <w:color w:val="auto"/>
        </w:rPr>
      </w:pPr>
      <w:r>
        <w:rPr>
          <w:rFonts w:ascii="Arial" w:cs="Arial" w:eastAsia="Arial" w:hAnsi="Arial"/>
          <w:sz w:val="16"/>
          <w:szCs w:val="16"/>
          <w:color w:val="auto"/>
        </w:rPr>
        <w:t xml:space="preserve">Whenever the following terms are used in this Agreement (including the Grant Notice,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B</w:t>
      </w:r>
      <w:r>
        <w:rPr>
          <w:rFonts w:ascii="Arial" w:cs="Arial" w:eastAsia="Arial" w:hAnsi="Arial"/>
          <w:sz w:val="16"/>
          <w:szCs w:val="16"/>
          <w:color w:val="auto"/>
        </w:rPr>
        <w: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20"/>
          </w:cols>
          <w:pgMar w:left="300" w:top="1304" w:right="379" w:bottom="1440" w:gutter="0" w:footer="0" w:header="0"/>
        </w:sectPr>
      </w:pPr>
    </w:p>
    <w:bookmarkStart w:id="157" w:name="page158"/>
    <w:bookmarkEnd w:id="157"/>
    <w:p>
      <w:pPr>
        <w:spacing w:after="0"/>
        <w:tabs>
          <w:tab w:leader="none" w:pos="840" w:val="left"/>
        </w:tabs>
        <w:rPr>
          <w:sz w:val="20"/>
          <w:szCs w:val="20"/>
          <w:color w:val="auto"/>
        </w:rPr>
      </w:pPr>
      <w:r>
        <w:rPr>
          <w:rFonts w:ascii="Arial" w:cs="Arial" w:eastAsia="Arial" w:hAnsi="Arial"/>
          <w:sz w:val="16"/>
          <w:szCs w:val="16"/>
          <w:u w:val="single" w:color="auto"/>
          <w:color w:val="auto"/>
        </w:rPr>
        <w:t>Section 4.1</w:t>
      </w:r>
      <w:r>
        <w:rPr>
          <w:sz w:val="20"/>
          <w:szCs w:val="20"/>
          <w:color w:val="auto"/>
        </w:rPr>
        <w:tab/>
      </w:r>
      <w:r>
        <w:rPr>
          <w:rFonts w:ascii="Arial" w:cs="Arial" w:eastAsia="Arial" w:hAnsi="Arial"/>
          <w:sz w:val="14"/>
          <w:szCs w:val="14"/>
          <w:color w:val="auto"/>
        </w:rPr>
        <w:t>“Company” shall mean Booz Allen Hamilton Holding Corporation, a Delaware corporation.</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4.2</w:t>
      </w:r>
      <w:r>
        <w:rPr>
          <w:sz w:val="20"/>
          <w:szCs w:val="20"/>
          <w:color w:val="auto"/>
        </w:rPr>
        <w:tab/>
      </w:r>
      <w:r>
        <w:rPr>
          <w:rFonts w:ascii="Arial" w:cs="Arial" w:eastAsia="Arial" w:hAnsi="Arial"/>
          <w:sz w:val="14"/>
          <w:szCs w:val="14"/>
          <w:color w:val="auto"/>
        </w:rPr>
        <w:t>“Employer” means the Company, or, if the Optionee is not employed by the Company, the Subsidiary that employs the Optionee.</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4.3</w:t>
      </w:r>
      <w:r>
        <w:rPr>
          <w:sz w:val="20"/>
          <w:szCs w:val="20"/>
          <w:color w:val="auto"/>
        </w:rPr>
        <w:tab/>
      </w:r>
      <w:r>
        <w:rPr>
          <w:rFonts w:ascii="Arial" w:cs="Arial" w:eastAsia="Arial" w:hAnsi="Arial"/>
          <w:sz w:val="14"/>
          <w:szCs w:val="14"/>
          <w:color w:val="auto"/>
        </w:rPr>
        <w:t>“Exchange Act” shall mean the Securities and Exchange Act of 1934, as amended.</w:t>
      </w:r>
    </w:p>
    <w:p>
      <w:pPr>
        <w:spacing w:after="0" w:line="134" w:lineRule="exact"/>
        <w:rPr>
          <w:sz w:val="20"/>
          <w:szCs w:val="20"/>
          <w:color w:val="auto"/>
        </w:rPr>
      </w:pPr>
    </w:p>
    <w:p>
      <w:pPr>
        <w:spacing w:after="0" w:line="225" w:lineRule="auto"/>
        <w:rPr>
          <w:sz w:val="20"/>
          <w:szCs w:val="20"/>
          <w:color w:val="auto"/>
        </w:rPr>
      </w:pP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“Exercise Price” shall mean the Fair Market Value of a share of Common Stock on the grant date of the Option, determined in accordance with the provisions of the Plan, which Exercise Price has been communicated to the Optionee in a communication accompanying the Grant Notice.</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4.5</w:t>
      </w:r>
      <w:r>
        <w:rPr>
          <w:sz w:val="20"/>
          <w:szCs w:val="20"/>
          <w:color w:val="auto"/>
        </w:rPr>
        <w:tab/>
      </w:r>
      <w:r>
        <w:rPr>
          <w:rFonts w:ascii="Arial" w:cs="Arial" w:eastAsia="Arial" w:hAnsi="Arial"/>
          <w:sz w:val="14"/>
          <w:szCs w:val="14"/>
          <w:color w:val="auto"/>
        </w:rPr>
        <w:t>“Final Expiration Date” shall mean the date set forth in the Grant Notice.</w:t>
      </w:r>
    </w:p>
    <w:p>
      <w:pPr>
        <w:spacing w:after="0" w:line="134" w:lineRule="exact"/>
        <w:rPr>
          <w:sz w:val="20"/>
          <w:szCs w:val="20"/>
          <w:color w:val="auto"/>
        </w:rPr>
      </w:pPr>
    </w:p>
    <w:p>
      <w:pPr>
        <w:ind w:right="180"/>
        <w:spacing w:after="0" w:line="225" w:lineRule="auto"/>
        <w:rPr>
          <w:sz w:val="20"/>
          <w:szCs w:val="20"/>
          <w:color w:val="auto"/>
        </w:rPr>
      </w:pP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“Grant Notice” shall mean the Grant Notice referred to in Section 1.1 of this Agreement, including </w:t>
      </w:r>
      <w:r>
        <w:rPr>
          <w:rFonts w:ascii="Arial" w:cs="Arial" w:eastAsia="Arial" w:hAnsi="Arial"/>
          <w:sz w:val="16"/>
          <w:szCs w:val="16"/>
          <w:u w:val="single" w:color="auto"/>
          <w:color w:val="auto"/>
        </w:rPr>
        <w:t>Exhibit A</w:t>
      </w:r>
      <w:r>
        <w:rPr>
          <w:rFonts w:ascii="Arial" w:cs="Arial" w:eastAsia="Arial" w:hAnsi="Arial"/>
          <w:sz w:val="16"/>
          <w:szCs w:val="16"/>
          <w:color w:val="auto"/>
        </w:rPr>
        <w:t>, which Grant Notice is for all purposes a part of the Agreement.</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4.7</w:t>
      </w:r>
      <w:r>
        <w:rPr>
          <w:sz w:val="20"/>
          <w:szCs w:val="20"/>
          <w:color w:val="auto"/>
        </w:rPr>
        <w:tab/>
      </w:r>
      <w:r>
        <w:rPr>
          <w:rFonts w:ascii="Arial" w:cs="Arial" w:eastAsia="Arial" w:hAnsi="Arial"/>
          <w:sz w:val="14"/>
          <w:szCs w:val="14"/>
          <w:color w:val="auto"/>
        </w:rPr>
        <w:t>“Option” shall mean the option to purchase Company Common Stock granted under this Agreement.</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4.8</w:t>
      </w:r>
      <w:r>
        <w:rPr>
          <w:sz w:val="20"/>
          <w:szCs w:val="20"/>
          <w:color w:val="auto"/>
        </w:rPr>
        <w:tab/>
      </w:r>
      <w:r>
        <w:rPr>
          <w:rFonts w:ascii="Arial" w:cs="Arial" w:eastAsia="Arial" w:hAnsi="Arial"/>
          <w:sz w:val="13"/>
          <w:szCs w:val="13"/>
          <w:color w:val="auto"/>
        </w:rPr>
        <w:t>“Optionee” shall mean the Person designated as such in the Grant Notice.</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u w:val="single" w:color="auto"/>
          <w:color w:val="auto"/>
        </w:rPr>
        <w:t>Section 4.9</w:t>
      </w:r>
      <w:r>
        <w:rPr>
          <w:sz w:val="20"/>
          <w:szCs w:val="20"/>
          <w:color w:val="auto"/>
        </w:rPr>
        <w:tab/>
      </w:r>
      <w:r>
        <w:rPr>
          <w:rFonts w:ascii="Arial" w:cs="Arial" w:eastAsia="Arial" w:hAnsi="Arial"/>
          <w:sz w:val="14"/>
          <w:szCs w:val="14"/>
          <w:color w:val="auto"/>
        </w:rPr>
        <w:t>“Plan” shall mean the Third Amended and Restated Equity Incentive Plan of Booz Allen Hamilton Holding Corporation, as amended from time to time.</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u w:val="single" w:color="auto"/>
          <w:color w:val="auto"/>
        </w:rPr>
        <w:t>Section 4.10</w:t>
      </w:r>
      <w:r>
        <w:rPr>
          <w:sz w:val="20"/>
          <w:szCs w:val="20"/>
          <w:color w:val="auto"/>
        </w:rPr>
        <w:tab/>
      </w:r>
      <w:r>
        <w:rPr>
          <w:rFonts w:ascii="Arial" w:cs="Arial" w:eastAsia="Arial" w:hAnsi="Arial"/>
          <w:sz w:val="14"/>
          <w:szCs w:val="14"/>
          <w:color w:val="auto"/>
        </w:rPr>
        <w:t>“Retirement” shall have the meaning set forth in the Company’s Retirement Policy.</w:t>
      </w:r>
    </w:p>
    <w:p>
      <w:pPr>
        <w:spacing w:after="0" w:line="13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u w:val="single" w:color="auto"/>
          <w:color w:val="auto"/>
        </w:rPr>
        <w:t>Section 4.11</w:t>
      </w:r>
      <w:r>
        <w:rPr>
          <w:sz w:val="20"/>
          <w:szCs w:val="20"/>
          <w:color w:val="auto"/>
        </w:rPr>
        <w:tab/>
      </w:r>
      <w:r>
        <w:rPr>
          <w:rFonts w:ascii="Arial" w:cs="Arial" w:eastAsia="Arial" w:hAnsi="Arial"/>
          <w:sz w:val="14"/>
          <w:szCs w:val="14"/>
          <w:color w:val="auto"/>
        </w:rPr>
        <w:t>“Shares” shall have the meaning set forth in the Grant Notice.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80"/>
          </w:cols>
          <w:pgMar w:left="300" w:top="1304" w:right="51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7"/>
          <w:szCs w:val="17"/>
          <w:b w:val="1"/>
          <w:bCs w:val="1"/>
          <w:color w:val="auto"/>
        </w:rPr>
        <w:t>Restricted Stock Unit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THIRD AMENDED AND RESTATED EQUITY INCENTIVE PLAN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GRANT NOTICE</w:t>
      </w:r>
    </w:p>
    <w:p>
      <w:pPr>
        <w:spacing w:after="0" w:line="148" w:lineRule="exact"/>
        <w:rPr>
          <w:sz w:val="20"/>
          <w:szCs w:val="20"/>
          <w:color w:val="auto"/>
        </w:rPr>
      </w:pPr>
    </w:p>
    <w:p>
      <w:pPr>
        <w:ind w:firstLine="509"/>
        <w:spacing w:after="0" w:line="222" w:lineRule="auto"/>
        <w:rPr>
          <w:sz w:val="20"/>
          <w:szCs w:val="20"/>
          <w:color w:val="auto"/>
        </w:rPr>
      </w:pPr>
      <w:r>
        <w:rPr>
          <w:rFonts w:ascii="Arial" w:cs="Arial" w:eastAsia="Arial" w:hAnsi="Arial"/>
          <w:sz w:val="17"/>
          <w:szCs w:val="17"/>
          <w:color w:val="auto"/>
        </w:rPr>
        <w:t>Unless otherwise defined herein, the terms defined in the Third Amended and Restated Equity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of Booz Allen Hamilton Holding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shall have the same defined meanings in this Restricted Stock Unit Agreement, which includes the terms in this Grant Notice, including Exhibit A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attached hereto and any special terms and conditions set out in Appendix B attached hereto for your country of employment and/or residence (collectively, the “</w:t>
      </w:r>
      <w:r>
        <w:rPr>
          <w:rFonts w:ascii="Arial" w:cs="Arial" w:eastAsia="Arial" w:hAnsi="Arial"/>
          <w:sz w:val="17"/>
          <w:szCs w:val="17"/>
          <w:u w:val="single" w:color="auto"/>
          <w:color w:val="auto"/>
        </w:rPr>
        <w:t>Agreement</w:t>
      </w:r>
      <w:r>
        <w:rPr>
          <w:rFonts w:ascii="Arial" w:cs="Arial" w:eastAsia="Arial" w:hAnsi="Arial"/>
          <w:sz w:val="17"/>
          <w:szCs w:val="17"/>
          <w:color w:val="auto"/>
        </w:rPr>
        <w:t>”).</w:t>
      </w:r>
    </w:p>
    <w:p>
      <w:pPr>
        <w:spacing w:after="0" w:line="126" w:lineRule="exact"/>
        <w:rPr>
          <w:sz w:val="20"/>
          <w:szCs w:val="20"/>
          <w:color w:val="auto"/>
        </w:rPr>
      </w:pPr>
    </w:p>
    <w:p>
      <w:pPr>
        <w:ind w:right="80" w:firstLine="509"/>
        <w:spacing w:after="0" w:line="233" w:lineRule="auto"/>
        <w:rPr>
          <w:sz w:val="20"/>
          <w:szCs w:val="20"/>
          <w:color w:val="auto"/>
        </w:rPr>
      </w:pPr>
      <w:r>
        <w:rPr>
          <w:rFonts w:ascii="Arial" w:cs="Arial" w:eastAsia="Arial" w:hAnsi="Arial"/>
          <w:sz w:val="16"/>
          <w:szCs w:val="16"/>
          <w:color w:val="auto"/>
        </w:rPr>
        <w:t xml:space="preserve">You have been granted restricted stock units, subject to the terms and conditions of the Plan and this Agreement in an amount and vesting schedule (as set forth on Exhibit A to this Agreement) as delivered and made available to you by the Company, which shall be deemed part of and incorporated by reference into this Grant Notice. 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6"/>
          <w:szCs w:val="16"/>
          <w:b w:val="1"/>
          <w:bCs w:val="1"/>
          <w:color w:val="auto"/>
        </w:rPr>
        <w:t>ACCORDINGLY, PLEASE BE SURE TO READ ALL OF THE PLAN AND APPENDIX A,</w:t>
      </w:r>
      <w:r>
        <w:rPr>
          <w:rFonts w:ascii="Arial" w:cs="Arial" w:eastAsia="Arial" w:hAnsi="Arial"/>
          <w:sz w:val="16"/>
          <w:szCs w:val="16"/>
          <w:color w:val="auto"/>
        </w:rPr>
        <w:t xml:space="preserve"> </w:t>
      </w:r>
      <w:r>
        <w:rPr>
          <w:rFonts w:ascii="Arial" w:cs="Arial" w:eastAsia="Arial" w:hAnsi="Arial"/>
          <w:sz w:val="16"/>
          <w:szCs w:val="16"/>
          <w:b w:val="1"/>
          <w:bCs w:val="1"/>
          <w:color w:val="auto"/>
        </w:rPr>
        <w:t>APPENDIX B AND EXHIBIT A, WHICH CONTAIN THE SPECIFIC TERMS AND CONDITIONS OF THE RESTRICTED STOCK UNITS.</w:t>
      </w:r>
    </w:p>
    <w:p>
      <w:pPr>
        <w:spacing w:after="0" w:line="200" w:lineRule="exact"/>
        <w:rPr>
          <w:sz w:val="20"/>
          <w:szCs w:val="20"/>
          <w:color w:val="auto"/>
        </w:rPr>
      </w:pPr>
    </w:p>
    <w:p>
      <w:pPr>
        <w:spacing w:after="0" w:line="28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order to view the grant details and to accept this grant, please go to Fidelity NetBenefits at www.netbenefits.com and follow the instructions regarding this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grant.</w:t>
      </w:r>
    </w:p>
    <w:p>
      <w:pPr>
        <w:sectPr>
          <w:pgSz w:w="11900" w:h="16838" w:orient="portrait"/>
          <w:cols w:equalWidth="0" w:num="1">
            <w:col w:w="11280"/>
          </w:cols>
          <w:pgMar w:left="300" w:top="1296" w:right="319" w:bottom="1440" w:gutter="0" w:footer="0" w:header="0"/>
        </w:sectPr>
      </w:pPr>
    </w:p>
    <w:bookmarkStart w:id="159" w:name="page160"/>
    <w:bookmarkEnd w:id="159"/>
    <w:p>
      <w:pPr>
        <w:jc w:val="center"/>
        <w:ind w:right="-14"/>
        <w:spacing w:after="0"/>
        <w:rPr>
          <w:sz w:val="20"/>
          <w:szCs w:val="20"/>
          <w:color w:val="auto"/>
        </w:rPr>
      </w:pPr>
      <w:r>
        <w:rPr>
          <w:rFonts w:ascii="Arial" w:cs="Arial" w:eastAsia="Arial" w:hAnsi="Arial"/>
          <w:sz w:val="17"/>
          <w:szCs w:val="17"/>
          <w:b w:val="1"/>
          <w:bCs w:val="1"/>
          <w:color w:val="auto"/>
        </w:rPr>
        <w:t>APPENDIX A TO RESTRICTED STOCK UNIT AGREEMENT</w:t>
      </w:r>
    </w:p>
    <w:p>
      <w:pPr>
        <w:spacing w:after="0" w:line="148" w:lineRule="exact"/>
        <w:rPr>
          <w:sz w:val="20"/>
          <w:szCs w:val="20"/>
          <w:color w:val="auto"/>
        </w:rPr>
      </w:pPr>
    </w:p>
    <w:p>
      <w:pPr>
        <w:ind w:left="-5" w:right="40" w:firstLine="514"/>
        <w:spacing w:after="0" w:line="251" w:lineRule="auto"/>
        <w:tabs>
          <w:tab w:leader="none" w:pos="1014" w:val="left"/>
        </w:tabs>
        <w:numPr>
          <w:ilvl w:val="0"/>
          <w:numId w:val="82"/>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Subject to the terms, conditions, and restrictions set forth in this Agreement (including the Grant Notice and any special terms and conditions for the Participant’s country set forth in Appendix B to this Agreement) and in the Plan, the Company hereby evidences and confirms its grant to the Participant, effective as of the Grant Date, of the number of restricted stock units specified in the Grant Notice (the “</w:t>
      </w:r>
      <w:r>
        <w:rPr>
          <w:rFonts w:ascii="Arial" w:cs="Arial" w:eastAsia="Arial" w:hAnsi="Arial"/>
          <w:sz w:val="15"/>
          <w:szCs w:val="15"/>
          <w:u w:val="single" w:color="auto"/>
          <w:color w:val="auto"/>
        </w:rPr>
        <w:t>Restricted Stock Units</w:t>
      </w:r>
      <w:r>
        <w:rPr>
          <w:rFonts w:ascii="Arial" w:cs="Arial" w:eastAsia="Arial" w:hAnsi="Arial"/>
          <w:sz w:val="15"/>
          <w:szCs w:val="15"/>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16" w:lineRule="exact"/>
        <w:rPr>
          <w:rFonts w:ascii="Arial" w:cs="Arial" w:eastAsia="Arial" w:hAnsi="Arial"/>
          <w:sz w:val="15"/>
          <w:szCs w:val="15"/>
          <w:color w:val="auto"/>
        </w:rPr>
      </w:pPr>
    </w:p>
    <w:p>
      <w:pPr>
        <w:ind w:left="1015" w:hanging="506"/>
        <w:spacing w:after="0"/>
        <w:tabs>
          <w:tab w:leader="none" w:pos="1015"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w:t>
      </w:r>
    </w:p>
    <w:p>
      <w:pPr>
        <w:spacing w:after="0" w:line="144" w:lineRule="exact"/>
        <w:rPr>
          <w:sz w:val="20"/>
          <w:szCs w:val="20"/>
          <w:color w:val="auto"/>
        </w:rPr>
      </w:pPr>
    </w:p>
    <w:p>
      <w:pPr>
        <w:ind w:left="-5" w:right="120" w:firstLine="514"/>
        <w:spacing w:after="0" w:line="295" w:lineRule="auto"/>
        <w:tabs>
          <w:tab w:leader="none" w:pos="1011"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Except as otherwise provided in this Section 2, the Restricted Stock Units shall become vested, in the amount(s), and on the vesting date(s) set forth in Exhibit A (each, a “</w:t>
      </w:r>
      <w:r>
        <w:rPr>
          <w:rFonts w:ascii="Arial" w:cs="Arial" w:eastAsia="Arial" w:hAnsi="Arial"/>
          <w:sz w:val="15"/>
          <w:szCs w:val="15"/>
          <w:u w:val="single" w:color="auto"/>
          <w:color w:val="auto"/>
        </w:rPr>
        <w:t>Vesting Date</w:t>
      </w:r>
      <w:r>
        <w:rPr>
          <w:rFonts w:ascii="Arial" w:cs="Arial" w:eastAsia="Arial" w:hAnsi="Arial"/>
          <w:sz w:val="15"/>
          <w:szCs w:val="15"/>
          <w:color w:val="auto"/>
        </w:rPr>
        <w:t>”), subject to the continued employment of the Participant by the Company or any Subsidiary thereof through such date.</w:t>
      </w:r>
    </w:p>
    <w:p>
      <w:pPr>
        <w:spacing w:after="0" w:line="85" w:lineRule="exact"/>
        <w:rPr>
          <w:rFonts w:ascii="Arial" w:cs="Arial" w:eastAsia="Arial" w:hAnsi="Arial"/>
          <w:sz w:val="15"/>
          <w:szCs w:val="15"/>
          <w:color w:val="auto"/>
        </w:rPr>
      </w:pPr>
    </w:p>
    <w:p>
      <w:pPr>
        <w:ind w:left="1015" w:hanging="506"/>
        <w:spacing w:after="0"/>
        <w:tabs>
          <w:tab w:leader="none" w:pos="1015"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ind w:left="-5" w:right="360" w:firstLine="1023"/>
        <w:spacing w:after="0" w:line="236" w:lineRule="auto"/>
        <w:tabs>
          <w:tab w:leader="none" w:pos="1513"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a Participant’s employment or service terminates due to the Participant’s death, all unvested Restricted Stock Units shall immediately vest.</w:t>
      </w:r>
    </w:p>
    <w:p>
      <w:pPr>
        <w:spacing w:after="0" w:line="124" w:lineRule="exact"/>
        <w:rPr>
          <w:rFonts w:ascii="Arial" w:cs="Arial" w:eastAsia="Arial" w:hAnsi="Arial"/>
          <w:sz w:val="17"/>
          <w:szCs w:val="17"/>
          <w:color w:val="auto"/>
        </w:rPr>
      </w:pPr>
    </w:p>
    <w:p>
      <w:pPr>
        <w:ind w:left="-5" w:right="160" w:firstLine="1023"/>
        <w:spacing w:after="0" w:line="236" w:lineRule="auto"/>
        <w:tabs>
          <w:tab w:leader="none" w:pos="1518"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a Participant’s employment or service terminates due to Disability, all unvested Restricted Stock Units shall not be forfeited upon such termination and shall continue to vest in accordance with the schedule provided in Section 2(a).</w:t>
      </w:r>
    </w:p>
    <w:p>
      <w:pPr>
        <w:spacing w:after="0" w:line="124" w:lineRule="exact"/>
        <w:rPr>
          <w:rFonts w:ascii="Arial" w:cs="Arial" w:eastAsia="Arial" w:hAnsi="Arial"/>
          <w:sz w:val="17"/>
          <w:szCs w:val="17"/>
          <w:color w:val="auto"/>
        </w:rPr>
      </w:pPr>
    </w:p>
    <w:p>
      <w:pPr>
        <w:ind w:left="-5" w:right="40" w:firstLine="1023"/>
        <w:spacing w:after="0" w:line="245" w:lineRule="auto"/>
        <w:tabs>
          <w:tab w:leader="none" w:pos="1523" w:val="left"/>
        </w:tabs>
        <w:numPr>
          <w:ilvl w:val="2"/>
          <w:numId w:val="83"/>
        </w:numPr>
        <w:rPr>
          <w:rFonts w:ascii="Arial" w:cs="Arial" w:eastAsia="Arial" w:hAnsi="Arial"/>
          <w:sz w:val="15"/>
          <w:szCs w:val="15"/>
          <w:color w:val="auto"/>
        </w:rPr>
      </w:pPr>
      <w:r>
        <w:rPr>
          <w:rFonts w:ascii="Arial" w:cs="Arial" w:eastAsia="Arial" w:hAnsi="Arial"/>
          <w:sz w:val="15"/>
          <w:szCs w:val="15"/>
          <w:u w:val="single" w:color="auto"/>
          <w:color w:val="auto"/>
        </w:rPr>
        <w:t>Termination for Cause</w:t>
      </w:r>
      <w:r>
        <w:rPr>
          <w:rFonts w:ascii="Arial" w:cs="Arial" w:eastAsia="Arial" w:hAnsi="Arial"/>
          <w:sz w:val="15"/>
          <w:szCs w:val="15"/>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w:t>
      </w:r>
    </w:p>
    <w:p>
      <w:pPr>
        <w:spacing w:after="0" w:line="1" w:lineRule="exact"/>
        <w:rPr>
          <w:rFonts w:ascii="Arial" w:cs="Arial" w:eastAsia="Arial" w:hAnsi="Arial"/>
          <w:sz w:val="15"/>
          <w:szCs w:val="15"/>
          <w:color w:val="auto"/>
        </w:rPr>
      </w:pPr>
    </w:p>
    <w:p>
      <w:pPr>
        <w:ind w:left="-5" w:right="80" w:firstLine="5"/>
        <w:spacing w:after="0" w:line="221" w:lineRule="auto"/>
        <w:tabs>
          <w:tab w:leader="none" w:pos="321" w:val="left"/>
        </w:tabs>
        <w:numPr>
          <w:ilvl w:val="0"/>
          <w:numId w:val="84"/>
        </w:numPr>
        <w:rPr>
          <w:rFonts w:ascii="Arial" w:cs="Arial" w:eastAsia="Arial" w:hAnsi="Arial"/>
          <w:sz w:val="17"/>
          <w:szCs w:val="17"/>
          <w:color w:val="auto"/>
        </w:rPr>
      </w:pPr>
      <w:r>
        <w:rPr>
          <w:rFonts w:ascii="Arial" w:cs="Arial" w:eastAsia="Arial" w:hAnsi="Arial"/>
          <w:sz w:val="17"/>
          <w:szCs w:val="17"/>
          <w:color w:val="auto"/>
        </w:rPr>
        <w:t>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25" w:lineRule="exact"/>
        <w:rPr>
          <w:rFonts w:ascii="Arial" w:cs="Arial" w:eastAsia="Arial" w:hAnsi="Arial"/>
          <w:sz w:val="17"/>
          <w:szCs w:val="17"/>
          <w:color w:val="auto"/>
        </w:rPr>
      </w:pPr>
    </w:p>
    <w:p>
      <w:pPr>
        <w:ind w:left="-5" w:right="100" w:firstLine="1023"/>
        <w:spacing w:after="0" w:line="236" w:lineRule="auto"/>
        <w:tabs>
          <w:tab w:leader="none" w:pos="1513" w:val="left"/>
        </w:tabs>
        <w:numPr>
          <w:ilvl w:val="2"/>
          <w:numId w:val="84"/>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w:t>
      </w:r>
      <w:r>
        <w:rPr>
          <w:rFonts w:ascii="Arial" w:cs="Arial" w:eastAsia="Arial" w:hAnsi="Arial"/>
          <w:sz w:val="17"/>
          <w:szCs w:val="17"/>
          <w:color w:val="auto"/>
        </w:rPr>
        <w:t>. If a Participant’s employment is terminated for any reason other than death, Disability or by the Company for Cause, all unvested Restricted Stock Units shall immediately be forfeited.</w:t>
      </w:r>
    </w:p>
    <w:p>
      <w:pPr>
        <w:spacing w:after="0" w:line="124" w:lineRule="exact"/>
        <w:rPr>
          <w:rFonts w:ascii="Arial" w:cs="Arial" w:eastAsia="Arial" w:hAnsi="Arial"/>
          <w:sz w:val="17"/>
          <w:szCs w:val="17"/>
          <w:color w:val="auto"/>
        </w:rPr>
      </w:pPr>
    </w:p>
    <w:p>
      <w:pPr>
        <w:ind w:left="-5" w:firstLine="514"/>
        <w:spacing w:after="0" w:line="231" w:lineRule="auto"/>
        <w:tabs>
          <w:tab w:leader="none" w:pos="1011"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In the event of a Change in Control prior to the applicable Vesting Date, notwithstanding anything in Article XIII of the Plan to the contrary, any unvested Restricted Stock Units shall remain outstanding and shall vest on the applicable Vesting Date, subject to the continued employment or service of the Participant by the Company or any Subsidiary thereof through such date;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Participant’s employment or service is terminated by the Company without Cause or for Good Reason (each, a “</w:t>
      </w:r>
      <w:r>
        <w:rPr>
          <w:rFonts w:ascii="Arial" w:cs="Arial" w:eastAsia="Arial" w:hAnsi="Arial"/>
          <w:sz w:val="16"/>
          <w:szCs w:val="16"/>
          <w:u w:val="single" w:color="auto"/>
          <w:color w:val="auto"/>
        </w:rPr>
        <w:t>Qualifying CIC Termination</w:t>
      </w:r>
      <w:r>
        <w:rPr>
          <w:rFonts w:ascii="Arial" w:cs="Arial" w:eastAsia="Arial" w:hAnsi="Arial"/>
          <w:sz w:val="16"/>
          <w:szCs w:val="16"/>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means (</w:t>
      </w:r>
      <w:r>
        <w:rPr>
          <w:rFonts w:ascii="Arial" w:cs="Arial" w:eastAsia="Arial" w:hAnsi="Arial"/>
          <w:sz w:val="16"/>
          <w:szCs w:val="16"/>
          <w:u w:val="single" w:color="auto"/>
          <w:color w:val="auto"/>
        </w:rPr>
        <w:t>i</w:t>
      </w:r>
      <w:r>
        <w:rPr>
          <w:rFonts w:ascii="Arial" w:cs="Arial" w:eastAsia="Arial" w:hAnsi="Arial"/>
          <w:sz w:val="16"/>
          <w:szCs w:val="16"/>
          <w:color w:val="auto"/>
        </w:rPr>
        <w:t>) if a Participant is a party to an employment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75"/>
          </w:cols>
          <w:pgMar w:left="305" w:top="1297" w:right="319" w:bottom="1440" w:gutter="0" w:footer="0" w:header="0"/>
        </w:sectPr>
      </w:pPr>
    </w:p>
    <w:bookmarkStart w:id="160" w:name="page161"/>
    <w:bookmarkEnd w:id="160"/>
    <w:p>
      <w:pPr>
        <w:jc w:val="both"/>
        <w:ind w:right="20"/>
        <w:spacing w:after="0" w:line="248" w:lineRule="auto"/>
        <w:rPr>
          <w:sz w:val="20"/>
          <w:szCs w:val="20"/>
          <w:color w:val="auto"/>
        </w:rPr>
      </w:pPr>
      <w:r>
        <w:rPr>
          <w:rFonts w:ascii="Arial" w:cs="Arial" w:eastAsia="Arial" w:hAnsi="Arial"/>
          <w:sz w:val="15"/>
          <w:szCs w:val="15"/>
          <w:color w:val="auto"/>
        </w:rPr>
        <w:t>agreement with the Company and such agreement provides for a definition of Good Reason, the definition contained therein; or (</w:t>
      </w:r>
      <w:r>
        <w:rPr>
          <w:rFonts w:ascii="Arial" w:cs="Arial" w:eastAsia="Arial" w:hAnsi="Arial"/>
          <w:sz w:val="15"/>
          <w:szCs w:val="15"/>
          <w:u w:val="single" w:color="auto"/>
          <w:color w:val="auto"/>
        </w:rPr>
        <w:t>ii</w:t>
      </w:r>
      <w:r>
        <w:rPr>
          <w:rFonts w:ascii="Arial" w:cs="Arial" w:eastAsia="Arial" w:hAnsi="Arial"/>
          <w:sz w:val="15"/>
          <w:szCs w:val="15"/>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5"/>
          <w:szCs w:val="15"/>
          <w:u w:val="single" w:color="auto"/>
          <w:color w:val="auto"/>
        </w:rPr>
        <w:t>A</w:t>
      </w:r>
      <w:r>
        <w:rPr>
          <w:rFonts w:ascii="Arial" w:cs="Arial" w:eastAsia="Arial" w:hAnsi="Arial"/>
          <w:sz w:val="15"/>
          <w:szCs w:val="15"/>
          <w:color w:val="auto"/>
        </w:rPr>
        <w:t>) any material, adverse change in the Participant’s duties, responsibilities or authority; (</w:t>
      </w:r>
      <w:r>
        <w:rPr>
          <w:rFonts w:ascii="Arial" w:cs="Arial" w:eastAsia="Arial" w:hAnsi="Arial"/>
          <w:sz w:val="15"/>
          <w:szCs w:val="15"/>
          <w:u w:val="single" w:color="auto"/>
          <w:color w:val="auto"/>
        </w:rPr>
        <w:t>B</w:t>
      </w:r>
      <w:r>
        <w:rPr>
          <w:rFonts w:ascii="Arial" w:cs="Arial" w:eastAsia="Arial" w:hAnsi="Arial"/>
          <w:sz w:val="15"/>
          <w:szCs w:val="15"/>
          <w:color w:val="auto"/>
        </w:rPr>
        <w:t>) a material reduction in the Participant’s base salary or bonus opportunity; or (</w:t>
      </w:r>
      <w:r>
        <w:rPr>
          <w:rFonts w:ascii="Arial" w:cs="Arial" w:eastAsia="Arial" w:hAnsi="Arial"/>
          <w:sz w:val="15"/>
          <w:szCs w:val="15"/>
          <w:u w:val="single" w:color="auto"/>
          <w:color w:val="auto"/>
        </w:rPr>
        <w:t>C</w:t>
      </w:r>
      <w:r>
        <w:rPr>
          <w:rFonts w:ascii="Arial" w:cs="Arial" w:eastAsia="Arial" w:hAnsi="Arial"/>
          <w:sz w:val="15"/>
          <w:szCs w:val="15"/>
          <w:color w:val="auto"/>
        </w:rPr>
        <w:t>) a geographical relocation of the Participant’s principal office location by more than fifty (50) miles (other than a temporary geographical relocation for business reasons).</w:t>
      </w:r>
    </w:p>
    <w:p>
      <w:pPr>
        <w:spacing w:after="0" w:line="119" w:lineRule="exact"/>
        <w:rPr>
          <w:sz w:val="20"/>
          <w:szCs w:val="20"/>
          <w:color w:val="auto"/>
        </w:rPr>
      </w:pPr>
    </w:p>
    <w:p>
      <w:pPr>
        <w:ind w:right="60" w:firstLine="514"/>
        <w:spacing w:after="0" w:line="242" w:lineRule="auto"/>
        <w:tabs>
          <w:tab w:leader="none" w:pos="1015"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Other Forfeiture Provisions</w:t>
      </w:r>
      <w:r>
        <w:rPr>
          <w:rFonts w:ascii="Arial" w:cs="Arial" w:eastAsia="Arial" w:hAnsi="Arial"/>
          <w:sz w:val="15"/>
          <w:szCs w:val="15"/>
          <w:color w:val="auto"/>
        </w:rPr>
        <w:t>. The Restricted Stock Units shall also be forfeited and subject to disgorgement and/or repayment to the Company in the event the Participant (</w:t>
      </w:r>
      <w:r>
        <w:rPr>
          <w:rFonts w:ascii="Arial" w:cs="Arial" w:eastAsia="Arial" w:hAnsi="Arial"/>
          <w:sz w:val="15"/>
          <w:szCs w:val="15"/>
          <w:u w:val="single" w:color="auto"/>
          <w:color w:val="auto"/>
        </w:rPr>
        <w:t>i</w:t>
      </w:r>
      <w:r>
        <w:rPr>
          <w:rFonts w:ascii="Arial" w:cs="Arial" w:eastAsia="Arial" w:hAnsi="Arial"/>
          <w:sz w:val="15"/>
          <w:szCs w:val="15"/>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w:t>
      </w:r>
    </w:p>
    <w:p>
      <w:pPr>
        <w:spacing w:after="0" w:line="1" w:lineRule="exact"/>
        <w:rPr>
          <w:rFonts w:ascii="Arial" w:cs="Arial" w:eastAsia="Arial" w:hAnsi="Arial"/>
          <w:sz w:val="15"/>
          <w:szCs w:val="15"/>
          <w:color w:val="auto"/>
        </w:rPr>
      </w:pPr>
    </w:p>
    <w:p>
      <w:pPr>
        <w:ind w:right="360"/>
        <w:spacing w:after="0" w:line="227" w:lineRule="auto"/>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ii</w:t>
      </w:r>
      <w:r>
        <w:rPr>
          <w:rFonts w:ascii="Arial" w:cs="Arial" w:eastAsia="Arial" w:hAnsi="Arial"/>
          <w:sz w:val="17"/>
          <w:szCs w:val="17"/>
          <w:color w:val="auto"/>
        </w:rPr>
        <w:t>) materially violates any restrictive covenant agreement (or any other agreement containing restrictive covenants) that the Participant has entered into with the Company.</w:t>
      </w:r>
    </w:p>
    <w:p>
      <w:pPr>
        <w:spacing w:after="0" w:line="125" w:lineRule="exact"/>
        <w:rPr>
          <w:rFonts w:ascii="Arial" w:cs="Arial" w:eastAsia="Arial" w:hAnsi="Arial"/>
          <w:sz w:val="15"/>
          <w:szCs w:val="15"/>
          <w:color w:val="auto"/>
        </w:rPr>
      </w:pPr>
    </w:p>
    <w:p>
      <w:pPr>
        <w:ind w:right="20" w:firstLine="514"/>
        <w:spacing w:after="0" w:line="222" w:lineRule="auto"/>
        <w:tabs>
          <w:tab w:leader="none" w:pos="101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w:t>
      </w:r>
    </w:p>
    <w:p>
      <w:pPr>
        <w:spacing w:after="0" w:line="125" w:lineRule="exact"/>
        <w:rPr>
          <w:rFonts w:ascii="Arial" w:cs="Arial" w:eastAsia="Arial" w:hAnsi="Arial"/>
          <w:sz w:val="17"/>
          <w:szCs w:val="17"/>
          <w:color w:val="auto"/>
        </w:rPr>
      </w:pPr>
    </w:p>
    <w:p>
      <w:pPr>
        <w:ind w:right="40" w:firstLine="514"/>
        <w:spacing w:after="0" w:line="228" w:lineRule="auto"/>
        <w:tabs>
          <w:tab w:leader="none" w:pos="101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Post-Termination Informational Requirements</w:t>
      </w:r>
      <w:r>
        <w:rPr>
          <w:rFonts w:ascii="Arial" w:cs="Arial" w:eastAsia="Arial" w:hAnsi="Arial"/>
          <w:sz w:val="16"/>
          <w:szCs w:val="16"/>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6"/>
          <w:szCs w:val="16"/>
          <w:u w:val="single" w:color="auto"/>
          <w:color w:val="auto"/>
        </w:rPr>
        <w:t>i</w:t>
      </w:r>
      <w:r>
        <w:rPr>
          <w:rFonts w:ascii="Arial" w:cs="Arial" w:eastAsia="Arial" w:hAnsi="Arial"/>
          <w:sz w:val="16"/>
          <w:szCs w:val="16"/>
          <w:color w:val="auto"/>
        </w:rPr>
        <w:t>) ninety (90) calendar days after the issue of a request from the Company for such information and (</w:t>
      </w:r>
      <w:r>
        <w:rPr>
          <w:rFonts w:ascii="Arial" w:cs="Arial" w:eastAsia="Arial" w:hAnsi="Arial"/>
          <w:sz w:val="16"/>
          <w:szCs w:val="16"/>
          <w:u w:val="single" w:color="auto"/>
          <w:color w:val="auto"/>
        </w:rPr>
        <w:t>ii</w:t>
      </w:r>
      <w:r>
        <w:rPr>
          <w:rFonts w:ascii="Arial" w:cs="Arial" w:eastAsia="Arial" w:hAnsi="Arial"/>
          <w:sz w:val="16"/>
          <w:szCs w:val="16"/>
          <w:color w:val="auto"/>
        </w:rPr>
        <w:t>) December 31 of the calendar year in which the applicable Vesting Date occurs.</w:t>
      </w:r>
    </w:p>
    <w:p>
      <w:pPr>
        <w:spacing w:after="0" w:line="130" w:lineRule="exact"/>
        <w:rPr>
          <w:sz w:val="20"/>
          <w:szCs w:val="20"/>
          <w:color w:val="auto"/>
        </w:rPr>
      </w:pPr>
    </w:p>
    <w:p>
      <w:pPr>
        <w:ind w:firstLine="514"/>
        <w:spacing w:after="0" w:line="216" w:lineRule="auto"/>
        <w:tabs>
          <w:tab w:leader="none" w:pos="1019"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Settlement of Restricted Stock Units</w:t>
      </w:r>
      <w:r>
        <w:rPr>
          <w:rFonts w:ascii="Arial" w:cs="Arial" w:eastAsia="Arial" w:hAnsi="Arial"/>
          <w:sz w:val="17"/>
          <w:szCs w:val="17"/>
          <w:color w:val="auto"/>
        </w:rPr>
        <w:t>. Subject to Section 8(d) and Section 2(f), the Company shall deliver to the Participant one (1) share of Company Common Stock (or the value thereof) in settlement of each outstanding Restricted Stock Unit that has vested as provided in Section 2(a) on the first to occur of (</w:t>
      </w:r>
      <w:r>
        <w:rPr>
          <w:rFonts w:ascii="Arial" w:cs="Arial" w:eastAsia="Arial" w:hAnsi="Arial"/>
          <w:sz w:val="17"/>
          <w:szCs w:val="17"/>
          <w:u w:val="single" w:color="auto"/>
          <w:color w:val="auto"/>
        </w:rPr>
        <w:t>i</w:t>
      </w:r>
      <w:r>
        <w:rPr>
          <w:rFonts w:ascii="Arial" w:cs="Arial" w:eastAsia="Arial" w:hAnsi="Arial"/>
          <w:sz w:val="17"/>
          <w:szCs w:val="17"/>
          <w:color w:val="auto"/>
        </w:rPr>
        <w:t>) the Vesting Date (or within 30 days thereafter), (</w:t>
      </w:r>
      <w:r>
        <w:rPr>
          <w:rFonts w:ascii="Arial" w:cs="Arial" w:eastAsia="Arial" w:hAnsi="Arial"/>
          <w:sz w:val="17"/>
          <w:szCs w:val="17"/>
          <w:u w:val="single" w:color="auto"/>
          <w:color w:val="auto"/>
        </w:rPr>
        <w:t>ii</w:t>
      </w:r>
      <w:r>
        <w:rPr>
          <w:rFonts w:ascii="Arial" w:cs="Arial" w:eastAsia="Arial" w:hAnsi="Arial"/>
          <w:sz w:val="17"/>
          <w:szCs w:val="17"/>
          <w:color w:val="auto"/>
        </w:rPr>
        <w:t>) in the event of a termination of employment or service due to death, as soon as practicable following the Participant’s termination of employment or service by reason of death or (i</w:t>
      </w:r>
      <w:r>
        <w:rPr>
          <w:rFonts w:ascii="Arial" w:cs="Arial" w:eastAsia="Arial" w:hAnsi="Arial"/>
          <w:sz w:val="17"/>
          <w:szCs w:val="17"/>
          <w:u w:val="single" w:color="auto"/>
          <w:color w:val="auto"/>
        </w:rPr>
        <w:t>ii</w:t>
      </w:r>
      <w:r>
        <w:rPr>
          <w:rFonts w:ascii="Arial" w:cs="Arial" w:eastAsia="Arial" w:hAnsi="Arial"/>
          <w:sz w:val="17"/>
          <w:szCs w:val="17"/>
          <w:color w:val="auto"/>
        </w:rPr>
        <w:t>) in the event of a Qualifying CIC Termination, within thirty (30) days following the effective date of the Participant’s Qualifying CIC Termination, in each case (</w:t>
      </w:r>
      <w:r>
        <w:rPr>
          <w:rFonts w:ascii="Arial" w:cs="Arial" w:eastAsia="Arial" w:hAnsi="Arial"/>
          <w:sz w:val="17"/>
          <w:szCs w:val="17"/>
          <w:u w:val="single" w:color="auto"/>
          <w:color w:val="auto"/>
        </w:rPr>
        <w:t>A</w:t>
      </w:r>
      <w:r>
        <w:rPr>
          <w:rFonts w:ascii="Arial" w:cs="Arial" w:eastAsia="Arial" w:hAnsi="Arial"/>
          <w:sz w:val="17"/>
          <w:szCs w:val="17"/>
          <w:color w:val="auto"/>
        </w:rPr>
        <w:t>) in Company Common Stock by either, (</w:t>
      </w:r>
      <w:r>
        <w:rPr>
          <w:rFonts w:ascii="Arial" w:cs="Arial" w:eastAsia="Arial" w:hAnsi="Arial"/>
          <w:sz w:val="17"/>
          <w:szCs w:val="17"/>
          <w:u w:val="single" w:color="auto"/>
          <w:color w:val="auto"/>
        </w:rPr>
        <w:t>x</w:t>
      </w:r>
      <w:r>
        <w:rPr>
          <w:rFonts w:ascii="Arial" w:cs="Arial" w:eastAsia="Arial" w:hAnsi="Arial"/>
          <w:sz w:val="17"/>
          <w:szCs w:val="17"/>
          <w:color w:val="auto"/>
        </w:rPr>
        <w:t>) issuing one or more certificates evidencing the Company Common Stock to the Participant or (</w:t>
      </w:r>
      <w:r>
        <w:rPr>
          <w:rFonts w:ascii="Arial" w:cs="Arial" w:eastAsia="Arial" w:hAnsi="Arial"/>
          <w:sz w:val="17"/>
          <w:szCs w:val="17"/>
          <w:u w:val="single" w:color="auto"/>
          <w:color w:val="auto"/>
        </w:rPr>
        <w:t>y</w:t>
      </w:r>
      <w:r>
        <w:rPr>
          <w:rFonts w:ascii="Arial" w:cs="Arial" w:eastAsia="Arial" w:hAnsi="Arial"/>
          <w:sz w:val="17"/>
          <w:szCs w:val="17"/>
          <w:color w:val="auto"/>
        </w:rPr>
        <w:t>) registering the issuance of the Company Common Stock in the name of the Participant through a book entry credit in the records of the Company’s transfer agent, or (</w:t>
      </w:r>
      <w:r>
        <w:rPr>
          <w:rFonts w:ascii="Arial" w:cs="Arial" w:eastAsia="Arial" w:hAnsi="Arial"/>
          <w:sz w:val="17"/>
          <w:szCs w:val="17"/>
          <w:u w:val="single" w:color="auto"/>
          <w:color w:val="auto"/>
        </w:rPr>
        <w:t>B</w:t>
      </w:r>
      <w:r>
        <w:rPr>
          <w:rFonts w:ascii="Arial" w:cs="Arial" w:eastAsia="Arial" w:hAnsi="Arial"/>
          <w:sz w:val="17"/>
          <w:szCs w:val="17"/>
          <w:color w:val="auto"/>
        </w:rPr>
        <w: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300" w:top="1301" w:right="339" w:bottom="1440" w:gutter="0" w:footer="0" w:header="0"/>
        </w:sectPr>
      </w:pPr>
    </w:p>
    <w:bookmarkStart w:id="161" w:name="page162"/>
    <w:bookmarkEnd w:id="161"/>
    <w:p>
      <w:pPr>
        <w:jc w:val="both"/>
        <w:ind w:right="160"/>
        <w:spacing w:after="0" w:line="241" w:lineRule="auto"/>
        <w:rPr>
          <w:sz w:val="20"/>
          <w:szCs w:val="20"/>
          <w:color w:val="auto"/>
        </w:rPr>
      </w:pPr>
      <w:r>
        <w:rPr>
          <w:rFonts w:ascii="Arial" w:cs="Arial" w:eastAsia="Arial" w:hAnsi="Arial"/>
          <w:sz w:val="16"/>
          <w:szCs w:val="16"/>
          <w:color w:val="auto"/>
        </w:rPr>
        <w:t xml:space="preserve">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Participant may not vest in more than the number of Restricted Stock Units specified in the Grant Notice.</w:t>
      </w:r>
    </w:p>
    <w:p>
      <w:pPr>
        <w:spacing w:after="0" w:line="12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08" w:lineRule="exact"/>
        <w:rPr>
          <w:sz w:val="20"/>
          <w:szCs w:val="20"/>
          <w:color w:val="auto"/>
        </w:rPr>
      </w:pPr>
    </w:p>
    <w:p>
      <w:pPr>
        <w:ind w:firstLine="514"/>
        <w:spacing w:after="0" w:line="219" w:lineRule="auto"/>
        <w:tabs>
          <w:tab w:leader="none" w:pos="1019"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Securities Law Compliance</w:t>
      </w:r>
      <w:r>
        <w:rPr>
          <w:rFonts w:ascii="Arial" w:cs="Arial" w:eastAsia="Arial" w:hAnsi="Arial"/>
          <w:sz w:val="17"/>
          <w:szCs w:val="17"/>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126" w:lineRule="exact"/>
        <w:rPr>
          <w:rFonts w:ascii="Arial" w:cs="Arial" w:eastAsia="Arial" w:hAnsi="Arial"/>
          <w:sz w:val="17"/>
          <w:szCs w:val="17"/>
          <w:color w:val="auto"/>
        </w:rPr>
      </w:pPr>
    </w:p>
    <w:p>
      <w:pPr>
        <w:ind w:left="1020" w:hanging="506"/>
        <w:spacing w:after="0"/>
        <w:tabs>
          <w:tab w:leader="none" w:pos="10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Participant’s Rights with Respect to the Restricted Stock Units</w:t>
      </w:r>
      <w:r>
        <w:rPr>
          <w:rFonts w:ascii="Arial" w:cs="Arial" w:eastAsia="Arial" w:hAnsi="Arial"/>
          <w:sz w:val="17"/>
          <w:szCs w:val="17"/>
          <w:color w:val="auto"/>
        </w:rPr>
        <w:t>.</w:t>
      </w:r>
    </w:p>
    <w:p>
      <w:pPr>
        <w:spacing w:after="0" w:line="144" w:lineRule="exact"/>
        <w:rPr>
          <w:sz w:val="20"/>
          <w:szCs w:val="20"/>
          <w:color w:val="auto"/>
        </w:rPr>
      </w:pPr>
    </w:p>
    <w:p>
      <w:pPr>
        <w:ind w:right="20" w:firstLine="514"/>
        <w:spacing w:after="0" w:line="251" w:lineRule="auto"/>
        <w:tabs>
          <w:tab w:leader="none" w:pos="1016"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Restrictions on Transferability</w:t>
      </w:r>
      <w:r>
        <w:rPr>
          <w:rFonts w:ascii="Arial" w:cs="Arial" w:eastAsia="Arial" w:hAnsi="Arial"/>
          <w:sz w:val="15"/>
          <w:szCs w:val="15"/>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16" w:lineRule="exact"/>
        <w:rPr>
          <w:rFonts w:ascii="Arial" w:cs="Arial" w:eastAsia="Arial" w:hAnsi="Arial"/>
          <w:sz w:val="15"/>
          <w:szCs w:val="15"/>
          <w:color w:val="auto"/>
        </w:rPr>
      </w:pPr>
    </w:p>
    <w:p>
      <w:pPr>
        <w:ind w:right="180" w:firstLine="514"/>
        <w:spacing w:after="0" w:line="227" w:lineRule="auto"/>
        <w:tabs>
          <w:tab w:leader="none" w:pos="101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24" w:lineRule="exact"/>
        <w:rPr>
          <w:rFonts w:ascii="Arial" w:cs="Arial" w:eastAsia="Arial" w:hAnsi="Arial"/>
          <w:sz w:val="17"/>
          <w:szCs w:val="17"/>
          <w:color w:val="auto"/>
        </w:rPr>
      </w:pPr>
    </w:p>
    <w:p>
      <w:pPr>
        <w:ind w:right="20" w:firstLine="514"/>
        <w:spacing w:after="0" w:line="222" w:lineRule="auto"/>
        <w:tabs>
          <w:tab w:leader="none" w:pos="1016"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126" w:lineRule="exact"/>
        <w:rPr>
          <w:sz w:val="20"/>
          <w:szCs w:val="20"/>
          <w:color w:val="auto"/>
        </w:rPr>
      </w:pPr>
    </w:p>
    <w:p>
      <w:pPr>
        <w:ind w:left="1020" w:hanging="506"/>
        <w:spacing w:after="0"/>
        <w:tabs>
          <w:tab w:leader="none" w:pos="1020"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Participant’s Representations, Warranties and Covenants</w:t>
      </w:r>
      <w:r>
        <w:rPr>
          <w:rFonts w:ascii="Arial" w:cs="Arial" w:eastAsia="Arial" w:hAnsi="Arial"/>
          <w:sz w:val="17"/>
          <w:szCs w:val="17"/>
          <w:color w:val="auto"/>
        </w:rPr>
        <w:t>.</w:t>
      </w:r>
    </w:p>
    <w:p>
      <w:pPr>
        <w:spacing w:after="0" w:line="144" w:lineRule="exact"/>
        <w:rPr>
          <w:sz w:val="20"/>
          <w:szCs w:val="20"/>
          <w:color w:val="auto"/>
        </w:rPr>
      </w:pPr>
    </w:p>
    <w:p>
      <w:pPr>
        <w:ind w:right="360" w:firstLine="514"/>
        <w:spacing w:after="0" w:line="236" w:lineRule="auto"/>
        <w:tabs>
          <w:tab w:leader="none" w:pos="101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No Conflicts; No Consents</w:t>
      </w:r>
      <w:r>
        <w:rPr>
          <w:rFonts w:ascii="Arial" w:cs="Arial" w:eastAsia="Arial" w:hAnsi="Arial"/>
          <w:sz w:val="17"/>
          <w:szCs w:val="17"/>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7"/>
          <w:szCs w:val="17"/>
          <w:u w:val="single" w:color="auto"/>
          <w:color w:val="auto"/>
        </w:rPr>
        <w:t>i</w:t>
      </w:r>
      <w:r>
        <w:rPr>
          <w:rFonts w:ascii="Arial" w:cs="Arial" w:eastAsia="Arial" w:hAnsi="Arial"/>
          <w:sz w:val="17"/>
          <w:szCs w:val="17"/>
          <w:color w:val="auto"/>
        </w:rPr>
        <w:t>) materially conflict with or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00" w:top="1300" w:right="359" w:bottom="1440" w:gutter="0" w:footer="0" w:header="0"/>
        </w:sectPr>
      </w:pPr>
    </w:p>
    <w:bookmarkStart w:id="162" w:name="page163"/>
    <w:bookmarkEnd w:id="162"/>
    <w:p>
      <w:pPr>
        <w:spacing w:after="0" w:line="236" w:lineRule="auto"/>
        <w:rPr>
          <w:sz w:val="20"/>
          <w:szCs w:val="20"/>
          <w:color w:val="auto"/>
        </w:rPr>
      </w:pPr>
      <w:r>
        <w:rPr>
          <w:rFonts w:ascii="Arial" w:cs="Arial" w:eastAsia="Arial" w:hAnsi="Arial"/>
          <w:sz w:val="16"/>
          <w:szCs w:val="16"/>
          <w:color w:val="auto"/>
        </w:rPr>
        <w:t>a material violation or breach of any term or provision of any Law applicable to either the Participant or the Restricted Stock Units or (</w:t>
      </w:r>
      <w:r>
        <w:rPr>
          <w:rFonts w:ascii="Arial" w:cs="Arial" w:eastAsia="Arial" w:hAnsi="Arial"/>
          <w:sz w:val="16"/>
          <w:szCs w:val="16"/>
          <w:u w:val="single" w:color="auto"/>
          <w:color w:val="auto"/>
        </w:rPr>
        <w:t>ii</w:t>
      </w:r>
      <w:r>
        <w:rPr>
          <w:rFonts w:ascii="Arial" w:cs="Arial" w:eastAsia="Arial" w:hAnsi="Arial"/>
          <w:sz w:val="16"/>
          <w:szCs w:val="16"/>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25" w:lineRule="exact"/>
        <w:rPr>
          <w:sz w:val="20"/>
          <w:szCs w:val="20"/>
          <w:color w:val="auto"/>
        </w:rPr>
      </w:pPr>
    </w:p>
    <w:p>
      <w:pPr>
        <w:ind w:right="40" w:firstLine="514"/>
        <w:spacing w:after="0" w:line="222" w:lineRule="auto"/>
        <w:tabs>
          <w:tab w:leader="none" w:pos="101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Compliance with Rule 144</w:t>
      </w:r>
      <w:r>
        <w:rPr>
          <w:rFonts w:ascii="Arial" w:cs="Arial" w:eastAsia="Arial" w:hAnsi="Arial"/>
          <w:sz w:val="17"/>
          <w:szCs w:val="17"/>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25" w:lineRule="exact"/>
        <w:rPr>
          <w:rFonts w:ascii="Arial" w:cs="Arial" w:eastAsia="Arial" w:hAnsi="Arial"/>
          <w:sz w:val="17"/>
          <w:szCs w:val="17"/>
          <w:color w:val="auto"/>
        </w:rPr>
      </w:pPr>
    </w:p>
    <w:p>
      <w:pPr>
        <w:ind w:right="120" w:firstLine="514"/>
        <w:spacing w:after="0" w:line="236" w:lineRule="auto"/>
        <w:tabs>
          <w:tab w:leader="none" w:pos="1016"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Participant Status</w:t>
      </w:r>
      <w:r>
        <w:rPr>
          <w:rFonts w:ascii="Arial" w:cs="Arial" w:eastAsia="Arial" w:hAnsi="Arial"/>
          <w:sz w:val="17"/>
          <w:szCs w:val="17"/>
          <w:color w:val="auto"/>
        </w:rPr>
        <w:t>. The Participant represents and warrants that, as of the date hereof, the Participant is an officer, employee, director or Consultant of the Company or a Subsidiary.</w:t>
      </w:r>
    </w:p>
    <w:p>
      <w:pPr>
        <w:spacing w:after="0" w:line="125" w:lineRule="exact"/>
        <w:rPr>
          <w:sz w:val="20"/>
          <w:szCs w:val="20"/>
          <w:color w:val="auto"/>
        </w:rPr>
      </w:pPr>
    </w:p>
    <w:p>
      <w:pPr>
        <w:jc w:val="both"/>
        <w:ind w:right="20" w:firstLine="514"/>
        <w:spacing w:after="0" w:line="265" w:lineRule="auto"/>
        <w:tabs>
          <w:tab w:leader="none" w:pos="1019"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Adjustment in Capitalization</w:t>
      </w:r>
      <w:r>
        <w:rPr>
          <w:rFonts w:ascii="Arial" w:cs="Arial" w:eastAsia="Arial" w:hAnsi="Arial"/>
          <w:sz w:val="15"/>
          <w:szCs w:val="15"/>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07" w:lineRule="exact"/>
        <w:rPr>
          <w:rFonts w:ascii="Arial" w:cs="Arial" w:eastAsia="Arial" w:hAnsi="Arial"/>
          <w:sz w:val="15"/>
          <w:szCs w:val="15"/>
          <w:color w:val="auto"/>
        </w:rPr>
      </w:pPr>
    </w:p>
    <w:p>
      <w:pPr>
        <w:ind w:right="20" w:firstLine="514"/>
        <w:spacing w:after="0" w:line="242" w:lineRule="auto"/>
        <w:tabs>
          <w:tab w:leader="none" w:pos="1019"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5"/>
          <w:szCs w:val="15"/>
          <w:u w:val="single" w:color="auto"/>
          <w:color w:val="auto"/>
        </w:rPr>
        <w:t>Tax-Related Items</w:t>
      </w:r>
      <w:r>
        <w:rPr>
          <w:rFonts w:ascii="Arial" w:cs="Arial" w:eastAsia="Arial" w:hAnsi="Arial"/>
          <w:sz w:val="15"/>
          <w:szCs w:val="15"/>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28" w:lineRule="exact"/>
        <w:rPr>
          <w:sz w:val="20"/>
          <w:szCs w:val="20"/>
          <w:color w:val="auto"/>
        </w:rPr>
      </w:pPr>
    </w:p>
    <w:p>
      <w:pPr>
        <w:ind w:right="120" w:firstLine="509"/>
        <w:spacing w:after="0" w:line="233" w:lineRule="auto"/>
        <w:rPr>
          <w:sz w:val="20"/>
          <w:szCs w:val="20"/>
          <w:color w:val="auto"/>
        </w:rPr>
      </w:pPr>
      <w:r>
        <w:rPr>
          <w:rFonts w:ascii="Arial" w:cs="Arial" w:eastAsia="Arial" w:hAnsi="Arial"/>
          <w:sz w:val="16"/>
          <w:szCs w:val="16"/>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 Participant by the Company and/or the Employer, (b) withholding from proceeds of the sale of shares of Company Common Stock under the Plan, either through a voluntary sale or through a mandatory sale arranged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00" w:top="1300" w:right="319" w:bottom="1440" w:gutter="0" w:footer="0" w:header="0"/>
        </w:sectPr>
      </w:pPr>
    </w:p>
    <w:bookmarkStart w:id="163" w:name="page164"/>
    <w:bookmarkEnd w:id="163"/>
    <w:p>
      <w:pPr>
        <w:ind w:right="700"/>
        <w:spacing w:after="0" w:line="236" w:lineRule="auto"/>
        <w:rPr>
          <w:sz w:val="20"/>
          <w:szCs w:val="20"/>
          <w:color w:val="auto"/>
        </w:rPr>
      </w:pPr>
      <w:r>
        <w:rPr>
          <w:rFonts w:ascii="Arial" w:cs="Arial" w:eastAsia="Arial" w:hAnsi="Arial"/>
          <w:sz w:val="17"/>
          <w:szCs w:val="17"/>
          <w:color w:val="auto"/>
        </w:rPr>
        <w:t>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125" w:lineRule="exact"/>
        <w:rPr>
          <w:sz w:val="20"/>
          <w:szCs w:val="20"/>
          <w:color w:val="auto"/>
        </w:rPr>
      </w:pPr>
    </w:p>
    <w:p>
      <w:pPr>
        <w:ind w:right="140" w:firstLine="509"/>
        <w:spacing w:after="0" w:line="227" w:lineRule="auto"/>
        <w:rPr>
          <w:sz w:val="20"/>
          <w:szCs w:val="20"/>
          <w:color w:val="auto"/>
        </w:rPr>
      </w:pPr>
      <w:r>
        <w:rPr>
          <w:rFonts w:ascii="Arial" w:cs="Arial" w:eastAsia="Arial" w:hAnsi="Arial"/>
          <w:sz w:val="17"/>
          <w:szCs w:val="17"/>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 paying the Tax-Related Items.</w:t>
      </w:r>
    </w:p>
    <w:p>
      <w:pPr>
        <w:spacing w:after="0" w:line="124" w:lineRule="exact"/>
        <w:rPr>
          <w:sz w:val="20"/>
          <w:szCs w:val="20"/>
          <w:color w:val="auto"/>
        </w:rPr>
      </w:pPr>
    </w:p>
    <w:p>
      <w:pPr>
        <w:ind w:right="120" w:firstLine="509"/>
        <w:spacing w:after="0" w:line="227" w:lineRule="auto"/>
        <w:rPr>
          <w:sz w:val="20"/>
          <w:szCs w:val="20"/>
          <w:color w:val="auto"/>
        </w:rPr>
      </w:pPr>
      <w:r>
        <w:rPr>
          <w:rFonts w:ascii="Arial" w:cs="Arial" w:eastAsia="Arial" w:hAnsi="Arial"/>
          <w:sz w:val="17"/>
          <w:szCs w:val="17"/>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24" w:lineRule="exact"/>
        <w:rPr>
          <w:sz w:val="20"/>
          <w:szCs w:val="20"/>
          <w:color w:val="auto"/>
        </w:rPr>
      </w:pPr>
    </w:p>
    <w:p>
      <w:pPr>
        <w:ind w:left="1020" w:hanging="506"/>
        <w:spacing w:after="0"/>
        <w:tabs>
          <w:tab w:leader="none" w:pos="102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By accepting the Restricted Stock Units, the Participant acknowledges, understands and agrees that:</w:t>
      </w:r>
    </w:p>
    <w:p>
      <w:pPr>
        <w:spacing w:after="0" w:line="144" w:lineRule="exact"/>
        <w:rPr>
          <w:sz w:val="20"/>
          <w:szCs w:val="20"/>
          <w:color w:val="auto"/>
        </w:rPr>
      </w:pPr>
    </w:p>
    <w:p>
      <w:pPr>
        <w:ind w:right="200" w:firstLine="514"/>
        <w:spacing w:after="0" w:line="236" w:lineRule="auto"/>
        <w:tabs>
          <w:tab w:leader="none" w:pos="1016"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terminated, suspended or amended by the Company at any time, to the extent permitted by the Plan;</w:t>
      </w:r>
    </w:p>
    <w:p>
      <w:pPr>
        <w:spacing w:after="0" w:line="124" w:lineRule="exact"/>
        <w:rPr>
          <w:rFonts w:ascii="Arial" w:cs="Arial" w:eastAsia="Arial" w:hAnsi="Arial"/>
          <w:sz w:val="17"/>
          <w:szCs w:val="17"/>
          <w:color w:val="auto"/>
        </w:rPr>
      </w:pPr>
    </w:p>
    <w:p>
      <w:pPr>
        <w:ind w:firstLine="514"/>
        <w:spacing w:after="0" w:line="236" w:lineRule="auto"/>
        <w:tabs>
          <w:tab w:leader="none" w:pos="10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grants, if any, will be at the sole discretion of the Company;</w:t>
      </w:r>
    </w:p>
    <w:p>
      <w:pPr>
        <w:spacing w:after="0" w:line="144" w:lineRule="exact"/>
        <w:rPr>
          <w:rFonts w:ascii="Arial" w:cs="Arial" w:eastAsia="Arial" w:hAnsi="Arial"/>
          <w:sz w:val="17"/>
          <w:szCs w:val="17"/>
          <w:color w:val="auto"/>
        </w:rPr>
      </w:pPr>
    </w:p>
    <w:p>
      <w:pPr>
        <w:jc w:val="both"/>
        <w:ind w:firstLine="514"/>
        <w:spacing w:after="0" w:line="227" w:lineRule="auto"/>
        <w:tabs>
          <w:tab w:leader="none" w:pos="10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Participant is voluntarily participating in the Plan;</w:t>
      </w:r>
    </w:p>
    <w:p>
      <w:pPr>
        <w:spacing w:after="0" w:line="144" w:lineRule="exact"/>
        <w:rPr>
          <w:rFonts w:ascii="Arial" w:cs="Arial" w:eastAsia="Arial" w:hAnsi="Arial"/>
          <w:sz w:val="17"/>
          <w:szCs w:val="17"/>
          <w:color w:val="auto"/>
        </w:rPr>
      </w:pPr>
    </w:p>
    <w:p>
      <w:pPr>
        <w:ind w:right="200" w:firstLine="514"/>
        <w:spacing w:after="0" w:line="236" w:lineRule="auto"/>
        <w:tabs>
          <w:tab w:leader="none" w:pos="101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Restricted Stock Units and any shares of Company Common Stock acquired under the Plan, and the income from and value of the same, are not intended to replace any pension rights or compensation;</w:t>
      </w:r>
    </w:p>
    <w:p>
      <w:pPr>
        <w:spacing w:after="0" w:line="124" w:lineRule="exact"/>
        <w:rPr>
          <w:rFonts w:ascii="Arial" w:cs="Arial" w:eastAsia="Arial" w:hAnsi="Arial"/>
          <w:sz w:val="17"/>
          <w:szCs w:val="17"/>
          <w:color w:val="auto"/>
        </w:rPr>
      </w:pPr>
    </w:p>
    <w:p>
      <w:pPr>
        <w:ind w:right="300" w:firstLine="514"/>
        <w:spacing w:after="0" w:line="227" w:lineRule="auto"/>
        <w:tabs>
          <w:tab w:leader="none" w:pos="10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24" w:lineRule="exact"/>
        <w:rPr>
          <w:rFonts w:ascii="Arial" w:cs="Arial" w:eastAsia="Arial" w:hAnsi="Arial"/>
          <w:sz w:val="17"/>
          <w:szCs w:val="17"/>
          <w:color w:val="auto"/>
        </w:rPr>
      </w:pPr>
    </w:p>
    <w:p>
      <w:pPr>
        <w:jc w:val="both"/>
        <w:ind w:right="220" w:firstLine="514"/>
        <w:spacing w:after="0" w:line="222" w:lineRule="auto"/>
        <w:tabs>
          <w:tab w:leader="none" w:pos="10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300" w:top="1300" w:right="339" w:bottom="1440" w:gutter="0" w:footer="0" w:header="0"/>
        </w:sectPr>
      </w:pPr>
    </w:p>
    <w:bookmarkStart w:id="164" w:name="page165"/>
    <w:bookmarkEnd w:id="164"/>
    <w:p>
      <w:pPr>
        <w:ind w:left="-20" w:right="20" w:firstLine="514"/>
        <w:spacing w:after="0" w:line="236" w:lineRule="auto"/>
        <w:tabs>
          <w:tab w:leader="none" w:pos="989"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24" w:lineRule="exact"/>
        <w:rPr>
          <w:rFonts w:ascii="Arial" w:cs="Arial" w:eastAsia="Arial" w:hAnsi="Arial"/>
          <w:sz w:val="17"/>
          <w:szCs w:val="17"/>
          <w:color w:val="auto"/>
        </w:rPr>
      </w:pPr>
    </w:p>
    <w:p>
      <w:pPr>
        <w:ind w:left="-20" w:firstLine="514"/>
        <w:spacing w:after="0" w:line="241" w:lineRule="auto"/>
        <w:tabs>
          <w:tab w:leader="none" w:pos="989"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Restricted Stock Units resulting from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w:t>
      </w:r>
    </w:p>
    <w:p>
      <w:pPr>
        <w:spacing w:after="0" w:line="124" w:lineRule="exact"/>
        <w:rPr>
          <w:rFonts w:ascii="Arial" w:cs="Arial" w:eastAsia="Arial" w:hAnsi="Arial"/>
          <w:sz w:val="16"/>
          <w:szCs w:val="16"/>
          <w:color w:val="auto"/>
        </w:rPr>
      </w:pPr>
    </w:p>
    <w:p>
      <w:pPr>
        <w:jc w:val="both"/>
        <w:ind w:left="-20" w:right="160" w:firstLine="514"/>
        <w:spacing w:after="0" w:line="241" w:lineRule="auto"/>
        <w:tabs>
          <w:tab w:leader="none" w:pos="9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25" w:lineRule="exact"/>
        <w:rPr>
          <w:sz w:val="20"/>
          <w:szCs w:val="20"/>
          <w:color w:val="auto"/>
        </w:rPr>
      </w:pPr>
    </w:p>
    <w:p>
      <w:pPr>
        <w:ind w:left="-20" w:right="80" w:firstLine="514"/>
        <w:spacing w:after="0" w:line="231" w:lineRule="auto"/>
        <w:tabs>
          <w:tab w:leader="none" w:pos="99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Employee Data Privacy</w:t>
      </w:r>
      <w:r>
        <w:rPr>
          <w:rFonts w:ascii="Arial" w:cs="Arial" w:eastAsia="Arial" w:hAnsi="Arial"/>
          <w:sz w:val="16"/>
          <w:szCs w:val="16"/>
          <w:color w:val="auto"/>
        </w:rPr>
        <w:t xml:space="preserve">.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“Privacy Notice”) that Participant received in the course of his or her relationship with Company. The Participant understands that he or she may review the </w:t>
      </w:r>
      <w:r>
        <w:rPr>
          <w:rFonts w:ascii="Arial" w:cs="Arial" w:eastAsia="Arial" w:hAnsi="Arial"/>
          <w:sz w:val="16"/>
          <w:szCs w:val="16"/>
          <w:color w:val="0000FF"/>
        </w:rPr>
        <w:t>Privacy Notice</w:t>
      </w:r>
      <w:r>
        <w:rPr>
          <w:rFonts w:ascii="Arial" w:cs="Arial" w:eastAsia="Arial" w:hAnsi="Arial"/>
          <w:sz w:val="16"/>
          <w:szCs w:val="16"/>
          <w:color w:val="auto"/>
        </w:rPr>
        <w:t xml:space="preserve"> or contact his or her local human resources representative to request a copy of the Privacy Notice. Please contact </w:t>
      </w:r>
      <w:r>
        <w:rPr>
          <w:rFonts w:ascii="Arial" w:cs="Arial" w:eastAsia="Arial" w:hAnsi="Arial"/>
          <w:sz w:val="16"/>
          <w:szCs w:val="16"/>
          <w:color w:val="0000FF"/>
        </w:rPr>
        <w:t>ethics@bah.com</w:t>
      </w:r>
      <w:r>
        <w:rPr>
          <w:rFonts w:ascii="Arial" w:cs="Arial" w:eastAsia="Arial" w:hAnsi="Arial"/>
          <w:sz w:val="16"/>
          <w:szCs w:val="16"/>
          <w:color w:val="auto"/>
        </w:rPr>
        <w:t xml:space="preserve"> if the Participant has any questions or concerns about how the Company or its subsidiaries and affiliates process personally identifiable information.</w:t>
      </w:r>
    </w:p>
    <w:p>
      <w:pPr>
        <w:spacing w:after="0" w:line="125" w:lineRule="exact"/>
        <w:rPr>
          <w:rFonts w:ascii="Arial" w:cs="Arial" w:eastAsia="Arial" w:hAnsi="Arial"/>
          <w:sz w:val="16"/>
          <w:szCs w:val="16"/>
          <w:color w:val="auto"/>
        </w:rPr>
      </w:pPr>
    </w:p>
    <w:p>
      <w:pPr>
        <w:ind w:left="1000" w:hanging="506"/>
        <w:spacing w:after="0"/>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44" w:lineRule="exact"/>
        <w:rPr>
          <w:sz w:val="20"/>
          <w:szCs w:val="20"/>
          <w:color w:val="auto"/>
        </w:rPr>
      </w:pPr>
    </w:p>
    <w:p>
      <w:pPr>
        <w:ind w:left="-20" w:right="20" w:firstLine="514"/>
        <w:spacing w:after="0" w:line="265" w:lineRule="auto"/>
        <w:tabs>
          <w:tab w:leader="none" w:pos="996"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Binding Effect; Benefits</w:t>
      </w:r>
      <w:r>
        <w:rPr>
          <w:rFonts w:ascii="Arial" w:cs="Arial" w:eastAsia="Arial" w:hAnsi="Arial"/>
          <w:sz w:val="15"/>
          <w:szCs w:val="15"/>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07" w:lineRule="exact"/>
        <w:rPr>
          <w:rFonts w:ascii="Arial" w:cs="Arial" w:eastAsia="Arial" w:hAnsi="Arial"/>
          <w:sz w:val="15"/>
          <w:szCs w:val="15"/>
          <w:color w:val="auto"/>
        </w:rPr>
      </w:pPr>
    </w:p>
    <w:p>
      <w:pPr>
        <w:ind w:left="-20" w:right="100" w:firstLine="514"/>
        <w:spacing w:after="0" w:line="241" w:lineRule="auto"/>
        <w:tabs>
          <w:tab w:leader="none" w:pos="9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24" w:lineRule="exact"/>
        <w:rPr>
          <w:rFonts w:ascii="Arial" w:cs="Arial" w:eastAsia="Arial" w:hAnsi="Arial"/>
          <w:sz w:val="16"/>
          <w:szCs w:val="16"/>
          <w:color w:val="auto"/>
        </w:rPr>
      </w:pPr>
    </w:p>
    <w:p>
      <w:pPr>
        <w:ind w:left="-20" w:right="40" w:firstLine="514"/>
        <w:spacing w:after="0" w:line="246" w:lineRule="auto"/>
        <w:tabs>
          <w:tab w:leader="none" w:pos="996"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For purposes of this Agreement, if the Participant is not employed by the Company, “</w:t>
      </w:r>
      <w:r>
        <w:rPr>
          <w:rFonts w:ascii="Arial" w:cs="Arial" w:eastAsia="Arial" w:hAnsi="Arial"/>
          <w:sz w:val="15"/>
          <w:szCs w:val="15"/>
          <w:u w:val="single" w:color="auto"/>
          <w:color w:val="auto"/>
        </w:rPr>
        <w:t>Employer</w:t>
      </w:r>
      <w:r>
        <w:rPr>
          <w:rFonts w:ascii="Arial" w:cs="Arial" w:eastAsia="Arial" w:hAnsi="Arial"/>
          <w:sz w:val="15"/>
          <w:szCs w:val="15"/>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320" w:top="1301" w:right="319" w:bottom="1440" w:gutter="0" w:footer="0" w:header="0"/>
        </w:sectPr>
      </w:pPr>
    </w:p>
    <w:bookmarkStart w:id="165" w:name="page166"/>
    <w:bookmarkEnd w:id="165"/>
    <w:p>
      <w:pPr>
        <w:ind w:right="100"/>
        <w:spacing w:after="0" w:line="236" w:lineRule="auto"/>
        <w:rPr>
          <w:sz w:val="20"/>
          <w:szCs w:val="20"/>
          <w:color w:val="auto"/>
        </w:rPr>
      </w:pPr>
      <w:r>
        <w:rPr>
          <w:rFonts w:ascii="Arial" w:cs="Arial" w:eastAsia="Arial" w:hAnsi="Arial"/>
          <w:sz w:val="17"/>
          <w:szCs w:val="17"/>
          <w:color w:val="auto"/>
        </w:rPr>
        <w:t>any obligation or provision hereunder shall constitute a consent or waiver to or of any other breach or default in the performance of the same or any other obligation hereunder.</w:t>
      </w:r>
    </w:p>
    <w:p>
      <w:pPr>
        <w:spacing w:after="0" w:line="125" w:lineRule="exact"/>
        <w:rPr>
          <w:sz w:val="20"/>
          <w:szCs w:val="20"/>
          <w:color w:val="auto"/>
        </w:rPr>
      </w:pPr>
    </w:p>
    <w:p>
      <w:pPr>
        <w:jc w:val="both"/>
        <w:ind w:right="180" w:firstLine="514"/>
        <w:spacing w:after="0" w:line="222" w:lineRule="auto"/>
        <w:tabs>
          <w:tab w:leader="none" w:pos="101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Country-Specific Provisions</w:t>
      </w:r>
      <w:r>
        <w:rPr>
          <w:rFonts w:ascii="Arial" w:cs="Arial" w:eastAsia="Arial" w:hAnsi="Arial"/>
          <w:sz w:val="17"/>
          <w:szCs w:val="17"/>
          <w:color w:val="auto"/>
        </w:rPr>
        <w:t xml:space="preserve">. The Participant’s participation in the Plan shall be subject to any special terms and conditions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attached hereto for the Participant’s country. Moreover, if the Participant relocates to one of the countries included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constitutes part of this Agreement.</w:t>
      </w:r>
    </w:p>
    <w:p>
      <w:pPr>
        <w:spacing w:after="0" w:line="125" w:lineRule="exact"/>
        <w:rPr>
          <w:rFonts w:ascii="Arial" w:cs="Arial" w:eastAsia="Arial" w:hAnsi="Arial"/>
          <w:sz w:val="17"/>
          <w:szCs w:val="17"/>
          <w:color w:val="auto"/>
        </w:rPr>
      </w:pPr>
    </w:p>
    <w:p>
      <w:pPr>
        <w:ind w:right="120" w:firstLine="514"/>
        <w:spacing w:after="0" w:line="241" w:lineRule="auto"/>
        <w:tabs>
          <w:tab w:leader="none" w:pos="101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24" w:lineRule="exact"/>
        <w:rPr>
          <w:rFonts w:ascii="Arial" w:cs="Arial" w:eastAsia="Arial" w:hAnsi="Arial"/>
          <w:sz w:val="16"/>
          <w:szCs w:val="16"/>
          <w:color w:val="auto"/>
        </w:rPr>
      </w:pPr>
    </w:p>
    <w:p>
      <w:pPr>
        <w:jc w:val="both"/>
        <w:ind w:firstLine="514"/>
        <w:spacing w:after="0" w:line="227" w:lineRule="auto"/>
        <w:tabs>
          <w:tab w:leader="none" w:pos="1018"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24" w:lineRule="exact"/>
        <w:rPr>
          <w:rFonts w:ascii="Arial" w:cs="Arial" w:eastAsia="Arial" w:hAnsi="Arial"/>
          <w:sz w:val="17"/>
          <w:szCs w:val="17"/>
          <w:color w:val="auto"/>
        </w:rPr>
      </w:pPr>
    </w:p>
    <w:p>
      <w:pPr>
        <w:ind w:right="40" w:firstLine="514"/>
        <w:spacing w:after="0" w:line="228" w:lineRule="auto"/>
        <w:tabs>
          <w:tab w:leader="none" w:pos="101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Forum Selection</w:t>
      </w:r>
      <w:r>
        <w:rPr>
          <w:rFonts w:ascii="Arial" w:cs="Arial" w:eastAsia="Arial" w:hAnsi="Arial"/>
          <w:sz w:val="16"/>
          <w:szCs w:val="16"/>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29" w:lineRule="exact"/>
        <w:rPr>
          <w:rFonts w:ascii="Arial" w:cs="Arial" w:eastAsia="Arial" w:hAnsi="Arial"/>
          <w:sz w:val="16"/>
          <w:szCs w:val="16"/>
          <w:color w:val="auto"/>
        </w:rPr>
      </w:pPr>
    </w:p>
    <w:p>
      <w:pPr>
        <w:ind w:left="1020" w:hanging="506"/>
        <w:spacing w:after="0"/>
        <w:tabs>
          <w:tab w:leader="none" w:pos="1020"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not be amended, modified or supplemented orally, but only by a written instrument executed by the Participant and</w:t>
      </w:r>
    </w:p>
    <w:p>
      <w:pPr>
        <w:spacing w:after="0" w:line="1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Company.</w:t>
      </w:r>
    </w:p>
    <w:p>
      <w:pPr>
        <w:spacing w:after="0" w:line="130" w:lineRule="exact"/>
        <w:rPr>
          <w:rFonts w:ascii="Arial" w:cs="Arial" w:eastAsia="Arial" w:hAnsi="Arial"/>
          <w:sz w:val="15"/>
          <w:szCs w:val="15"/>
          <w:color w:val="auto"/>
        </w:rPr>
      </w:pPr>
    </w:p>
    <w:p>
      <w:pPr>
        <w:ind w:right="160" w:firstLine="514"/>
        <w:spacing w:after="0" w:line="227" w:lineRule="auto"/>
        <w:tabs>
          <w:tab w:leader="none" w:pos="1009"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assign all or any portion of its rights or obligations under this Agreement to one or more persons or other entities designated by it.</w:t>
      </w:r>
    </w:p>
    <w:p>
      <w:pPr>
        <w:spacing w:after="0" w:line="124" w:lineRule="exact"/>
        <w:rPr>
          <w:rFonts w:ascii="Arial" w:cs="Arial" w:eastAsia="Arial" w:hAnsi="Arial"/>
          <w:sz w:val="17"/>
          <w:szCs w:val="17"/>
          <w:color w:val="auto"/>
        </w:rPr>
      </w:pPr>
    </w:p>
    <w:p>
      <w:pPr>
        <w:ind w:right="60" w:firstLine="514"/>
        <w:spacing w:after="0" w:line="236" w:lineRule="auto"/>
        <w:tabs>
          <w:tab w:leader="none" w:pos="1009"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Severability; Blue Pencil</w:t>
      </w:r>
      <w:r>
        <w:rPr>
          <w:rFonts w:ascii="Arial" w:cs="Arial" w:eastAsia="Arial" w:hAnsi="Arial"/>
          <w:sz w:val="17"/>
          <w:szCs w:val="17"/>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24" w:lineRule="exact"/>
        <w:rPr>
          <w:rFonts w:ascii="Arial" w:cs="Arial" w:eastAsia="Arial" w:hAnsi="Arial"/>
          <w:sz w:val="17"/>
          <w:szCs w:val="17"/>
          <w:color w:val="auto"/>
        </w:rPr>
      </w:pPr>
    </w:p>
    <w:p>
      <w:pPr>
        <w:ind w:right="520" w:firstLine="514"/>
        <w:spacing w:after="0" w:line="236" w:lineRule="auto"/>
        <w:tabs>
          <w:tab w:leader="none" w:pos="101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Consent to Electronic Delivery</w:t>
      </w:r>
      <w:r>
        <w:rPr>
          <w:rFonts w:ascii="Arial" w:cs="Arial" w:eastAsia="Arial" w:hAnsi="Arial"/>
          <w:sz w:val="17"/>
          <w:szCs w:val="17"/>
          <w:color w:val="auto"/>
        </w:rPr>
        <w:t>. By entering into this Agreement and accepting the Restricted Stock Units evidenced hereby, Participant hereby consents to the delivery of information (including, without limitation, information required to be delivered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300" w:top="1301" w:right="339" w:bottom="1440" w:gutter="0" w:footer="0" w:header="0"/>
        </w:sectPr>
      </w:pPr>
    </w:p>
    <w:bookmarkStart w:id="166" w:name="page167"/>
    <w:bookmarkEnd w:id="166"/>
    <w:p>
      <w:pPr>
        <w:ind w:right="200"/>
        <w:spacing w:after="0" w:line="295" w:lineRule="auto"/>
        <w:rPr>
          <w:sz w:val="20"/>
          <w:szCs w:val="20"/>
          <w:color w:val="auto"/>
        </w:rPr>
      </w:pPr>
      <w:r>
        <w:rPr>
          <w:rFonts w:ascii="Arial" w:cs="Arial" w:eastAsia="Arial" w:hAnsi="Arial"/>
          <w:sz w:val="15"/>
          <w:szCs w:val="15"/>
          <w:color w:val="auto"/>
        </w:rPr>
        <w:t>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85" w:lineRule="exact"/>
        <w:rPr>
          <w:sz w:val="20"/>
          <w:szCs w:val="20"/>
          <w:color w:val="auto"/>
        </w:rPr>
      </w:pPr>
    </w:p>
    <w:p>
      <w:pPr>
        <w:ind w:firstLine="514"/>
        <w:spacing w:after="0" w:line="217" w:lineRule="auto"/>
        <w:tabs>
          <w:tab w:leader="none" w:pos="1009"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27" w:lineRule="exact"/>
        <w:rPr>
          <w:rFonts w:ascii="Arial" w:cs="Arial" w:eastAsia="Arial" w:hAnsi="Arial"/>
          <w:sz w:val="17"/>
          <w:szCs w:val="17"/>
          <w:color w:val="auto"/>
        </w:rPr>
      </w:pPr>
    </w:p>
    <w:p>
      <w:pPr>
        <w:ind w:firstLine="514"/>
        <w:spacing w:after="0" w:line="215" w:lineRule="auto"/>
        <w:tabs>
          <w:tab w:leader="none" w:pos="1009"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Specified Employee Delay</w:t>
      </w:r>
      <w:r>
        <w:rPr>
          <w:rFonts w:ascii="Arial" w:cs="Arial" w:eastAsia="Arial" w:hAnsi="Arial"/>
          <w:sz w:val="17"/>
          <w:szCs w:val="17"/>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7"/>
          <w:szCs w:val="17"/>
          <w:u w:val="single" w:color="auto"/>
          <w:color w:val="auto"/>
        </w:rPr>
        <w:t>a</w:t>
      </w:r>
      <w:r>
        <w:rPr>
          <w:rFonts w:ascii="Arial" w:cs="Arial" w:eastAsia="Arial" w:hAnsi="Arial"/>
          <w:sz w:val="17"/>
          <w:szCs w:val="17"/>
          <w:color w:val="auto"/>
        </w:rPr>
        <w:t>) the date that is six months following the Participant’s termination of service and (</w:t>
      </w:r>
      <w:r>
        <w:rPr>
          <w:rFonts w:ascii="Arial" w:cs="Arial" w:eastAsia="Arial" w:hAnsi="Arial"/>
          <w:sz w:val="17"/>
          <w:szCs w:val="17"/>
          <w:u w:val="single" w:color="auto"/>
          <w:color w:val="auto"/>
        </w:rPr>
        <w:t>b</w:t>
      </w:r>
      <w:r>
        <w:rPr>
          <w:rFonts w:ascii="Arial" w:cs="Arial" w:eastAsia="Arial" w:hAnsi="Arial"/>
          <w:sz w:val="17"/>
          <w:szCs w:val="17"/>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26" w:lineRule="exact"/>
        <w:rPr>
          <w:rFonts w:ascii="Arial" w:cs="Arial" w:eastAsia="Arial" w:hAnsi="Arial"/>
          <w:sz w:val="17"/>
          <w:szCs w:val="17"/>
          <w:color w:val="auto"/>
        </w:rPr>
      </w:pPr>
    </w:p>
    <w:p>
      <w:pPr>
        <w:ind w:right="160" w:firstLine="514"/>
        <w:spacing w:after="0" w:line="236" w:lineRule="auto"/>
        <w:tabs>
          <w:tab w:leader="none" w:pos="101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Headings and Captions</w:t>
      </w:r>
      <w:r>
        <w:rPr>
          <w:rFonts w:ascii="Arial" w:cs="Arial" w:eastAsia="Arial" w:hAnsi="Arial"/>
          <w:sz w:val="17"/>
          <w:szCs w:val="17"/>
          <w:color w:val="auto"/>
        </w:rPr>
        <w:t>. The section and other headings contained in this Agreement are for reference purposes only and shall not affect the meaning or interpretation of this Agreement.</w:t>
      </w:r>
    </w:p>
    <w:p>
      <w:pPr>
        <w:spacing w:after="0" w:line="124" w:lineRule="exact"/>
        <w:rPr>
          <w:rFonts w:ascii="Arial" w:cs="Arial" w:eastAsia="Arial" w:hAnsi="Arial"/>
          <w:sz w:val="17"/>
          <w:szCs w:val="17"/>
          <w:color w:val="auto"/>
        </w:rPr>
      </w:pPr>
    </w:p>
    <w:p>
      <w:pPr>
        <w:ind w:right="220" w:firstLine="514"/>
        <w:spacing w:after="0" w:line="222" w:lineRule="auto"/>
        <w:tabs>
          <w:tab w:leader="none" w:pos="101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under this Agreement shall be (</w:t>
      </w:r>
      <w:r>
        <w:rPr>
          <w:rFonts w:ascii="Arial" w:cs="Arial" w:eastAsia="Arial" w:hAnsi="Arial"/>
          <w:sz w:val="17"/>
          <w:szCs w:val="17"/>
          <w:u w:val="single" w:color="auto"/>
          <w:color w:val="auto"/>
        </w:rPr>
        <w:t>i</w:t>
      </w:r>
      <w:r>
        <w:rPr>
          <w:rFonts w:ascii="Arial" w:cs="Arial" w:eastAsia="Arial" w:hAnsi="Arial"/>
          <w:sz w:val="17"/>
          <w:szCs w:val="17"/>
          <w:color w:val="auto"/>
        </w:rPr>
        <w:t>) delivered by hand, (</w:t>
      </w:r>
      <w:r>
        <w:rPr>
          <w:rFonts w:ascii="Arial" w:cs="Arial" w:eastAsia="Arial" w:hAnsi="Arial"/>
          <w:sz w:val="17"/>
          <w:szCs w:val="17"/>
          <w:u w:val="single" w:color="auto"/>
          <w:color w:val="auto"/>
        </w:rPr>
        <w:t>ii</w:t>
      </w:r>
      <w:r>
        <w:rPr>
          <w:rFonts w:ascii="Arial" w:cs="Arial" w:eastAsia="Arial" w:hAnsi="Arial"/>
          <w:sz w:val="17"/>
          <w:szCs w:val="17"/>
          <w:color w:val="auto"/>
        </w:rPr>
        <w:t>) sent by commercial overnight courier service, (</w:t>
      </w:r>
      <w:r>
        <w:rPr>
          <w:rFonts w:ascii="Arial" w:cs="Arial" w:eastAsia="Arial" w:hAnsi="Arial"/>
          <w:sz w:val="17"/>
          <w:szCs w:val="17"/>
          <w:u w:val="single" w:color="auto"/>
          <w:color w:val="auto"/>
        </w:rPr>
        <w:t>iii</w:t>
      </w:r>
      <w:r>
        <w:rPr>
          <w:rFonts w:ascii="Arial" w:cs="Arial" w:eastAsia="Arial" w:hAnsi="Arial"/>
          <w:sz w:val="17"/>
          <w:szCs w:val="17"/>
          <w:color w:val="auto"/>
        </w:rPr>
        <w:t>) sent by registered or certified mail, return receipt requested, and first-class postage prepaid, (</w:t>
      </w:r>
      <w:r>
        <w:rPr>
          <w:rFonts w:ascii="Arial" w:cs="Arial" w:eastAsia="Arial" w:hAnsi="Arial"/>
          <w:sz w:val="17"/>
          <w:szCs w:val="17"/>
          <w:u w:val="single" w:color="auto"/>
          <w:color w:val="auto"/>
        </w:rPr>
        <w:t>iv</w:t>
      </w:r>
      <w:r>
        <w:rPr>
          <w:rFonts w:ascii="Arial" w:cs="Arial" w:eastAsia="Arial" w:hAnsi="Arial"/>
          <w:sz w:val="17"/>
          <w:szCs w:val="17"/>
          <w:color w:val="auto"/>
        </w:rPr>
        <w:t>) sent by e-mail or any other form of electronic transfer or delivery approved by the Administrator, or (</w:t>
      </w:r>
      <w:r>
        <w:rPr>
          <w:rFonts w:ascii="Arial" w:cs="Arial" w:eastAsia="Arial" w:hAnsi="Arial"/>
          <w:sz w:val="17"/>
          <w:szCs w:val="17"/>
          <w:u w:val="single" w:color="auto"/>
          <w:color w:val="auto"/>
        </w:rPr>
        <w:t>v</w:t>
      </w:r>
      <w:r>
        <w:rPr>
          <w:rFonts w:ascii="Arial" w:cs="Arial" w:eastAsia="Arial" w:hAnsi="Arial"/>
          <w:sz w:val="17"/>
          <w:szCs w:val="17"/>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25" w:lineRule="exact"/>
        <w:rPr>
          <w:rFonts w:ascii="Arial" w:cs="Arial" w:eastAsia="Arial" w:hAnsi="Arial"/>
          <w:sz w:val="17"/>
          <w:szCs w:val="17"/>
          <w:color w:val="auto"/>
        </w:rPr>
      </w:pPr>
    </w:p>
    <w:p>
      <w:pPr>
        <w:ind w:right="460" w:firstLine="514"/>
        <w:spacing w:after="0" w:line="236" w:lineRule="auto"/>
        <w:tabs>
          <w:tab w:leader="none" w:pos="101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80"/>
          </w:cols>
          <w:pgMar w:left="300" w:top="1300" w:right="31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THIRD AMENDED AND RESTATED EQUITY INCENTIVE PLAN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BOOZ ALLEN HAMILTON HOLDING CORPORATION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GRANT NOTICE</w:t>
      </w:r>
    </w:p>
    <w:p>
      <w:pPr>
        <w:spacing w:after="0" w:line="140" w:lineRule="exact"/>
        <w:rPr>
          <w:sz w:val="20"/>
          <w:szCs w:val="20"/>
          <w:color w:val="auto"/>
        </w:rPr>
      </w:pPr>
    </w:p>
    <w:p>
      <w:pPr>
        <w:ind w:firstLine="509"/>
        <w:spacing w:after="0" w:line="209" w:lineRule="auto"/>
        <w:rPr>
          <w:sz w:val="20"/>
          <w:szCs w:val="20"/>
          <w:color w:val="auto"/>
        </w:rPr>
      </w:pPr>
      <w:r>
        <w:rPr>
          <w:rFonts w:ascii="Arial" w:cs="Arial" w:eastAsia="Arial" w:hAnsi="Arial"/>
          <w:sz w:val="16"/>
          <w:szCs w:val="16"/>
          <w:color w:val="auto"/>
        </w:rPr>
        <w:t>Unless otherwise defined herein, the terms defined in the Third Amended and Restated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of Booz Allen Hamilton Holding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shall have the same defined meanings in this Performance Restricted Stock Unit Agreement, which includes the terms in this Grant Notice, including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attached hereto and any special terms and conditions set out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your country of employment and/or residence (collectively, the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23" w:lineRule="exact"/>
        <w:rPr>
          <w:sz w:val="20"/>
          <w:szCs w:val="20"/>
          <w:color w:val="auto"/>
        </w:rPr>
      </w:pPr>
    </w:p>
    <w:p>
      <w:pPr>
        <w:ind w:right="200" w:firstLine="509"/>
        <w:spacing w:after="0" w:line="214" w:lineRule="auto"/>
        <w:rPr>
          <w:sz w:val="20"/>
          <w:szCs w:val="20"/>
          <w:color w:val="auto"/>
        </w:rPr>
      </w:pPr>
      <w:r>
        <w:rPr>
          <w:rFonts w:ascii="Arial" w:cs="Arial" w:eastAsia="Arial" w:hAnsi="Arial"/>
          <w:sz w:val="16"/>
          <w:szCs w:val="16"/>
          <w:color w:val="auto"/>
        </w:rPr>
        <w:t xml:space="preserve">You have been granted performance-based restricted stock units, subject to the terms and conditions of the Plan and this Agreement in an amount, vesting schedule and subject to satisfaction of the performance goals for the applicable performance period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as delivered and made available to you by the Company, which shall be deemed part of and incorporated by reference into this Grant Notice.</w:t>
      </w:r>
    </w:p>
    <w:p>
      <w:pPr>
        <w:spacing w:after="0" w:line="123" w:lineRule="exact"/>
        <w:rPr>
          <w:sz w:val="20"/>
          <w:szCs w:val="20"/>
          <w:color w:val="auto"/>
        </w:rPr>
      </w:pPr>
    </w:p>
    <w:p>
      <w:pPr>
        <w:ind w:right="340" w:firstLine="509"/>
        <w:spacing w:after="0" w:line="247" w:lineRule="auto"/>
        <w:rPr>
          <w:sz w:val="20"/>
          <w:szCs w:val="20"/>
          <w:color w:val="auto"/>
        </w:rPr>
      </w:pPr>
      <w:r>
        <w:rPr>
          <w:rFonts w:ascii="Arial" w:cs="Arial" w:eastAsia="Arial" w:hAnsi="Arial"/>
          <w:sz w:val="14"/>
          <w:szCs w:val="14"/>
          <w:color w:val="auto"/>
        </w:rPr>
        <w:t xml:space="preserve">Your acceptance of this grant indicates your agreement and understanding that the Performance Restricted Stock Units granted herein are subject to all of the terms and conditions contained in the Agreement and the Plan. </w:t>
      </w:r>
      <w:r>
        <w:rPr>
          <w:rFonts w:ascii="Arial" w:cs="Arial" w:eastAsia="Arial" w:hAnsi="Arial"/>
          <w:sz w:val="14"/>
          <w:szCs w:val="14"/>
          <w:b w:val="1"/>
          <w:bCs w:val="1"/>
          <w:color w:val="auto"/>
        </w:rPr>
        <w:t>ACCORDINGLY, PLEASE BE SURE TO READ ALL OF THE PLAN AND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APPENDIX A</w:t>
      </w:r>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APPENDIX B</w:t>
      </w:r>
      <w:r>
        <w:rPr>
          <w:rFonts w:ascii="Arial" w:cs="Arial" w:eastAsia="Arial" w:hAnsi="Arial"/>
          <w:sz w:val="14"/>
          <w:szCs w:val="14"/>
          <w:color w:val="auto"/>
        </w:rPr>
        <w:t xml:space="preserve"> </w:t>
      </w:r>
      <w:r>
        <w:rPr>
          <w:rFonts w:ascii="Arial" w:cs="Arial" w:eastAsia="Arial" w:hAnsi="Arial"/>
          <w:sz w:val="14"/>
          <w:szCs w:val="14"/>
          <w:b w:val="1"/>
          <w:bCs w:val="1"/>
          <w:color w:val="auto"/>
        </w:rPr>
        <w:t>AND</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EXHIBIT A</w:t>
      </w:r>
      <w:r>
        <w:rPr>
          <w:rFonts w:ascii="Arial" w:cs="Arial" w:eastAsia="Arial" w:hAnsi="Arial"/>
          <w:sz w:val="14"/>
          <w:szCs w:val="14"/>
          <w:b w:val="1"/>
          <w:bCs w:val="1"/>
          <w:color w:val="auto"/>
        </w:rPr>
        <w:t>, WHICH CONTAIN THE SPECIFIC TERMS AND CONDITIONS OF THE PERFORMANCE RESTRICTED STOCK UNITS.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60"/>
          </w:cols>
          <w:pgMar w:left="300" w:top="1299"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6"/>
          <w:szCs w:val="16"/>
          <w:b w:val="1"/>
          <w:bCs w:val="1"/>
          <w:color w:val="auto"/>
        </w:rPr>
        <w:t>APPENDIX A TO PERFORMANCE RESTRICTED STOCK UNIT AGREEMENT</w:t>
      </w:r>
    </w:p>
    <w:p>
      <w:pPr>
        <w:spacing w:after="0" w:line="140" w:lineRule="exact"/>
        <w:rPr>
          <w:sz w:val="20"/>
          <w:szCs w:val="20"/>
          <w:color w:val="auto"/>
        </w:rPr>
      </w:pPr>
    </w:p>
    <w:p>
      <w:pPr>
        <w:ind w:left="-40" w:firstLine="514"/>
        <w:spacing w:after="0" w:line="229" w:lineRule="auto"/>
        <w:tabs>
          <w:tab w:leader="none" w:pos="978"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Grant of Restricted Stock Units</w:t>
      </w:r>
      <w:r>
        <w:rPr>
          <w:rFonts w:ascii="Arial" w:cs="Arial" w:eastAsia="Arial" w:hAnsi="Arial"/>
          <w:sz w:val="14"/>
          <w:szCs w:val="14"/>
          <w:color w:val="auto"/>
        </w:rPr>
        <w:t xml:space="preserve">. Subject to the terms, conditions, and restrictions set forth in this Agreement (including the Grant Notice and any special terms and conditions for the Participant’s country set forth in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to this Agreement) and in the Plan, the Company hereby evidences and confirms its grant to the Participant, effective as of the Grant Date, of the target number of performance restricted stock units (the “</w:t>
      </w:r>
      <w:r>
        <w:rPr>
          <w:rFonts w:ascii="Arial" w:cs="Arial" w:eastAsia="Arial" w:hAnsi="Arial"/>
          <w:sz w:val="14"/>
          <w:szCs w:val="14"/>
          <w:u w:val="single" w:color="auto"/>
          <w:color w:val="auto"/>
        </w:rPr>
        <w:t>Target Award</w:t>
      </w:r>
      <w:r>
        <w:rPr>
          <w:rFonts w:ascii="Arial" w:cs="Arial" w:eastAsia="Arial" w:hAnsi="Arial"/>
          <w:sz w:val="14"/>
          <w:szCs w:val="14"/>
          <w:color w:val="auto"/>
        </w:rPr>
        <w:t>”) specified in the Grant Notice. Each performance restricted stock unit (a “</w:t>
      </w:r>
      <w:r>
        <w:rPr>
          <w:rFonts w:ascii="Arial" w:cs="Arial" w:eastAsia="Arial" w:hAnsi="Arial"/>
          <w:sz w:val="14"/>
          <w:szCs w:val="14"/>
          <w:u w:val="single" w:color="auto"/>
          <w:color w:val="auto"/>
        </w:rPr>
        <w:t>Restricted Stock Unit</w:t>
      </w:r>
      <w:r>
        <w:rPr>
          <w:rFonts w:ascii="Arial" w:cs="Arial" w:eastAsia="Arial" w:hAnsi="Arial"/>
          <w:sz w:val="14"/>
          <w:szCs w:val="14"/>
          <w:color w:val="auto"/>
        </w:rPr>
        <w:t xml:space="preserve">”) represents the right to receive a number of shares of Company Common Stock (which could be less than or greater than one share), subject to the terms and conditions set forth in this Agreement (including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Appendix B</w:t>
      </w:r>
      <w:r>
        <w:rPr>
          <w:rFonts w:ascii="Arial" w:cs="Arial" w:eastAsia="Arial" w:hAnsi="Arial"/>
          <w:sz w:val="14"/>
          <w:szCs w:val="14"/>
          <w:color w:val="auto"/>
        </w:rPr>
        <w:t xml:space="preserv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Performance Goals</w:t>
      </w:r>
      <w:r>
        <w:rPr>
          <w:rFonts w:ascii="Arial" w:cs="Arial" w:eastAsia="Arial" w:hAnsi="Arial"/>
          <w:sz w:val="14"/>
          <w:szCs w:val="14"/>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24" w:lineRule="exact"/>
        <w:rPr>
          <w:rFonts w:ascii="Arial" w:cs="Arial" w:eastAsia="Arial" w:hAnsi="Arial"/>
          <w:sz w:val="14"/>
          <w:szCs w:val="14"/>
          <w:color w:val="auto"/>
        </w:rPr>
      </w:pPr>
    </w:p>
    <w:p>
      <w:pPr>
        <w:ind w:left="980" w:hanging="506"/>
        <w:spacing w:after="0"/>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w:t>
      </w:r>
    </w:p>
    <w:p>
      <w:pPr>
        <w:spacing w:after="0" w:line="134" w:lineRule="exact"/>
        <w:rPr>
          <w:sz w:val="20"/>
          <w:szCs w:val="20"/>
          <w:color w:val="auto"/>
        </w:rPr>
      </w:pPr>
    </w:p>
    <w:p>
      <w:pPr>
        <w:ind w:left="-40" w:right="180" w:firstLine="514"/>
        <w:spacing w:after="0" w:line="206" w:lineRule="auto"/>
        <w:tabs>
          <w:tab w:leader="none" w:pos="97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For purposes of this Agreement, the term “</w:t>
      </w:r>
      <w:r>
        <w:rPr>
          <w:rFonts w:ascii="Arial" w:cs="Arial" w:eastAsia="Arial" w:hAnsi="Arial"/>
          <w:sz w:val="16"/>
          <w:szCs w:val="16"/>
          <w:u w:val="single" w:color="auto"/>
          <w:color w:val="auto"/>
        </w:rPr>
        <w:t>Performance Period</w:t>
      </w:r>
      <w:r>
        <w:rPr>
          <w:rFonts w:ascii="Arial" w:cs="Arial" w:eastAsia="Arial" w:hAnsi="Arial"/>
          <w:sz w:val="16"/>
          <w:szCs w:val="16"/>
          <w:color w:val="auto"/>
        </w:rPr>
        <w:t xml:space="preserve">” shall mean the period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Restricted Stock Units are subject to forfeiture until they vest. Except as otherwise provided in this Section 2, the Restricted Stock Units shall become vested as of the vesting date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xml:space="preserve">”), subject to the continued employment or service of the Participant by the Company or any Subsidiary thereof through the Vesting Date, and to the achievement of the Performance Goals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Performance Period as determined by the Administrator pursuant to Section 3(a). Restricted Stock Units that do not vest in accordance with this Section 2 shall be forfeited.</w:t>
      </w:r>
    </w:p>
    <w:p>
      <w:pPr>
        <w:spacing w:after="0" w:line="122" w:lineRule="exact"/>
        <w:rPr>
          <w:rFonts w:ascii="Arial" w:cs="Arial" w:eastAsia="Arial" w:hAnsi="Arial"/>
          <w:sz w:val="16"/>
          <w:szCs w:val="16"/>
          <w:color w:val="auto"/>
        </w:rPr>
      </w:pPr>
    </w:p>
    <w:p>
      <w:pPr>
        <w:ind w:left="980" w:hanging="506"/>
        <w:spacing w:after="0"/>
        <w:tabs>
          <w:tab w:leader="none" w:pos="98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40" w:firstLine="1023"/>
        <w:spacing w:after="0" w:line="214" w:lineRule="auto"/>
        <w:tabs>
          <w:tab w:leader="none" w:pos="1486"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123" w:lineRule="exact"/>
        <w:rPr>
          <w:rFonts w:ascii="Arial" w:cs="Arial" w:eastAsia="Arial" w:hAnsi="Arial"/>
          <w:sz w:val="16"/>
          <w:szCs w:val="16"/>
          <w:color w:val="auto"/>
        </w:rPr>
      </w:pPr>
    </w:p>
    <w:p>
      <w:pPr>
        <w:ind w:left="-40" w:right="20" w:firstLine="1023"/>
        <w:spacing w:after="0" w:line="233" w:lineRule="auto"/>
        <w:tabs>
          <w:tab w:leader="none" w:pos="1487"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Disability</w:t>
      </w:r>
      <w:r>
        <w:rPr>
          <w:rFonts w:ascii="Arial" w:cs="Arial" w:eastAsia="Arial" w:hAnsi="Arial"/>
          <w:sz w:val="14"/>
          <w:szCs w:val="14"/>
          <w:color w:val="auto"/>
        </w:rPr>
        <w:t xml:space="preserve">. If a Participant’s employment or service terminates prior to the Vesting Date by reason of the Participant’s Disability, then, the Participant’s unvested Restricted Stock Units shall vest as of the Vesting Date in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amount of the Restricted Stock Units that would have been earned and vested in accordance with Section 2(a)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amount. Vested Restricted Stock Units shall be settled as set forth in Section 3.</w:t>
      </w:r>
    </w:p>
    <w:p>
      <w:pPr>
        <w:spacing w:after="0" w:line="123" w:lineRule="exact"/>
        <w:rPr>
          <w:rFonts w:ascii="Arial" w:cs="Arial" w:eastAsia="Arial" w:hAnsi="Arial"/>
          <w:sz w:val="14"/>
          <w:szCs w:val="14"/>
          <w:color w:val="auto"/>
        </w:rPr>
      </w:pPr>
    </w:p>
    <w:p>
      <w:pPr>
        <w:ind w:left="-40" w:firstLine="1023"/>
        <w:spacing w:after="0" w:line="233" w:lineRule="auto"/>
        <w:tabs>
          <w:tab w:leader="none" w:pos="1488" w:val="left"/>
        </w:tabs>
        <w:numPr>
          <w:ilvl w:val="1"/>
          <w:numId w:val="101"/>
        </w:numPr>
        <w:rPr>
          <w:rFonts w:ascii="Arial" w:cs="Arial" w:eastAsia="Arial" w:hAnsi="Arial"/>
          <w:sz w:val="14"/>
          <w:szCs w:val="14"/>
          <w:color w:val="auto"/>
        </w:rPr>
      </w:pPr>
      <w:r>
        <w:rPr>
          <w:rFonts w:ascii="Arial" w:cs="Arial" w:eastAsia="Arial" w:hAnsi="Arial"/>
          <w:sz w:val="14"/>
          <w:szCs w:val="14"/>
          <w:u w:val="single" w:color="auto"/>
          <w:color w:val="auto"/>
        </w:rPr>
        <w:t>Termination by Reason of Retirement</w:t>
      </w:r>
      <w:r>
        <w:rPr>
          <w:rFonts w:ascii="Arial" w:cs="Arial" w:eastAsia="Arial" w:hAnsi="Arial"/>
          <w:sz w:val="14"/>
          <w:szCs w:val="14"/>
          <w:color w:val="auto"/>
        </w:rPr>
        <w:t>. (</w:t>
      </w:r>
      <w:r>
        <w:rPr>
          <w:rFonts w:ascii="Arial" w:cs="Arial" w:eastAsia="Arial" w:hAnsi="Arial"/>
          <w:sz w:val="14"/>
          <w:szCs w:val="14"/>
          <w:u w:val="single" w:color="auto"/>
          <w:color w:val="auto"/>
        </w:rPr>
        <w:t>A</w:t>
      </w:r>
      <w:r>
        <w:rPr>
          <w:rFonts w:ascii="Arial" w:cs="Arial" w:eastAsia="Arial" w:hAnsi="Arial"/>
          <w:sz w:val="14"/>
          <w:szCs w:val="14"/>
          <w:color w:val="auto"/>
        </w:rPr>
        <w:t>) If a Participant’s employment or service terminates prior to the Vesting Date by reason of a Participant’s Qualifying Permanent Retirement (as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4"/>
          <w:szCs w:val="14"/>
          <w:u w:val="single" w:color="auto"/>
          <w:color w:val="auto"/>
        </w:rPr>
        <w:t>B</w:t>
      </w:r>
      <w:r>
        <w:rPr>
          <w:rFonts w:ascii="Arial" w:cs="Arial" w:eastAsia="Arial" w:hAnsi="Arial"/>
          <w:sz w:val="14"/>
          <w:szCs w:val="14"/>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w:t>
      </w:r>
    </w:p>
    <w:p>
      <w:pPr>
        <w:sectPr>
          <w:pgSz w:w="11900" w:h="16838" w:orient="portrait"/>
          <w:cols w:equalWidth="0" w:num="1">
            <w:col w:w="11220"/>
          </w:cols>
          <w:pgMar w:left="340" w:top="1298" w:right="339" w:bottom="1440" w:gutter="0" w:footer="0" w:header="0"/>
        </w:sectPr>
      </w:pPr>
    </w:p>
    <w:bookmarkStart w:id="169" w:name="page170"/>
    <w:bookmarkEnd w:id="169"/>
    <w:p>
      <w:pPr>
        <w:spacing w:after="0" w:line="233" w:lineRule="auto"/>
        <w:rPr>
          <w:sz w:val="20"/>
          <w:szCs w:val="20"/>
          <w:color w:val="auto"/>
        </w:rPr>
      </w:pPr>
      <w:r>
        <w:rPr>
          <w:rFonts w:ascii="Arial" w:cs="Arial" w:eastAsia="Arial" w:hAnsi="Arial"/>
          <w:sz w:val="14"/>
          <w:szCs w:val="14"/>
          <w:color w:val="auto"/>
        </w:rPr>
        <w:t>termination date; and (</w:t>
      </w:r>
      <w:r>
        <w:rPr>
          <w:rFonts w:ascii="Arial" w:cs="Arial" w:eastAsia="Arial" w:hAnsi="Arial"/>
          <w:sz w:val="14"/>
          <w:szCs w:val="14"/>
          <w:u w:val="single" w:color="auto"/>
          <w:color w:val="auto"/>
        </w:rPr>
        <w:t>C</w:t>
      </w:r>
      <w:r>
        <w:rPr>
          <w:rFonts w:ascii="Arial" w:cs="Arial" w:eastAsia="Arial" w:hAnsi="Arial"/>
          <w:sz w:val="14"/>
          <w:szCs w:val="14"/>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4"/>
          <w:szCs w:val="14"/>
          <w:u w:val="single" w:color="auto"/>
          <w:color w:val="auto"/>
        </w:rPr>
        <w:t>Qualifying Permanent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Retirement</w:t>
      </w:r>
      <w:r>
        <w:rPr>
          <w:rFonts w:ascii="Arial" w:cs="Arial" w:eastAsia="Arial" w:hAnsi="Arial"/>
          <w:sz w:val="14"/>
          <w:szCs w:val="14"/>
          <w:color w:val="auto"/>
        </w:rPr>
        <w:t>” means a termination of the Participant’s employment or service by reason of a retirement (</w:t>
      </w:r>
      <w:r>
        <w:rPr>
          <w:rFonts w:ascii="Arial" w:cs="Arial" w:eastAsia="Arial" w:hAnsi="Arial"/>
          <w:sz w:val="14"/>
          <w:szCs w:val="14"/>
          <w:u w:val="single" w:color="auto"/>
          <w:color w:val="auto"/>
        </w:rPr>
        <w:t>I</w:t>
      </w:r>
      <w:r>
        <w:rPr>
          <w:rFonts w:ascii="Arial" w:cs="Arial" w:eastAsia="Arial" w:hAnsi="Arial"/>
          <w:sz w:val="14"/>
          <w:szCs w:val="14"/>
          <w:color w:val="auto"/>
        </w:rPr>
        <w:t>) in accordance with the applicable Company retirement policy (as may be amended from time to time) and (</w:t>
      </w:r>
      <w:r>
        <w:rPr>
          <w:rFonts w:ascii="Arial" w:cs="Arial" w:eastAsia="Arial" w:hAnsi="Arial"/>
          <w:sz w:val="14"/>
          <w:szCs w:val="14"/>
          <w:u w:val="single" w:color="auto"/>
          <w:color w:val="auto"/>
        </w:rPr>
        <w:t>II</w:t>
      </w:r>
      <w:r>
        <w:rPr>
          <w:rFonts w:ascii="Arial" w:cs="Arial" w:eastAsia="Arial" w:hAnsi="Arial"/>
          <w:sz w:val="14"/>
          <w:szCs w:val="14"/>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123" w:lineRule="exact"/>
        <w:rPr>
          <w:sz w:val="20"/>
          <w:szCs w:val="20"/>
          <w:color w:val="auto"/>
        </w:rPr>
      </w:pPr>
    </w:p>
    <w:p>
      <w:pPr>
        <w:ind w:right="20" w:firstLine="1023"/>
        <w:spacing w:after="0" w:line="206" w:lineRule="auto"/>
        <w:tabs>
          <w:tab w:leader="none" w:pos="1519"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122" w:lineRule="exact"/>
        <w:rPr>
          <w:rFonts w:ascii="Arial" w:cs="Arial" w:eastAsia="Arial" w:hAnsi="Arial"/>
          <w:sz w:val="16"/>
          <w:szCs w:val="16"/>
          <w:color w:val="auto"/>
        </w:rPr>
      </w:pPr>
    </w:p>
    <w:p>
      <w:pPr>
        <w:ind w:right="600" w:firstLine="1023"/>
        <w:spacing w:after="0" w:line="225" w:lineRule="auto"/>
        <w:tabs>
          <w:tab w:leader="none" w:pos="1518"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Termination for Any Other Reason</w:t>
      </w:r>
      <w:r>
        <w:rPr>
          <w:rFonts w:ascii="Arial" w:cs="Arial" w:eastAsia="Arial" w:hAnsi="Arial"/>
          <w:sz w:val="16"/>
          <w:szCs w:val="16"/>
          <w:color w:val="auto"/>
        </w:rPr>
        <w:t>. If a Participant’s employment terminates for any reason other than death, Disability, in a Qualifying Permanent Retirement or by the Company for Cause, all unvested Restricted Stock Units shall immediately be forfeited.</w:t>
      </w:r>
    </w:p>
    <w:p>
      <w:pPr>
        <w:spacing w:after="0" w:line="121" w:lineRule="exact"/>
        <w:rPr>
          <w:rFonts w:ascii="Arial" w:cs="Arial" w:eastAsia="Arial" w:hAnsi="Arial"/>
          <w:sz w:val="16"/>
          <w:szCs w:val="16"/>
          <w:color w:val="auto"/>
        </w:rPr>
      </w:pPr>
    </w:p>
    <w:p>
      <w:pPr>
        <w:ind w:right="40" w:firstLine="514"/>
        <w:spacing w:after="0"/>
        <w:tabs>
          <w:tab w:leader="none" w:pos="1011"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Change in Control</w:t>
      </w:r>
      <w:r>
        <w:rPr>
          <w:rFonts w:ascii="Arial" w:cs="Arial" w:eastAsia="Arial" w:hAnsi="Arial"/>
          <w:sz w:val="14"/>
          <w:szCs w:val="14"/>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4"/>
          <w:szCs w:val="14"/>
          <w:u w:val="single" w:color="auto"/>
          <w:color w:val="auto"/>
        </w:rPr>
        <w:t>provided, that</w:t>
      </w:r>
      <w:r>
        <w:rPr>
          <w:rFonts w:ascii="Arial" w:cs="Arial" w:eastAsia="Arial" w:hAnsi="Arial"/>
          <w:sz w:val="14"/>
          <w:szCs w:val="14"/>
          <w:color w:val="auto"/>
        </w:rPr>
        <w:t>, if the Participant’s employment or service is terminated by the Company without Cause or for Good Reason (each, a “</w:t>
      </w:r>
      <w:r>
        <w:rPr>
          <w:rFonts w:ascii="Arial" w:cs="Arial" w:eastAsia="Arial" w:hAnsi="Arial"/>
          <w:sz w:val="14"/>
          <w:szCs w:val="14"/>
          <w:u w:val="single" w:color="auto"/>
          <w:color w:val="auto"/>
        </w:rPr>
        <w:t>Qualifying CIC Termination</w:t>
      </w:r>
      <w:r>
        <w:rPr>
          <w:rFonts w:ascii="Arial" w:cs="Arial" w:eastAsia="Arial" w:hAnsi="Arial"/>
          <w:sz w:val="14"/>
          <w:szCs w:val="14"/>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4"/>
          <w:szCs w:val="14"/>
          <w:u w:val="single" w:color="auto"/>
          <w:color w:val="auto"/>
        </w:rPr>
        <w:t>Good Reason</w:t>
      </w:r>
      <w:r>
        <w:rPr>
          <w:rFonts w:ascii="Arial" w:cs="Arial" w:eastAsia="Arial" w:hAnsi="Arial"/>
          <w:sz w:val="14"/>
          <w:szCs w:val="14"/>
          <w:color w:val="auto"/>
        </w:rPr>
        <w:t>” means (</w:t>
      </w:r>
      <w:r>
        <w:rPr>
          <w:rFonts w:ascii="Arial" w:cs="Arial" w:eastAsia="Arial" w:hAnsi="Arial"/>
          <w:sz w:val="14"/>
          <w:szCs w:val="14"/>
          <w:u w:val="single" w:color="auto"/>
          <w:color w:val="auto"/>
        </w:rPr>
        <w:t>i</w:t>
      </w:r>
      <w:r>
        <w:rPr>
          <w:rFonts w:ascii="Arial" w:cs="Arial" w:eastAsia="Arial" w:hAnsi="Arial"/>
          <w:sz w:val="14"/>
          <w:szCs w:val="14"/>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4"/>
          <w:szCs w:val="14"/>
          <w:u w:val="single" w:color="auto"/>
          <w:color w:val="auto"/>
        </w:rPr>
        <w:t>ii</w:t>
      </w:r>
      <w:r>
        <w:rPr>
          <w:rFonts w:ascii="Arial" w:cs="Arial" w:eastAsia="Arial" w:hAnsi="Arial"/>
          <w:sz w:val="14"/>
          <w:szCs w:val="14"/>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4"/>
          <w:szCs w:val="14"/>
          <w:u w:val="single" w:color="auto"/>
          <w:color w:val="auto"/>
        </w:rPr>
        <w:t>A</w:t>
      </w:r>
      <w:r>
        <w:rPr>
          <w:rFonts w:ascii="Arial" w:cs="Arial" w:eastAsia="Arial" w:hAnsi="Arial"/>
          <w:sz w:val="14"/>
          <w:szCs w:val="14"/>
          <w:color w:val="auto"/>
        </w:rPr>
        <w:t>) any material, adverse change in the Participant’s duties, responsibilities or authority; (</w:t>
      </w:r>
      <w:r>
        <w:rPr>
          <w:rFonts w:ascii="Arial" w:cs="Arial" w:eastAsia="Arial" w:hAnsi="Arial"/>
          <w:sz w:val="14"/>
          <w:szCs w:val="14"/>
          <w:u w:val="single" w:color="auto"/>
          <w:color w:val="auto"/>
        </w:rPr>
        <w:t>B</w:t>
      </w:r>
      <w:r>
        <w:rPr>
          <w:rFonts w:ascii="Arial" w:cs="Arial" w:eastAsia="Arial" w:hAnsi="Arial"/>
          <w:sz w:val="14"/>
          <w:szCs w:val="14"/>
          <w:color w:val="auto"/>
        </w:rPr>
        <w:t>) a material reduction in the Participant’s base salary or bonus opportunity; or (</w:t>
      </w:r>
      <w:r>
        <w:rPr>
          <w:rFonts w:ascii="Arial" w:cs="Arial" w:eastAsia="Arial" w:hAnsi="Arial"/>
          <w:sz w:val="14"/>
          <w:szCs w:val="14"/>
          <w:u w:val="single" w:color="auto"/>
          <w:color w:val="auto"/>
        </w:rPr>
        <w:t>C</w:t>
      </w:r>
      <w:r>
        <w:rPr>
          <w:rFonts w:ascii="Arial" w:cs="Arial" w:eastAsia="Arial" w:hAnsi="Arial"/>
          <w:sz w:val="14"/>
          <w:szCs w:val="14"/>
          <w:color w:val="auto"/>
        </w:rPr>
        <w:t>) a geographical relocation of the Participant’s principal office location by more than fifty (50) miles (other than a temporary geographical relocation for business reasons).</w:t>
      </w:r>
    </w:p>
    <w:p>
      <w:pPr>
        <w:spacing w:after="0" w:line="181" w:lineRule="exact"/>
        <w:rPr>
          <w:rFonts w:ascii="Arial" w:cs="Arial" w:eastAsia="Arial" w:hAnsi="Arial"/>
          <w:sz w:val="14"/>
          <w:szCs w:val="14"/>
          <w:color w:val="auto"/>
        </w:rPr>
      </w:pPr>
    </w:p>
    <w:p>
      <w:pPr>
        <w:ind w:right="140" w:firstLine="514"/>
        <w:spacing w:after="0" w:line="239" w:lineRule="auto"/>
        <w:tabs>
          <w:tab w:leader="none" w:pos="1009"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Other Forfeiture Provisions</w:t>
      </w:r>
      <w:r>
        <w:rPr>
          <w:rFonts w:ascii="Arial" w:cs="Arial" w:eastAsia="Arial" w:hAnsi="Arial"/>
          <w:sz w:val="14"/>
          <w:szCs w:val="14"/>
          <w:color w:val="auto"/>
        </w:rPr>
        <w:t>. The Restricted Stock Units shall also be forfeited and subject to disgorgement and/or repayment to the Company in the event the Participant (</w:t>
      </w:r>
      <w:r>
        <w:rPr>
          <w:rFonts w:ascii="Arial" w:cs="Arial" w:eastAsia="Arial" w:hAnsi="Arial"/>
          <w:sz w:val="14"/>
          <w:szCs w:val="14"/>
          <w:u w:val="single" w:color="auto"/>
          <w:color w:val="auto"/>
        </w:rPr>
        <w:t>i</w:t>
      </w:r>
      <w:r>
        <w:rPr>
          <w:rFonts w:ascii="Arial" w:cs="Arial" w:eastAsia="Arial" w:hAnsi="Arial"/>
          <w:sz w:val="14"/>
          <w:szCs w:val="14"/>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4"/>
          <w:szCs w:val="14"/>
          <w:u w:val="single" w:color="auto"/>
          <w:color w:val="auto"/>
        </w:rPr>
        <w:t>ii</w:t>
      </w:r>
      <w:r>
        <w:rPr>
          <w:rFonts w:ascii="Arial" w:cs="Arial" w:eastAsia="Arial" w:hAnsi="Arial"/>
          <w:sz w:val="14"/>
          <w:szCs w:val="14"/>
          <w:color w:val="auto"/>
        </w:rPr>
        <w:t>) materially violates any restrictive covenant agreement (or any other agreement containing restrictive covenants) that the Participant has entered into with the Company.</w:t>
      </w:r>
    </w:p>
    <w:p>
      <w:pPr>
        <w:spacing w:after="0" w:line="122" w:lineRule="exact"/>
        <w:rPr>
          <w:rFonts w:ascii="Arial" w:cs="Arial" w:eastAsia="Arial" w:hAnsi="Arial"/>
          <w:sz w:val="14"/>
          <w:szCs w:val="14"/>
          <w:color w:val="auto"/>
        </w:rPr>
      </w:pPr>
    </w:p>
    <w:p>
      <w:pPr>
        <w:ind w:right="260" w:firstLine="514"/>
        <w:spacing w:after="0" w:line="214" w:lineRule="auto"/>
        <w:tabs>
          <w:tab w:leader="none" w:pos="1011"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16"/>
          <w:szCs w:val="16"/>
          <w:u w:val="single" w:color="auto"/>
          <w:color w:val="auto"/>
        </w:rPr>
        <w:t>provided, however</w:t>
      </w:r>
      <w:r>
        <w:rPr>
          <w:rFonts w:ascii="Arial" w:cs="Arial" w:eastAsia="Arial" w:hAnsi="Arial"/>
          <w:sz w:val="16"/>
          <w:szCs w:val="16"/>
          <w:color w:val="auto"/>
        </w:rPr>
        <w:t>,</w:t>
      </w:r>
    </w:p>
    <w:p>
      <w:pPr>
        <w:sectPr>
          <w:pgSz w:w="11900" w:h="16838" w:orient="portrait"/>
          <w:cols w:equalWidth="0" w:num="1">
            <w:col w:w="11280"/>
          </w:cols>
          <w:pgMar w:left="300" w:top="1305" w:right="31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that such waiver or acceleration of vesting shall not change the settlement date of the Restricted Stock Units provided in Section 3 of this Agreement.</w:t>
      </w:r>
    </w:p>
    <w:p>
      <w:pPr>
        <w:spacing w:after="0" w:line="134" w:lineRule="exact"/>
        <w:rPr>
          <w:sz w:val="20"/>
          <w:szCs w:val="20"/>
          <w:color w:val="auto"/>
        </w:rPr>
      </w:pPr>
    </w:p>
    <w:p>
      <w:pPr>
        <w:ind w:right="160" w:firstLine="514"/>
        <w:spacing w:after="0" w:line="231" w:lineRule="auto"/>
        <w:tabs>
          <w:tab w:leader="none" w:pos="1015"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Post-Termination Informational Requirements</w:t>
      </w:r>
      <w:r>
        <w:rPr>
          <w:rFonts w:ascii="Arial" w:cs="Arial" w:eastAsia="Arial" w:hAnsi="Arial"/>
          <w:sz w:val="14"/>
          <w:szCs w:val="14"/>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2(b)(iv) or 2(d) apply. Such representations and documents may include tax returns and all other relevant information and 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4"/>
          <w:szCs w:val="14"/>
          <w:u w:val="single" w:color="auto"/>
          <w:color w:val="auto"/>
        </w:rPr>
        <w:t>i</w:t>
      </w:r>
      <w:r>
        <w:rPr>
          <w:rFonts w:ascii="Arial" w:cs="Arial" w:eastAsia="Arial" w:hAnsi="Arial"/>
          <w:sz w:val="14"/>
          <w:szCs w:val="14"/>
          <w:color w:val="auto"/>
        </w:rPr>
        <w:t>) ninety (90) calendar days after the issue of a request from the Company for such information and (</w:t>
      </w:r>
      <w:r>
        <w:rPr>
          <w:rFonts w:ascii="Arial" w:cs="Arial" w:eastAsia="Arial" w:hAnsi="Arial"/>
          <w:sz w:val="14"/>
          <w:szCs w:val="14"/>
          <w:u w:val="single" w:color="auto"/>
          <w:color w:val="auto"/>
        </w:rPr>
        <w:t>ii</w:t>
      </w:r>
      <w:r>
        <w:rPr>
          <w:rFonts w:ascii="Arial" w:cs="Arial" w:eastAsia="Arial" w:hAnsi="Arial"/>
          <w:sz w:val="14"/>
          <w:szCs w:val="14"/>
          <w:color w:val="auto"/>
        </w:rPr>
        <w:t>) December 31 of the calendar year in which the Vesting Date occurs.</w:t>
      </w:r>
    </w:p>
    <w:p>
      <w:pPr>
        <w:spacing w:after="0" w:line="125" w:lineRule="exact"/>
        <w:rPr>
          <w:sz w:val="20"/>
          <w:szCs w:val="20"/>
          <w:color w:val="auto"/>
        </w:rPr>
      </w:pPr>
    </w:p>
    <w:p>
      <w:pPr>
        <w:ind w:left="1020" w:hanging="506"/>
        <w:spacing w:after="0"/>
        <w:tabs>
          <w:tab w:leader="none" w:pos="10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Administrator Certification; Settlement of Restricted Stock Units</w:t>
      </w:r>
      <w:r>
        <w:rPr>
          <w:rFonts w:ascii="Arial" w:cs="Arial" w:eastAsia="Arial" w:hAnsi="Arial"/>
          <w:sz w:val="16"/>
          <w:szCs w:val="16"/>
          <w:color w:val="auto"/>
        </w:rPr>
        <w:t>.</w:t>
      </w:r>
    </w:p>
    <w:p>
      <w:pPr>
        <w:spacing w:after="0" w:line="134" w:lineRule="exact"/>
        <w:rPr>
          <w:sz w:val="20"/>
          <w:szCs w:val="20"/>
          <w:color w:val="auto"/>
        </w:rPr>
      </w:pPr>
    </w:p>
    <w:p>
      <w:pPr>
        <w:ind w:right="80" w:firstLine="514"/>
        <w:spacing w:after="0" w:line="206" w:lineRule="auto"/>
        <w:tabs>
          <w:tab w:leader="none" w:pos="101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Certification</w:t>
      </w:r>
      <w:r>
        <w:rPr>
          <w:rFonts w:ascii="Arial" w:cs="Arial" w:eastAsia="Arial" w:hAnsi="Arial"/>
          <w:sz w:val="16"/>
          <w:szCs w:val="16"/>
          <w:color w:val="auto"/>
        </w:rPr>
        <w:t>. As soon as practicable following completion of the Performance Period, the Administrator will review and determine (</w:t>
      </w:r>
      <w:r>
        <w:rPr>
          <w:rFonts w:ascii="Arial" w:cs="Arial" w:eastAsia="Arial" w:hAnsi="Arial"/>
          <w:sz w:val="16"/>
          <w:szCs w:val="16"/>
          <w:u w:val="single" w:color="auto"/>
          <w:color w:val="auto"/>
        </w:rPr>
        <w:t>i</w:t>
      </w:r>
      <w:r>
        <w:rPr>
          <w:rFonts w:ascii="Arial" w:cs="Arial" w:eastAsia="Arial" w:hAnsi="Arial"/>
          <w:sz w:val="16"/>
          <w:szCs w:val="16"/>
          <w:color w:val="auto"/>
        </w:rPr>
        <w:t>) whether, and to what extent, the Performance Goals for the Performance Period have been achieved, in whole or in part, and (</w:t>
      </w:r>
      <w:r>
        <w:rPr>
          <w:rFonts w:ascii="Arial" w:cs="Arial" w:eastAsia="Arial" w:hAnsi="Arial"/>
          <w:sz w:val="16"/>
          <w:szCs w:val="16"/>
          <w:u w:val="single" w:color="auto"/>
          <w:color w:val="auto"/>
        </w:rPr>
        <w:t>ii</w:t>
      </w:r>
      <w:r>
        <w:rPr>
          <w:rFonts w:ascii="Arial" w:cs="Arial" w:eastAsia="Arial" w:hAnsi="Arial"/>
          <w:sz w:val="16"/>
          <w:szCs w:val="16"/>
          <w:color w:val="auto"/>
        </w:rPr>
        <w:t>) the number of Restricted Stock Units that the Participant shall earn, if any, subject to compliance with the requirements of Section 2 (the “</w:t>
      </w:r>
      <w:r>
        <w:rPr>
          <w:rFonts w:ascii="Arial" w:cs="Arial" w:eastAsia="Arial" w:hAnsi="Arial"/>
          <w:sz w:val="16"/>
          <w:szCs w:val="16"/>
          <w:u w:val="single" w:color="auto"/>
          <w:color w:val="auto"/>
        </w:rPr>
        <w:t>Administrator Certification</w:t>
      </w:r>
      <w:r>
        <w:rPr>
          <w:rFonts w:ascii="Arial" w:cs="Arial" w:eastAsia="Arial" w:hAnsi="Arial"/>
          <w:sz w:val="16"/>
          <w:szCs w:val="16"/>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122" w:lineRule="exact"/>
        <w:rPr>
          <w:rFonts w:ascii="Arial" w:cs="Arial" w:eastAsia="Arial" w:hAnsi="Arial"/>
          <w:sz w:val="16"/>
          <w:szCs w:val="16"/>
          <w:color w:val="auto"/>
        </w:rPr>
      </w:pPr>
    </w:p>
    <w:p>
      <w:pPr>
        <w:ind w:right="20" w:firstLine="514"/>
        <w:spacing w:after="0"/>
        <w:tabs>
          <w:tab w:leader="none" w:pos="1009"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Settlement of Restricted Stock Units</w:t>
      </w:r>
      <w:r>
        <w:rPr>
          <w:rFonts w:ascii="Arial" w:cs="Arial" w:eastAsia="Arial" w:hAnsi="Arial"/>
          <w:sz w:val="14"/>
          <w:szCs w:val="14"/>
          <w:color w:val="auto"/>
        </w:rPr>
        <w:t>. Subject to Sections 8(d), 2(f) and 3(a), the Company shall deliver to the Participant one (1) share of Company Common Stock (or the value thereof) in settlement of each Restricted Stock Unit that has become earned and vested as provided in Section 2 on the first to occur of the following: (</w:t>
      </w:r>
      <w:r>
        <w:rPr>
          <w:rFonts w:ascii="Arial" w:cs="Arial" w:eastAsia="Arial" w:hAnsi="Arial"/>
          <w:sz w:val="14"/>
          <w:szCs w:val="14"/>
          <w:u w:val="single" w:color="auto"/>
          <w:color w:val="auto"/>
        </w:rPr>
        <w:t>i</w:t>
      </w:r>
      <w:r>
        <w:rPr>
          <w:rFonts w:ascii="Arial" w:cs="Arial" w:eastAsia="Arial" w:hAnsi="Arial"/>
          <w:sz w:val="14"/>
          <w:szCs w:val="14"/>
          <w:color w:val="auto"/>
        </w:rPr>
        <w:t>) on or as soon as practicable following the date of the Administrator Certification (but in no event later than 2½ months after the Vesting Date); (</w:t>
      </w:r>
      <w:r>
        <w:rPr>
          <w:rFonts w:ascii="Arial" w:cs="Arial" w:eastAsia="Arial" w:hAnsi="Arial"/>
          <w:sz w:val="14"/>
          <w:szCs w:val="14"/>
          <w:u w:val="single" w:color="auto"/>
          <w:color w:val="auto"/>
        </w:rPr>
        <w:t>ii</w:t>
      </w:r>
      <w:r>
        <w:rPr>
          <w:rFonts w:ascii="Arial" w:cs="Arial" w:eastAsia="Arial" w:hAnsi="Arial"/>
          <w:sz w:val="14"/>
          <w:szCs w:val="14"/>
          <w:color w:val="auto"/>
        </w:rPr>
        <w:t>) in the event of a termination of employment or service due to death, as soon as practicable following the Participant’s termination of employment or service by reason of death; (</w:t>
      </w:r>
      <w:r>
        <w:rPr>
          <w:rFonts w:ascii="Arial" w:cs="Arial" w:eastAsia="Arial" w:hAnsi="Arial"/>
          <w:sz w:val="14"/>
          <w:szCs w:val="14"/>
          <w:u w:val="single" w:color="auto"/>
          <w:color w:val="auto"/>
        </w:rPr>
        <w:t>iii</w:t>
      </w:r>
      <w:r>
        <w:rPr>
          <w:rFonts w:ascii="Arial" w:cs="Arial" w:eastAsia="Arial" w:hAnsi="Arial"/>
          <w:sz w:val="14"/>
          <w:szCs w:val="14"/>
          <w:color w:val="auto"/>
        </w:rPr>
        <w:t>) in the event of a Qualifying CIC Termination, within thirty (30) days following the effective date of the Participant’s Qualifying CIC Termination, in each case (</w:t>
      </w:r>
      <w:r>
        <w:rPr>
          <w:rFonts w:ascii="Arial" w:cs="Arial" w:eastAsia="Arial" w:hAnsi="Arial"/>
          <w:sz w:val="14"/>
          <w:szCs w:val="14"/>
          <w:u w:val="single" w:color="auto"/>
          <w:color w:val="auto"/>
        </w:rPr>
        <w:t>A</w:t>
      </w:r>
      <w:r>
        <w:rPr>
          <w:rFonts w:ascii="Arial" w:cs="Arial" w:eastAsia="Arial" w:hAnsi="Arial"/>
          <w:sz w:val="14"/>
          <w:szCs w:val="14"/>
          <w:color w:val="auto"/>
        </w:rPr>
        <w:t>) in Company Common Stock by either, (</w:t>
      </w:r>
      <w:r>
        <w:rPr>
          <w:rFonts w:ascii="Arial" w:cs="Arial" w:eastAsia="Arial" w:hAnsi="Arial"/>
          <w:sz w:val="14"/>
          <w:szCs w:val="14"/>
          <w:u w:val="single" w:color="auto"/>
          <w:color w:val="auto"/>
        </w:rPr>
        <w:t>x</w:t>
      </w:r>
      <w:r>
        <w:rPr>
          <w:rFonts w:ascii="Arial" w:cs="Arial" w:eastAsia="Arial" w:hAnsi="Arial"/>
          <w:sz w:val="14"/>
          <w:szCs w:val="14"/>
          <w:color w:val="auto"/>
        </w:rPr>
        <w:t>) issuing one or more certificates evidencing the Company Common Stock to the Participant or (</w:t>
      </w:r>
      <w:r>
        <w:rPr>
          <w:rFonts w:ascii="Arial" w:cs="Arial" w:eastAsia="Arial" w:hAnsi="Arial"/>
          <w:sz w:val="14"/>
          <w:szCs w:val="14"/>
          <w:u w:val="single" w:color="auto"/>
          <w:color w:val="auto"/>
        </w:rPr>
        <w:t>y</w:t>
      </w:r>
      <w:r>
        <w:rPr>
          <w:rFonts w:ascii="Arial" w:cs="Arial" w:eastAsia="Arial" w:hAnsi="Arial"/>
          <w:sz w:val="14"/>
          <w:szCs w:val="14"/>
          <w:color w:val="auto"/>
        </w:rPr>
        <w:t>) registering the issuance of the Company Common Stock in the name of the Participant through a book entry credit in the records of the Company’s transfer agent,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the Participant may not vest in more than the maximum number of Restricted Stock Units specified in the Grant Notice.</w:t>
      </w:r>
    </w:p>
    <w:p>
      <w:pPr>
        <w:spacing w:after="0" w:line="20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18" w:lineRule="exact"/>
        <w:rPr>
          <w:sz w:val="20"/>
          <w:szCs w:val="20"/>
          <w:color w:val="auto"/>
        </w:rPr>
      </w:pPr>
    </w:p>
    <w:p>
      <w:pPr>
        <w:ind w:right="100" w:firstLine="514"/>
        <w:spacing w:after="0" w:line="206" w:lineRule="auto"/>
        <w:tabs>
          <w:tab w:leader="none" w:pos="101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ectPr>
          <w:pgSz w:w="11900" w:h="16838" w:orient="portrait"/>
          <w:cols w:equalWidth="0" w:num="1">
            <w:col w:w="11280"/>
          </w:cols>
          <w:pgMar w:left="300" w:top="1305" w:right="319" w:bottom="1440" w:gutter="0" w:footer="0" w:header="0"/>
        </w:sectPr>
      </w:pPr>
    </w:p>
    <w:bookmarkStart w:id="171" w:name="page172"/>
    <w:bookmarkEnd w:id="171"/>
    <w:p>
      <w:pPr>
        <w:ind w:left="1020" w:hanging="506"/>
        <w:spacing w:after="0"/>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Participant’s Rights with Respect to the Restricted Stock Units</w:t>
      </w:r>
      <w:r>
        <w:rPr>
          <w:rFonts w:ascii="Arial" w:cs="Arial" w:eastAsia="Arial" w:hAnsi="Arial"/>
          <w:sz w:val="16"/>
          <w:szCs w:val="16"/>
          <w:color w:val="auto"/>
        </w:rPr>
        <w:t>.</w:t>
      </w:r>
    </w:p>
    <w:p>
      <w:pPr>
        <w:spacing w:after="0" w:line="134" w:lineRule="exact"/>
        <w:rPr>
          <w:sz w:val="20"/>
          <w:szCs w:val="20"/>
          <w:color w:val="auto"/>
        </w:rPr>
      </w:pPr>
    </w:p>
    <w:p>
      <w:pPr>
        <w:ind w:right="40" w:firstLine="514"/>
        <w:spacing w:after="0" w:line="235" w:lineRule="auto"/>
        <w:tabs>
          <w:tab w:leader="none" w:pos="1011"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Restrictions on Transferability</w:t>
      </w:r>
      <w:r>
        <w:rPr>
          <w:rFonts w:ascii="Arial" w:cs="Arial" w:eastAsia="Arial" w:hAnsi="Arial"/>
          <w:sz w:val="14"/>
          <w:szCs w:val="14"/>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24" w:lineRule="exact"/>
        <w:rPr>
          <w:rFonts w:ascii="Arial" w:cs="Arial" w:eastAsia="Arial" w:hAnsi="Arial"/>
          <w:sz w:val="14"/>
          <w:szCs w:val="14"/>
          <w:color w:val="auto"/>
        </w:rPr>
      </w:pPr>
    </w:p>
    <w:p>
      <w:pPr>
        <w:ind w:right="120" w:firstLine="514"/>
        <w:spacing w:after="0" w:line="214" w:lineRule="auto"/>
        <w:tabs>
          <w:tab w:leader="none" w:pos="1009"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23" w:lineRule="exact"/>
        <w:rPr>
          <w:rFonts w:ascii="Arial" w:cs="Arial" w:eastAsia="Arial" w:hAnsi="Arial"/>
          <w:sz w:val="16"/>
          <w:szCs w:val="16"/>
          <w:color w:val="auto"/>
        </w:rPr>
      </w:pPr>
    </w:p>
    <w:p>
      <w:pPr>
        <w:ind w:right="60" w:firstLine="514"/>
        <w:spacing w:after="0" w:line="231" w:lineRule="auto"/>
        <w:tabs>
          <w:tab w:leader="none" w:pos="1011"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Dividend Equivalents</w:t>
      </w:r>
      <w:r>
        <w:rPr>
          <w:rFonts w:ascii="Arial" w:cs="Arial" w:eastAsia="Arial" w:hAnsi="Arial"/>
          <w:sz w:val="14"/>
          <w:szCs w:val="14"/>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14"/>
          <w:szCs w:val="14"/>
          <w:u w:val="single" w:color="auto"/>
          <w:color w:val="auto"/>
        </w:rPr>
        <w:t>i</w:t>
      </w:r>
      <w:r>
        <w:rPr>
          <w:rFonts w:ascii="Arial" w:cs="Arial" w:eastAsia="Arial" w:hAnsi="Arial"/>
          <w:sz w:val="14"/>
          <w:szCs w:val="14"/>
          <w:color w:val="auto"/>
        </w:rPr>
        <w:t>) the amount of the dividend declared and paid for each share of Company Common Stock, multiplied by (</w:t>
      </w:r>
      <w:r>
        <w:rPr>
          <w:rFonts w:ascii="Arial" w:cs="Arial" w:eastAsia="Arial" w:hAnsi="Arial"/>
          <w:sz w:val="14"/>
          <w:szCs w:val="14"/>
          <w:u w:val="single" w:color="auto"/>
          <w:color w:val="auto"/>
        </w:rPr>
        <w:t>ii</w:t>
      </w:r>
      <w:r>
        <w:rPr>
          <w:rFonts w:ascii="Arial" w:cs="Arial" w:eastAsia="Arial" w:hAnsi="Arial"/>
          <w:sz w:val="14"/>
          <w:szCs w:val="14"/>
          <w:color w:val="auto"/>
        </w:rPr>
        <w:t>) (</w:t>
      </w:r>
      <w:r>
        <w:rPr>
          <w:rFonts w:ascii="Arial" w:cs="Arial" w:eastAsia="Arial" w:hAnsi="Arial"/>
          <w:sz w:val="14"/>
          <w:szCs w:val="14"/>
          <w:u w:val="single" w:color="auto"/>
          <w:color w:val="auto"/>
        </w:rPr>
        <w:t>x</w:t>
      </w:r>
      <w:r>
        <w:rPr>
          <w:rFonts w:ascii="Arial" w:cs="Arial" w:eastAsia="Arial" w:hAnsi="Arial"/>
          <w:sz w:val="14"/>
          <w:szCs w:val="14"/>
          <w:color w:val="auto"/>
        </w:rPr>
        <w:t>) the number of Restricted Stock Units earned by the Participant as determined by the Administrator pursuant to Section 3(a) or (</w:t>
      </w:r>
      <w:r>
        <w:rPr>
          <w:rFonts w:ascii="Arial" w:cs="Arial" w:eastAsia="Arial" w:hAnsi="Arial"/>
          <w:sz w:val="14"/>
          <w:szCs w:val="14"/>
          <w:u w:val="single" w:color="auto"/>
          <w:color w:val="auto"/>
        </w:rPr>
        <w:t>y</w:t>
      </w:r>
      <w:r>
        <w:rPr>
          <w:rFonts w:ascii="Arial" w:cs="Arial" w:eastAsia="Arial" w:hAnsi="Arial"/>
          <w:sz w:val="14"/>
          <w:szCs w:val="14"/>
          <w:color w:val="auto"/>
        </w:rPr>
        <w:t>) in the case of a termination of employment or service by reason of Death or a Qualifying CIC Termination, the number of Restricted Stock Units equal to the Target Award. Dividend Equivalents shall be subject to the same forfeiture 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200" w:lineRule="exact"/>
        <w:rPr>
          <w:sz w:val="20"/>
          <w:szCs w:val="20"/>
          <w:color w:val="auto"/>
        </w:rPr>
      </w:pPr>
    </w:p>
    <w:p>
      <w:pPr>
        <w:spacing w:after="0" w:line="286" w:lineRule="exact"/>
        <w:rPr>
          <w:sz w:val="20"/>
          <w:szCs w:val="20"/>
          <w:color w:val="auto"/>
        </w:rPr>
      </w:pPr>
    </w:p>
    <w:p>
      <w:pPr>
        <w:ind w:left="1020" w:hanging="506"/>
        <w:spacing w:after="0"/>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Participant’s Representations, Warranties and Covenants</w:t>
      </w:r>
      <w:r>
        <w:rPr>
          <w:rFonts w:ascii="Arial" w:cs="Arial" w:eastAsia="Arial" w:hAnsi="Arial"/>
          <w:sz w:val="16"/>
          <w:szCs w:val="16"/>
          <w:color w:val="auto"/>
        </w:rPr>
        <w:t>.</w:t>
      </w:r>
    </w:p>
    <w:p>
      <w:pPr>
        <w:spacing w:after="0" w:line="134" w:lineRule="exact"/>
        <w:rPr>
          <w:sz w:val="20"/>
          <w:szCs w:val="20"/>
          <w:color w:val="auto"/>
        </w:rPr>
      </w:pPr>
    </w:p>
    <w:p>
      <w:pPr>
        <w:ind w:firstLine="514"/>
        <w:spacing w:after="0" w:line="204" w:lineRule="auto"/>
        <w:tabs>
          <w:tab w:leader="none" w:pos="101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No Conflicts; No Consents</w:t>
      </w:r>
      <w:r>
        <w:rPr>
          <w:rFonts w:ascii="Arial" w:cs="Arial" w:eastAsia="Arial" w:hAnsi="Arial"/>
          <w:sz w:val="16"/>
          <w:szCs w:val="16"/>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6"/>
          <w:szCs w:val="16"/>
          <w:u w:val="single" w:color="auto"/>
          <w:color w:val="auto"/>
        </w:rPr>
        <w:t>i</w:t>
      </w:r>
      <w:r>
        <w:rPr>
          <w:rFonts w:ascii="Arial" w:cs="Arial" w:eastAsia="Arial" w:hAnsi="Arial"/>
          <w:sz w:val="16"/>
          <w:szCs w:val="16"/>
          <w:color w:val="auto"/>
        </w:rPr>
        <w:t>) materially conflict with or result in a material violation or breach of any term or provision of any Law applicable to either the Participant or the Restricted Stock Units or (</w:t>
      </w:r>
      <w:r>
        <w:rPr>
          <w:rFonts w:ascii="Arial" w:cs="Arial" w:eastAsia="Arial" w:hAnsi="Arial"/>
          <w:sz w:val="16"/>
          <w:szCs w:val="16"/>
          <w:u w:val="single" w:color="auto"/>
          <w:color w:val="auto"/>
        </w:rPr>
        <w:t>ii</w:t>
      </w:r>
      <w:r>
        <w:rPr>
          <w:rFonts w:ascii="Arial" w:cs="Arial" w:eastAsia="Arial" w:hAnsi="Arial"/>
          <w:sz w:val="16"/>
          <w:szCs w:val="16"/>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22" w:lineRule="exact"/>
        <w:rPr>
          <w:rFonts w:ascii="Arial" w:cs="Arial" w:eastAsia="Arial" w:hAnsi="Arial"/>
          <w:sz w:val="16"/>
          <w:szCs w:val="16"/>
          <w:color w:val="auto"/>
        </w:rPr>
      </w:pPr>
    </w:p>
    <w:p>
      <w:pPr>
        <w:ind w:right="100" w:firstLine="514"/>
        <w:spacing w:after="0" w:line="247" w:lineRule="auto"/>
        <w:tabs>
          <w:tab w:leader="none" w:pos="1009"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Compliance with Rule 144</w:t>
      </w:r>
      <w:r>
        <w:rPr>
          <w:rFonts w:ascii="Arial" w:cs="Arial" w:eastAsia="Arial" w:hAnsi="Arial"/>
          <w:sz w:val="14"/>
          <w:szCs w:val="14"/>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117" w:lineRule="exact"/>
        <w:rPr>
          <w:rFonts w:ascii="Arial" w:cs="Arial" w:eastAsia="Arial" w:hAnsi="Arial"/>
          <w:sz w:val="14"/>
          <w:szCs w:val="14"/>
          <w:color w:val="auto"/>
        </w:rPr>
      </w:pPr>
    </w:p>
    <w:p>
      <w:pPr>
        <w:ind w:left="1020" w:hanging="506"/>
        <w:spacing w:after="0"/>
        <w:tabs>
          <w:tab w:leader="none" w:pos="1020"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Participant Status</w:t>
      </w:r>
      <w:r>
        <w:rPr>
          <w:rFonts w:ascii="Arial" w:cs="Arial" w:eastAsia="Arial" w:hAnsi="Arial"/>
          <w:sz w:val="14"/>
          <w:szCs w:val="14"/>
          <w:color w:val="auto"/>
        </w:rPr>
        <w:t>. The Participant represents and warrants that, as of the date hereof, the Participant is an officer, employee, director or Consultant of the Company</w:t>
      </w:r>
    </w:p>
    <w:p>
      <w:pPr>
        <w:spacing w:after="0"/>
        <w:rPr>
          <w:rFonts w:ascii="Arial" w:cs="Arial" w:eastAsia="Arial" w:hAnsi="Arial"/>
          <w:sz w:val="14"/>
          <w:szCs w:val="14"/>
          <w:color w:val="auto"/>
        </w:rPr>
      </w:pPr>
      <w:r>
        <w:rPr>
          <w:rFonts w:ascii="Arial" w:cs="Arial" w:eastAsia="Arial" w:hAnsi="Arial"/>
          <w:sz w:val="16"/>
          <w:szCs w:val="16"/>
          <w:color w:val="auto"/>
        </w:rPr>
        <w:t>or a Subsidiary.</w:t>
      </w:r>
    </w:p>
    <w:p>
      <w:pPr>
        <w:spacing w:after="0" w:line="122" w:lineRule="exact"/>
        <w:rPr>
          <w:sz w:val="20"/>
          <w:szCs w:val="20"/>
          <w:color w:val="auto"/>
        </w:rPr>
      </w:pPr>
    </w:p>
    <w:p>
      <w:pPr>
        <w:ind w:right="240" w:firstLine="514"/>
        <w:spacing w:after="0" w:line="247" w:lineRule="auto"/>
        <w:tabs>
          <w:tab w:leader="none" w:pos="1018" w:val="left"/>
        </w:tabs>
        <w:numPr>
          <w:ilvl w:val="0"/>
          <w:numId w:val="112"/>
        </w:numPr>
        <w:rPr>
          <w:rFonts w:ascii="Arial" w:cs="Arial" w:eastAsia="Arial" w:hAnsi="Arial"/>
          <w:sz w:val="14"/>
          <w:szCs w:val="14"/>
          <w:color w:val="auto"/>
        </w:rPr>
      </w:pPr>
      <w:r>
        <w:rPr>
          <w:rFonts w:ascii="Arial" w:cs="Arial" w:eastAsia="Arial" w:hAnsi="Arial"/>
          <w:sz w:val="14"/>
          <w:szCs w:val="14"/>
          <w:u w:val="single" w:color="auto"/>
          <w:color w:val="auto"/>
        </w:rPr>
        <w:t>Adjustment in Capitalization</w:t>
      </w:r>
      <w:r>
        <w:rPr>
          <w:rFonts w:ascii="Arial" w:cs="Arial" w:eastAsia="Arial" w:hAnsi="Arial"/>
          <w:sz w:val="14"/>
          <w:szCs w:val="14"/>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ectPr>
          <w:pgSz w:w="11900" w:h="16838" w:orient="portrait"/>
          <w:cols w:equalWidth="0" w:num="1">
            <w:col w:w="11260"/>
          </w:cols>
          <w:pgMar w:left="300" w:top="1304" w:right="339" w:bottom="1440" w:gutter="0" w:footer="0" w:header="0"/>
        </w:sectPr>
      </w:pPr>
    </w:p>
    <w:bookmarkStart w:id="172" w:name="page173"/>
    <w:bookmarkEnd w:id="172"/>
    <w:p>
      <w:pPr>
        <w:ind w:right="40" w:firstLine="514"/>
        <w:spacing w:after="0"/>
        <w:tabs>
          <w:tab w:leader="none" w:pos="1018"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4"/>
          <w:szCs w:val="14"/>
          <w:u w:val="single" w:color="auto"/>
          <w:color w:val="auto"/>
        </w:rPr>
        <w:t>Tax-Related Items</w:t>
      </w:r>
      <w:r>
        <w:rPr>
          <w:rFonts w:ascii="Arial" w:cs="Arial" w:eastAsia="Arial" w:hAnsi="Arial"/>
          <w:sz w:val="14"/>
          <w:szCs w:val="14"/>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206" w:lineRule="exact"/>
        <w:rPr>
          <w:sz w:val="20"/>
          <w:szCs w:val="20"/>
          <w:color w:val="auto"/>
        </w:rPr>
      </w:pPr>
    </w:p>
    <w:p>
      <w:pPr>
        <w:ind w:right="20" w:firstLine="509"/>
        <w:spacing w:after="0" w:line="233" w:lineRule="auto"/>
        <w:rPr>
          <w:sz w:val="20"/>
          <w:szCs w:val="20"/>
          <w:color w:val="auto"/>
        </w:rPr>
      </w:pPr>
      <w:r>
        <w:rPr>
          <w:rFonts w:ascii="Arial" w:cs="Arial" w:eastAsia="Arial" w:hAnsi="Arial"/>
          <w:sz w:val="14"/>
          <w:szCs w:val="14"/>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 Participant by the Company and/or the Employer, (b) withholding from proceeds of the sale of shares of Company Common Stock under the Plan, either through a voluntary sale or through a mandatory sale arranged by the 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123" w:lineRule="exact"/>
        <w:rPr>
          <w:sz w:val="20"/>
          <w:szCs w:val="20"/>
          <w:color w:val="auto"/>
        </w:rPr>
      </w:pPr>
    </w:p>
    <w:p>
      <w:pPr>
        <w:jc w:val="both"/>
        <w:ind w:right="400" w:firstLine="509"/>
        <w:spacing w:after="0" w:line="214" w:lineRule="auto"/>
        <w:rPr>
          <w:sz w:val="20"/>
          <w:szCs w:val="20"/>
          <w:color w:val="auto"/>
        </w:rPr>
      </w:pPr>
      <w:r>
        <w:rPr>
          <w:rFonts w:ascii="Arial" w:cs="Arial" w:eastAsia="Arial" w:hAnsi="Arial"/>
          <w:sz w:val="16"/>
          <w:szCs w:val="16"/>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 paying the Tax-Related Items.</w:t>
      </w:r>
    </w:p>
    <w:p>
      <w:pPr>
        <w:spacing w:after="0" w:line="123" w:lineRule="exact"/>
        <w:rPr>
          <w:sz w:val="20"/>
          <w:szCs w:val="20"/>
          <w:color w:val="auto"/>
        </w:rPr>
      </w:pPr>
    </w:p>
    <w:p>
      <w:pPr>
        <w:ind w:firstLine="509"/>
        <w:spacing w:after="0" w:line="274" w:lineRule="auto"/>
        <w:rPr>
          <w:sz w:val="20"/>
          <w:szCs w:val="20"/>
          <w:color w:val="auto"/>
        </w:rPr>
      </w:pPr>
      <w:r>
        <w:rPr>
          <w:rFonts w:ascii="Arial" w:cs="Arial" w:eastAsia="Arial" w:hAnsi="Arial"/>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99" w:lineRule="exact"/>
        <w:rPr>
          <w:sz w:val="20"/>
          <w:szCs w:val="20"/>
          <w:color w:val="auto"/>
        </w:rPr>
      </w:pPr>
    </w:p>
    <w:p>
      <w:pPr>
        <w:ind w:left="1020" w:hanging="506"/>
        <w:spacing w:after="0"/>
        <w:tabs>
          <w:tab w:leader="none" w:pos="102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By accepting the Restricted Stock Units, the Participant acknowledges, understands and agrees that:</w:t>
      </w:r>
    </w:p>
    <w:p>
      <w:pPr>
        <w:spacing w:after="0" w:line="134" w:lineRule="exact"/>
        <w:rPr>
          <w:sz w:val="20"/>
          <w:szCs w:val="20"/>
          <w:color w:val="auto"/>
        </w:rPr>
      </w:pPr>
    </w:p>
    <w:p>
      <w:pPr>
        <w:ind w:right="60" w:firstLine="514"/>
        <w:spacing w:after="0" w:line="225" w:lineRule="auto"/>
        <w:tabs>
          <w:tab w:leader="none" w:pos="101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terminated, suspended or amended by the Company at any time, to the extent permitted by the Plan;</w:t>
      </w:r>
    </w:p>
    <w:p>
      <w:pPr>
        <w:spacing w:after="0" w:line="121" w:lineRule="exact"/>
        <w:rPr>
          <w:rFonts w:ascii="Arial" w:cs="Arial" w:eastAsia="Arial" w:hAnsi="Arial"/>
          <w:sz w:val="16"/>
          <w:szCs w:val="16"/>
          <w:color w:val="auto"/>
        </w:rPr>
      </w:pPr>
    </w:p>
    <w:p>
      <w:pPr>
        <w:ind w:right="460" w:firstLine="514"/>
        <w:spacing w:after="0" w:line="225" w:lineRule="auto"/>
        <w:tabs>
          <w:tab w:leader="none" w:pos="10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21" w:lineRule="exact"/>
        <w:rPr>
          <w:rFonts w:ascii="Arial" w:cs="Arial" w:eastAsia="Arial" w:hAnsi="Arial"/>
          <w:sz w:val="16"/>
          <w:szCs w:val="16"/>
          <w:color w:val="auto"/>
        </w:rPr>
      </w:pPr>
    </w:p>
    <w:p>
      <w:pPr>
        <w:ind w:left="1020" w:hanging="506"/>
        <w:spacing w:after="0"/>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decisions with respect to future Restricted Stock Units or other grants, if any, will be at the sole discretion of the Company;</w:t>
      </w:r>
    </w:p>
    <w:p>
      <w:pPr>
        <w:spacing w:after="0" w:line="134" w:lineRule="exact"/>
        <w:rPr>
          <w:rFonts w:ascii="Arial" w:cs="Arial" w:eastAsia="Arial" w:hAnsi="Arial"/>
          <w:sz w:val="16"/>
          <w:szCs w:val="16"/>
          <w:color w:val="auto"/>
        </w:rPr>
      </w:pPr>
    </w:p>
    <w:p>
      <w:pPr>
        <w:ind w:right="100" w:firstLine="514"/>
        <w:spacing w:after="0" w:line="214" w:lineRule="auto"/>
        <w:tabs>
          <w:tab w:leader="none" w:pos="10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23" w:lineRule="exact"/>
        <w:rPr>
          <w:rFonts w:ascii="Arial" w:cs="Arial" w:eastAsia="Arial" w:hAnsi="Arial"/>
          <w:sz w:val="16"/>
          <w:szCs w:val="16"/>
          <w:color w:val="auto"/>
        </w:rPr>
      </w:pPr>
    </w:p>
    <w:p>
      <w:pPr>
        <w:ind w:left="1020" w:hanging="506"/>
        <w:spacing w:after="0"/>
        <w:tabs>
          <w:tab w:leader="none" w:pos="10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Participant is voluntarily participating in the Plan;</w:t>
      </w:r>
    </w:p>
    <w:p>
      <w:pPr>
        <w:sectPr>
          <w:pgSz w:w="11900" w:h="16838" w:orient="portrait"/>
          <w:cols w:equalWidth="0" w:num="1">
            <w:col w:w="11280"/>
          </w:cols>
          <w:pgMar w:left="300" w:top="1305" w:right="319" w:bottom="1440" w:gutter="0" w:footer="0" w:header="0"/>
        </w:sectPr>
      </w:pPr>
    </w:p>
    <w:bookmarkStart w:id="173" w:name="page174"/>
    <w:bookmarkEnd w:id="173"/>
    <w:p>
      <w:pPr>
        <w:ind w:left="-514" w:right="280" w:firstLine="514"/>
        <w:spacing w:after="0" w:line="225" w:lineRule="auto"/>
        <w:tabs>
          <w:tab w:leader="none" w:pos="50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Restricted Stock Units and any shares of Company Common Stock acquired under the Plan, and the income from and value of the same, are not intended to replace any pension rights or compensation;</w:t>
      </w:r>
    </w:p>
    <w:p>
      <w:pPr>
        <w:spacing w:after="0" w:line="121" w:lineRule="exact"/>
        <w:rPr>
          <w:rFonts w:ascii="Arial" w:cs="Arial" w:eastAsia="Arial" w:hAnsi="Arial"/>
          <w:sz w:val="16"/>
          <w:szCs w:val="16"/>
          <w:color w:val="auto"/>
        </w:rPr>
      </w:pPr>
    </w:p>
    <w:p>
      <w:pPr>
        <w:jc w:val="both"/>
        <w:ind w:left="-514" w:firstLine="514"/>
        <w:spacing w:after="0" w:line="214" w:lineRule="auto"/>
        <w:tabs>
          <w:tab w:leader="none" w:pos="4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23" w:lineRule="exact"/>
        <w:rPr>
          <w:rFonts w:ascii="Arial" w:cs="Arial" w:eastAsia="Arial" w:hAnsi="Arial"/>
          <w:sz w:val="16"/>
          <w:szCs w:val="16"/>
          <w:color w:val="auto"/>
        </w:rPr>
      </w:pPr>
    </w:p>
    <w:p>
      <w:pPr>
        <w:ind w:left="-514" w:right="100" w:firstLine="514"/>
        <w:spacing w:after="0" w:line="247" w:lineRule="auto"/>
        <w:tabs>
          <w:tab w:leader="none" w:pos="495"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18" w:lineRule="exact"/>
        <w:rPr>
          <w:rFonts w:ascii="Arial" w:cs="Arial" w:eastAsia="Arial" w:hAnsi="Arial"/>
          <w:sz w:val="14"/>
          <w:szCs w:val="14"/>
          <w:color w:val="auto"/>
        </w:rPr>
      </w:pPr>
    </w:p>
    <w:p>
      <w:pPr>
        <w:ind w:left="-514" w:right="320" w:firstLine="514"/>
        <w:spacing w:after="0" w:line="225" w:lineRule="auto"/>
        <w:tabs>
          <w:tab w:leader="none" w:pos="5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21" w:lineRule="exact"/>
        <w:rPr>
          <w:rFonts w:ascii="Arial" w:cs="Arial" w:eastAsia="Arial" w:hAnsi="Arial"/>
          <w:sz w:val="16"/>
          <w:szCs w:val="16"/>
          <w:color w:val="auto"/>
        </w:rPr>
      </w:pPr>
    </w:p>
    <w:p>
      <w:pPr>
        <w:ind w:left="-514" w:right="160" w:firstLine="514"/>
        <w:spacing w:after="0" w:line="214" w:lineRule="auto"/>
        <w:tabs>
          <w:tab w:leader="none" w:pos="50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Restricted Stock Units resulting from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w:t>
      </w:r>
    </w:p>
    <w:p>
      <w:pPr>
        <w:spacing w:after="0" w:line="123" w:lineRule="exact"/>
        <w:rPr>
          <w:rFonts w:ascii="Arial" w:cs="Arial" w:eastAsia="Arial" w:hAnsi="Arial"/>
          <w:sz w:val="16"/>
          <w:szCs w:val="16"/>
          <w:color w:val="auto"/>
        </w:rPr>
      </w:pPr>
    </w:p>
    <w:p>
      <w:pPr>
        <w:ind w:left="-514" w:right="20" w:firstLine="514"/>
        <w:spacing w:after="0" w:line="214" w:lineRule="auto"/>
        <w:tabs>
          <w:tab w:leader="none" w:pos="4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23" w:lineRule="exact"/>
        <w:rPr>
          <w:sz w:val="20"/>
          <w:szCs w:val="20"/>
          <w:color w:val="auto"/>
        </w:rPr>
      </w:pPr>
    </w:p>
    <w:p>
      <w:pPr>
        <w:ind w:left="-514" w:firstLine="514"/>
        <w:spacing w:after="0" w:line="204" w:lineRule="auto"/>
        <w:tabs>
          <w:tab w:leader="none" w:pos="497"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Employee Data Privacy</w:t>
      </w:r>
      <w:r>
        <w:rPr>
          <w:rFonts w:ascii="Arial" w:cs="Arial" w:eastAsia="Arial" w:hAnsi="Arial"/>
          <w:sz w:val="16"/>
          <w:szCs w:val="16"/>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6"/>
          <w:szCs w:val="16"/>
          <w:u w:val="single" w:color="auto"/>
          <w:color w:val="auto"/>
        </w:rPr>
        <w:t>Privacy Notice</w:t>
      </w:r>
      <w:r>
        <w:rPr>
          <w:rFonts w:ascii="Arial" w:cs="Arial" w:eastAsia="Arial" w:hAnsi="Arial"/>
          <w:sz w:val="16"/>
          <w:szCs w:val="16"/>
          <w:color w:val="auto"/>
        </w:rPr>
        <w:t xml:space="preserve">”) that Participant received in the course of his or her relationship with Company. The Participant understands that he or she may review the </w:t>
      </w:r>
      <w:r>
        <w:rPr>
          <w:rFonts w:ascii="Arial" w:cs="Arial" w:eastAsia="Arial" w:hAnsi="Arial"/>
          <w:sz w:val="16"/>
          <w:szCs w:val="16"/>
          <w:u w:val="single" w:color="auto"/>
          <w:color w:val="0000FF"/>
        </w:rPr>
        <w:t>Privacy Notice</w:t>
      </w:r>
      <w:r>
        <w:rPr>
          <w:rFonts w:ascii="Arial" w:cs="Arial" w:eastAsia="Arial" w:hAnsi="Arial"/>
          <w:sz w:val="16"/>
          <w:szCs w:val="16"/>
          <w:color w:val="auto"/>
        </w:rPr>
        <w:t xml:space="preserve"> or contact his or her local human resources representative to request a copy of the Privacy Notice. Please contact </w:t>
      </w:r>
      <w:r>
        <w:rPr>
          <w:rFonts w:ascii="Arial" w:cs="Arial" w:eastAsia="Arial" w:hAnsi="Arial"/>
          <w:sz w:val="16"/>
          <w:szCs w:val="16"/>
          <w:u w:val="single" w:color="auto"/>
          <w:color w:val="0000FF"/>
        </w:rPr>
        <w:t>ethics@bah.com</w:t>
      </w:r>
      <w:r>
        <w:rPr>
          <w:rFonts w:ascii="Arial" w:cs="Arial" w:eastAsia="Arial" w:hAnsi="Arial"/>
          <w:sz w:val="16"/>
          <w:szCs w:val="16"/>
          <w:color w:val="auto"/>
        </w:rPr>
        <w:t xml:space="preserve"> if the Participant has any questions or concerns about how the Company or its subsidiaries and affiliates process personally identifiable information.</w:t>
      </w:r>
    </w:p>
    <w:p>
      <w:pPr>
        <w:spacing w:after="0" w:line="122" w:lineRule="exact"/>
        <w:rPr>
          <w:rFonts w:ascii="Arial" w:cs="Arial" w:eastAsia="Arial" w:hAnsi="Arial"/>
          <w:sz w:val="16"/>
          <w:szCs w:val="16"/>
          <w:color w:val="auto"/>
        </w:rPr>
      </w:pPr>
    </w:p>
    <w:p>
      <w:pPr>
        <w:ind w:left="506" w:hanging="506"/>
        <w:spacing w:after="0"/>
        <w:tabs>
          <w:tab w:leader="none" w:pos="506"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4" w:lineRule="exact"/>
        <w:rPr>
          <w:sz w:val="20"/>
          <w:szCs w:val="20"/>
          <w:color w:val="auto"/>
        </w:rPr>
      </w:pPr>
    </w:p>
    <w:p>
      <w:pPr>
        <w:jc w:val="both"/>
        <w:ind w:left="-514" w:firstLine="514"/>
        <w:spacing w:after="0" w:line="247" w:lineRule="auto"/>
        <w:tabs>
          <w:tab w:leader="none" w:pos="497"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Binding Effect; Benefits</w:t>
      </w:r>
      <w:r>
        <w:rPr>
          <w:rFonts w:ascii="Arial" w:cs="Arial" w:eastAsia="Arial" w:hAnsi="Arial"/>
          <w:sz w:val="14"/>
          <w:szCs w:val="14"/>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18" w:lineRule="exact"/>
        <w:rPr>
          <w:rFonts w:ascii="Arial" w:cs="Arial" w:eastAsia="Arial" w:hAnsi="Arial"/>
          <w:sz w:val="14"/>
          <w:szCs w:val="14"/>
          <w:color w:val="auto"/>
        </w:rPr>
      </w:pPr>
    </w:p>
    <w:p>
      <w:pPr>
        <w:ind w:left="-514" w:right="100" w:firstLine="514"/>
        <w:spacing w:after="0" w:line="247" w:lineRule="auto"/>
        <w:tabs>
          <w:tab w:leader="none" w:pos="495"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18" w:lineRule="exact"/>
        <w:rPr>
          <w:rFonts w:ascii="Arial" w:cs="Arial" w:eastAsia="Arial" w:hAnsi="Arial"/>
          <w:sz w:val="14"/>
          <w:szCs w:val="14"/>
          <w:color w:val="auto"/>
        </w:rPr>
      </w:pPr>
    </w:p>
    <w:p>
      <w:pPr>
        <w:ind w:left="-514" w:right="100" w:firstLine="514"/>
        <w:spacing w:after="0" w:line="225" w:lineRule="auto"/>
        <w:tabs>
          <w:tab w:leader="none" w:pos="497"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For purposes of this Agreement, if the Participant is not employed by the Company, “</w:t>
      </w:r>
      <w:r>
        <w:rPr>
          <w:rFonts w:ascii="Arial" w:cs="Arial" w:eastAsia="Arial" w:hAnsi="Arial"/>
          <w:sz w:val="16"/>
          <w:szCs w:val="16"/>
          <w:u w:val="single" w:color="auto"/>
          <w:color w:val="auto"/>
        </w:rPr>
        <w:t>Employer</w:t>
      </w:r>
      <w:r>
        <w:rPr>
          <w:rFonts w:ascii="Arial" w:cs="Arial" w:eastAsia="Arial" w:hAnsi="Arial"/>
          <w:sz w:val="16"/>
          <w:szCs w:val="16"/>
          <w:color w:val="auto"/>
        </w:rPr>
        <w:t>” means the Subsidiary that employs the Participant. This Agreement is subject to</w:t>
      </w:r>
    </w:p>
    <w:p>
      <w:pPr>
        <w:sectPr>
          <w:pgSz w:w="11900" w:h="16838" w:orient="portrait"/>
          <w:cols w:equalWidth="0" w:num="1">
            <w:col w:w="10706"/>
          </w:cols>
          <w:pgMar w:left="814" w:top="1304" w:right="379" w:bottom="1440" w:gutter="0" w:footer="0" w:header="0"/>
        </w:sectPr>
      </w:pPr>
    </w:p>
    <w:bookmarkStart w:id="174" w:name="page175"/>
    <w:bookmarkEnd w:id="174"/>
    <w:p>
      <w:pPr>
        <w:ind w:right="40"/>
        <w:spacing w:after="0" w:line="202" w:lineRule="auto"/>
        <w:rPr>
          <w:sz w:val="20"/>
          <w:szCs w:val="20"/>
          <w:color w:val="auto"/>
        </w:rPr>
      </w:pPr>
      <w:r>
        <w:rPr>
          <w:rFonts w:ascii="Arial" w:cs="Arial" w:eastAsia="Arial" w:hAnsi="Arial"/>
          <w:sz w:val="16"/>
          <w:szCs w:val="16"/>
          <w:color w:val="auto"/>
        </w:rPr>
        <w:t>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26" w:lineRule="exact"/>
        <w:rPr>
          <w:sz w:val="20"/>
          <w:szCs w:val="20"/>
          <w:color w:val="auto"/>
        </w:rPr>
      </w:pPr>
    </w:p>
    <w:p>
      <w:pPr>
        <w:ind w:firstLine="514"/>
        <w:spacing w:after="0" w:line="209" w:lineRule="auto"/>
        <w:tabs>
          <w:tab w:leader="none" w:pos="1009"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Country-Specific Provisions</w:t>
      </w:r>
      <w:r>
        <w:rPr>
          <w:rFonts w:ascii="Arial" w:cs="Arial" w:eastAsia="Arial" w:hAnsi="Arial"/>
          <w:sz w:val="16"/>
          <w:szCs w:val="16"/>
          <w:color w:val="auto"/>
        </w:rPr>
        <w:t xml:space="preserve">. The Participant’s participation in the Plan shall be subject to any special terms and conditions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attached hereto for the Participant’s country. Moreover, if the Participant relocates to one of the countries included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constitutes part of this Agreement.</w:t>
      </w:r>
    </w:p>
    <w:p>
      <w:pPr>
        <w:spacing w:after="0" w:line="123" w:lineRule="exact"/>
        <w:rPr>
          <w:rFonts w:ascii="Arial" w:cs="Arial" w:eastAsia="Arial" w:hAnsi="Arial"/>
          <w:sz w:val="16"/>
          <w:szCs w:val="16"/>
          <w:color w:val="auto"/>
        </w:rPr>
      </w:pPr>
    </w:p>
    <w:p>
      <w:pPr>
        <w:ind w:right="120" w:firstLine="514"/>
        <w:spacing w:after="0" w:line="214" w:lineRule="auto"/>
        <w:tabs>
          <w:tab w:leader="none" w:pos="1011"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Other Requirements</w:t>
      </w:r>
      <w:r>
        <w:rPr>
          <w:rFonts w:ascii="Arial" w:cs="Arial" w:eastAsia="Arial" w:hAnsi="Arial"/>
          <w:sz w:val="16"/>
          <w:szCs w:val="16"/>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23" w:lineRule="exact"/>
        <w:rPr>
          <w:rFonts w:ascii="Arial" w:cs="Arial" w:eastAsia="Arial" w:hAnsi="Arial"/>
          <w:sz w:val="16"/>
          <w:szCs w:val="16"/>
          <w:color w:val="auto"/>
        </w:rPr>
      </w:pPr>
    </w:p>
    <w:p>
      <w:pPr>
        <w:ind w:right="160" w:firstLine="514"/>
        <w:spacing w:after="0" w:line="214" w:lineRule="auto"/>
        <w:tabs>
          <w:tab w:leader="none" w:pos="101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23" w:lineRule="exact"/>
        <w:rPr>
          <w:rFonts w:ascii="Arial" w:cs="Arial" w:eastAsia="Arial" w:hAnsi="Arial"/>
          <w:sz w:val="16"/>
          <w:szCs w:val="16"/>
          <w:color w:val="auto"/>
        </w:rPr>
      </w:pPr>
    </w:p>
    <w:p>
      <w:pPr>
        <w:ind w:right="40" w:firstLine="514"/>
        <w:spacing w:after="0" w:line="231" w:lineRule="auto"/>
        <w:tabs>
          <w:tab w:leader="none" w:pos="1009"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Forum Selection</w:t>
      </w:r>
      <w:r>
        <w:rPr>
          <w:rFonts w:ascii="Arial" w:cs="Arial" w:eastAsia="Arial" w:hAnsi="Arial"/>
          <w:sz w:val="14"/>
          <w:szCs w:val="14"/>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24" w:lineRule="exact"/>
        <w:rPr>
          <w:rFonts w:ascii="Arial" w:cs="Arial" w:eastAsia="Arial" w:hAnsi="Arial"/>
          <w:sz w:val="14"/>
          <w:szCs w:val="14"/>
          <w:color w:val="auto"/>
        </w:rPr>
      </w:pPr>
    </w:p>
    <w:p>
      <w:pPr>
        <w:ind w:left="1020" w:hanging="506"/>
        <w:spacing w:after="0"/>
        <w:tabs>
          <w:tab w:leader="none" w:pos="1020"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Amendment</w:t>
      </w:r>
      <w:r>
        <w:rPr>
          <w:rFonts w:ascii="Arial" w:cs="Arial" w:eastAsia="Arial" w:hAnsi="Arial"/>
          <w:sz w:val="14"/>
          <w:szCs w:val="14"/>
          <w:color w:val="auto"/>
        </w:rPr>
        <w:t>. This Agreement may not be amended, modified or supplemented orally, but only by a written instrument executed by the Participant and the Company.</w:t>
      </w:r>
    </w:p>
    <w:p>
      <w:pPr>
        <w:spacing w:after="0" w:line="157" w:lineRule="exact"/>
        <w:rPr>
          <w:rFonts w:ascii="Arial" w:cs="Arial" w:eastAsia="Arial" w:hAnsi="Arial"/>
          <w:sz w:val="14"/>
          <w:szCs w:val="14"/>
          <w:color w:val="auto"/>
        </w:rPr>
      </w:pPr>
    </w:p>
    <w:p>
      <w:pPr>
        <w:ind w:right="60" w:firstLine="514"/>
        <w:spacing w:after="0" w:line="214" w:lineRule="auto"/>
        <w:tabs>
          <w:tab w:leader="none" w:pos="101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Assignability</w:t>
      </w:r>
      <w:r>
        <w:rPr>
          <w:rFonts w:ascii="Arial" w:cs="Arial" w:eastAsia="Arial" w:hAnsi="Arial"/>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assign all or any portion of its rights or obligations under this Agreement to one or more persons or other entities designated by it.</w:t>
      </w:r>
    </w:p>
    <w:p>
      <w:pPr>
        <w:spacing w:after="0" w:line="123" w:lineRule="exact"/>
        <w:rPr>
          <w:rFonts w:ascii="Arial" w:cs="Arial" w:eastAsia="Arial" w:hAnsi="Arial"/>
          <w:sz w:val="16"/>
          <w:szCs w:val="16"/>
          <w:color w:val="auto"/>
        </w:rPr>
      </w:pPr>
    </w:p>
    <w:p>
      <w:pPr>
        <w:ind w:right="120" w:firstLine="514"/>
        <w:spacing w:after="0" w:line="225" w:lineRule="auto"/>
        <w:tabs>
          <w:tab w:leader="none" w:pos="1017"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Severability; Blue Pencil</w:t>
      </w:r>
      <w:r>
        <w:rPr>
          <w:rFonts w:ascii="Arial" w:cs="Arial" w:eastAsia="Arial" w:hAnsi="Arial"/>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21" w:lineRule="exact"/>
        <w:rPr>
          <w:rFonts w:ascii="Arial" w:cs="Arial" w:eastAsia="Arial" w:hAnsi="Arial"/>
          <w:sz w:val="16"/>
          <w:szCs w:val="16"/>
          <w:color w:val="auto"/>
        </w:rPr>
      </w:pPr>
    </w:p>
    <w:p>
      <w:pPr>
        <w:ind w:right="380" w:firstLine="514"/>
        <w:spacing w:after="0" w:line="225" w:lineRule="auto"/>
        <w:tabs>
          <w:tab w:leader="none" w:pos="1009"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Consent to Electronic Delivery</w:t>
      </w:r>
      <w:r>
        <w:rPr>
          <w:rFonts w:ascii="Arial" w:cs="Arial" w:eastAsia="Arial" w:hAnsi="Arial"/>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w:t>
      </w:r>
    </w:p>
    <w:p>
      <w:pPr>
        <w:sectPr>
          <w:pgSz w:w="11900" w:h="16838" w:orient="portrait"/>
          <w:cols w:equalWidth="0" w:num="1">
            <w:col w:w="11260"/>
          </w:cols>
          <w:pgMar w:left="300" w:top="1304" w:right="339" w:bottom="1440" w:gutter="0" w:footer="0" w:header="0"/>
        </w:sectPr>
      </w:pPr>
    </w:p>
    <w:bookmarkStart w:id="175" w:name="page176"/>
    <w:bookmarkEnd w:id="175"/>
    <w:p>
      <w:pPr>
        <w:ind w:right="300"/>
        <w:spacing w:after="0" w:line="225" w:lineRule="auto"/>
        <w:rPr>
          <w:sz w:val="20"/>
          <w:szCs w:val="20"/>
          <w:color w:val="auto"/>
        </w:rPr>
      </w:pPr>
      <w:r>
        <w:rPr>
          <w:rFonts w:ascii="Arial" w:cs="Arial" w:eastAsia="Arial" w:hAnsi="Arial"/>
          <w:sz w:val="16"/>
          <w:szCs w:val="16"/>
          <w:color w:val="auto"/>
        </w:rPr>
        <w:t>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122" w:lineRule="exact"/>
        <w:rPr>
          <w:sz w:val="20"/>
          <w:szCs w:val="20"/>
          <w:color w:val="auto"/>
        </w:rPr>
      </w:pPr>
    </w:p>
    <w:p>
      <w:pPr>
        <w:ind w:right="20" w:firstLine="514"/>
        <w:spacing w:after="0" w:line="235" w:lineRule="auto"/>
        <w:tabs>
          <w:tab w:leader="none" w:pos="1017"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Section 409A of the Code</w:t>
      </w:r>
      <w:r>
        <w:rPr>
          <w:rFonts w:ascii="Arial" w:cs="Arial" w:eastAsia="Arial" w:hAnsi="Arial"/>
          <w:sz w:val="14"/>
          <w:szCs w:val="14"/>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4"/>
          <w:szCs w:val="14"/>
          <w:u w:val="single" w:color="auto"/>
          <w:color w:val="auto"/>
        </w:rPr>
        <w:t>Section 409A</w:t>
      </w:r>
      <w:r>
        <w:rPr>
          <w:rFonts w:ascii="Arial" w:cs="Arial" w:eastAsia="Arial" w:hAnsi="Arial"/>
          <w:sz w:val="14"/>
          <w:szCs w:val="14"/>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24" w:lineRule="exact"/>
        <w:rPr>
          <w:rFonts w:ascii="Arial" w:cs="Arial" w:eastAsia="Arial" w:hAnsi="Arial"/>
          <w:sz w:val="14"/>
          <w:szCs w:val="14"/>
          <w:color w:val="auto"/>
        </w:rPr>
      </w:pPr>
    </w:p>
    <w:p>
      <w:pPr>
        <w:ind w:right="80" w:firstLine="514"/>
        <w:spacing w:after="0" w:line="231" w:lineRule="auto"/>
        <w:tabs>
          <w:tab w:leader="none" w:pos="1010"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Specified Employee Delay</w:t>
      </w:r>
      <w:r>
        <w:rPr>
          <w:rFonts w:ascii="Arial" w:cs="Arial" w:eastAsia="Arial" w:hAnsi="Arial"/>
          <w:sz w:val="14"/>
          <w:szCs w:val="14"/>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4"/>
          <w:szCs w:val="14"/>
          <w:u w:val="single" w:color="auto"/>
          <w:color w:val="auto"/>
        </w:rPr>
        <w:t>a</w:t>
      </w:r>
      <w:r>
        <w:rPr>
          <w:rFonts w:ascii="Arial" w:cs="Arial" w:eastAsia="Arial" w:hAnsi="Arial"/>
          <w:sz w:val="14"/>
          <w:szCs w:val="14"/>
          <w:color w:val="auto"/>
        </w:rPr>
        <w:t>) the date that is six months following the Participant’s termination of service and (</w:t>
      </w:r>
      <w:r>
        <w:rPr>
          <w:rFonts w:ascii="Arial" w:cs="Arial" w:eastAsia="Arial" w:hAnsi="Arial"/>
          <w:sz w:val="14"/>
          <w:szCs w:val="14"/>
          <w:u w:val="single" w:color="auto"/>
          <w:color w:val="auto"/>
        </w:rPr>
        <w:t>b</w:t>
      </w:r>
      <w:r>
        <w:rPr>
          <w:rFonts w:ascii="Arial" w:cs="Arial" w:eastAsia="Arial" w:hAnsi="Arial"/>
          <w:sz w:val="14"/>
          <w:szCs w:val="14"/>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24" w:lineRule="exact"/>
        <w:rPr>
          <w:rFonts w:ascii="Arial" w:cs="Arial" w:eastAsia="Arial" w:hAnsi="Arial"/>
          <w:sz w:val="14"/>
          <w:szCs w:val="14"/>
          <w:color w:val="auto"/>
        </w:rPr>
      </w:pPr>
    </w:p>
    <w:p>
      <w:pPr>
        <w:ind w:right="800" w:firstLine="514"/>
        <w:spacing w:after="0" w:line="225" w:lineRule="auto"/>
        <w:tabs>
          <w:tab w:leader="none" w:pos="100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Headings and Captions</w:t>
      </w:r>
      <w:r>
        <w:rPr>
          <w:rFonts w:ascii="Arial" w:cs="Arial" w:eastAsia="Arial" w:hAnsi="Arial"/>
          <w:sz w:val="16"/>
          <w:szCs w:val="16"/>
          <w:color w:val="auto"/>
        </w:rPr>
        <w:t>. The section and other headings contained in this Agreement are for reference purposes only and shall not affect the meaning or interpretation of this Agreement.</w:t>
      </w:r>
    </w:p>
    <w:p>
      <w:pPr>
        <w:spacing w:after="0" w:line="121" w:lineRule="exact"/>
        <w:rPr>
          <w:rFonts w:ascii="Arial" w:cs="Arial" w:eastAsia="Arial" w:hAnsi="Arial"/>
          <w:sz w:val="16"/>
          <w:szCs w:val="16"/>
          <w:color w:val="auto"/>
        </w:rPr>
      </w:pPr>
    </w:p>
    <w:p>
      <w:pPr>
        <w:jc w:val="both"/>
        <w:ind w:firstLine="514"/>
        <w:spacing w:after="0" w:line="209" w:lineRule="auto"/>
        <w:tabs>
          <w:tab w:leader="none" w:pos="100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under this Agreement shall be (</w:t>
      </w:r>
      <w:r>
        <w:rPr>
          <w:rFonts w:ascii="Arial" w:cs="Arial" w:eastAsia="Arial" w:hAnsi="Arial"/>
          <w:sz w:val="16"/>
          <w:szCs w:val="16"/>
          <w:u w:val="single" w:color="auto"/>
          <w:color w:val="auto"/>
        </w:rPr>
        <w:t>i</w:t>
      </w:r>
      <w:r>
        <w:rPr>
          <w:rFonts w:ascii="Arial" w:cs="Arial" w:eastAsia="Arial" w:hAnsi="Arial"/>
          <w:sz w:val="16"/>
          <w:szCs w:val="16"/>
          <w:color w:val="auto"/>
        </w:rPr>
        <w:t>) delivered by hand, (</w:t>
      </w:r>
      <w:r>
        <w:rPr>
          <w:rFonts w:ascii="Arial" w:cs="Arial" w:eastAsia="Arial" w:hAnsi="Arial"/>
          <w:sz w:val="16"/>
          <w:szCs w:val="16"/>
          <w:u w:val="single" w:color="auto"/>
          <w:color w:val="auto"/>
        </w:rPr>
        <w:t>ii</w:t>
      </w:r>
      <w:r>
        <w:rPr>
          <w:rFonts w:ascii="Arial" w:cs="Arial" w:eastAsia="Arial" w:hAnsi="Arial"/>
          <w:sz w:val="16"/>
          <w:szCs w:val="16"/>
          <w:color w:val="auto"/>
        </w:rPr>
        <w:t>) sent by commercial overnight courier service, (</w:t>
      </w:r>
      <w:r>
        <w:rPr>
          <w:rFonts w:ascii="Arial" w:cs="Arial" w:eastAsia="Arial" w:hAnsi="Arial"/>
          <w:sz w:val="16"/>
          <w:szCs w:val="16"/>
          <w:u w:val="single" w:color="auto"/>
          <w:color w:val="auto"/>
        </w:rPr>
        <w:t>iii</w:t>
      </w:r>
      <w:r>
        <w:rPr>
          <w:rFonts w:ascii="Arial" w:cs="Arial" w:eastAsia="Arial" w:hAnsi="Arial"/>
          <w:sz w:val="16"/>
          <w:szCs w:val="16"/>
          <w:color w:val="auto"/>
        </w:rPr>
        <w:t>) sent by registered or certified mail, return receipt requested, and first-class postage prepaid, (</w:t>
      </w:r>
      <w:r>
        <w:rPr>
          <w:rFonts w:ascii="Arial" w:cs="Arial" w:eastAsia="Arial" w:hAnsi="Arial"/>
          <w:sz w:val="16"/>
          <w:szCs w:val="16"/>
          <w:u w:val="single" w:color="auto"/>
          <w:color w:val="auto"/>
        </w:rPr>
        <w:t>iv</w:t>
      </w:r>
      <w:r>
        <w:rPr>
          <w:rFonts w:ascii="Arial" w:cs="Arial" w:eastAsia="Arial" w:hAnsi="Arial"/>
          <w:sz w:val="16"/>
          <w:szCs w:val="16"/>
          <w:color w:val="auto"/>
        </w:rPr>
        <w:t>) sent by e-mail or any other form of electronic transfer or delivery approved by the Administrator, or (</w:t>
      </w:r>
      <w:r>
        <w:rPr>
          <w:rFonts w:ascii="Arial" w:cs="Arial" w:eastAsia="Arial" w:hAnsi="Arial"/>
          <w:sz w:val="16"/>
          <w:szCs w:val="16"/>
          <w:u w:val="single" w:color="auto"/>
          <w:color w:val="auto"/>
        </w:rPr>
        <w:t>v</w:t>
      </w:r>
      <w:r>
        <w:rPr>
          <w:rFonts w:ascii="Arial" w:cs="Arial" w:eastAsia="Arial" w:hAnsi="Arial"/>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23" w:lineRule="exact"/>
        <w:rPr>
          <w:rFonts w:ascii="Arial" w:cs="Arial" w:eastAsia="Arial" w:hAnsi="Arial"/>
          <w:sz w:val="16"/>
          <w:szCs w:val="16"/>
          <w:color w:val="auto"/>
        </w:rPr>
      </w:pPr>
    </w:p>
    <w:p>
      <w:pPr>
        <w:ind w:right="380" w:firstLine="514"/>
        <w:spacing w:after="0" w:line="225" w:lineRule="auto"/>
        <w:tabs>
          <w:tab w:leader="none" w:pos="1009"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1240"/>
          </w:cols>
          <w:pgMar w:left="300" w:top="1304" w:right="3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List of Subsidiaries of Booz Allen Hamilton Holding Corporation</w:t>
      </w:r>
    </w:p>
    <w:p>
      <w:pPr>
        <w:sectPr>
          <w:pgSz w:w="11900" w:h="16838" w:orient="portrait"/>
          <w:cols w:equalWidth="0" w:num="1">
            <w:col w:w="11280"/>
          </w:cols>
          <w:pgMar w:left="300" w:top="14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Cyber Solutions,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Consulting Pte. Ltd.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(Dubai) Limited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Egypt,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Engineering Holding Co.,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Engineering Services,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Lebanon S.a.r.l.</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Booz Allen Hamilton Intellectual Property Holdings, LLC</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Pte. Ltd.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(U.K.) Ltd.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Investor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Netherlands B.V.</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Philippines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Saudi</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Booz Allen Hamilton Singapore Holding Company Pte. Ltd.</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Singapore LLP</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Tanzania Limited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Epidemico,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(Ireland) Limited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PT Booz Allen Hamilton Indonesia</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SDI Technology Corporation</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Morphick,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eGov Holdings,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Aquilent,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Cloud Solutions Group,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Epic Acquisition Software,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Nextgen-H Integration Services,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Riverside Engineering,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Shore Systems and Solutions,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Tracepoint Holdings,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Tracepoint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Liberty IT Solutions,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Warrior Technology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ThunderYard Solutions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ThunderYard Liberty JV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Jurisdiction of Organization</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Dubai, UAE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Egypt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Lebanon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Lebanon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Philippines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Saudi Arabia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Tanzania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Indonesia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ectPr>
          <w:pgSz w:w="11900" w:h="16838" w:orient="portrait"/>
          <w:cols w:equalWidth="0" w:num="2">
            <w:col w:w="5940" w:space="720"/>
            <w:col w:w="4620"/>
          </w:cols>
          <w:pgMar w:left="300" w:top="142" w:right="31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32" w:lineRule="exact"/>
        <w:rPr>
          <w:sz w:val="20"/>
          <w:szCs w:val="20"/>
          <w:color w:val="auto"/>
        </w:rPr>
      </w:pPr>
    </w:p>
    <w:p>
      <w:pPr>
        <w:ind w:left="500" w:hanging="240"/>
        <w:spacing w:after="0"/>
        <w:tabs>
          <w:tab w:leader="none" w:pos="5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Form S-8 (No 333-205956) pertaining to the Second Amended and Restated Equity Incentive Plan of Booz Allen Hamilton Holding Corporation</w:t>
      </w:r>
    </w:p>
    <w:p>
      <w:pPr>
        <w:ind w:left="520" w:right="280" w:hanging="260"/>
        <w:spacing w:after="0" w:line="217" w:lineRule="auto"/>
        <w:tabs>
          <w:tab w:leader="none" w:pos="51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spacing w:after="0" w:line="143" w:lineRule="exact"/>
        <w:rPr>
          <w:sz w:val="20"/>
          <w:szCs w:val="20"/>
          <w:color w:val="auto"/>
        </w:rPr>
      </w:pPr>
    </w:p>
    <w:p>
      <w:pPr>
        <w:ind w:right="120"/>
        <w:spacing w:after="0" w:line="214" w:lineRule="auto"/>
        <w:rPr>
          <w:sz w:val="20"/>
          <w:szCs w:val="20"/>
          <w:color w:val="auto"/>
        </w:rPr>
      </w:pPr>
      <w:r>
        <w:rPr>
          <w:rFonts w:ascii="Arial" w:cs="Arial" w:eastAsia="Arial" w:hAnsi="Arial"/>
          <w:sz w:val="16"/>
          <w:szCs w:val="16"/>
          <w:color w:val="auto"/>
        </w:rPr>
        <w:t>of our reports dated May 20, 2022,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2022.</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Tysons, Virginia</w:t>
      </w:r>
    </w:p>
    <w:p>
      <w:pPr>
        <w:spacing w:after="0"/>
        <w:rPr>
          <w:sz w:val="20"/>
          <w:szCs w:val="20"/>
          <w:color w:val="auto"/>
        </w:rPr>
      </w:pPr>
      <w:r>
        <w:rPr>
          <w:rFonts w:ascii="Arial" w:cs="Arial" w:eastAsia="Arial" w:hAnsi="Arial"/>
          <w:sz w:val="16"/>
          <w:szCs w:val="16"/>
          <w:color w:val="auto"/>
        </w:rPr>
        <w:t>May 20, 2022</w:t>
      </w:r>
    </w:p>
    <w:p>
      <w:pPr>
        <w:sectPr>
          <w:pgSz w:w="11900" w:h="16838" w:orient="portrait"/>
          <w:cols w:equalWidth="0" w:num="1">
            <w:col w:w="11280"/>
          </w:cols>
          <w:pgMar w:left="300" w:top="142"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40" w:val="left"/>
        </w:tabs>
        <w:rPr>
          <w:sz w:val="20"/>
          <w:szCs w:val="20"/>
          <w:color w:val="auto"/>
        </w:rPr>
      </w:pPr>
      <w:r>
        <w:rPr>
          <w:rFonts w:ascii="Arial" w:cs="Arial" w:eastAsia="Arial" w:hAnsi="Arial"/>
          <w:sz w:val="14"/>
          <w:szCs w:val="14"/>
          <w:color w:val="auto"/>
        </w:rPr>
        <w:t>Date: May 20,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12065</wp:posOffset>
            </wp:positionV>
            <wp:extent cx="24257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8">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4"/>
          <w:szCs w:val="14"/>
          <w:color w:val="auto"/>
        </w:rPr>
        <w:t>Horacio D. Rozanski</w:t>
      </w:r>
    </w:p>
    <w:p>
      <w:pPr>
        <w:ind w:left="7460"/>
        <w:spacing w:after="0" w:line="205" w:lineRule="auto"/>
        <w:rPr>
          <w:sz w:val="20"/>
          <w:szCs w:val="20"/>
          <w:color w:val="auto"/>
        </w:rPr>
      </w:pPr>
      <w:r>
        <w:rPr>
          <w:rFonts w:ascii="Arial" w:cs="Arial" w:eastAsia="Arial" w:hAnsi="Arial"/>
          <w:sz w:val="14"/>
          <w:szCs w:val="14"/>
          <w:color w:val="auto"/>
        </w:rPr>
        <w:t>President and Chief Executive Officer</w:t>
      </w:r>
    </w:p>
    <w:p>
      <w:pPr>
        <w:ind w:left="74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Lloyd W. Howell, Jr., certify that:</w:t>
      </w:r>
    </w:p>
    <w:p>
      <w:pPr>
        <w:spacing w:after="0" w:line="136" w:lineRule="exact"/>
        <w:rPr>
          <w:sz w:val="20"/>
          <w:szCs w:val="20"/>
          <w:color w:val="auto"/>
        </w:rPr>
      </w:pPr>
    </w:p>
    <w:p>
      <w:pPr>
        <w:ind w:left="140" w:hanging="135"/>
        <w:spacing w:after="0"/>
        <w:tabs>
          <w:tab w:leader="none" w:pos="1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1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4"/>
          <w:szCs w:val="14"/>
          <w:color w:val="auto"/>
        </w:rPr>
        <w:t>Date: May 20,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12065</wp:posOffset>
            </wp:positionV>
            <wp:extent cx="328104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9">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Lloyd W. Howell, Jr.</w:t>
      </w:r>
    </w:p>
    <w:p>
      <w:pPr>
        <w:ind w:left="6080"/>
        <w:spacing w:after="0"/>
        <w:rPr>
          <w:sz w:val="20"/>
          <w:szCs w:val="20"/>
          <w:color w:val="auto"/>
        </w:rPr>
      </w:pPr>
      <w:r>
        <w:rPr>
          <w:rFonts w:ascii="Arial" w:cs="Arial" w:eastAsia="Arial" w:hAnsi="Arial"/>
          <w:sz w:val="14"/>
          <w:szCs w:val="14"/>
          <w:color w:val="auto"/>
        </w:rPr>
        <w:t>Executive Vice President and Chief Financial Officer (Principal Financial Officer)</w:t>
      </w:r>
    </w:p>
    <w:p>
      <w:pPr>
        <w:sectPr>
          <w:pgSz w:w="11900" w:h="16838" w:orient="portrait"/>
          <w:cols w:equalWidth="0" w:num="1">
            <w:col w:w="11280"/>
          </w:cols>
          <w:pgMar w:left="300" w:top="729" w:right="3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2022,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4"/>
          <w:szCs w:val="14"/>
          <w:color w:val="auto"/>
        </w:rPr>
        <w:t>Date: May 20, 2022</w:t>
      </w:r>
      <w:r>
        <w:rPr>
          <w:sz w:val="20"/>
          <w:szCs w:val="20"/>
          <w:color w:val="auto"/>
        </w:rPr>
        <w:tab/>
      </w:r>
      <w:r>
        <w:rPr>
          <w:rFonts w:ascii="Arial" w:cs="Arial" w:eastAsia="Arial" w:hAnsi="Arial"/>
          <w:sz w:val="12"/>
          <w:szCs w:val="12"/>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12065</wp:posOffset>
            </wp:positionV>
            <wp:extent cx="289052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0">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4"/>
          <w:szCs w:val="14"/>
          <w:color w:val="auto"/>
        </w:rPr>
        <w:t>Horacio D. Rozanski</w:t>
      </w:r>
    </w:p>
    <w:p>
      <w:pPr>
        <w:ind w:left="6720"/>
        <w:spacing w:after="0" w:line="205" w:lineRule="auto"/>
        <w:rPr>
          <w:sz w:val="20"/>
          <w:szCs w:val="20"/>
          <w:color w:val="auto"/>
        </w:rPr>
      </w:pPr>
      <w:r>
        <w:rPr>
          <w:rFonts w:ascii="Arial" w:cs="Arial" w:eastAsia="Arial" w:hAnsi="Arial"/>
          <w:sz w:val="14"/>
          <w:szCs w:val="14"/>
          <w:color w:val="auto"/>
        </w:rPr>
        <w:t>President and Chief Executive Officer</w:t>
      </w:r>
    </w:p>
    <w:p>
      <w:pPr>
        <w:ind w:left="6720"/>
        <w:spacing w:after="0"/>
        <w:rPr>
          <w:sz w:val="20"/>
          <w:szCs w:val="20"/>
          <w:color w:val="auto"/>
        </w:rPr>
      </w:pPr>
      <w:r>
        <w:rPr>
          <w:rFonts w:ascii="Arial" w:cs="Arial" w:eastAsia="Arial" w:hAnsi="Arial"/>
          <w:sz w:val="14"/>
          <w:szCs w:val="14"/>
          <w:color w:val="auto"/>
        </w:rPr>
        <w:t>(Principal Executive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29" w:right="3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2022,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May 20, 2022</w:t>
      </w:r>
      <w:r>
        <w:rPr>
          <w:sz w:val="20"/>
          <w:szCs w:val="20"/>
          <w:color w:val="auto"/>
        </w:rPr>
        <w:tab/>
      </w:r>
      <w:r>
        <w:rPr>
          <w:rFonts w:ascii="Arial" w:cs="Arial" w:eastAsia="Arial" w:hAnsi="Arial"/>
          <w:sz w:val="13"/>
          <w:szCs w:val="13"/>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0233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1">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4"/>
          <w:szCs w:val="14"/>
          <w:color w:val="auto"/>
        </w:rPr>
        <w:t>Lloyd W. Howell, Jr.</w:t>
      </w:r>
    </w:p>
    <w:p>
      <w:pPr>
        <w:ind w:left="5900"/>
        <w:spacing w:after="0"/>
        <w:rPr>
          <w:sz w:val="20"/>
          <w:szCs w:val="20"/>
          <w:color w:val="auto"/>
        </w:rPr>
      </w:pPr>
      <w:r>
        <w:rPr>
          <w:rFonts w:ascii="Arial" w:cs="Arial" w:eastAsia="Arial" w:hAnsi="Arial"/>
          <w:sz w:val="14"/>
          <w:szCs w:val="14"/>
          <w:color w:val="auto"/>
        </w:rPr>
        <w:t>Executive Vice President and Chief Financial Officer (Principal Financial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
      <w:numFmt w:val="bullet"/>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
      <w:numFmt w:val="bullet"/>
      <w:start w:val="1"/>
    </w:lvl>
  </w:abstractNum>
  <w:abstractNum w:abstractNumId="10">
    <w:nsid w:val="799D0247"/>
    <w:multiLevelType w:val="hybridMultilevel"/>
    <w:lvl w:ilvl="0">
      <w:lvlJc w:val="left"/>
      <w:lvlText w:val="•"/>
      <w:numFmt w:val="bullet"/>
      <w:start w:val="1"/>
    </w:lvl>
  </w:abstractNum>
  <w:abstractNum w:abstractNumId="11">
    <w:nsid w:val="6B94764"/>
    <w:multiLevelType w:val="hybridMultilevel"/>
    <w:lvl w:ilvl="0">
      <w:lvlJc w:val="left"/>
      <w:lvlText w:val="•"/>
      <w:numFmt w:val="bullet"/>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
      <w:numFmt w:val="bullet"/>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
      <w:numFmt w:val="bullet"/>
      <w:start w:val="1"/>
    </w:lvl>
  </w:abstractNum>
  <w:abstractNum w:abstractNumId="31">
    <w:nsid w:val="6A5EE64"/>
    <w:multiLevelType w:val="hybridMultilevel"/>
    <w:lvl w:ilvl="0">
      <w:lvlJc w:val="left"/>
      <w:lvlText w:val="•"/>
      <w:numFmt w:val="bullet"/>
      <w:start w:val="1"/>
    </w:lvl>
  </w:abstractNum>
  <w:abstractNum w:abstractNumId="32">
    <w:nsid w:val="14330624"/>
    <w:multiLevelType w:val="hybridMultilevel"/>
    <w:lvl w:ilvl="0">
      <w:lvlJc w:val="left"/>
      <w:lvlText w:val="•"/>
      <w:numFmt w:val="bullet"/>
      <w:start w:val="1"/>
    </w:lvl>
  </w:abstractNum>
  <w:abstractNum w:abstractNumId="33">
    <w:nsid w:val="7FFFCA11"/>
    <w:multiLevelType w:val="hybridMultilevel"/>
    <w:lvl w:ilvl="0">
      <w:lvlJc w:val="left"/>
      <w:lvlText w:val="▪"/>
      <w:numFmt w:val="bullet"/>
      <w:start w:val="1"/>
    </w:lvl>
  </w:abstractNum>
  <w:abstractNum w:abstractNumId="34">
    <w:nsid w:val="1A27709E"/>
    <w:multiLevelType w:val="hybridMultilevel"/>
    <w:lvl w:ilvl="0">
      <w:lvlJc w:val="left"/>
      <w:lvlText w:val="◦"/>
      <w:numFmt w:val="bullet"/>
      <w:start w:val="1"/>
    </w:lvl>
  </w:abstractNum>
  <w:abstractNum w:abstractNumId="35">
    <w:nsid w:val="71EA1109"/>
    <w:multiLevelType w:val="hybridMultilevel"/>
    <w:lvl w:ilvl="0">
      <w:lvlJc w:val="left"/>
      <w:lvlText w:val="•"/>
      <w:numFmt w:val="bullet"/>
      <w:start w:val="1"/>
    </w:lvl>
  </w:abstractNum>
  <w:abstractNum w:abstractNumId="36">
    <w:nsid w:val="100F59DC"/>
    <w:multiLevelType w:val="hybridMultilevel"/>
    <w:lvl w:ilvl="0">
      <w:lvlJc w:val="left"/>
      <w:lvlText w:val="•"/>
      <w:numFmt w:val="bullet"/>
      <w:start w:val="1"/>
    </w:lvl>
  </w:abstractNum>
  <w:abstractNum w:abstractNumId="37">
    <w:nsid w:val="7FB7E0AA"/>
    <w:multiLevelType w:val="hybridMultilevel"/>
    <w:lvl w:ilvl="0">
      <w:lvlJc w:val="left"/>
      <w:lvlText w:val="•"/>
      <w:numFmt w:val="bullet"/>
      <w:start w:val="1"/>
    </w:lvl>
  </w:abstractNum>
  <w:abstractNum w:abstractNumId="38">
    <w:nsid w:val="6EB5BD4"/>
    <w:multiLevelType w:val="hybridMultilevel"/>
    <w:lvl w:ilvl="0">
      <w:lvlJc w:val="left"/>
      <w:lvlText w:val="(%1)"/>
      <w:numFmt w:val="decimal"/>
      <w:start w:val="1"/>
    </w:lvl>
  </w:abstractNum>
  <w:abstractNum w:abstractNumId="39">
    <w:nsid w:val="6F6DD9AC"/>
    <w:multiLevelType w:val="hybridMultilevel"/>
    <w:lvl w:ilvl="0">
      <w:lvlJc w:val="left"/>
      <w:lvlText w:val="(%1)"/>
      <w:numFmt w:val="lowerRoman"/>
      <w:start w:val="2"/>
    </w:lvl>
    <w:lvl w:ilvl="1">
      <w:lvlJc w:val="left"/>
      <w:lvlText w:val="•"/>
      <w:numFmt w:val="bullet"/>
      <w:start w:val="1"/>
    </w:lvl>
    <w:lvl w:ilvl="2">
      <w:lvlJc w:val="left"/>
      <w:lvlText w:val="(%3)"/>
      <w:numFmt w:val="lowerRoman"/>
      <w:start w:val="4"/>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
      <w:numFmt w:val="bullet"/>
      <w:start w:val="1"/>
    </w:lvl>
  </w:abstractNum>
  <w:abstractNum w:abstractNumId="46">
    <w:nsid w:val="3222E7CD"/>
    <w:multiLevelType w:val="hybridMultilevel"/>
    <w:lvl w:ilvl="0">
      <w:lvlJc w:val="left"/>
      <w:lvlText w:val="•"/>
      <w:numFmt w:val="bullet"/>
      <w:start w:val="1"/>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
      <w:numFmt w:val="bullet"/>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
      <w:numFmt w:val="bullet"/>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1."/>
      <w:numFmt w:val="decimal"/>
      <w:start w:val="1"/>
    </w:lvl>
  </w:abstractNum>
  <w:abstractNum w:abstractNumId="53">
    <w:nsid w:val="57FC4FBB"/>
    <w:multiLevelType w:val="hybridMultilevel"/>
    <w:lvl w:ilvl="0">
      <w:lvlJc w:val="left"/>
      <w:lvlText w:val="%1."/>
      <w:numFmt w:val="decimal"/>
      <w:start w:val="2"/>
    </w:lvl>
  </w:abstractNum>
  <w:abstractNum w:abstractNumId="54">
    <w:nsid w:val="CC1016F"/>
    <w:multiLevelType w:val="hybridMultilevel"/>
    <w:lvl w:ilvl="0">
      <w:lvlJc w:val="left"/>
      <w:lvlText w:val="•"/>
      <w:numFmt w:val="bullet"/>
      <w:start w:val="1"/>
    </w:lvl>
  </w:abstractNum>
  <w:abstractNum w:abstractNumId="55">
    <w:nsid w:val="43F18422"/>
    <w:multiLevelType w:val="hybridMultilevel"/>
    <w:lvl w:ilvl="0">
      <w:lvlJc w:val="left"/>
      <w:lvlText w:val="(%1)"/>
      <w:numFmt w:val="decimal"/>
      <w:start w:val="1"/>
    </w:lvl>
  </w:abstractNum>
  <w:abstractNum w:abstractNumId="56">
    <w:nsid w:val="60EF0119"/>
    <w:multiLevelType w:val="hybridMultilevel"/>
    <w:lvl w:ilvl="0">
      <w:lvlJc w:val="left"/>
      <w:lvlText w:val="(%1)"/>
      <w:numFmt w:val="decimal"/>
      <w:start w:val="1"/>
    </w:lvl>
  </w:abstractNum>
  <w:abstractNum w:abstractNumId="57">
    <w:nsid w:val="26F324BA"/>
    <w:multiLevelType w:val="hybridMultilevel"/>
    <w:lvl w:ilvl="0">
      <w:lvlJc w:val="left"/>
      <w:lvlText w:val="%1."/>
      <w:numFmt w:val="decimal"/>
      <w:start w:val="5"/>
    </w:lvl>
  </w:abstractNum>
  <w:abstractNum w:abstractNumId="58">
    <w:nsid w:val="7F01579B"/>
    <w:multiLevelType w:val="hybridMultilevel"/>
    <w:lvl w:ilvl="0">
      <w:lvlJc w:val="left"/>
      <w:lvlText w:val="%1."/>
      <w:numFmt w:val="decimal"/>
      <w:start w:val="6"/>
    </w:lvl>
  </w:abstractNum>
  <w:abstractNum w:abstractNumId="59">
    <w:nsid w:val="49DA307D"/>
    <w:multiLevelType w:val="hybridMultilevel"/>
    <w:lvl w:ilvl="0">
      <w:lvlJc w:val="left"/>
      <w:lvlText w:val="%1."/>
      <w:numFmt w:val="decimal"/>
      <w:start w:val="8"/>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1"/>
    </w:lvl>
  </w:abstractNum>
  <w:abstractNum w:abstractNumId="62">
    <w:nsid w:val="50801EE1"/>
    <w:multiLevelType w:val="hybridMultilevel"/>
    <w:lvl w:ilvl="0">
      <w:lvlJc w:val="left"/>
      <w:lvlText w:val="(%1)"/>
      <w:numFmt w:val="decimal"/>
      <w:start w:val="1"/>
    </w:lvl>
  </w:abstractNum>
  <w:abstractNum w:abstractNumId="63">
    <w:nsid w:val="488AC1A"/>
    <w:multiLevelType w:val="hybridMultilevel"/>
    <w:lvl w:ilvl="0">
      <w:lvlJc w:val="left"/>
      <w:lvlText w:val="(%1)"/>
      <w:numFmt w:val="decimal"/>
      <w:start w:val="2"/>
    </w:lvl>
  </w:abstractNum>
  <w:abstractNum w:abstractNumId="64">
    <w:nsid w:val="5FB8011C"/>
    <w:multiLevelType w:val="hybridMultilevel"/>
    <w:lvl w:ilvl="0">
      <w:lvlJc w:val="left"/>
      <w:lvlText w:val="(%1)"/>
      <w:numFmt w:val="decimal"/>
      <w:start w:val="3"/>
    </w:lvl>
  </w:abstractNum>
  <w:abstractNum w:abstractNumId="65">
    <w:nsid w:val="6AA78F7F"/>
    <w:multiLevelType w:val="hybridMultilevel"/>
    <w:lvl w:ilvl="0">
      <w:lvlJc w:val="left"/>
      <w:lvlText w:val="(%1)"/>
      <w:numFmt w:val="decimal"/>
      <w:start w:val="1"/>
    </w:lvl>
  </w:abstractNum>
  <w:abstractNum w:abstractNumId="66">
    <w:nsid w:val="7672BD23"/>
    <w:multiLevelType w:val="hybridMultilevel"/>
    <w:lvl w:ilvl="0">
      <w:lvlJc w:val="left"/>
      <w:lvlText w:val="(%1)"/>
      <w:numFmt w:val="decimal"/>
      <w:start w:val="1"/>
    </w:lvl>
  </w:abstractNum>
  <w:abstractNum w:abstractNumId="67">
    <w:nsid w:val="6FC75AF8"/>
    <w:multiLevelType w:val="hybridMultilevel"/>
    <w:lvl w:ilvl="0">
      <w:lvlJc w:val="left"/>
      <w:lvlText w:val="(%1)"/>
      <w:numFmt w:val="decimal"/>
      <w:start w:val="1"/>
    </w:lvl>
  </w:abstractNum>
  <w:abstractNum w:abstractNumId="68">
    <w:nsid w:val="6A5F7029"/>
    <w:multiLevelType w:val="hybridMultilevel"/>
    <w:lvl w:ilvl="0">
      <w:lvlJc w:val="left"/>
      <w:lvlText w:val="(%1)"/>
      <w:numFmt w:val="lowerLetter"/>
      <w:start w:val="1"/>
    </w:lvl>
    <w:lvl w:ilvl="1">
      <w:lvlJc w:val="left"/>
      <w:lvlText w:val="(%2)"/>
      <w:numFmt w:val="decimal"/>
      <w:start w:val="1"/>
    </w:lvl>
  </w:abstractNum>
  <w:abstractNum w:abstractNumId="69">
    <w:nsid w:val="7D5E18F8"/>
    <w:multiLevelType w:val="hybridMultilevel"/>
    <w:lvl w:ilvl="0">
      <w:lvlJc w:val="left"/>
      <w:lvlText w:val="%1"/>
      <w:numFmt w:val="decimal"/>
      <w:start w:val="21"/>
    </w:lvl>
  </w:abstractNum>
  <w:abstractNum w:abstractNumId="70">
    <w:nsid w:val="5F3534A4"/>
    <w:multiLevelType w:val="hybridMultilevel"/>
    <w:lvl w:ilvl="0">
      <w:lvlJc w:val="left"/>
      <w:lvlText w:val="%1"/>
      <w:numFmt w:val="decimal"/>
      <w:start w:val="23"/>
    </w:lvl>
  </w:abstractNum>
  <w:abstractNum w:abstractNumId="71">
    <w:nsid w:val="73A1821B"/>
    <w:multiLevelType w:val="hybridMultilevel"/>
    <w:lvl w:ilvl="0">
      <w:lvlJc w:val="left"/>
      <w:lvlText w:val="%1"/>
      <w:numFmt w:val="decimal"/>
      <w:start w:val="101"/>
    </w:lvl>
  </w:abstractNum>
  <w:abstractNum w:abstractNumId="72">
    <w:nsid w:val="7DE67713"/>
    <w:multiLevelType w:val="hybridMultilevel"/>
    <w:lvl w:ilvl="0">
      <w:lvlJc w:val="left"/>
      <w:lvlText w:val="*"/>
      <w:numFmt w:val="bullet"/>
      <w:start w:val="1"/>
    </w:lvl>
    <w:lvl w:ilvl="1">
      <w:lvlJc w:val="left"/>
      <w:lvlText w:val="%2"/>
      <w:numFmt w:val="decimal"/>
      <w:start w:val="104"/>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1"/>
    </w:lvl>
  </w:abstractNum>
  <w:abstractNum w:abstractNumId="75">
    <w:nsid w:val="14FCE74E"/>
    <w:multiLevelType w:val="hybridMultilevel"/>
    <w:lvl w:ilvl="0">
      <w:lvlJc w:val="left"/>
      <w:lvlText w:val="(%1)"/>
      <w:numFmt w:val="lowerLetter"/>
      <w:start w:val="4"/>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1"/>
    </w:lvl>
  </w:abstractNum>
  <w:abstractNum w:abstractNumId="79">
    <w:nsid w:val="53299938"/>
    <w:multiLevelType w:val="hybridMultilevel"/>
    <w:lvl w:ilvl="0">
      <w:lvlJc w:val="left"/>
      <w:lvlText w:val="(%1)"/>
      <w:numFmt w:val="lowerLetter"/>
      <w:start w:val="2"/>
    </w:lvl>
  </w:abstractNum>
  <w:abstractNum w:abstractNumId="80">
    <w:nsid w:val="1FBFE8E0"/>
    <w:multiLevelType w:val="hybridMultilevel"/>
    <w:lvl w:ilvl="0">
      <w:lvlJc w:val="left"/>
      <w:lvlText w:val="(%1)"/>
      <w:numFmt w:val="lowerLetter"/>
      <w:start w:val="1"/>
    </w:lvl>
  </w:abstractNum>
  <w:abstractNum w:abstractNumId="81">
    <w:nsid w:val="5092CA79"/>
    <w:multiLevelType w:val="hybridMultilevel"/>
    <w:lvl w:ilvl="0">
      <w:lvlJc w:val="left"/>
      <w:lvlText w:val="%1."/>
      <w:numFmt w:val="decimal"/>
      <w:start w:val="1"/>
    </w:lvl>
  </w:abstractNum>
  <w:abstractNum w:abstractNumId="82">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59ADEA3D"/>
    <w:multiLevelType w:val="hybridMultilevel"/>
    <w:lvl w:ilvl="0">
      <w:lvlJc w:val="left"/>
      <w:lvlText w:val="(%1)"/>
      <w:numFmt w:val="decimal"/>
      <w:start w:val="12"/>
    </w:lvl>
    <w:lvl w:ilvl="1">
      <w:lvlJc w:val="left"/>
      <w:lvlText w:val="(%2)"/>
      <w:numFmt w:val="lowerLetter"/>
      <w:start w:val="2"/>
    </w:lvl>
    <w:lvl w:ilvl="2">
      <w:lvlJc w:val="left"/>
      <w:lvlText w:val="(%3)"/>
      <w:numFmt w:val="lowerRoman"/>
      <w:start w:val="4"/>
    </w:lvl>
  </w:abstractNum>
  <w:abstractNum w:abstractNumId="84">
    <w:nsid w:val="288F1A34"/>
    <w:multiLevelType w:val="hybridMultilevel"/>
    <w:lvl w:ilvl="0">
      <w:lvlJc w:val="left"/>
      <w:lvlText w:val="(%1)"/>
      <w:numFmt w:val="lowerLetter"/>
      <w:start w:val="4"/>
    </w:lvl>
  </w:abstractNum>
  <w:abstractNum w:abstractNumId="85">
    <w:nsid w:val="2A155DBC"/>
    <w:multiLevelType w:val="hybridMultilevel"/>
    <w:lvl w:ilvl="0">
      <w:lvlJc w:val="left"/>
      <w:lvlText w:val="%1."/>
      <w:numFmt w:val="decimal"/>
      <w:start w:val="3"/>
    </w:lvl>
  </w:abstractNum>
  <w:abstractNum w:abstractNumId="86">
    <w:nsid w:val="1D9F6E5F"/>
    <w:multiLevelType w:val="hybridMultilevel"/>
    <w:lvl w:ilvl="0">
      <w:lvlJc w:val="left"/>
      <w:lvlText w:val="%1."/>
      <w:numFmt w:val="decimal"/>
      <w:start w:val="4"/>
    </w:lvl>
  </w:abstractNum>
  <w:abstractNum w:abstractNumId="87">
    <w:nsid w:val="97E1B4E"/>
    <w:multiLevelType w:val="hybridMultilevel"/>
    <w:lvl w:ilvl="0">
      <w:lvlJc w:val="left"/>
      <w:lvlText w:val="(%1)"/>
      <w:numFmt w:val="lowerLetter"/>
      <w:start w:val="1"/>
    </w:lvl>
  </w:abstractNum>
  <w:abstractNum w:abstractNumId="88">
    <w:nsid w:val="51088277"/>
    <w:multiLevelType w:val="hybridMultilevel"/>
    <w:lvl w:ilvl="0">
      <w:lvlJc w:val="left"/>
      <w:lvlText w:val="%1."/>
      <w:numFmt w:val="decimal"/>
      <w:start w:val="6"/>
    </w:lvl>
  </w:abstractNum>
  <w:abstractNum w:abstractNumId="89">
    <w:nsid w:val="1CA0C5FA"/>
    <w:multiLevelType w:val="hybridMultilevel"/>
    <w:lvl w:ilvl="0">
      <w:lvlJc w:val="left"/>
      <w:lvlText w:val="(%1)"/>
      <w:numFmt w:val="lowerLetter"/>
      <w:start w:val="1"/>
    </w:lvl>
  </w:abstractNum>
  <w:abstractNum w:abstractNumId="90">
    <w:nsid w:val="53584BCB"/>
    <w:multiLevelType w:val="hybridMultilevel"/>
    <w:lvl w:ilvl="0">
      <w:lvlJc w:val="left"/>
      <w:lvlText w:val="(%1)"/>
      <w:numFmt w:val="lowerLetter"/>
      <w:start w:val="2"/>
    </w:lvl>
  </w:abstractNum>
  <w:abstractNum w:abstractNumId="91">
    <w:nsid w:val="415E286C"/>
    <w:multiLevelType w:val="hybridMultilevel"/>
    <w:lvl w:ilvl="0">
      <w:lvlJc w:val="left"/>
      <w:lvlText w:val="%1."/>
      <w:numFmt w:val="decimal"/>
      <w:start w:val="7"/>
    </w:lvl>
  </w:abstractNum>
  <w:abstractNum w:abstractNumId="92">
    <w:nsid w:val="7C58FD05"/>
    <w:multiLevelType w:val="hybridMultilevel"/>
    <w:lvl w:ilvl="0">
      <w:lvlJc w:val="left"/>
      <w:lvlText w:val="%1."/>
      <w:numFmt w:val="decimal"/>
      <w:start w:val="9"/>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lowerLetter"/>
      <w:start w:val="9"/>
    </w:lvl>
  </w:abstractNum>
  <w:abstractNum w:abstractNumId="95">
    <w:nsid w:val="5C10FE21"/>
    <w:multiLevelType w:val="hybridMultilevel"/>
    <w:lvl w:ilvl="0">
      <w:lvlJc w:val="left"/>
      <w:lvlText w:val="%1."/>
      <w:numFmt w:val="decimal"/>
      <w:start w:val="10"/>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4"/>
    </w:lvl>
  </w:abstractNum>
  <w:abstractNum w:abstractNumId="98">
    <w:nsid w:val="4BD8591A"/>
    <w:multiLevelType w:val="hybridMultilevel"/>
    <w:lvl w:ilvl="0">
      <w:lvlJc w:val="left"/>
      <w:lvlText w:val="(%1)"/>
      <w:numFmt w:val="lowerLetter"/>
      <w:start w:val="12"/>
    </w:lvl>
  </w:abstractNum>
  <w:abstractNum w:abstractNumId="99">
    <w:nsid w:val="78DF6A55"/>
    <w:multiLevelType w:val="hybridMultilevel"/>
    <w:lvl w:ilvl="0">
      <w:lvlJc w:val="left"/>
      <w:lvlText w:val="%1."/>
      <w:numFmt w:val="decimal"/>
      <w:start w:val="1"/>
    </w:lvl>
  </w:abstractNum>
  <w:abstractNum w:abstractNumId="100">
    <w:nsid w:val="39B7AAA2"/>
    <w:multiLevelType w:val="hybridMultilevel"/>
    <w:lvl w:ilvl="0">
      <w:lvlJc w:val="left"/>
      <w:lvlText w:val="(%1)"/>
      <w:numFmt w:val="lowerLetter"/>
      <w:start w:val="1"/>
    </w:lvl>
    <w:lvl w:ilvl="1">
      <w:lvlJc w:val="left"/>
      <w:lvlText w:val="(%2)"/>
      <w:numFmt w:val="lowerRoman"/>
      <w:start w:val="1"/>
    </w:lvl>
  </w:abstractNum>
  <w:abstractNum w:abstractNumId="101">
    <w:nsid w:val="2B0D8DBE"/>
    <w:multiLevelType w:val="hybridMultilevel"/>
    <w:lvl w:ilvl="0">
      <w:lvlJc w:val="left"/>
      <w:lvlText w:val="%1"/>
      <w:numFmt w:val="lowerLetter"/>
      <w:start w:val="1"/>
    </w:lvl>
    <w:lvl w:ilvl="1">
      <w:lvlJc w:val="left"/>
      <w:lvlText w:val="(%2)"/>
      <w:numFmt w:val="lowerRoman"/>
      <w:start w:val="4"/>
    </w:lvl>
  </w:abstractNum>
  <w:abstractNum w:abstractNumId="102">
    <w:nsid w:val="6C80EC70"/>
    <w:multiLevelType w:val="hybridMultilevel"/>
    <w:lvl w:ilvl="0">
      <w:lvlJc w:val="left"/>
      <w:lvlText w:val="(%1)"/>
      <w:numFmt w:val="lowerLetter"/>
      <w:start w:val="3"/>
    </w:lvl>
    <w:lvl w:ilvl="1">
      <w:lvlJc w:val="left"/>
      <w:lvlText w:val="%2"/>
      <w:numFmt w:val="lowerRoman"/>
      <w:start w:val="1"/>
    </w:lvl>
  </w:abstractNum>
  <w:abstractNum w:abstractNumId="103">
    <w:nsid w:val="379E21B5"/>
    <w:multiLevelType w:val="hybridMultilevel"/>
    <w:lvl w:ilvl="0">
      <w:lvlJc w:val="left"/>
      <w:lvlText w:val="(%1)"/>
      <w:numFmt w:val="lowerLetter"/>
      <w:start w:val="6"/>
    </w:lvl>
  </w:abstractNum>
  <w:abstractNum w:abstractNumId="104">
    <w:nsid w:val="69E373"/>
    <w:multiLevelType w:val="hybridMultilevel"/>
    <w:lvl w:ilvl="0">
      <w:lvlJc w:val="left"/>
      <w:lvlText w:val="%1."/>
      <w:numFmt w:val="decimal"/>
      <w:start w:val="3"/>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decimal"/>
      <w:start w:val="4"/>
    </w:lvl>
  </w:abstractNum>
  <w:abstractNum w:abstractNumId="107">
    <w:nsid w:val="6AA7B75C"/>
    <w:multiLevelType w:val="hybridMultilevel"/>
    <w:lvl w:ilvl="0">
      <w:lvlJc w:val="left"/>
      <w:lvlText w:val="%1."/>
      <w:numFmt w:val="decimal"/>
      <w:start w:val="5"/>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decimal"/>
      <w:start w:val="6"/>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decimal"/>
      <w:start w:val="7"/>
    </w:lvl>
  </w:abstractNum>
  <w:abstractNum w:abstractNumId="112">
    <w:nsid w:val="2708C9AF"/>
    <w:multiLevelType w:val="hybridMultilevel"/>
    <w:lvl w:ilvl="0">
      <w:lvlJc w:val="left"/>
      <w:lvlText w:val="%1."/>
      <w:numFmt w:val="decimal"/>
      <w:start w:val="8"/>
    </w:lvl>
  </w:abstractNum>
  <w:abstractNum w:abstractNumId="113">
    <w:nsid w:val="5B25ACE2"/>
    <w:multiLevelType w:val="hybridMultilevel"/>
    <w:lvl w:ilvl="0">
      <w:lvlJc w:val="left"/>
      <w:lvlText w:val="%1."/>
      <w:numFmt w:val="decimal"/>
      <w:start w:val="9"/>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6"/>
    </w:lvl>
  </w:abstractNum>
  <w:abstractNum w:abstractNumId="116">
    <w:nsid w:val="53B0A9E"/>
    <w:multiLevelType w:val="hybridMultilevel"/>
    <w:lvl w:ilvl="0">
      <w:lvlJc w:val="left"/>
      <w:lvlText w:val="%1."/>
      <w:numFmt w:val="decimal"/>
      <w:start w:val="10"/>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4"/>
    </w:lvl>
  </w:abstractNum>
  <w:abstractNum w:abstractNumId="119">
    <w:nsid w:val="56438D15"/>
    <w:multiLevelType w:val="hybridMultilevel"/>
    <w:lvl w:ilvl="0">
      <w:lvlJc w:val="left"/>
      <w:lvlText w:val="(%1)"/>
      <w:numFmt w:val="lowerLetter"/>
      <w:start w:val="12"/>
    </w:lvl>
  </w:abstractNum>
  <w:abstractNum w:abstractNumId="120">
    <w:nsid w:val="519E3149"/>
    <w:multiLevelType w:val="hybridMultilevel"/>
    <w:lvl w:ilvl="0">
      <w:lvlJc w:val="left"/>
      <w:lvlText w:val="•"/>
      <w:numFmt w:val="bullet"/>
      <w:start w:val="1"/>
    </w:lvl>
  </w:abstractNum>
  <w:abstractNum w:abstractNumId="121">
    <w:nsid w:val="2C6E4AFD"/>
    <w:multiLevelType w:val="hybridMultilevel"/>
    <w:lvl w:ilvl="0">
      <w:lvlJc w:val="left"/>
      <w:lvlText w:val="%1."/>
      <w:numFmt w:val="decimal"/>
      <w:start w:val="1"/>
    </w:lvl>
  </w:abstractNum>
  <w:abstractNum w:abstractNumId="122">
    <w:nsid w:val="17A1B582"/>
    <w:multiLevelType w:val="hybridMultilevel"/>
    <w:lvl w:ilvl="0">
      <w:lvlJc w:val="left"/>
      <w:lvlText w:val="(%1)"/>
      <w:numFmt w:val="lowerLetter"/>
      <w:start w:val="1"/>
    </w:lvl>
  </w:abstractNum>
  <w:abstractNum w:abstractNumId="123">
    <w:nsid w:val="4DF72E4E"/>
    <w:multiLevelType w:val="hybridMultilevel"/>
    <w:lvl w:ilvl="0">
      <w:lvlJc w:val="left"/>
      <w:lvlText w:val="%1."/>
      <w:numFmt w:val="decimal"/>
      <w:start w:val="5"/>
    </w:lvl>
  </w:abstractNum>
  <w:abstractNum w:abstractNumId="124">
    <w:nsid w:val="5046B5A9"/>
    <w:multiLevelType w:val="hybridMultilevel"/>
    <w:lvl w:ilvl="0">
      <w:lvlJc w:val="left"/>
      <w:lvlText w:val="(%1)"/>
      <w:numFmt w:val="lowerLetter"/>
      <w:start w:val="1"/>
    </w:lvl>
  </w:abstractNum>
  <w:abstractNum w:abstractNumId="125">
    <w:nsid w:val="5D888A08"/>
    <w:multiLevelType w:val="hybridMultilevel"/>
    <w:lvl w:ilvl="0">
      <w:lvlJc w:val="left"/>
      <w:lvlText w:val="%1."/>
      <w:numFmt w:val="decimal"/>
      <w:start w:val="1"/>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decimal"/>
      <w:start w:val="5"/>
    </w:lvl>
  </w:abstractNum>
  <w:abstractNum w:abstractNumId="128">
    <w:nsid w:val="19E21BB2"/>
    <w:multiLevelType w:val="hybridMultilevel"/>
    <w:lvl w:ilvl="0">
      <w:lvlJc w:val="left"/>
      <w:lvlText w:val="(%1)"/>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19" Type="http://schemas.openxmlformats.org/officeDocument/2006/relationships/image" Target="media/image138.png"/><Relationship Id="rId220" Type="http://schemas.openxmlformats.org/officeDocument/2006/relationships/image" Target="media/image139.png"/><Relationship Id="rId223" Type="http://schemas.openxmlformats.org/officeDocument/2006/relationships/image" Target="media/image140.png"/><Relationship Id="rId224" Type="http://schemas.openxmlformats.org/officeDocument/2006/relationships/image" Target="media/image141.png"/><Relationship Id="rId225" Type="http://schemas.openxmlformats.org/officeDocument/2006/relationships/image" Target="media/image142.png"/><Relationship Id="rId226" Type="http://schemas.openxmlformats.org/officeDocument/2006/relationships/image" Target="media/image143.png"/><Relationship Id="rId227" Type="http://schemas.openxmlformats.org/officeDocument/2006/relationships/image" Target="media/image144.png"/><Relationship Id="rId228" Type="http://schemas.openxmlformats.org/officeDocument/2006/relationships/image" Target="media/image145.png"/><Relationship Id="rId229" Type="http://schemas.openxmlformats.org/officeDocument/2006/relationships/image" Target="media/image146.png"/><Relationship Id="rId230" Type="http://schemas.openxmlformats.org/officeDocument/2006/relationships/image" Target="media/image147.png"/><Relationship Id="rId231" Type="http://schemas.openxmlformats.org/officeDocument/2006/relationships/image" Target="media/image148.png"/><Relationship Id="rId232" Type="http://schemas.openxmlformats.org/officeDocument/2006/relationships/image" Target="media/image149.png"/><Relationship Id="rId233" Type="http://schemas.openxmlformats.org/officeDocument/2006/relationships/image" Target="media/image150.png"/><Relationship Id="rId234" Type="http://schemas.openxmlformats.org/officeDocument/2006/relationships/image" Target="media/image151.png"/><Relationship Id="rId235" Type="http://schemas.openxmlformats.org/officeDocument/2006/relationships/image" Target="media/image152.png"/><Relationship Id="rId236" Type="http://schemas.openxmlformats.org/officeDocument/2006/relationships/image" Target="media/image153.png"/><Relationship Id="rId237" Type="http://schemas.openxmlformats.org/officeDocument/2006/relationships/image" Target="media/image154.png"/><Relationship Id="rId238" Type="http://schemas.openxmlformats.org/officeDocument/2006/relationships/image" Target="media/image155.png"/><Relationship Id="rId239" Type="http://schemas.openxmlformats.org/officeDocument/2006/relationships/image" Target="media/image156.png"/><Relationship Id="rId240" Type="http://schemas.openxmlformats.org/officeDocument/2006/relationships/image" Target="media/image157.png"/><Relationship Id="rId241" Type="http://schemas.openxmlformats.org/officeDocument/2006/relationships/image" Target="media/image158.png"/><Relationship Id="rId242" Type="http://schemas.openxmlformats.org/officeDocument/2006/relationships/image" Target="media/image159.png"/><Relationship Id="rId243" Type="http://schemas.openxmlformats.org/officeDocument/2006/relationships/image" Target="media/image160.png"/><Relationship Id="rId244" Type="http://schemas.openxmlformats.org/officeDocument/2006/relationships/image" Target="media/image161.png"/><Relationship Id="rId245" Type="http://schemas.openxmlformats.org/officeDocument/2006/relationships/image" Target="media/image162.png"/><Relationship Id="rId246" Type="http://schemas.openxmlformats.org/officeDocument/2006/relationships/image" Target="media/image163.png"/><Relationship Id="rId247" Type="http://schemas.openxmlformats.org/officeDocument/2006/relationships/image" Target="media/image164.png"/><Relationship Id="rId248" Type="http://schemas.openxmlformats.org/officeDocument/2006/relationships/image" Target="media/image165.png"/><Relationship Id="rId249" Type="http://schemas.openxmlformats.org/officeDocument/2006/relationships/image" Target="media/image166.png"/><Relationship Id="rId250" Type="http://schemas.openxmlformats.org/officeDocument/2006/relationships/image" Target="media/image167.png"/><Relationship Id="rId251" Type="http://schemas.openxmlformats.org/officeDocument/2006/relationships/image" Target="media/image168.png"/><Relationship Id="rId137" Type="http://schemas.openxmlformats.org/officeDocument/2006/relationships/hyperlink" Target="http://www.sec.gov/Archives/edgar/data/1443646/000095012310059548/w77668exv2w1.htm" TargetMode="External"/><Relationship Id="rId138" Type="http://schemas.openxmlformats.org/officeDocument/2006/relationships/hyperlink" Target="http://www.sec.gov/Archives/edgar/data/1443646/000095012310059548/w77668exv2w2.htm" TargetMode="External"/><Relationship Id="rId139" Type="http://schemas.openxmlformats.org/officeDocument/2006/relationships/hyperlink" Target="http://www.sec.gov/Archives/edgar/data/1443646/000095012310059548/w77668exv2w3.htm" TargetMode="External"/><Relationship Id="rId140" Type="http://schemas.openxmlformats.org/officeDocument/2006/relationships/hyperlink" Target="https://www.sec.gov/Archives/edgar/data/0001443646/000110465921060482/tm2114914d1_ex2-1.htm" TargetMode="External"/><Relationship Id="rId141" Type="http://schemas.openxmlformats.org/officeDocument/2006/relationships/hyperlink" Target="https://www.sec.gov/Archives/edgar/data/0001443646/000110465920090824/tm2026196d2_ex3-1.htm" TargetMode="External"/><Relationship Id="rId142" Type="http://schemas.openxmlformats.org/officeDocument/2006/relationships/hyperlink" Target="https://www.sec.gov/Archives/edgar/data/0001443646/000144364621000020/bah-20201231xex32.htm" TargetMode="External"/><Relationship Id="rId143" Type="http://schemas.openxmlformats.org/officeDocument/2006/relationships/hyperlink" Target="http://www.sec.gov/Archives/edgar/data/1443646/000095012310090358/w77668a3exv4w5.htm" TargetMode="External"/><Relationship Id="rId144" Type="http://schemas.openxmlformats.org/officeDocument/2006/relationships/hyperlink" Target="https://www.sec.gov/Archives/edgar/data/0001443646/000110465920097997/tm2029202d1_ex4-1.htm" TargetMode="External"/><Relationship Id="rId145" Type="http://schemas.openxmlformats.org/officeDocument/2006/relationships/hyperlink" Target="https://www.sec.gov/Archives/edgar/data/0001443646/000110465920097997/tm2029202d1_ex4-2.htm" TargetMode="External"/><Relationship Id="rId146" Type="http://schemas.openxmlformats.org/officeDocument/2006/relationships/hyperlink" Target="https://www.sec.gov/Archives/edgar/data/1443646/000144364622000013/bah-20211231xex41.htm" TargetMode="External"/><Relationship Id="rId147" Type="http://schemas.openxmlformats.org/officeDocument/2006/relationships/hyperlink" Target="https://www.sec.gov/Archives/edgar/data/1443646/000110465921082639/tm2118942d2_ex4-1.htm" TargetMode="External"/><Relationship Id="rId148" Type="http://schemas.openxmlformats.org/officeDocument/2006/relationships/hyperlink" Target="https://www.sec.gov/Archives/edgar/data/1443646/000110465921082639/tm2118942d2_ex4-2.htm" TargetMode="External"/><Relationship Id="rId149" Type="http://schemas.openxmlformats.org/officeDocument/2006/relationships/hyperlink" Target="https://www.sec.gov/Archives/edgar/data/1443646/000144364622000013/bah-20211231xex42.htm" TargetMode="External"/><Relationship Id="rId152" Type="http://schemas.openxmlformats.org/officeDocument/2006/relationships/hyperlink" Target="https://www.sec.gov/Archives/edgar/data/1443646/000144364621000079/bah-20210331xex45.htm" TargetMode="External"/><Relationship Id="rId153" Type="http://schemas.openxmlformats.org/officeDocument/2006/relationships/hyperlink" Target="http://www.sec.gov/Archives/edgar/data/1443646/000144364620000022/bah-20191231xex102.htm" TargetMode="External"/><Relationship Id="rId154" Type="http://schemas.openxmlformats.org/officeDocument/2006/relationships/hyperlink" Target="http://www.sec.gov/Archives/edgar/data/1443646/000095012310070415/w77668a1exv10w10.htm" TargetMode="External"/><Relationship Id="rId155" Type="http://schemas.openxmlformats.org/officeDocument/2006/relationships/hyperlink" Target="http://www.sec.gov/Archives/edgar/data/1443646/000095012310070415/w77668a1exv10w11.htm" TargetMode="External"/><Relationship Id="rId156" Type="http://schemas.openxmlformats.org/officeDocument/2006/relationships/hyperlink" Target="http://www.sec.gov/Archives/edgar/data/1443646/000095012310082535/w77668a2exv10w12.htm" TargetMode="External"/><Relationship Id="rId157" Type="http://schemas.openxmlformats.org/officeDocument/2006/relationships/hyperlink" Target="http://www.sec.gov/Archives/edgar/data/1443646/000144364620000022/bah-20191231xex103.htm" TargetMode="External"/><Relationship Id="rId158" Type="http://schemas.openxmlformats.org/officeDocument/2006/relationships/hyperlink" Target="http://www.sec.gov/Archives/edgar/data/1443646/000144364618000100/bah-20180331xex106.htm" TargetMode="External"/><Relationship Id="rId159" Type="http://schemas.openxmlformats.org/officeDocument/2006/relationships/hyperlink" Target="http://www.sec.gov/Archives/edgar/data/1443646/000144364618000100/bah-20180331xex107.htm" TargetMode="External"/><Relationship Id="rId160" Type="http://schemas.openxmlformats.org/officeDocument/2006/relationships/hyperlink" Target="http://www.sec.gov/Archives/edgar/data/1443646/000144364618000100/bah-20180331xex108.htm" TargetMode="External"/><Relationship Id="rId161" Type="http://schemas.openxmlformats.org/officeDocument/2006/relationships/hyperlink" Target="http://www.sec.gov/Archives/edgar/data/1443646/000144364615000018/bah-20150331xex1014.htm" TargetMode="External"/><Relationship Id="rId162" Type="http://schemas.openxmlformats.org/officeDocument/2006/relationships/hyperlink" Target="http://www.sec.gov/Archives/edgar/data/1443646/000144364618000100/bah-20180331xex1011.htm" TargetMode="External"/><Relationship Id="rId163" Type="http://schemas.openxmlformats.org/officeDocument/2006/relationships/hyperlink" Target="http://www.sec.gov/Archives/edgar/data/1443646/000095012310090358/w77668a3exv10w23.htm" TargetMode="External"/><Relationship Id="rId164" Type="http://schemas.openxmlformats.org/officeDocument/2006/relationships/hyperlink" Target="http://www.sec.gov/Archives/edgar/data/1443646/000095012311057569/w82973exv10w23.htm" TargetMode="External"/><Relationship Id="rId165" Type="http://schemas.openxmlformats.org/officeDocument/2006/relationships/hyperlink" Target="http://www.sec.gov/Archives/edgar/data/1443646/000144364618000100/bah-20180331xex1014.htm" TargetMode="External"/><Relationship Id="rId166" Type="http://schemas.openxmlformats.org/officeDocument/2006/relationships/hyperlink" Target="http://www.sec.gov/Archives/edgar/data/1443646/000119312512038532/d291187dex1025.htm" TargetMode="External"/><Relationship Id="rId167" Type="http://schemas.openxmlformats.org/officeDocument/2006/relationships/hyperlink" Target="http://www.sec.gov/Archives/edgar/data/1443646/000119312512327096/d388921dex101.htm" TargetMode="External"/><Relationship Id="rId168" Type="http://schemas.openxmlformats.org/officeDocument/2006/relationships/hyperlink" Target="http://www.sec.gov/Archives/edgar/data/1443646/000119312512327096/d388921dex102.htm" TargetMode="External"/><Relationship Id="rId171" Type="http://schemas.openxmlformats.org/officeDocument/2006/relationships/hyperlink" Target="http://www.sec.gov/Archives/edgar/data/1443646/000144364613000030/exhibit101-2013amendmentxf.htm" TargetMode="External"/><Relationship Id="rId172" Type="http://schemas.openxmlformats.org/officeDocument/2006/relationships/hyperlink" Target="http://www.sec.gov/Archives/edgar/data/1443646/000144364614000015/bah-20140331xex1027.htm" TargetMode="External"/><Relationship Id="rId173" Type="http://schemas.openxmlformats.org/officeDocument/2006/relationships/hyperlink" Target="http://www.sec.gov/Archives/edgar/data/1443646/000144364614000011/secondamendment.htm" TargetMode="External"/><Relationship Id="rId174" Type="http://schemas.openxmlformats.org/officeDocument/2006/relationships/hyperlink" Target="http://www.sec.gov/Archives/edgar/data/1443646/000144364616000173/bahamendmentno32016.htm" TargetMode="External"/><Relationship Id="rId175" Type="http://schemas.openxmlformats.org/officeDocument/2006/relationships/hyperlink" Target="http://www.sec.gov/Archives/edgar/data/1443646/000119312517032421/d295747dex101.htm" TargetMode="External"/><Relationship Id="rId176" Type="http://schemas.openxmlformats.org/officeDocument/2006/relationships/hyperlink" Target="http://www.sec.gov/Archives/edgar/data/1443646/000119312518073520/d502770dex101.htm" TargetMode="External"/><Relationship Id="rId177" Type="http://schemas.openxmlformats.org/officeDocument/2006/relationships/hyperlink" Target="http://www.sec.gov/Archives/edgar/data/1443646/000119312518224147/d549733dex101.htm" TargetMode="External"/><Relationship Id="rId178" Type="http://schemas.openxmlformats.org/officeDocument/2006/relationships/hyperlink" Target="http://www.sec.gov/Archives/edgar/data/1443646/000110465919067587/tm1923849d1_ex10-1.htm" TargetMode="External"/><Relationship Id="rId179" Type="http://schemas.openxmlformats.org/officeDocument/2006/relationships/hyperlink" Target="https://www.sec.gov/Archives/edgar/data/1443646/000110465921085389/tm2120619d1_ex10-1.htm" TargetMode="External"/><Relationship Id="rId180" Type="http://schemas.openxmlformats.org/officeDocument/2006/relationships/hyperlink" Target="http://www.sec.gov/Archives/edgar/data/1443646/000119312517189227/d506847dex101.htm" TargetMode="External"/><Relationship Id="rId183" Type="http://schemas.openxmlformats.org/officeDocument/2006/relationships/hyperlink" Target="http://www.sec.gov/Archives/edgar/data/1443646/000119312517189227/d506847dex102.htm" TargetMode="External"/><Relationship Id="rId184" Type="http://schemas.openxmlformats.org/officeDocument/2006/relationships/hyperlink" Target="http://www.sec.gov/Archives/edgar/data/1443646/000119312517189227/d506847dex103.htm" TargetMode="External"/><Relationship Id="rId185" Type="http://schemas.openxmlformats.org/officeDocument/2006/relationships/hyperlink" Target="http://www.sec.gov/Archives/edgar/data/1443646/000119312518314673/d645060dex101.htm" TargetMode="External"/><Relationship Id="rId186" Type="http://schemas.openxmlformats.org/officeDocument/2006/relationships/hyperlink" Target="http://www.sec.gov/Archives/edgar/data/1443646/000119312518314673/d645060dex102.htm" TargetMode="External"/><Relationship Id="rId187" Type="http://schemas.openxmlformats.org/officeDocument/2006/relationships/hyperlink" Target="https://www.sec.gov/Archives/edgar/data/1443646/000119312518314673/d645060dex103.htm" TargetMode="External"/><Relationship Id="rId188" Type="http://schemas.openxmlformats.org/officeDocument/2006/relationships/hyperlink" Target="http://www.sec.gov/Archives/edgar/data/1443646/000119312519100694/d733342dex101.htm" TargetMode="External"/><Relationship Id="rId189" Type="http://schemas.openxmlformats.org/officeDocument/2006/relationships/hyperlink" Target="https://www.sec.gov/Archives/edgar/data/1443646/000119312519100694/d733342dex102.htm" TargetMode="External"/><Relationship Id="rId190" Type="http://schemas.openxmlformats.org/officeDocument/2006/relationships/hyperlink" Target="http://www.sec.gov/Archives/edgar/data/1443646/000119312517189227/d506847dex104.htm" TargetMode="External"/><Relationship Id="rId191" Type="http://schemas.openxmlformats.org/officeDocument/2006/relationships/hyperlink" Target="http://www.sec.gov/Archives/edgar/data/1443646/000119312517189227/d506847dex105.htm" TargetMode="External"/><Relationship Id="rId192" Type="http://schemas.openxmlformats.org/officeDocument/2006/relationships/hyperlink" Target="http://www.sec.gov/Archives/edgar/data/1443646/000119312517189227/d506847dex106.htm" TargetMode="External"/><Relationship Id="rId193" Type="http://schemas.openxmlformats.org/officeDocument/2006/relationships/hyperlink" Target="http://www.sec.gov/Archives/edgar/data/1443646/000119312518314673/d645060dex105.htm" TargetMode="External"/><Relationship Id="rId194" Type="http://schemas.openxmlformats.org/officeDocument/2006/relationships/hyperlink" Target="http://www.sec.gov/Archives/edgar/data/1443646/000119312518314673/d645060dex106.htm" TargetMode="External"/><Relationship Id="rId195" Type="http://schemas.openxmlformats.org/officeDocument/2006/relationships/hyperlink" Target="http://www.sec.gov/Archives/edgar/data/1443646/000119312519100694/d733342dex107.htm" TargetMode="External"/><Relationship Id="rId196" Type="http://schemas.openxmlformats.org/officeDocument/2006/relationships/hyperlink" Target="http://www.sec.gov/Archives/edgar/data/1443646/000119312519100694/d733342dex108.htm" TargetMode="External"/><Relationship Id="rId197" Type="http://schemas.openxmlformats.org/officeDocument/2006/relationships/hyperlink" Target="http://www.sec.gov/Archives/edgar/data/1443646/000119312519100694/d733342dex109.htm" TargetMode="External"/><Relationship Id="rId198" Type="http://schemas.openxmlformats.org/officeDocument/2006/relationships/hyperlink" Target="http://www.sec.gov/Archives/edgar/data/1443646/000119312519100694/d733342dex1010.htm" TargetMode="External"/><Relationship Id="rId199" Type="http://schemas.openxmlformats.org/officeDocument/2006/relationships/hyperlink" Target="http://www.sec.gov/Archives/edgar/data/1443646/000119312519100694/d733342dex1011.htm" TargetMode="External"/><Relationship Id="rId202" Type="http://schemas.openxmlformats.org/officeDocument/2006/relationships/hyperlink" Target="http://www.sec.gov/Archives/edgar/data/1443646/000119312519100694/d733342dex1012.htm" TargetMode="External"/><Relationship Id="rId203" Type="http://schemas.openxmlformats.org/officeDocument/2006/relationships/hyperlink" Target="http://www.sec.gov/Archives/edgar/data/1443646/000119312519100694/d733342dex1013.htm" TargetMode="External"/><Relationship Id="rId204" Type="http://schemas.openxmlformats.org/officeDocument/2006/relationships/hyperlink" Target="http://www.sec.gov/Archives/edgar/data/1443646/000119312519100694/d733342dex1014.htm" TargetMode="External"/><Relationship Id="rId205" Type="http://schemas.openxmlformats.org/officeDocument/2006/relationships/hyperlink" Target="http://www.sec.gov/Archives/edgar/data/1443646/000144364617000108/bah-20170630xex1010.htm" TargetMode="External"/><Relationship Id="rId206" Type="http://schemas.openxmlformats.org/officeDocument/2006/relationships/hyperlink" Target="https://www.sec.gov/Archives/edgar/data/1443646/000144364622000013/bah-123121xex101.htm" TargetMode="External"/><Relationship Id="rId207" Type="http://schemas.openxmlformats.org/officeDocument/2006/relationships/hyperlink" Target="http://www.sec.gov/Archives/edgar/data/1443646/000144364619000017/ex107-deferredcompensation.htm" TargetMode="External"/><Relationship Id="rId208" Type="http://schemas.openxmlformats.org/officeDocument/2006/relationships/hyperlink" Target="http://www.sec.gov/Archives/edgar/data/1443646/000144364619000183/bah-20190930xex101.htm" TargetMode="External"/><Relationship Id="rId209" Type="http://schemas.openxmlformats.org/officeDocument/2006/relationships/hyperlink" Target="http://www.sec.gov/Archives/edgar/data/1443646/000144364617000050/bah-20170331xex1039.htm" TargetMode="External"/><Relationship Id="rId210" Type="http://schemas.openxmlformats.org/officeDocument/2006/relationships/hyperlink" Target="http://www.sec.gov/Archives/edgar/data/1443646/000144364619000093/bah-20190331xex1058.htm" TargetMode="External"/><Relationship Id="rId211" Type="http://schemas.openxmlformats.org/officeDocument/2006/relationships/hyperlink" Target="http://www.sec.gov/Archives/edgar/data/1443646/000144364617000050/bah-20170331xex1036.htm" TargetMode="External"/><Relationship Id="rId212" Type="http://schemas.openxmlformats.org/officeDocument/2006/relationships/hyperlink" Target="http://www.sec.gov/Archives/edgar/data/1443646/000144364619000093/bah-20190331xex1059.htm" TargetMode="External"/><Relationship Id="rId213" Type="http://schemas.openxmlformats.org/officeDocument/2006/relationships/hyperlink" Target="https://www.sec.gov/Archives/edgar/data/1443646/000144364620000086/bah-20200331xex1061.htm" TargetMode="External"/><Relationship Id="rId214" Type="http://schemas.openxmlformats.org/officeDocument/2006/relationships/hyperlink" Target="http://www.sec.gov/Archives/edgar/data/1443646/000144364617000050/bah-20170331xex1037.htm" TargetMode="External"/><Relationship Id="rId215" Type="http://schemas.openxmlformats.org/officeDocument/2006/relationships/hyperlink" Target="http://www.sec.gov/Archives/edgar/data/1443646/000144364619000093/bah-20190331xex1060.htm" TargetMode="External"/><Relationship Id="rId216" Type="http://schemas.openxmlformats.org/officeDocument/2006/relationships/hyperlink" Target="http://www.sec.gov/Archives/edgar/data/1443646/000144364618000100/bah-20180331xex1044.htm" TargetMode="External"/><Relationship Id="rId217" Type="http://schemas.openxmlformats.org/officeDocument/2006/relationships/hyperlink" Target="http://www.sec.gov/Archives/edgar/data/1443646/000144364618000100/bah-20180331xex1045.htm" TargetMode="External"/><Relationship Id="rId218" Type="http://schemas.openxmlformats.org/officeDocument/2006/relationships/hyperlink" Target="https://www.sec.gov/Archives/edgar/data/0001443646/000144364620000165/exhibit101.htm" TargetMode="External"/><Relationship Id="rId221" Type="http://schemas.openxmlformats.org/officeDocument/2006/relationships/hyperlink" Target="https://www.sec.gov/Archives/edgar/data/0001443646/000144364620000165/exhibit102.htm" TargetMode="External"/><Relationship Id="rId222" Type="http://schemas.openxmlformats.org/officeDocument/2006/relationships/hyperlink" Target="https://www.sec.gov/Archives/edgar/data/1443646/000144364621000131/bah-20210630x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2022-05-20T06:18:30Z</dcterms:created>
  <dcterms:modified xsi:type="dcterms:W3CDTF">2022-05-20T06:18:30Z</dcterms:modified>
</cp:coreProperties>
</file>