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680720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right="240" w:hanging="652"/>
        <w:spacing w:after="0" w:line="254"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22" w:lineRule="exact"/>
        <w:rPr>
          <w:sz w:val="24"/>
          <w:szCs w:val="24"/>
          <w:color w:val="auto"/>
        </w:rPr>
      </w:pPr>
    </w:p>
    <w:p>
      <w:pPr>
        <w:ind w:left="660" w:right="220" w:hanging="652"/>
        <w:spacing w:after="0" w:line="269"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ectPr>
          <w:pgSz w:w="11900" w:h="16838" w:orient="portrait"/>
          <w:cols w:equalWidth="0" w:num="1">
            <w:col w:w="11420"/>
          </w:cols>
          <w:pgMar w:left="240" w:top="1084"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720"/>
            <w:col w:w="4720" w:space="720"/>
            <w:col w:w="2140" w:space="720"/>
            <w:col w:w="740"/>
          </w:cols>
          <w:pgMar w:left="240" w:top="108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5">
            <w:col w:w="1660" w:space="720"/>
            <w:col w:w="160" w:space="80"/>
            <w:col w:w="4480" w:space="720"/>
            <w:col w:w="2140" w:space="720"/>
            <w:col w:w="740"/>
          </w:cols>
          <w:pgMar w:left="240" w:top="108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sectPr>
          <w:pgSz w:w="11900" w:h="16838" w:orient="portrait"/>
          <w:cols w:equalWidth="0" w:num="4">
            <w:col w:w="8180" w:space="220"/>
            <w:col w:w="260" w:space="100"/>
            <w:col w:w="160" w:space="180"/>
            <w:col w:w="2320"/>
          </w:cols>
          <w:pgMar w:left="240" w:top="1084"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24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5320" w:type="dxa"/>
            <w:vAlign w:val="bottom"/>
          </w:tcPr>
          <w:p>
            <w:pPr>
              <w:spacing w:after="0"/>
              <w:rPr>
                <w:sz w:val="16"/>
                <w:szCs w:val="16"/>
                <w:color w:val="auto"/>
              </w:rPr>
            </w:pPr>
          </w:p>
        </w:tc>
        <w:tc>
          <w:tcPr>
            <w:tcW w:w="4240" w:type="dxa"/>
            <w:vAlign w:val="bottom"/>
          </w:tcPr>
          <w:p>
            <w:pPr>
              <w:jc w:val="right"/>
              <w:ind w:right="316"/>
              <w:spacing w:after="0"/>
              <w:rPr>
                <w:sz w:val="20"/>
                <w:szCs w:val="20"/>
                <w:color w:val="auto"/>
              </w:rPr>
            </w:pPr>
            <w:r>
              <w:rPr>
                <w:rFonts w:ascii="Arial" w:cs="Arial" w:eastAsia="Arial" w:hAnsi="Arial"/>
                <w:sz w:val="14"/>
                <w:szCs w:val="14"/>
                <w:b w:val="1"/>
                <w:bCs w:val="1"/>
                <w:color w:val="auto"/>
              </w:rPr>
              <w:t>as of October 27, 2014</w:t>
            </w: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148,805,550</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4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4240" w:type="dxa"/>
            <w:vAlign w:val="bottom"/>
          </w:tcPr>
          <w:p>
            <w:pPr>
              <w:jc w:val="right"/>
              <w:spacing w:after="0"/>
              <w:rPr>
                <w:sz w:val="20"/>
                <w:szCs w:val="20"/>
                <w:color w:val="auto"/>
              </w:rPr>
            </w:pPr>
            <w:r>
              <w:rPr>
                <w:rFonts w:ascii="Arial" w:cs="Arial" w:eastAsia="Arial" w:hAnsi="Arial"/>
                <w:sz w:val="18"/>
                <w:szCs w:val="18"/>
                <w:color w:val="auto"/>
              </w:rPr>
              <w:t>1,865,618</w:t>
            </w:r>
          </w:p>
        </w:tc>
      </w:tr>
    </w:tbl>
    <w:p>
      <w:pPr>
        <w:sectPr>
          <w:pgSz w:w="11900" w:h="16838" w:orient="portrait"/>
          <w:cols w:equalWidth="0" w:num="1">
            <w:col w:w="11420"/>
          </w:cols>
          <w:pgMar w:left="240" w:top="1084"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13"/>
          </w:tcPr>
          <w:p>
            <w:pPr>
              <w:spacing w:after="0"/>
              <w:rPr>
                <w:sz w:val="20"/>
                <w:szCs w:val="20"/>
                <w:color w:val="auto"/>
              </w:rPr>
            </w:pPr>
            <w:r>
              <w:rPr>
                <w:rFonts w:ascii="Arial" w:cs="Arial" w:eastAsia="Arial" w:hAnsi="Arial"/>
                <w:sz w:val="18"/>
                <w:szCs w:val="18"/>
                <w:b w:val="1"/>
                <w:bCs w:val="1"/>
                <w:color w:val="auto"/>
              </w:rPr>
              <w:t>TABLE OF CONTENTS</w:t>
            </w:r>
          </w:p>
        </w:tc>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8480" w:type="dxa"/>
            <w:vAlign w:val="bottom"/>
            <w:gridSpan w:val="13"/>
          </w:tcPr>
          <w:p>
            <w:pPr>
              <w:ind w:left="4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Financial Statements</w:t>
              </w:r>
            </w:hyperlink>
          </w:p>
        </w:tc>
        <w:tc>
          <w:tcPr>
            <w:tcW w:w="5220" w:type="dxa"/>
            <w:vAlign w:val="bottom"/>
            <w:gridSpan w:val="5"/>
          </w:tcPr>
          <w:p>
            <w:pPr>
              <w:spacing w:after="0"/>
              <w:rPr>
                <w:sz w:val="24"/>
                <w:szCs w:val="24"/>
                <w:color w:val="auto"/>
              </w:rPr>
            </w:pPr>
          </w:p>
        </w:tc>
        <w:tc>
          <w:tcPr>
            <w:tcW w:w="28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3">
              <w:r>
                <w:rPr>
                  <w:rFonts w:ascii="Arial" w:cs="Arial" w:eastAsia="Arial" w:hAnsi="Arial"/>
                  <w:sz w:val="18"/>
                  <w:szCs w:val="18"/>
                  <w:b w:val="1"/>
                  <w:bCs w:val="1"/>
                  <w:color w:val="0000EE"/>
                  <w:w w:val="79"/>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11"/>
          </w:tcPr>
          <w:p>
            <w:pPr>
              <w:spacing w:after="0"/>
              <w:rPr>
                <w:rFonts w:ascii="Arial" w:cs="Arial" w:eastAsia="Arial" w:hAnsi="Arial"/>
                <w:sz w:val="18"/>
                <w:szCs w:val="18"/>
                <w:b w:val="1"/>
                <w:bCs w:val="1"/>
                <w:color w:val="0000EE"/>
                <w:w w:val="89"/>
              </w:rPr>
            </w:pPr>
            <w:hyperlink w:anchor="page17">
              <w:r>
                <w:rPr>
                  <w:rFonts w:ascii="Arial" w:cs="Arial" w:eastAsia="Arial" w:hAnsi="Arial"/>
                  <w:sz w:val="18"/>
                  <w:szCs w:val="18"/>
                  <w:b w:val="1"/>
                  <w:bCs w:val="1"/>
                  <w:color w:val="0000EE"/>
                  <w:w w:val="89"/>
                </w:rPr>
                <w:t>Management's Discussion and Analysis of Financial Condition and Results of Operations</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16</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220" w:type="dxa"/>
            <w:vAlign w:val="bottom"/>
            <w:tcBorders>
              <w:left w:val="single" w:sz="8" w:color="0000EE"/>
            </w:tcBorders>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6840" w:type="dxa"/>
            <w:vAlign w:val="bottom"/>
            <w:gridSpan w:val="1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Quantitative and Qualitative Disclosures About Market Risk</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32</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220" w:type="dxa"/>
            <w:vAlign w:val="bottom"/>
            <w:tcBorders>
              <w:left w:val="single" w:sz="8" w:color="0000EE"/>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920" w:type="dxa"/>
            <w:vAlign w:val="bottom"/>
            <w:gridSpan w:val="8"/>
          </w:tcPr>
          <w:p>
            <w:pPr>
              <w:spacing w:after="0"/>
              <w:rPr>
                <w:rFonts w:ascii="Arial" w:cs="Arial" w:eastAsia="Arial" w:hAnsi="Arial"/>
                <w:sz w:val="18"/>
                <w:szCs w:val="18"/>
                <w:b w:val="1"/>
                <w:bCs w:val="1"/>
                <w:color w:val="0000EE"/>
                <w:w w:val="88"/>
              </w:rPr>
            </w:pPr>
            <w:hyperlink w:anchor="page34">
              <w:r>
                <w:rPr>
                  <w:rFonts w:ascii="Arial" w:cs="Arial" w:eastAsia="Arial" w:hAnsi="Arial"/>
                  <w:sz w:val="18"/>
                  <w:szCs w:val="18"/>
                  <w:b w:val="1"/>
                  <w:bCs w:val="1"/>
                  <w:color w:val="0000EE"/>
                  <w:w w:val="88"/>
                </w:rPr>
                <w:t>Controls and Procedures</w:t>
              </w:r>
            </w:hyperlink>
          </w:p>
        </w:tc>
        <w:tc>
          <w:tcPr>
            <w:tcW w:w="2700" w:type="dxa"/>
            <w:vAlign w:val="bottom"/>
            <w:gridSpan w:val="2"/>
          </w:tcPr>
          <w:p>
            <w:pPr>
              <w:spacing w:after="0"/>
              <w:rPr>
                <w:sz w:val="24"/>
                <w:szCs w:val="24"/>
                <w:color w:val="auto"/>
              </w:rPr>
            </w:pPr>
          </w:p>
        </w:tc>
        <w:tc>
          <w:tcPr>
            <w:tcW w:w="2220" w:type="dxa"/>
            <w:vAlign w:val="bottom"/>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32</w:t>
              </w:r>
            </w:hyperlink>
          </w:p>
        </w:tc>
      </w:tr>
      <w:tr>
        <w:trPr>
          <w:trHeight w:val="20"/>
        </w:trPr>
        <w:tc>
          <w:tcPr>
            <w:tcW w:w="164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8480" w:type="dxa"/>
            <w:vAlign w:val="bottom"/>
            <w:gridSpan w:val="13"/>
          </w:tcPr>
          <w:p>
            <w:pPr>
              <w:ind w:left="40"/>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33</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6840" w:type="dxa"/>
            <w:vAlign w:val="bottom"/>
            <w:gridSpan w:val="11"/>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Legal Proceedings</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33</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3"/>
          </w:tcPr>
          <w:p>
            <w:pPr>
              <w:spacing w:after="0"/>
              <w:rPr>
                <w:rFonts w:ascii="Arial" w:cs="Arial" w:eastAsia="Arial" w:hAnsi="Arial"/>
                <w:sz w:val="18"/>
                <w:szCs w:val="18"/>
                <w:b w:val="1"/>
                <w:bCs w:val="1"/>
                <w:color w:val="0000EE"/>
                <w:w w:val="88"/>
              </w:rPr>
            </w:pPr>
            <w:hyperlink w:anchor="page35">
              <w:r>
                <w:rPr>
                  <w:rFonts w:ascii="Arial" w:cs="Arial" w:eastAsia="Arial" w:hAnsi="Arial"/>
                  <w:sz w:val="18"/>
                  <w:szCs w:val="18"/>
                  <w:b w:val="1"/>
                  <w:bCs w:val="1"/>
                  <w:color w:val="0000EE"/>
                  <w:w w:val="88"/>
                </w:rPr>
                <w:t>Risk Factors</w:t>
              </w:r>
            </w:hyperlink>
          </w:p>
        </w:tc>
        <w:tc>
          <w:tcPr>
            <w:tcW w:w="420" w:type="dxa"/>
            <w:vAlign w:val="bottom"/>
          </w:tcPr>
          <w:p>
            <w:pPr>
              <w:spacing w:after="0"/>
              <w:rPr>
                <w:sz w:val="24"/>
                <w:szCs w:val="24"/>
                <w:color w:val="auto"/>
              </w:rPr>
            </w:pPr>
          </w:p>
        </w:tc>
        <w:tc>
          <w:tcPr>
            <w:tcW w:w="5440" w:type="dxa"/>
            <w:vAlign w:val="bottom"/>
            <w:gridSpan w:val="7"/>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33</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11"/>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Unregistered Sales of Equity Securities and Use Of Proceeds</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33</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4620" w:type="dxa"/>
            <w:vAlign w:val="bottom"/>
            <w:gridSpan w:val="10"/>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Defaults Upon Senior Securities</w:t>
              </w:r>
            </w:hyperlink>
          </w:p>
        </w:tc>
        <w:tc>
          <w:tcPr>
            <w:tcW w:w="2220" w:type="dxa"/>
            <w:vAlign w:val="bottom"/>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33</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7"/>
          </w:tcPr>
          <w:p>
            <w:pPr>
              <w:spacing w:after="0"/>
              <w:rPr>
                <w:rFonts w:ascii="Arial" w:cs="Arial" w:eastAsia="Arial" w:hAnsi="Arial"/>
                <w:sz w:val="18"/>
                <w:szCs w:val="18"/>
                <w:b w:val="1"/>
                <w:bCs w:val="1"/>
                <w:color w:val="0000EE"/>
                <w:w w:val="87"/>
              </w:rPr>
            </w:pPr>
            <w:hyperlink w:anchor="page35">
              <w:r>
                <w:rPr>
                  <w:rFonts w:ascii="Arial" w:cs="Arial" w:eastAsia="Arial" w:hAnsi="Arial"/>
                  <w:sz w:val="18"/>
                  <w:szCs w:val="18"/>
                  <w:b w:val="1"/>
                  <w:bCs w:val="1"/>
                  <w:color w:val="0000EE"/>
                  <w:w w:val="87"/>
                </w:rPr>
                <w:t>Mine Safety Disclosures</w:t>
              </w:r>
            </w:hyperlink>
          </w:p>
        </w:tc>
        <w:tc>
          <w:tcPr>
            <w:tcW w:w="600" w:type="dxa"/>
            <w:vAlign w:val="bottom"/>
            <w:gridSpan w:val="2"/>
          </w:tcPr>
          <w:p>
            <w:pPr>
              <w:spacing w:after="0"/>
              <w:rPr>
                <w:sz w:val="24"/>
                <w:szCs w:val="24"/>
                <w:color w:val="auto"/>
              </w:rPr>
            </w:pPr>
          </w:p>
        </w:tc>
        <w:tc>
          <w:tcPr>
            <w:tcW w:w="4400" w:type="dxa"/>
            <w:vAlign w:val="bottom"/>
            <w:gridSpan w:val="2"/>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33</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1840" w:type="dxa"/>
            <w:vAlign w:val="bottom"/>
            <w:gridSpan w:val="7"/>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5000" w:type="dxa"/>
            <w:vAlign w:val="bottom"/>
            <w:gridSpan w:val="4"/>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33</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1440" w:type="dxa"/>
            <w:vAlign w:val="bottom"/>
            <w:gridSpan w:val="5"/>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Exhibits</w:t>
              </w:r>
            </w:hyperlink>
          </w:p>
        </w:tc>
        <w:tc>
          <w:tcPr>
            <w:tcW w:w="5400" w:type="dxa"/>
            <w:vAlign w:val="bottom"/>
            <w:gridSpan w:val="6"/>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34</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931"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4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(Amounts in thousands, except</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259,994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820,705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916,737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79,246</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1,178,724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1,255,977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129,427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216,064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220,887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1,273,789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51,012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60,738</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2,829,126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2,940,818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46,688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73,688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488,807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298,561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331,440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23,169</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828,117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917,104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1,598,853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1,585,231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237,834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266,847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2,664,804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2,769,182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16)</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149,792,176 shares at</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6"/>
              </w:rPr>
              <w:t>September 30, 2014 and 143,962,073 shares at March 31, 2014; outstanding, 148,805,550 shares at</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September 30, 2014 and 143,352,448 shares at March 31, 2014</w:t>
            </w:r>
          </w:p>
        </w:tc>
        <w:tc>
          <w:tcPr>
            <w:tcW w:w="1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Non-voting common stock, Class B — $0.01 par value — authorized, 16,000,000 shares; issued and</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0 shares at September 30, 2014 and 582,080 shares at March 31, 2014</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Restricted common stock, Class C — $0.01 par value — authorized, 5,000,000 shares; issued and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outstanding, 0 shares at September 30, 2014 and 935,871 shares at March 31, 2014</w:t>
            </w:r>
          </w:p>
        </w:tc>
        <w:tc>
          <w:tcPr>
            <w:tcW w:w="1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Special voting common stock, Class E — $0.003 par value — authorized, 25,000,000 shares; issued and</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1,865,618 shares at September 30, 2014 and 4,424,814 shares at March 31, 2014</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5"/>
              </w:rPr>
              <w:t>Treasury stock, at cost — 986,626 shares at September 30, 2014 and 609,625 shares at March 31, 2014</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(10,153)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144,269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43,888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42,688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164,322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171,636</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2,829,126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2,940,818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68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688"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40" w:type="dxa"/>
            <w:vAlign w:val="bottom"/>
            <w:gridSpan w:val="5"/>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13"/>
                <w:szCs w:val="13"/>
                <w:color w:val="auto"/>
              </w:rPr>
            </w:pPr>
          </w:p>
        </w:tc>
        <w:tc>
          <w:tcPr>
            <w:tcW w:w="2700" w:type="dxa"/>
            <w:vAlign w:val="bottom"/>
            <w:gridSpan w:val="4"/>
          </w:tcPr>
          <w:p>
            <w:pPr>
              <w:jc w:val="center"/>
              <w:ind w:right="231"/>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except per share data)</w:t>
            </w:r>
          </w:p>
        </w:tc>
        <w:tc>
          <w:tcPr>
            <w:tcW w:w="360" w:type="dxa"/>
            <w:vAlign w:val="bottom"/>
          </w:tcPr>
          <w:p>
            <w:pPr>
              <w:spacing w:after="0"/>
              <w:rPr>
                <w:sz w:val="16"/>
                <w:szCs w:val="16"/>
                <w:color w:val="auto"/>
              </w:rPr>
            </w:pPr>
          </w:p>
        </w:tc>
        <w:tc>
          <w:tcPr>
            <w:tcW w:w="270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1,304,841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1,378,020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2,627,138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2,805,711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642,425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1,287,426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1,386,610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347,651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365,632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698,623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763,520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176,972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173,481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348,041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344,809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15,810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32,042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36,432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1,182,858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1,242,353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2,366,132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2,531,371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121,983</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135,667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261,006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274,340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(36,681)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(40,887)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104,973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224,022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231,813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39,689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45,985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87,623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93,687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65,284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136,399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138,126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Dividends declared per share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31" w:right="239" w:bottom="1440" w:gutter="0" w:footer="0" w:header="0"/>
        </w:sectPr>
      </w:pPr>
    </w:p>
    <w:bookmarkStart w:id="4" w:name="page5"/>
    <w:bookmarkEnd w:id="4"/>
    <w:p>
      <w:pPr>
        <w:jc w:val="center"/>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51"/>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center"/>
              <w:ind w:left="460"/>
              <w:spacing w:after="0" w:line="151" w:lineRule="exact"/>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center"/>
              <w:ind w:left="520"/>
              <w:spacing w:after="0" w:line="151" w:lineRule="exact"/>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3"/>
                <w:szCs w:val="13"/>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0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21"/>
                <w:szCs w:val="21"/>
                <w:color w:val="auto"/>
              </w:rPr>
            </w:pPr>
          </w:p>
        </w:tc>
        <w:tc>
          <w:tcPr>
            <w:tcW w:w="270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0"/>
              </w:rPr>
              <w:t>(Amounts in thousands)</w:t>
            </w: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65,284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67,813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136,399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138,126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36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1,533</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65,370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68,922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136,570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139,659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4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136,399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138,126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32,042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36,432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 and loss on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 and impairments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96,032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58,605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7,879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(49,954)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200,529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139,609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paid for business acquisitions, net of cash acquired</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37,302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34,940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(179,492)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(47,908)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Debt issuance costs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(23,249)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198,438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(59,615)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76,839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259,994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350,384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241,824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427,223</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32,502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82,161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116,907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93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931"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NOTES TO UNAUDITED CONDENSED CONSOLIDATED FINANCIAL STATEMENTS (Amounts in tables in thousands, except share and per share data or unless otherwise noted) September 30, 2014</w:t>
      </w:r>
    </w:p>
    <w:p>
      <w:pPr>
        <w:spacing w:after="0" w:line="176" w:lineRule="exact"/>
        <w:rPr>
          <w:sz w:val="20"/>
          <w:szCs w:val="20"/>
          <w:color w:val="auto"/>
        </w:rPr>
      </w:pPr>
    </w:p>
    <w:p>
      <w:pPr>
        <w:ind w:left="260" w:right="9300" w:hanging="252"/>
        <w:spacing w:after="0" w:line="367" w:lineRule="auto"/>
        <w:tabs>
          <w:tab w:leader="none" w:pos="19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OVERVIEW </w:t>
      </w:r>
      <w:r>
        <w:rPr>
          <w:rFonts w:ascii="Arial" w:cs="Arial" w:eastAsia="Arial" w:hAnsi="Arial"/>
          <w:sz w:val="17"/>
          <w:szCs w:val="17"/>
          <w:b w:val="1"/>
          <w:bCs w:val="1"/>
          <w:i w:val="1"/>
          <w:iCs w:val="1"/>
          <w:color w:val="auto"/>
        </w:rPr>
        <w:t>Organization</w:t>
      </w:r>
    </w:p>
    <w:p>
      <w:pPr>
        <w:ind w:right="20" w:firstLine="405"/>
        <w:spacing w:after="0" w:line="276" w:lineRule="auto"/>
        <w:rPr>
          <w:sz w:val="20"/>
          <w:szCs w:val="20"/>
          <w:color w:val="auto"/>
        </w:rPr>
      </w:pPr>
      <w:r>
        <w:rPr>
          <w:rFonts w:ascii="Arial" w:cs="Arial" w:eastAsia="Arial" w:hAnsi="Arial"/>
          <w:sz w:val="17"/>
          <w:szCs w:val="17"/>
          <w:color w:val="auto"/>
        </w:rPr>
        <w:t>Booz Allen Hamilton Holding Corporation, including its wholly owned subsidiaries, or Holding or the Company, is an affiliate of The Carlyle Group, or Carlyle, and was incorporated in Delaware in May 2008. The Company provides management consulting, technology, and engineering services to the U.S. government in the defense, intelligence, and civil markets. Additionally, the Company provides its management and technology consulting services to major corporations, institutions, and not-for-profit organizations. The Company reports operating results and financial data in one operating segment. The Company is headquartered in McLean, Virginia, with approximately 22,100 employees as of September 30,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94"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The Company prepared the unaudited condensed consolidated financial statements in this Quarterly Report on Form 10-Q, or Quarterly Report, in accordance with accounting principles generally accepted in the United States, or U.S. GAAP, for interim financial information and with the instructions to Form 10-Q and Article 10 of Regulation S-X. As a result, certain information and footnote disclosures normally included in financial statements prepared in accordance with U.S. GAAP have been condensed or omitted. The Company followed the accounting policies used and disclosed in the consolidated financial statements included in the Annual Report on Form 10-K for the fiscal year ended March 31, 2014 filed with the Securities and Exchange Commission on May 22, 2014, or Annual Report, and policies stated within this Quarterly Report. The Company’s fiscal year ends on March 31 and unless otherwise noted, references to fiscal year or fiscal are for fiscal years ended March 31.</w:t>
      </w:r>
    </w:p>
    <w:p>
      <w:pPr>
        <w:spacing w:after="0" w:line="12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six months ended September 30, 2014 are not necessarily indicative of results to be expected for the full fiscal year.</w:t>
      </w:r>
    </w:p>
    <w:p>
      <w:pPr>
        <w:spacing w:after="0" w:line="127"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allowance for doubtful accounts, contractual and regulatory reserves, valuation and lives of tangible and intangible assets,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May 2014, the Financial Accounting Standards Board issued a new standard that will replace existing revenue recognition standards and significantly expand the disclosure requirements for revenue arrangements. The new standard will be effective for the Company beginning on April 1, 2017 (i.e., beginning with the first quarter fiscal 2018 interim financial statements). The new standard may be adopted retrospectively for all periods presented, or adopted using a modified retrospective approach. Under the retrospective approach, the fiscal 2017 and 2016 financial statements would be adjusted to reflect the effects of applying the new standard on those periods. Under the modified retrospective approach, the new standard would only be applied for the period beginning April 1, 2017 to new contracts and those contracts that are not yet complete at April 1, 2017, with a cumulative catch-up adjustment recorded to beginning retained earnings for existing contracts that still require performance. Management is still in the process of determining which transition method to utilize in order to apply the new standard and still assessing what effect the application of this standard may have on the timing of our revenue recognition and our financial statements.</w:t>
      </w:r>
    </w:p>
    <w:p>
      <w:pPr>
        <w:spacing w:after="0" w:line="89"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Other recent accounting pronouncements issued by the FASB during the six months ended September 30, 2014 and through the filing date did not or are not believed by management to have a material impact on the Company's present or historical condensed consolidated financial statements.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8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EARNINGS PER SHARE</w:t>
      </w:r>
    </w:p>
    <w:p>
      <w:pPr>
        <w:spacing w:after="0" w:line="94"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111"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Company currently has outstanding shares of Class A Common Stock and Class E Special Voting Common Stock. During the three months ended September 30, 2014, the Company converted all issued and outstanding shares of Class B Non-Voting Common Stock and Class C Restricted Common Stock into shares of Class A Common Stock on a one-for-one basis. Class E Special Voting Common Stock shares are not included in the calculation of EPS as these shares represent voting rights only and are not entitled to participate in dividends or other distributions. Unvested Class A Restricted Common Stock holders are entitled to participate in non-forfeitable dividends or other distributions. These unvested shares participated in the Company's dividends declared and paid in the first and second quarters of fiscal 2015 and 2014.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254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254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9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133,715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136,829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Weighted-average Class A Common Stock outstanding</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w w:val="95"/>
              </w:rPr>
              <w:t>144,557,638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w w:val="93"/>
              </w:rPr>
              <w:t>139,135,635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w w:val="93"/>
              </w:rPr>
              <w:t>143,382,252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w w:val="99"/>
              </w:rPr>
              <w:t>137,337,119</w:t>
            </w: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Class B Non-Voting Common Stock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344,774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967,094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440,760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1,158,003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Weighted-average Class C Restricted Common Stock outstanding</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599,879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1,002,214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758,153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1,079,603</w:t>
            </w:r>
          </w:p>
        </w:tc>
      </w:tr>
      <w:tr>
        <w:trPr>
          <w:trHeight w:val="27"/>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Total weighted-average common shares outstanding for basic computations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145,502,291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141,104,943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144,581,165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139,574,725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Earnings for diluted computations (1)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62,791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67,171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133,715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136,885</w:t>
            </w: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4,901,605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7,400,883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4,956,395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7,682,849</w:t>
            </w:r>
          </w:p>
        </w:tc>
      </w:tr>
      <w:tr>
        <w:trPr>
          <w:trHeight w:val="237"/>
        </w:trPr>
        <w:tc>
          <w:tcPr>
            <w:tcW w:w="5960" w:type="dxa"/>
            <w:vAlign w:val="bottom"/>
          </w:tcPr>
          <w:p>
            <w:pPr>
              <w:ind w:left="380"/>
              <w:spacing w:after="0"/>
              <w:rPr>
                <w:sz w:val="20"/>
                <w:szCs w:val="20"/>
                <w:color w:val="auto"/>
              </w:rPr>
            </w:pPr>
            <w:r>
              <w:rPr>
                <w:rFonts w:ascii="Arial" w:cs="Arial" w:eastAsia="Arial" w:hAnsi="Arial"/>
                <w:sz w:val="18"/>
                <w:szCs w:val="18"/>
                <w:color w:val="auto"/>
                <w:w w:val="95"/>
              </w:rPr>
              <w:t>Average number of common shares outstanding for diluted computations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5"/>
              </w:rPr>
              <w:t>150,403,896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3"/>
              </w:rPr>
              <w:t>148,505,826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3"/>
              </w:rPr>
              <w:t>149,537,560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147,257,574</w:t>
            </w:r>
          </w:p>
        </w:tc>
      </w:tr>
      <w:tr>
        <w:trPr>
          <w:trHeight w:val="27"/>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0.98</w:t>
            </w:r>
          </w:p>
        </w:tc>
      </w:tr>
      <w:tr>
        <w:trPr>
          <w:trHeight w:val="67"/>
        </w:trPr>
        <w:tc>
          <w:tcPr>
            <w:tcW w:w="59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59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0.93</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8"/>
        <w:spacing w:after="0" w:line="291"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three months ended September 30, 2014 and 2013, approximately 2.2 million and 1.4 million participating securities were paid dividends totaling $2.5 million and $140,000, respectively. During the six months ended September 30, 2014 and 2013, approximately 2.2 million and 1.4 million participating securities were paid dividends totaling $2.7 million and $202,000, respectively. Additionally, for the three and six months ended September 30, 2013 there were undistributed earnings of $528,000 and $1.1 million allocated to the participating class of securities in basic earnings per share, and $502,000 and $1.0 million respectively to diluted earnings per share. There were no undistributed earnings for the three and six months ended September 30, 2014. The allocated undistributed earnings and the dividends paid comprise the difference between net income presented on the condensed consolidated statements of operations for the three and six months ended September 30, 2014 and 2013 and earnings for basic computations.</w:t>
      </w:r>
    </w:p>
    <w:p>
      <w:pPr>
        <w:spacing w:after="0" w:line="329" w:lineRule="exact"/>
        <w:rPr>
          <w:sz w:val="20"/>
          <w:szCs w:val="20"/>
          <w:color w:val="auto"/>
        </w:rPr>
      </w:pPr>
    </w:p>
    <w:p>
      <w:pPr>
        <w:ind w:right="280" w:firstLine="405"/>
        <w:spacing w:after="0" w:line="342" w:lineRule="auto"/>
        <w:rPr>
          <w:sz w:val="20"/>
          <w:szCs w:val="20"/>
          <w:color w:val="auto"/>
        </w:rPr>
      </w:pPr>
      <w:r>
        <w:rPr>
          <w:rFonts w:ascii="Arial" w:cs="Arial" w:eastAsia="Arial" w:hAnsi="Arial"/>
          <w:sz w:val="16"/>
          <w:szCs w:val="16"/>
          <w:color w:val="auto"/>
        </w:rPr>
        <w:t>The EPS calculation for the three and six months ended September 30, 2014 excludes 202,000 and 212,000 options, respectively, as their impact was anti-dilutive. The EPS calculation for the three and six months ended September 30, 2013 excludes 890,000 options as their impact was anti-dilutive.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8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4. ACCOUNTS RECEIVABLE, NET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net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358,814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395,509</w:t>
            </w: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522,685</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(1,457)</w:t>
            </w:r>
          </w:p>
        </w:tc>
      </w:tr>
      <w:tr>
        <w:trPr>
          <w:trHeight w:val="27"/>
        </w:trPr>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820,705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916,737</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Long-term</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22,877</w:t>
            </w:r>
          </w:p>
        </w:tc>
      </w:tr>
      <w:tr>
        <w:trPr>
          <w:trHeight w:val="237"/>
        </w:trPr>
        <w:tc>
          <w:tcPr>
            <w:tcW w:w="66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838,609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939,614</w:t>
            </w:r>
          </w:p>
        </w:tc>
      </w:tr>
      <w:tr>
        <w:trPr>
          <w:trHeight w:val="27"/>
        </w:trPr>
        <w:tc>
          <w:tcPr>
            <w:tcW w:w="6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Unbilled amounts represent sales for which billings have not been presented to customers at quarter-end or year-end. These amounts are usually billed and collected within one year. Long-term unbilled receivables not anticipated to be billed and collected within one year, which are primarily related to retainage, holdbacks, and long-term rate settlements to be billed at contract closeout, are included in other long-term assets as accounts receivable in the accompanying condensed consolidated balance sheets. The Company recognized a provision (benefit) for doubtful accounts (including certain unbilled reserves) of $(527,000) and $(511,000) for the three months ended September 30, 2014 and 2013, respectively, and $(979,000) and $1.5 million for the six months ended September 30, 2014 and 2013, respectively. Because the Company's accounts receivable are primarily with the U.S. Government and its agencies, the Company does not have material exposure to accounts receivable credit risk.</w:t>
      </w:r>
    </w:p>
    <w:p>
      <w:pPr>
        <w:spacing w:after="0" w:line="174" w:lineRule="exact"/>
        <w:rPr>
          <w:sz w:val="20"/>
          <w:szCs w:val="20"/>
          <w:color w:val="auto"/>
        </w:rPr>
      </w:pPr>
    </w:p>
    <w:p>
      <w:pPr>
        <w:ind w:left="440" w:right="5560" w:hanging="432"/>
        <w:spacing w:after="0" w:line="660" w:lineRule="auto"/>
        <w:tabs>
          <w:tab w:leader="none" w:pos="188"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265,079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236,093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223,728</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468,624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488,807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16 for further discussion of this reserve.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COMPENSATION AND BENEFITS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tcPr>
          <w:p>
            <w:pPr>
              <w:spacing w:after="0"/>
              <w:rPr>
                <w:sz w:val="16"/>
                <w:szCs w:val="16"/>
                <w:color w:val="auto"/>
              </w:rPr>
            </w:pPr>
          </w:p>
        </w:tc>
        <w:tc>
          <w:tcPr>
            <w:tcW w:w="2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2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75,423</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60,488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43,405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2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117,626</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Stock-based compensation liability (Note 13)</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31,798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39,922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2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27,547</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Other</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24,828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27,517</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2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298,561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331,440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jc w:val="right"/>
              <w:ind w:right="1650"/>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688"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7. DEBT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020" w:type="dxa"/>
            <w:vAlign w:val="bottom"/>
            <w:tcBorders>
              <w:bottom w:val="single" w:sz="8" w:color="auto"/>
            </w:tcBorders>
            <w:gridSpan w:val="5"/>
          </w:tcPr>
          <w:p>
            <w:pPr>
              <w:jc w:val="right"/>
              <w:ind w:right="815"/>
              <w:spacing w:after="0"/>
              <w:rPr>
                <w:sz w:val="20"/>
                <w:szCs w:val="20"/>
                <w:color w:val="auto"/>
              </w:rPr>
            </w:pPr>
            <w:r>
              <w:rPr>
                <w:rFonts w:ascii="Arial" w:cs="Arial" w:eastAsia="Arial" w:hAnsi="Arial"/>
                <w:sz w:val="14"/>
                <w:szCs w:val="14"/>
                <w:b w:val="1"/>
                <w:bCs w:val="1"/>
                <w:color w:val="auto"/>
              </w:rPr>
              <w:t>September 30, 2014</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March 31, 2014</w:t>
            </w:r>
          </w:p>
        </w:tc>
      </w:tr>
      <w:tr>
        <w:trPr>
          <w:trHeight w:val="152"/>
        </w:trPr>
        <w:tc>
          <w:tcPr>
            <w:tcW w:w="4900" w:type="dxa"/>
            <w:vAlign w:val="bottom"/>
          </w:tcPr>
          <w:p>
            <w:pPr>
              <w:spacing w:after="0"/>
              <w:rPr>
                <w:sz w:val="13"/>
                <w:szCs w:val="13"/>
                <w:color w:val="auto"/>
              </w:rPr>
            </w:pPr>
          </w:p>
        </w:tc>
        <w:tc>
          <w:tcPr>
            <w:tcW w:w="96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00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r>
      <w:tr>
        <w:trPr>
          <w:trHeight w:val="192"/>
        </w:trPr>
        <w:tc>
          <w:tcPr>
            <w:tcW w:w="49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816,355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660,317</w:t>
            </w:r>
          </w:p>
        </w:tc>
      </w:tr>
      <w:tr>
        <w:trPr>
          <w:trHeight w:val="24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Term Loan B</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829,186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998,602</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1,645,541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1,658,919</w:t>
            </w:r>
          </w:p>
        </w:tc>
      </w:tr>
      <w:tr>
        <w:trPr>
          <w:trHeight w:val="243"/>
        </w:trPr>
        <w:tc>
          <w:tcPr>
            <w:tcW w:w="5860" w:type="dxa"/>
            <w:vAlign w:val="bottom"/>
            <w:gridSpan w:val="2"/>
          </w:tcPr>
          <w:p>
            <w:pPr>
              <w:ind w:left="700"/>
              <w:spacing w:after="0"/>
              <w:rPr>
                <w:sz w:val="20"/>
                <w:szCs w:val="20"/>
                <w:color w:val="auto"/>
              </w:rPr>
            </w:pPr>
            <w:r>
              <w:rPr>
                <w:rFonts w:ascii="Arial" w:cs="Arial" w:eastAsia="Arial" w:hAnsi="Arial"/>
                <w:sz w:val="18"/>
                <w:szCs w:val="18"/>
                <w:color w:val="auto"/>
              </w:rPr>
              <w:t>Less: Current portion of long-term debt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(46,688)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(73,688)</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1,598,853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1,585,231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May 7, 2014, the Company entered into the Second Amendment to the Credit Agreement, dated as of July 31, 2012 (as previously amended by the First Amendment to the Credit Agreement, dated as of August 16, 2013). As of September 30, 2014, the Credit Agreement, as amended, provided the Company with an $830.0 million Term Loan A and an $841.2 million Term Loan B, and a $500.0 million revolving credit facility, with a sublimit for letters of credit of $100.0 million. The outstanding obligations under the Credit Agreement, as amended, are secured by a security interest in substantially all of the assets of the Company, subject to certain exceptions set forth in the Credit Agreement, as amended, and related documentation. The rates for Term Loan A and Term Loan B, as amended, remain unchanged. The Second Amendment also extended the maturity date of Term Loan A and the revolving credit facility to May 31, 2019. The maturity date for Term Loan B remained unchanged. The Company also amended its existing debt covenants to provide for greater operational and financial flexibility.</w:t>
      </w:r>
    </w:p>
    <w:p>
      <w:pPr>
        <w:spacing w:after="0" w:line="192" w:lineRule="exact"/>
        <w:rPr>
          <w:sz w:val="20"/>
          <w:szCs w:val="20"/>
          <w:color w:val="auto"/>
        </w:rPr>
      </w:pPr>
    </w:p>
    <w:p>
      <w:pPr>
        <w:ind w:right="260" w:firstLine="405"/>
        <w:spacing w:after="0" w:line="297" w:lineRule="auto"/>
        <w:rPr>
          <w:sz w:val="20"/>
          <w:szCs w:val="20"/>
          <w:color w:val="auto"/>
        </w:rPr>
      </w:pPr>
      <w:r>
        <w:rPr>
          <w:rFonts w:ascii="Arial" w:cs="Arial" w:eastAsia="Arial" w:hAnsi="Arial"/>
          <w:sz w:val="16"/>
          <w:szCs w:val="16"/>
          <w:color w:val="auto"/>
        </w:rPr>
        <w:t>The Credit Agreement, as amended, requires quarterly principal payments of 1.25% of the stated principal amount of Term Loan A, with annual incremental increases to 1.875%, 2.50%, 3.125%, and 13.0%, prior to Term Loan A's maturity date of May 31, 2019. As a result of paying approximately $168.4 million of Term Loan B principal in connection with the Second Amendment, no additional principal payments are required until the remaining balance is due on Term Loan B's maturity date of July 31, 2019. The revolving credit facility matures on May 31, 2019, at which time any outstanding principal balance is due in full. As of September 30, 2014 and March 31, 2014, there were no amounts outstanding on the revolving credit facility.</w:t>
      </w:r>
    </w:p>
    <w:p>
      <w:pPr>
        <w:spacing w:after="0" w:line="158"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interest rate on borrowings under Term Loan A is LIBOR plus a 2.50% spread. The spread ranges from 2.00% to 2.75% based on the Company's total leverage ratio. The interest rate on borrowings under Term Loan B is LIBOR plus a 3.0% spread with a 0.75% floor. The spread ranges from 2.00% to 3.00% based upon either an ABR or LIBOR borrowing. The revolving credit facility margin and commitment fee are subject to the leveraged based pricing grid, as set forth in the Credit Agreement, as amended.</w:t>
      </w:r>
    </w:p>
    <w:p>
      <w:pPr>
        <w:spacing w:after="0" w:line="133"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total outstanding debt balance is recorded in the accompanying condensed consolidated balance sheets, net of unamortized discount of $15.3 million and $12.3 million as of September 30, 2014 and March 31, 2014,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2014 and March 31, 2014, the Company was in compliance with all of the Credit Agreement's debt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9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Company’s effective income tax rate was 37.8% and 40.4% for the three months ended September 30, 2014 and 2013, respectively, and 39.1% and 40.4% for the six months ended September 30, 2014 and 2013, respectively. The three and six months effective tax rates of 37.8% and 39.1% differ from the statutory rate of 35.0% due to state income taxes and the effect of permanent rate differences, which primarily relate to meals and entertainment.</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68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9.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76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reserve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57,406</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24,906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28,527</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liability (Note 13)</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25,966</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Deferred payment obligation</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59,948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60,444</w:t>
            </w:r>
          </w:p>
        </w:tc>
      </w:tr>
      <w:tr>
        <w:trPr>
          <w:trHeight w:val="27"/>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benefit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83,376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80,527</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13,977</w:t>
            </w:r>
          </w:p>
        </w:tc>
      </w:tr>
      <w:tr>
        <w:trPr>
          <w:trHeight w:val="27"/>
        </w:trPr>
        <w:tc>
          <w:tcPr>
            <w:tcW w:w="7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long-term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237,834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266,847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As of September 30, 2014 and March 31, 2014, the Company recorded a stock-based compensation liability of $31.8 million and $65.9 million, respectively, including $31.8 million and $39.9 million, respectively, expected to be paid within one year, related to special dividends paid in July and December 2009, June and August 2012, November 2013, and February and August 2014. Rollover options vested and not yet exercised that would have had an exercise price below zero as a result of the dividends were reduced to one cent, with the remaining reduction to be paid in cash upon exercise of the options. Payments of the special dividends to Equity Incentive Plan, or EIP, option holders is linked to vesting. Refer to Note 13 for further discussion of the special dividends.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90"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Effective April 1, 2014 the Company transitioned from a discretionary employer contribution to an annual matching contribution of up to 6% of eligible annual income as determined by the Internal Revenue Code for the ECAP. Total expense recognized under ECAP was $27.9 million and $40.7 million for the three months ended September 30, 2014 and 2013, respectively, and $55.3 million and $82.3 million for the six months ended September 30, 2014 and 2013, respectively. The Company-paid contributions were $16.6 million and $21.2 million for the three months ended September 30, 2014 and 2013, respectively, and $38.2 million and $64.4 million for the six months ended September 30, 2014 and 2013, respectively.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maintains and administers a postretirement medical plan and a defined benefit retirement plan for current, retired, and resigned officers.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1,083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1,364</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4,819</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60" w:firstLine="405"/>
        <w:spacing w:after="0" w:line="308" w:lineRule="auto"/>
        <w:rPr>
          <w:sz w:val="20"/>
          <w:szCs w:val="20"/>
          <w:color w:val="auto"/>
        </w:rPr>
      </w:pPr>
      <w:r>
        <w:rPr>
          <w:rFonts w:ascii="Arial" w:cs="Arial" w:eastAsia="Arial" w:hAnsi="Arial"/>
          <w:sz w:val="17"/>
          <w:szCs w:val="17"/>
          <w:color w:val="auto"/>
        </w:rPr>
        <w:t>As of September 30, 2014 and March 31, 2014, the unfunded status of the post-retirement medical plan was $78.9 million and $75.9 million, respectively, which is included in other long-term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8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 The following table represents a rollforward of amounts recognized in accumulated other comprehensive loss, net of tax:</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(13,787)</w:t>
            </w:r>
          </w:p>
        </w:tc>
      </w:tr>
      <w:tr>
        <w:trPr>
          <w:trHeight w:val="243"/>
        </w:trPr>
        <w:tc>
          <w:tcPr>
            <w:tcW w:w="6520" w:type="dxa"/>
            <w:vAlign w:val="bottom"/>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747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w:t>
            </w:r>
          </w:p>
        </w:tc>
      </w:tr>
      <w:tr>
        <w:trPr>
          <w:trHeight w:val="237"/>
        </w:trPr>
        <w:tc>
          <w:tcPr>
            <w:tcW w:w="6520" w:type="dxa"/>
            <w:vAlign w:val="bottom"/>
          </w:tcPr>
          <w:p>
            <w:pPr>
              <w:ind w:left="360"/>
              <w:spacing w:after="0"/>
              <w:rPr>
                <w:sz w:val="20"/>
                <w:szCs w:val="20"/>
                <w:color w:val="auto"/>
              </w:rPr>
            </w:pPr>
            <w:r>
              <w:rPr>
                <w:rFonts w:ascii="Arial" w:cs="Arial" w:eastAsia="Arial" w:hAnsi="Arial"/>
                <w:sz w:val="18"/>
                <w:szCs w:val="18"/>
                <w:color w:val="auto"/>
              </w:rPr>
              <w:t>Net current-period other comprehensive loss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1,533</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(12,254)</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52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3"/>
        </w:trPr>
        <w:tc>
          <w:tcPr>
            <w:tcW w:w="65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w w:val="95"/>
              </w:rPr>
              <w:t>Amortization of net actuarial loss included in net periodic benefit cost (See Note 10)</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before tax</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1,364</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Tax benefit</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7"/>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of tax</w:t>
            </w: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786</w:t>
            </w: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8820" w:hanging="332"/>
        <w:spacing w:after="0" w:line="346" w:lineRule="auto"/>
        <w:tabs>
          <w:tab w:leader="none" w:pos="28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spacing w:after="0" w:line="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Class A</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Class C</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 E</w:t>
            </w:r>
          </w:p>
        </w:tc>
        <w:tc>
          <w:tcPr>
            <w:tcW w:w="14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Non-Voting</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Special Voting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2013</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136,457,444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1,451,600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7,478,522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405,843</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1,047,160</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5,299,501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(3,053,708)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Share exchange</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1,157,968</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(869,520)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(288,448)</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(1)</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203,782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2014</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143,962,073</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582,080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935,871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4,424,814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609,625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1,267,371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3,044,781</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(2,559,196)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exchange (3)</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1,517,951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(582,080)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(935,871)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Repurchase of common stock (2)</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377,001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149,792,176</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1,865,618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986,626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4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shares repurchased on June 30, 2013 to cover the minimum statutory withholding taxes on restricted stock awards that vested on June 30, 2013 and shares repurchased on multiple dates for the minimum statutory withholding taxes on accelerated restricted stock vesting for departing officers.</w:t>
      </w:r>
    </w:p>
    <w:p>
      <w:pPr>
        <w:spacing w:after="0" w:line="181"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shares repurchased on June 30, 2014 to cover the minimum statutory withholding taxes on restricted stock awards that vested on June 30, 2014, shares repurchased on September 12, 2014 to cover for the minimum statutory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88" w:right="239" w:bottom="1440" w:gutter="0" w:footer="0" w:header="0"/>
        </w:sectPr>
      </w:pPr>
    </w:p>
    <w:bookmarkStart w:id="12" w:name="page13"/>
    <w:bookmarkEnd w:id="12"/>
    <w:p>
      <w:pPr>
        <w:ind w:left="660" w:right="180"/>
        <w:spacing w:after="0" w:line="324" w:lineRule="auto"/>
        <w:rPr>
          <w:sz w:val="20"/>
          <w:szCs w:val="20"/>
          <w:color w:val="auto"/>
        </w:rPr>
      </w:pPr>
      <w:r>
        <w:rPr>
          <w:rFonts w:ascii="Arial" w:cs="Arial" w:eastAsia="Arial" w:hAnsi="Arial"/>
          <w:sz w:val="18"/>
          <w:szCs w:val="18"/>
          <w:color w:val="auto"/>
        </w:rPr>
        <w:t>withholding taxes on rollover stock options exercised on September 12, 2014 and shares repurchased on multiple dates for the minimum statutory withholding taxes on accelerated restricted stock vesting for departing officers.</w:t>
      </w:r>
    </w:p>
    <w:p>
      <w:pPr>
        <w:spacing w:after="0" w:line="143" w:lineRule="exact"/>
        <w:rPr>
          <w:sz w:val="20"/>
          <w:szCs w:val="20"/>
          <w:color w:val="auto"/>
        </w:rPr>
      </w:pPr>
    </w:p>
    <w:p>
      <w:pPr>
        <w:ind w:left="660" w:right="60" w:hanging="652"/>
        <w:spacing w:after="0" w:line="29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the annual meeting of stockholders held on July 31, 2014, the stockholders approved a proposal to amend and restate the certificate of incorporation, which had the effect of converting all issued and outstanding shares of Class B Non-Voting Common Stock and Class C Restricted Common Stock into shares of Class A Common Stock on a one-for-one basis. The conversion was effected on August 13, 2014 when the Company filed its third amended and restated certificate of incorporation with the Secretary of State of the State of Delaware. As a result of the conversion, there were no more shares of Class B Non-Voting Common Stock and Class C Restricted Common Stock outstanding at such time.</w:t>
      </w:r>
    </w:p>
    <w:p>
      <w:pPr>
        <w:spacing w:after="0" w:line="104" w:lineRule="exact"/>
        <w:rPr>
          <w:sz w:val="20"/>
          <w:szCs w:val="20"/>
          <w:color w:val="auto"/>
        </w:rPr>
      </w:pPr>
    </w:p>
    <w:p>
      <w:pPr>
        <w:ind w:right="280" w:firstLine="405"/>
        <w:spacing w:after="0" w:line="342" w:lineRule="auto"/>
        <w:rPr>
          <w:sz w:val="20"/>
          <w:szCs w:val="20"/>
          <w:color w:val="auto"/>
        </w:rPr>
      </w:pPr>
      <w:r>
        <w:rPr>
          <w:rFonts w:ascii="Arial" w:cs="Arial" w:eastAsia="Arial" w:hAnsi="Arial"/>
          <w:sz w:val="16"/>
          <w:szCs w:val="16"/>
          <w:color w:val="auto"/>
        </w:rPr>
        <w:t>For the quarterly offering period that closed on September 30, 2014, 54,598 Class A Common Stock shares were purchased by employees under the Company's Employee Stock Purchase Plan, or ESPP. As of the program's inception, 1,412,851 shares have been purchased by employees.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3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stock-based compensation expense recognized in the condensed consolidated statements of operations:</w:t>
      </w:r>
    </w:p>
    <w:p>
      <w:pPr>
        <w:spacing w:after="0" w:line="35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35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2,261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4,298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2,660</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21"/>
                <w:szCs w:val="21"/>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4,564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3,012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8,589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6,681</w:t>
            </w:r>
          </w:p>
        </w:tc>
      </w:tr>
      <w:tr>
        <w:trPr>
          <w:trHeight w:val="27"/>
        </w:trPr>
        <w:tc>
          <w:tcPr>
            <w:tcW w:w="3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3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6,825</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4,195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12,887</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9,341</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420" w:hanging="3920"/>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9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w w:val="92"/>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35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3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Incentive Plan Options</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88"/>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2,782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2,951</w:t>
            </w:r>
          </w:p>
        </w:tc>
      </w:tr>
      <w:tr>
        <w:trPr>
          <w:trHeight w:val="243"/>
        </w:trPr>
        <w:tc>
          <w:tcPr>
            <w:tcW w:w="3520" w:type="dxa"/>
            <w:vAlign w:val="bottom"/>
          </w:tcPr>
          <w:p>
            <w:pPr>
              <w:ind w:left="160"/>
              <w:spacing w:after="0"/>
              <w:rPr>
                <w:sz w:val="20"/>
                <w:szCs w:val="20"/>
                <w:color w:val="auto"/>
              </w:rPr>
            </w:pPr>
            <w:r>
              <w:rPr>
                <w:rFonts w:ascii="Arial" w:cs="Arial" w:eastAsia="Arial" w:hAnsi="Arial"/>
                <w:sz w:val="18"/>
                <w:szCs w:val="18"/>
                <w:color w:val="auto"/>
              </w:rPr>
              <w:t>Class A Restricted Common Stock</w:t>
            </w:r>
          </w:p>
        </w:tc>
        <w:tc>
          <w:tcPr>
            <w:tcW w:w="940" w:type="dxa"/>
            <w:vAlign w:val="bottom"/>
          </w:tcPr>
          <w:p>
            <w:pPr>
              <w:spacing w:after="0"/>
              <w:rPr>
                <w:sz w:val="21"/>
                <w:szCs w:val="21"/>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w w:val="88"/>
              </w:rPr>
              <w:t>5,238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3,346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10,105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5,753</w:t>
            </w:r>
          </w:p>
        </w:tc>
      </w:tr>
      <w:tr>
        <w:trPr>
          <w:trHeight w:val="27"/>
        </w:trPr>
        <w:tc>
          <w:tcPr>
            <w:tcW w:w="3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Rollover Options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w:t>
            </w:r>
          </w:p>
        </w:tc>
      </w:tr>
      <w:tr>
        <w:trPr>
          <w:trHeight w:val="243"/>
        </w:trPr>
        <w:tc>
          <w:tcPr>
            <w:tcW w:w="3520" w:type="dxa"/>
            <w:vAlign w:val="bottom"/>
          </w:tcPr>
          <w:p>
            <w:pPr>
              <w:ind w:left="160"/>
              <w:spacing w:after="0"/>
              <w:rPr>
                <w:sz w:val="20"/>
                <w:szCs w:val="20"/>
                <w:color w:val="auto"/>
              </w:rPr>
            </w:pPr>
            <w:r>
              <w:rPr>
                <w:rFonts w:ascii="Arial" w:cs="Arial" w:eastAsia="Arial" w:hAnsi="Arial"/>
                <w:sz w:val="18"/>
                <w:szCs w:val="18"/>
                <w:color w:val="auto"/>
              </w:rPr>
              <w:t>Class C Restricted Stock</w:t>
            </w:r>
          </w:p>
        </w:tc>
        <w:tc>
          <w:tcPr>
            <w:tcW w:w="94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59</w:t>
            </w:r>
          </w:p>
        </w:tc>
      </w:tr>
      <w:tr>
        <w:trPr>
          <w:trHeight w:val="27"/>
        </w:trPr>
        <w:tc>
          <w:tcPr>
            <w:tcW w:w="35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3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88"/>
              </w:rPr>
              <w:t>6,825</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4,195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12,887</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9,341</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of September 30, 2014, there was $40.9 million of total unrecognized compensation cost related to unvested stock-based compensation agreements. The unrecognized compensation cost as of September 30, 2014 is expected to be amortized over 4.5 years. Absent the effect of accelerating stock compensation cost for any departures of employees who may continue to vest in their equity awards, the following table summarizes the unrecognized compensation cost and the weighted average period the cost is expected to be amortized.</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September 30, 2014</w:t>
            </w:r>
          </w:p>
        </w:tc>
      </w:tr>
      <w:tr>
        <w:trPr>
          <w:trHeight w:val="152"/>
        </w:trPr>
        <w:tc>
          <w:tcPr>
            <w:tcW w:w="6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w:t>
            </w:r>
          </w:p>
        </w:tc>
      </w:tr>
      <w:tr>
        <w:trPr>
          <w:trHeight w:val="192"/>
        </w:trPr>
        <w:tc>
          <w:tcPr>
            <w:tcW w:w="6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5"/>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Period to be Recognized</w:t>
            </w: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6,384</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3.07</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180" w:type="dxa"/>
            <w:vAlign w:val="bottom"/>
          </w:tcPr>
          <w:p>
            <w:pPr>
              <w:spacing w:after="0"/>
              <w:rPr>
                <w:sz w:val="21"/>
                <w:szCs w:val="21"/>
                <w:color w:val="auto"/>
              </w:rPr>
            </w:pPr>
          </w:p>
        </w:tc>
        <w:tc>
          <w:tcPr>
            <w:tcW w:w="1560" w:type="dxa"/>
            <w:vAlign w:val="bottom"/>
          </w:tcPr>
          <w:p>
            <w:pPr>
              <w:jc w:val="right"/>
              <w:ind w:right="39"/>
              <w:spacing w:after="0"/>
              <w:rPr>
                <w:sz w:val="20"/>
                <w:szCs w:val="20"/>
                <w:color w:val="auto"/>
              </w:rPr>
            </w:pPr>
            <w:r>
              <w:rPr>
                <w:rFonts w:ascii="Arial" w:cs="Arial" w:eastAsia="Arial" w:hAnsi="Arial"/>
                <w:sz w:val="18"/>
                <w:szCs w:val="18"/>
                <w:color w:val="auto"/>
              </w:rPr>
              <w:t>34,559</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3.09</w:t>
            </w:r>
          </w:p>
        </w:tc>
      </w:tr>
      <w:tr>
        <w:trPr>
          <w:trHeight w:val="27"/>
        </w:trPr>
        <w:tc>
          <w:tcPr>
            <w:tcW w:w="6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6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40,943</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719" w:right="31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2014, there were 6,645,805 EIP options outstanding, of which 2,344,118 were unvested.</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Grants of Class A Restricted Common Stock and Restricted Stock Units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July 1, 2014 the Board of Directors granted 465,886 Restricted Stock Units in conjunction with the</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Annual Incentive Plan adopted on October 1, 2010, or Annual Incentive Plan. The amount of the annual incentive payment was determined based on performance targets established by the Compensation Committee and a portion of the incentive payment awarded under the Annual Incentive Plan was paid in the form of Restricted Stock Units. A Restricted Stock Unit represents a contingent right to receive one share of Class A Common Stock upon vesting. The Restricted Stock Units will vest based on the passage of time, subject to the participant’s continued employment with the Company. The portion to be paid in the form of Restricted Stock Units will be recognized in the accompanying consolidated statements of operations based on grant date fair value over the vesting period of 3 years. The aggregate value was estimated at $10.1 million based on the stock price of $21.57 on the grant date.</w:t>
      </w:r>
    </w:p>
    <w:p>
      <w:pPr>
        <w:spacing w:after="0" w:line="164"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On July 1, 2014, the Board of Directors granted the Chief Executive Officer 23,282 shares of Class A Restricted Stock in conjunction with the Annual Incentive Plan. The amount of the annual incentive payment was determined based on performance targets established by the Compensation Committee and a portion of the bonus awarded under the Annual Incentive Plan to the Chief Executive Officer was paid in the form of Class A Restricted Stock, which vest in equal annual installments over 3 years. The aggregate value of this award was estimated at $0.5 million based on the stock price of $21.57 on the grant date.</w:t>
      </w:r>
    </w:p>
    <w:p>
      <w:pPr>
        <w:spacing w:after="0" w:line="100"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On August 8, 2014, the Board of Directors granted 26,915 shares of Class A Restricted Stock to certain members of the Board of Directors. The aggregate value of this award was estimated at $0.6 million based on the stock price of $21.18 on the grant date.</w:t>
      </w:r>
    </w:p>
    <w:p>
      <w:pPr>
        <w:spacing w:after="0" w:line="116"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On September 2, 2014, the Board of Directors granted 7,238 shares of Class A Restricted Stock to a new member of the Board of Directors. The aggregate value was estimated at $0.2 million based on the stock price of $22.69 on the grant date.</w:t>
      </w:r>
    </w:p>
    <w:p>
      <w:pPr>
        <w:spacing w:after="0" w:line="3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As permitted under the terms of the Rollover Plan, the Compensation Committee as Administrator of the Plan, authorized the withholding of taxes not to exceed the minimum statutory withholding amount, through the surrender of shares of Class A Common Stock issuable upon the exercise of Rollover Options. For those holders who elected to participate, the Company repurchased a total of 159,179 shares and recorded them as treasury shares at a cost of $3.6 million during the three months ended September 30,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Dividends</w:t>
      </w:r>
    </w:p>
    <w:p>
      <w:pPr>
        <w:spacing w:after="0" w:line="9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Board of Directors, as the Administrator of the Officers' Rollover Stock Plan and the Amended and Restated Equity Incentive Plan, have discretion in how to effect the required adjustment to keep option holders whole in the event of a distribution of dividends that triggers certain anti-dilution clauses within the respective plans. In the event the Board of Directors elect to grant option holders a cash payment equal to the amount of the special dividend, the Company accrues a stock-based compensation liability as the respective option's stock compensation expense is recorded in the condensed consolidated statement of operations. This obligation will be settled on the options' mandatory exercise date for Rollover options and on the later of the date the dividend is paid or vesting for the EIP options. The stock-based compensation liability includes all special dividends declared.</w:t>
      </w:r>
    </w:p>
    <w:p>
      <w:pPr>
        <w:spacing w:after="0" w:line="260" w:lineRule="exact"/>
        <w:rPr>
          <w:sz w:val="20"/>
          <w:szCs w:val="20"/>
          <w:color w:val="auto"/>
        </w:rPr>
      </w:pPr>
    </w:p>
    <w:p>
      <w:pPr>
        <w:jc w:val="both"/>
        <w:ind w:right="440" w:firstLine="405"/>
        <w:spacing w:after="0" w:line="286" w:lineRule="auto"/>
        <w:rPr>
          <w:sz w:val="20"/>
          <w:szCs w:val="20"/>
          <w:color w:val="auto"/>
        </w:rPr>
      </w:pPr>
      <w:r>
        <w:rPr>
          <w:rFonts w:ascii="Arial" w:cs="Arial" w:eastAsia="Arial" w:hAnsi="Arial"/>
          <w:sz w:val="17"/>
          <w:szCs w:val="17"/>
          <w:color w:val="auto"/>
        </w:rPr>
        <w:t>Total compensation expense recorded in conjunction with the payment of the dividend equivalents to holders of unvested EIP options for the three months ended September 30, 2014 was $0.7 million. Future compensation expense related to the payment of the dividend equivalents to holders of EIP options not yet recognized in the statement of operations is $0.7 million and is expected to be recognized over 2.75 years.</w:t>
      </w:r>
    </w:p>
    <w:p>
      <w:pPr>
        <w:spacing w:after="0" w:line="24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As of September 30, 2014 and March 31, 2014, the Company calculated a total recorded and unrecorded stock-based compensation liability of $36.4 million and $73.1 million, respectively, related to the special dividends paid in July and December 2009, June and August 2012, November 2013 and February and August 2014. The recorded stock-based compensation liability is as follows: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935" w:right="259" w:bottom="1440" w:gutter="0" w:footer="0" w:header="0"/>
        </w:sectPr>
      </w:pPr>
    </w:p>
    <w:bookmarkStart w:id="14" w:name="page15"/>
    <w:bookmarkEnd w:id="14"/>
    <w:tbl>
      <w:tblPr>
        <w:tblLayout w:type="fixed"/>
        <w:tblInd w:w="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6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w w:val="89"/>
              </w:rPr>
              <w:t>September 30, 2014</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2014</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3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Rollover</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Rollover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EIP Options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Options</w:t>
            </w:r>
          </w:p>
        </w:tc>
        <w:tc>
          <w:tcPr>
            <w:tcW w:w="26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EIP 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liability (1)</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39,922</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Long-term portion of liability (2)</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25,966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25,966</w:t>
            </w:r>
          </w:p>
        </w:tc>
      </w:tr>
      <w:tr>
        <w:trPr>
          <w:trHeight w:val="27"/>
        </w:trPr>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3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31,798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65,888</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accrued compensation and benefits (Note 6).</w:t>
      </w:r>
    </w:p>
    <w:p>
      <w:pPr>
        <w:spacing w:after="0" w:line="90" w:lineRule="exact"/>
        <w:rPr>
          <w:rFonts w:ascii="Arial" w:cs="Arial" w:eastAsia="Arial" w:hAnsi="Arial"/>
          <w:sz w:val="18"/>
          <w:szCs w:val="18"/>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other long-term liabilities (Note 9).</w:t>
      </w:r>
    </w:p>
    <w:p>
      <w:pPr>
        <w:spacing w:after="0" w:line="90"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As of September 30, 2014, $4.6 million related to EIP options will be recorded as liabilities as the options vest over the next 4.5 years. As of March 31, 2014, there was an unrecognized liability of $7.2 million related to EIP options. There is no unrecorded liability related to Rollover options as of September 30, 2014 or March 31, 2014, as the Rollover options are fully vested.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A financial instrument's level within the fair value hierarchy is based on the lowest level of input that is significant to the fair value measurement. The following tables set forth by level represent the fair value of the Company's cash and cash equivalents as of September 30,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490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Fair Value of Cash and Cash Equivalents as of September 30,</w:t>
            </w:r>
          </w:p>
        </w:tc>
      </w:tr>
      <w:tr>
        <w:trPr>
          <w:trHeight w:val="234"/>
        </w:trPr>
        <w:tc>
          <w:tcPr>
            <w:tcW w:w="6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4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Level 1</w:t>
            </w:r>
          </w:p>
        </w:tc>
        <w:tc>
          <w:tcPr>
            <w:tcW w:w="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Level 3</w:t>
            </w:r>
          </w:p>
        </w:tc>
        <w:tc>
          <w:tcPr>
            <w:tcW w:w="1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$45,842</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center"/>
              <w:ind w:left="1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$45,842</w:t>
            </w: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 (1)</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0"/>
              </w:rPr>
              <w:t>$195,982</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$195,982</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 cash and cash equivalents</w:t>
            </w: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$45,842</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center"/>
              <w:ind w:left="110"/>
              <w:spacing w:after="0"/>
              <w:rPr>
                <w:sz w:val="20"/>
                <w:szCs w:val="20"/>
                <w:color w:val="auto"/>
              </w:rPr>
            </w:pPr>
            <w:r>
              <w:rPr>
                <w:rFonts w:ascii="Arial" w:cs="Arial" w:eastAsia="Arial" w:hAnsi="Arial"/>
                <w:sz w:val="18"/>
                <w:szCs w:val="18"/>
                <w:color w:val="auto"/>
                <w:w w:val="90"/>
              </w:rPr>
              <w:t>$195,982</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$241,824</w:t>
            </w:r>
          </w:p>
        </w:tc>
      </w:tr>
      <w:tr>
        <w:trPr>
          <w:trHeight w:val="20"/>
        </w:trPr>
        <w:tc>
          <w:tcPr>
            <w:tcW w:w="6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 forth by levels represents the fair value of the Company's cash and cash equivalents as of March 31,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4120" w:type="dxa"/>
            <w:vAlign w:val="bottom"/>
            <w:gridSpan w:val="7"/>
          </w:tcPr>
          <w:p>
            <w:pPr>
              <w:ind w:left="480"/>
              <w:spacing w:after="0"/>
              <w:rPr>
                <w:sz w:val="20"/>
                <w:szCs w:val="20"/>
                <w:color w:val="auto"/>
              </w:rPr>
            </w:pPr>
            <w:r>
              <w:rPr>
                <w:rFonts w:ascii="Arial" w:cs="Arial" w:eastAsia="Arial" w:hAnsi="Arial"/>
                <w:sz w:val="18"/>
                <w:szCs w:val="18"/>
                <w:b w:val="1"/>
                <w:bCs w:val="1"/>
                <w:color w:val="auto"/>
              </w:rPr>
              <w:t>Fair Value of Cash and Cash Equivalents</w:t>
            </w:r>
          </w:p>
        </w:tc>
      </w:tr>
      <w:tr>
        <w:trPr>
          <w:trHeight w:val="234"/>
        </w:trPr>
        <w:tc>
          <w:tcPr>
            <w:tcW w:w="5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4"/>
          </w:tcPr>
          <w:p>
            <w:pPr>
              <w:ind w:left="200"/>
              <w:spacing w:after="0"/>
              <w:rPr>
                <w:sz w:val="20"/>
                <w:szCs w:val="20"/>
                <w:color w:val="auto"/>
              </w:rPr>
            </w:pPr>
            <w:r>
              <w:rPr>
                <w:rFonts w:ascii="Arial" w:cs="Arial" w:eastAsia="Arial" w:hAnsi="Arial"/>
                <w:sz w:val="18"/>
                <w:szCs w:val="18"/>
                <w:b w:val="1"/>
                <w:bCs w:val="1"/>
                <w:color w:val="auto"/>
              </w:rPr>
              <w:t>as of March 31, 2014</w:t>
            </w:r>
          </w:p>
        </w:tc>
        <w:tc>
          <w:tcPr>
            <w:tcW w:w="960" w:type="dxa"/>
            <w:vAlign w:val="bottom"/>
          </w:tcPr>
          <w:p>
            <w:pPr>
              <w:spacing w:after="0"/>
              <w:rPr>
                <w:sz w:val="20"/>
                <w:szCs w:val="20"/>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Level 1</w:t>
            </w:r>
          </w:p>
        </w:tc>
        <w:tc>
          <w:tcPr>
            <w:tcW w:w="10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Level 2</w:t>
            </w:r>
          </w:p>
        </w:tc>
        <w:tc>
          <w:tcPr>
            <w:tcW w:w="1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1"/>
              </w:rPr>
              <w:t>Level 3</w:t>
            </w:r>
          </w:p>
        </w:tc>
        <w:tc>
          <w:tcPr>
            <w:tcW w:w="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w:t>
            </w: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$37,886</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$37,886</w:t>
            </w:r>
          </w:p>
        </w:tc>
      </w:tr>
      <w:tr>
        <w:trPr>
          <w:trHeight w:val="27"/>
        </w:trPr>
        <w:tc>
          <w:tcPr>
            <w:tcW w:w="5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 (1)</w:t>
            </w: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$222,108</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$222,108</w:t>
            </w: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Total cash and cash equivalents</w:t>
            </w: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$37,886</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$222,108</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$259,994</w:t>
            </w:r>
          </w:p>
        </w:tc>
      </w:tr>
      <w:tr>
        <w:trPr>
          <w:trHeight w:val="20"/>
        </w:trPr>
        <w:tc>
          <w:tcPr>
            <w:tcW w:w="5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6"/>
          <w:szCs w:val="16"/>
          <w:color w:val="auto"/>
        </w:rPr>
        <w:t>Level two cash and cash equivalents are invested in money market funds that are intended to maintain a stable net asset value of $1.00 per share by</w:t>
      </w:r>
    </w:p>
    <w:p>
      <w:pPr>
        <w:spacing w:after="0" w:line="49" w:lineRule="exact"/>
        <w:rPr>
          <w:rFonts w:ascii="Arial" w:cs="Arial" w:eastAsia="Arial" w:hAnsi="Arial"/>
          <w:sz w:val="18"/>
          <w:szCs w:val="18"/>
          <w:color w:val="auto"/>
        </w:rPr>
      </w:pPr>
    </w:p>
    <w:p>
      <w:pPr>
        <w:ind w:right="120"/>
        <w:spacing w:after="0" w:line="293" w:lineRule="auto"/>
        <w:rPr>
          <w:rFonts w:ascii="Arial" w:cs="Arial" w:eastAsia="Arial" w:hAnsi="Arial"/>
          <w:sz w:val="18"/>
          <w:szCs w:val="18"/>
          <w:color w:val="auto"/>
        </w:rPr>
      </w:pPr>
      <w:r>
        <w:rPr>
          <w:rFonts w:ascii="Arial" w:cs="Arial" w:eastAsia="Arial" w:hAnsi="Arial"/>
          <w:sz w:val="18"/>
          <w:szCs w:val="18"/>
          <w:color w:val="auto"/>
        </w:rPr>
        <w:t>investing in liquid, high quality U.S. dollar-denominated money market instruments. Depending on our short-term liquidity needs, we make regular transfers between money market funds and other cash equivalents.</w:t>
      </w:r>
    </w:p>
    <w:p>
      <w:pPr>
        <w:spacing w:after="0" w:line="48"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fair value of the Company's trade accounts receivable and accounts payable approximates its carrying value at September 30, 2014 and March 31, 2014 because of the short-term nature of these instruments. The fair value of the Company's debt instruments approximates its carrying value at September 30, 2014 and March 31, 2014. The fair value of debt is determined based on interest rates available for debt with terms and maturities similar to the Company's existing debt arrangements (Level 2 inputs).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33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Carlyle Group is the controlling shareholder of the Company. From time to time, and in the ordinary course of business: (1) other Carlyle portfolio companies engage the Company as a subcontractor or service provider, and (2) the</w:t>
      </w: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931" w:right="239" w:bottom="1440" w:gutter="0" w:footer="0" w:header="0"/>
          <w:type w:val="continuous"/>
        </w:sectPr>
      </w:pPr>
    </w:p>
    <w:bookmarkStart w:id="15" w:name="page16"/>
    <w:bookmarkEnd w:id="15"/>
    <w:p>
      <w:pPr>
        <w:ind w:right="320"/>
        <w:spacing w:after="0" w:line="279" w:lineRule="auto"/>
        <w:rPr>
          <w:sz w:val="20"/>
          <w:szCs w:val="20"/>
          <w:color w:val="auto"/>
        </w:rPr>
      </w:pPr>
      <w:r>
        <w:rPr>
          <w:rFonts w:ascii="Arial" w:cs="Arial" w:eastAsia="Arial" w:hAnsi="Arial"/>
          <w:sz w:val="17"/>
          <w:szCs w:val="17"/>
          <w:color w:val="auto"/>
        </w:rPr>
        <w:t>Company engages other Carlyle portfolio companies as subcontractors or service providers. Revenue and cost associated with these related parties for the three months ended September 30, 2014 were $436,000 and $323,000, respectively, and $649,000 and $486,000 for the six months ended September 30, 2014, respectively. Revenue and cost associated with these related parties for the three months ended September 30, 2013 were $71,000 and $58,000, respectively, and $167,000 and $140,000 for the six months ended September 30, 2013, respectively.</w:t>
      </w:r>
    </w:p>
    <w:p>
      <w:pPr>
        <w:spacing w:after="0" w:line="334"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In addition, investment vehicles affiliated with The Carlyle Group participated in a lender syndicate in the Company’s outstanding debt in the amounts of $47.0 million and $55.5 million at September 30, 2014 and March 31, 2014, respectively. The participation by such investment vehicles in the syndication of the Company's debt was done on an arm’s length basis.</w:t>
      </w:r>
    </w:p>
    <w:p>
      <w:pPr>
        <w:spacing w:after="0" w:line="34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July 31, 2008, the Company entered into a management agreement, or Management Agreement, with TC Group V US, L.L.C., or TC Group, a company affiliated with Carlyle. On June 7, 2012, TC Group assigned all of its right, title and interest in, and obligations under, the management agreement to Carlyle Investment Management L.L.C., or Carlyle Investment Management. In accordance with the Management Agreement, Carlyle Investment Management provides the Company with advisory, consulting, and other services and the Company pays Carlyle Investment Management an aggregate annual fee of $1.0 million, plus expenses. For the three months ended September 30, 2014 and 2013, the Company incurred $250,000 in advisory fees. For the six months ended September 30, 2014 and 2013, the Company incurred $500,000 in advisory fees in each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As a result of the July 2008 acquisition, as described in the Company’s Annual Report, the Company assigned a total of nine leases to Booz &amp; Co, which has subsequently changed its name to Strategy&amp;. The Company remains liable for two leases for facilities located in Chicago and London under the terms of the original leases should Strategy&amp; default on its obligations. All other leases assigned to Strategy&amp; have expired. There were no events of default under these leases as of September 30, 2014 or March 31, 2014. The maximum potential amount of undiscounted future payments is $11.9 million, and the leases expire in November 2015 and March 2017. Based on the Company’s assessment of the likelihood of future payment, no amounts have been recorded related to the Company’s contingent liability on such leases.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90"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For the three and six months ended September 30, 2014 and 2013, approximately 98% of the Company’s revenue was generated from contracts with U.S. government agencies or other U.S. government contractors.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by using investigative techniques such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 believes it has adequately reserved for any losses that may be experienced from any investigation of which it is aware. The Defense Contract Management Agency Administrative Contracting Officer has negotiated annual final indirect cost rates through fiscal year 2007. Audits of subsequent years may result in cost reductions and/or penalties. Management believes it has adequately reserved for any losses that may be experienced from any such reductions and/or penalties. As of September 30, 2014 and March 31, 2014, the Company has recorded a liability of approximately $196.3 million and $189.8 million, respectively, for its current best estimate of amounts to be refunded to customers for potential adjustments from such audits or reviews of contract costs incurred subsequent to fiscal year 2007.</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 million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September 30, 2014, there are no material amounts accrued in the condensed consolidated financial statements related to these proceedings.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800" w:right="259" w:bottom="1440" w:gutter="0" w:footer="0" w:header="0"/>
        </w:sectPr>
      </w:pPr>
    </w:p>
    <w:bookmarkStart w:id="16" w:name="page17"/>
    <w:bookmarkEnd w:id="16"/>
    <w:p>
      <w:pPr>
        <w:ind w:right="40" w:firstLine="405"/>
        <w:spacing w:after="0" w:line="286" w:lineRule="auto"/>
        <w:rPr>
          <w:sz w:val="20"/>
          <w:szCs w:val="20"/>
          <w:color w:val="auto"/>
        </w:rPr>
      </w:pPr>
      <w:r>
        <w:rPr>
          <w:rFonts w:ascii="Arial" w:cs="Arial" w:eastAsia="Arial" w:hAnsi="Arial"/>
          <w:sz w:val="16"/>
          <w:szCs w:val="16"/>
          <w:color w:val="auto"/>
        </w:rPr>
        <w:t>Six former officers and stockholders who had departed the firm prior to July 31, 2008, the date on which we became majority owned by Carlyle and certain of its affiliated investment funds, as described in the Company’s Annual Report, or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the Company and certain of the Company’s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 appeals exhausted. Five of the remaining suits are pending in the United States District Court for the Southern District of New York, and the sixth is pending in the United States District Court for the Southern District of California. As of September 30, 2014 and March 31, 2014, the aggregate alleged damages sought in the six remaining suits was approximately $348.7 million ($291.5 million of which is sought to be trebled pursuant to RICO) plus punitive damages, costs, and fees.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During October 2014, the Company entered into a stock purchase agreement to acquire an informatics company that provides early insights, continuous monitoring and consumer engagement for a wide range of population health domain. In addition, the Company also entered into an asset purchase agreement to acquire the assets of a unit of a company that provides IT solutions and strategy for the U.S. government’s Centers for Medicare and Medicaid Services and other health institutions. Neither acquisition is material under Accounting Standard Codification 805, Business Combinations, nor is either acquisition considered significant under the Securities and Exchange Commission’s Rule 3-05 of Regulation S-X. Pursuant to the terms of the agreements, the acquisitions will be accounted for using the purchase method of accounting which requires the total purchase price consideration to be allocated to the assets acquired and liabilities assumed based on estimates of fair value. The excess of purchase consideration over the amounts assigned to tangible and intangible assets acquired and liabilities assumed will be recognized as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54" w:right="259" w:bottom="1440" w:gutter="0" w:footer="0" w:header="0"/>
        </w:sectPr>
      </w:pPr>
    </w:p>
    <w:bookmarkStart w:id="17" w:name="page18"/>
    <w:bookmarkEnd w:id="17"/>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2014 filed with the Securities and Exchange Commission on May 22, 2014,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fiscal year ends March 31 and, unless otherwise noted, references to years or fiscal are for fiscal years ended March 31. See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are a leading provider of management consulting, technology, and engineering services to the U.S. government in the defense, intelligence, and civil markets. Additionally, we provide our management and technology consulting services to major corporations, institutions, and not-for-profit organizations. We are a well-known, trusted and long-term partner to our clients, who seek our expertise and objective advice to address their most important and complex problems. Leveraging our 100-year consulting heritage and a talent base of approximately 22,100 people, we deploy our deep domain knowledge, functional expertise, and experience to help our clients achieve their objectives. We have a collaborative culture, supported by our operating model, which helps our professionals identify and respond to emerging trends across the markets we serve and deliver enduring results for our clients. Today,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Environmental Protection Agency. We support these clients in addressing complex and pressing challenges such as combating global terrorism, improving cyber capabilities, transforming the healthcare system, improving efficiency and managing change within the government, and protecting the environment. In the commercial sector, we serve U.S. clients primarily in the financial services, healthcare, and energy markets, and international clients, primarily in the Middle East.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During the second quarter of fiscal 2015 we continued to see positive signals in the federal contracting environment, despite revenue declines. Proposal volume continued at levels higher than seen in the previous comparable period and award activity was seasonally strong to include growth in funded and unfunded backlog at the close of the federal government's fiscal year. The Company continued to effectively manage indirect costs during the six months ended September 30, 2014, including a continuing focus on management of our capacity to balance the supply of consulting staff with market demand. This effective management of indirect costs supports the Company's continued investment in growth areas including the expansion of our commercial and international markets.</w:t>
      </w:r>
    </w:p>
    <w:p>
      <w:pPr>
        <w:spacing w:after="0" w:line="5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Revenue decreased 5.3% from the three months ended September 30, 2013 to the three months ended September 30, 2014, and decreased 6.4% from the six months ended September 30, 2013 to the six months ended September 30, 2014 as a result of lower demand primarily driven by continuing macro challenges in the federal government spending environment and the residual impact of the slower award pace in the months immediately following last October's government shutdown, which resulted in reductions in consulting staff headcount over the past twelve months. The decline in consulting staff headcount led to fewer billable hours in total. While our headcount has decreased, the Company has maintained a high level of productivity of consulting staff. The revenue decline period over period was also attributable to a reduction in billable expenses due to a decline in our use of subcontractors and other direct expenses incurred to perform on contracts.</w:t>
      </w:r>
    </w:p>
    <w:p>
      <w:pPr>
        <w:spacing w:after="0" w:line="135"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Operating income decreased 10.1% to $122.0 million in the three months ended September 30, 2014 from $135.7 million in the three months ended September 30, 2013, which reflects a 50 basis point decrease in operating margin to 9.3% from 9.8% in the comparable period. Operating income decreased 4.9% to $261.0 million in the six months ended September 30, 2014 from $274.3 million in the six months ended September 30, 2013. Although operating income decreased, there was a 10 basis point increase in operating margin to 9.9% from 9.8% in the comparable period, which is consistent with the Company's focus on continued margin improvement. The decline in operating margin period over period was primarily due to lower demand and reductions in headcount which led to reduced revenue as discussed above. The impact of revenue declines on operating income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88" w:right="259" w:bottom="1440" w:gutter="0" w:footer="0" w:header="0"/>
        </w:sectPr>
      </w:pPr>
    </w:p>
    <w:bookmarkStart w:id="18" w:name="page19"/>
    <w:bookmarkEnd w:id="18"/>
    <w:p>
      <w:pPr>
        <w:ind w:right="20"/>
        <w:spacing w:after="0" w:line="255" w:lineRule="auto"/>
        <w:rPr>
          <w:sz w:val="20"/>
          <w:szCs w:val="20"/>
          <w:color w:val="auto"/>
        </w:rPr>
      </w:pPr>
      <w:r>
        <w:rPr>
          <w:rFonts w:ascii="Arial" w:cs="Arial" w:eastAsia="Arial" w:hAnsi="Arial"/>
          <w:sz w:val="18"/>
          <w:szCs w:val="18"/>
          <w:color w:val="auto"/>
        </w:rPr>
        <w:t>were mitigated by a decline in certain provisions for the potential recovery of allowable expenses recorded during the six months ended September 30, 2014 in comparison to the prior year. In addition, to a lesser extent, decreases in salaries and salary related benefits, including employer retirement plan contributions, and depreciation and amortization expense contributed to the change in operating margin. As discussed above, while the Company continues to focus on disciplined cost management of indirect spending, there was an increase in the level of bid and proposal volume and associated spending as compared to the prior year period which supported our pursuit of new contract opportunities that were expected as we approached the end of the government fiscal year on September 30, 2014. These actions and an improved award environment resulted in an increase in funded and unfunded backlog at the close of the government's fiscal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56" w:lineRule="exact"/>
        <w:rPr>
          <w:sz w:val="20"/>
          <w:szCs w:val="20"/>
          <w:color w:val="auto"/>
        </w:rPr>
      </w:pPr>
    </w:p>
    <w:p>
      <w:pPr>
        <w:ind w:right="80" w:firstLine="405"/>
        <w:spacing w:after="0" w:line="283" w:lineRule="auto"/>
        <w:rPr>
          <w:sz w:val="20"/>
          <w:szCs w:val="20"/>
          <w:color w:val="auto"/>
        </w:rPr>
      </w:pPr>
      <w:r>
        <w:rPr>
          <w:rFonts w:ascii="Arial" w:cs="Arial" w:eastAsia="Arial" w:hAnsi="Arial"/>
          <w:sz w:val="16"/>
          <w:szCs w:val="16"/>
          <w:color w:val="auto"/>
        </w:rPr>
        <w:t>We publicly disclose certain non-GAAP financial measurements, including Adjusted Operating Income, Adjusted EBITDA,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w:t>
      </w:r>
    </w:p>
    <w:p>
      <w:pPr>
        <w:spacing w:after="0" w:line="4" w:lineRule="exact"/>
        <w:rPr>
          <w:sz w:val="20"/>
          <w:szCs w:val="20"/>
          <w:color w:val="auto"/>
        </w:rPr>
      </w:pPr>
    </w:p>
    <w:p>
      <w:pPr>
        <w:ind w:right="200" w:firstLine="8"/>
        <w:spacing w:after="0" w:line="292" w:lineRule="auto"/>
        <w:tabs>
          <w:tab w:leader="none" w:pos="2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 each adjustment in our reconciliation of operating and net income to Adjusted Operating Income, Adjusted EBITDA and Adjusted Net Income, and net cash provided by operating activities to Free Cash Flows, and the explanatory footnotes regarding those adjustments, (ii) use Adjusted Operating Income, Adjusted EBITDA, Adjusted Net Income, and Adjusted Diluted EPS in addition to, and not as an alternative to, operating income, net income or diluted EPS, as a measure of operating results, and (iii) use Free Cash Flows in addition to, and not as an alternative to, net cash provided by operating activities as a measure of liquidity, each as defined under GAAP. We have defined the aforementioned non-GAAP measures as follows:</w:t>
      </w:r>
    </w:p>
    <w:p>
      <w:pPr>
        <w:spacing w:after="0" w:line="54" w:lineRule="exact"/>
        <w:rPr>
          <w:rFonts w:ascii="Arial" w:cs="Arial" w:eastAsia="Arial" w:hAnsi="Arial"/>
          <w:sz w:val="16"/>
          <w:szCs w:val="16"/>
          <w:color w:val="auto"/>
        </w:rPr>
      </w:pPr>
    </w:p>
    <w:p>
      <w:pPr>
        <w:ind w:left="1300" w:right="20" w:hanging="644"/>
        <w:spacing w:after="0" w:line="30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"Adjusted Operating Income" represents operating income before (i) certain stock option-based and other equity-based compensation expenses, (ii) adjustments related to the amortization of intangible assets, and (iii) any extraordinary, unusual, or non-recurring items.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46" w:lineRule="exact"/>
        <w:rPr>
          <w:rFonts w:ascii="Arial" w:cs="Arial" w:eastAsia="Arial" w:hAnsi="Arial"/>
          <w:sz w:val="16"/>
          <w:szCs w:val="16"/>
          <w:color w:val="auto"/>
        </w:rPr>
      </w:pPr>
    </w:p>
    <w:p>
      <w:pPr>
        <w:ind w:left="1300" w:hanging="644"/>
        <w:spacing w:after="0" w:line="297"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(i) certain stock option-based and other equity-based compensation expenses, (ii) transaction costs, fees, losses, and expenses, including fees associated with debt prepayments, and (iii) any extraordinary, unusual, or non-recurring items.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50" w:lineRule="exact"/>
        <w:rPr>
          <w:rFonts w:ascii="Arial" w:cs="Arial" w:eastAsia="Arial" w:hAnsi="Arial"/>
          <w:sz w:val="16"/>
          <w:szCs w:val="16"/>
          <w:color w:val="auto"/>
        </w:rPr>
      </w:pPr>
    </w:p>
    <w:p>
      <w:pPr>
        <w:ind w:left="1300" w:right="120" w:hanging="644"/>
        <w:spacing w:after="0" w:line="293"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 (iv) amortization or write-off of debt issuance costs and write-off of original issue discount, and (v) any extraordinary, unusual, or non-recurring items, in each case net of the tax effect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56" w:lineRule="exact"/>
        <w:rPr>
          <w:rFonts w:ascii="Arial" w:cs="Arial" w:eastAsia="Arial" w:hAnsi="Arial"/>
          <w:sz w:val="16"/>
          <w:szCs w:val="16"/>
          <w:color w:val="auto"/>
        </w:rPr>
      </w:pPr>
    </w:p>
    <w:p>
      <w:pPr>
        <w:ind w:left="1300" w:hanging="644"/>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854" w:right="259" w:bottom="1440" w:gutter="0" w:footer="0" w:header="0"/>
        </w:sectPr>
      </w:pPr>
    </w:p>
    <w:bookmarkStart w:id="19" w:name="page20"/>
    <w:bookmarkEnd w:id="19"/>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345"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60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2600" w:type="dxa"/>
            <w:vAlign w:val="bottom"/>
            <w:gridSpan w:val="4"/>
          </w:tcPr>
          <w:p>
            <w:pPr>
              <w:jc w:val="center"/>
              <w:ind w:right="111"/>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3"/>
          </w:tcPr>
          <w:p>
            <w:pPr>
              <w:jc w:val="center"/>
              <w:ind w:left="712"/>
              <w:spacing w:after="0"/>
              <w:rPr>
                <w:sz w:val="20"/>
                <w:szCs w:val="20"/>
                <w:color w:val="auto"/>
              </w:rPr>
            </w:pPr>
            <w:r>
              <w:rPr>
                <w:rFonts w:ascii="Arial" w:cs="Arial" w:eastAsia="Arial" w:hAnsi="Arial"/>
                <w:sz w:val="14"/>
                <w:szCs w:val="14"/>
                <w:b w:val="1"/>
                <w:bCs w:val="1"/>
                <w:color w:val="auto"/>
                <w:w w:val="95"/>
              </w:rPr>
              <w:t>(Unaudited)</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3"/>
          </w:tcPr>
          <w:p>
            <w:pPr>
              <w:jc w:val="center"/>
              <w:ind w:left="712"/>
              <w:spacing w:after="0"/>
              <w:rPr>
                <w:sz w:val="20"/>
                <w:szCs w:val="20"/>
                <w:color w:val="auto"/>
              </w:rPr>
            </w:pPr>
            <w:r>
              <w:rPr>
                <w:rFonts w:ascii="Arial" w:cs="Arial" w:eastAsia="Arial" w:hAnsi="Arial"/>
                <w:sz w:val="14"/>
                <w:szCs w:val="14"/>
                <w:b w:val="1"/>
                <w:bCs w:val="1"/>
                <w:color w:val="auto"/>
                <w:w w:val="95"/>
              </w:rPr>
              <w:t>(Unaudited)</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121,983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135,667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261,006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274,340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Amortization of intangible assets (b)</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(c)</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Adjusted Operating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123,039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137,779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265,157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279,659</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EBITDA &amp; Adjusted EBITDA</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65,284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67,813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136,399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138,126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87,623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93,687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and other, net</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17,010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21,869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36,984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42,527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36,432</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EBITDA</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137,793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153,769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293,048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310,772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Transaction expenses (c)</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137,793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153,769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295,087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311,866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67,813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136,399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138,126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 (b)</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Transaction expenses (c)</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or write-off of debt issuance costs and write-off of</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original issue discount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Adjustments for tax effect (d)</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141,266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143,330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number of diluted shares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150,403,896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148,505,826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149,537,560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147,257,574</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Adjusted Net Income Per Diluted Share (e)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0.44</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0.94</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Free Cash Flow</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108,803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65,762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200,529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139,609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Free Cash Flow</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102,524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61,474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191,598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132,891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80" w:hanging="652"/>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stock-based compensation expense for options for Class A Common Stock and restricted shares, in each case, issued in connection with the Acquisition of our Company by The Carlyle Group (the Acquisition) under the Officers' Rollover Stock Plan. Also reflects stock-based compensation expense for Equity Incentive Plan Class A Common Stock options issued in connection with the Acquisition under the Equity Incentive Plan.</w:t>
      </w:r>
    </w:p>
    <w:p>
      <w:pPr>
        <w:spacing w:after="0" w:line="2"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refinancing transaction consummated on May 7, 2014.</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9" w:lineRule="exact"/>
        <w:rPr>
          <w:rFonts w:ascii="Arial" w:cs="Arial" w:eastAsia="Arial" w:hAnsi="Arial"/>
          <w:sz w:val="18"/>
          <w:szCs w:val="18"/>
          <w:color w:val="auto"/>
        </w:rPr>
      </w:pPr>
    </w:p>
    <w:p>
      <w:pPr>
        <w:ind w:left="660" w:right="140" w:hanging="652"/>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an adjustment of approximately $2.5 million and $2.7 million of net earnings for the three and six months ended September 30, 2014, and excludes an adjustment of approximately $642,000 and $1.2 million of net earnings for the three and six months ended September 30, 2013 respectively, associated with the application of the two-class method for computing diluted earnings per share.</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800"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following recent development occurred after September 30, 2014, which may cause our future results of operations to differ from our historical results of operations discussed under “— Results of Operations.”</w:t>
      </w:r>
    </w:p>
    <w:p>
      <w:pPr>
        <w:spacing w:after="0" w:line="62"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During October 2014, we entered into a stock purchase agreement to acquire an informatics company that provides early insights, continuous monitoring and consumer engagement for a wide range of population health domain. In addition, we also entered into an asset purchase agreement to acquire the assets of a unit of a company that provides IT solutions and strategy for the U.S. government’s Centers for Medicare and Medicaid Services and other health institutions. Neither acquisition is material under Accounting Standard Codification 805, Business Combinations, nor is either acquisition considered significant under the Securities and Exchange Commission’s Rule 3-05 of Regulation S-X. Pursuant to the terms of the agreements, the acquisitions will be accounted for using the purchase method of accounting which requires the total purchase price consideration to be allocated to the assets acquired and liabilities assumed based on estimates of fair value. The excess of purchase consideration over the amounts assigned to tangible and intangible assets acquired and liabilities assumed will be recognized as goodwill.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94"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9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116" w:lineRule="exact"/>
        <w:rPr>
          <w:sz w:val="20"/>
          <w:szCs w:val="20"/>
          <w:color w:val="auto"/>
        </w:rPr>
      </w:pPr>
    </w:p>
    <w:p>
      <w:pPr>
        <w:ind w:left="1300" w:right="6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116" w:lineRule="exact"/>
        <w:rPr>
          <w:rFonts w:ascii="Arial" w:cs="Arial" w:eastAsia="Arial" w:hAnsi="Arial"/>
          <w:sz w:val="18"/>
          <w:szCs w:val="18"/>
          <w:color w:val="auto"/>
        </w:rPr>
      </w:pPr>
    </w:p>
    <w:p>
      <w:pPr>
        <w:ind w:left="1300" w:right="10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overseas operations end, and continued increased spending on cyber-security, advanced analytics, technology integration and healthcare;</w:t>
      </w:r>
    </w:p>
    <w:p>
      <w:pPr>
        <w:spacing w:after="0" w:line="127" w:lineRule="exact"/>
        <w:rPr>
          <w:rFonts w:ascii="Arial" w:cs="Arial" w:eastAsia="Arial" w:hAnsi="Arial"/>
          <w:sz w:val="18"/>
          <w:szCs w:val="18"/>
          <w:color w:val="auto"/>
        </w:rPr>
      </w:pPr>
    </w:p>
    <w:p>
      <w:pPr>
        <w:ind w:left="1300" w:right="40" w:hanging="644"/>
        <w:spacing w:after="0" w:line="270"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cost cutting and efficiency initiatives, current and future budget reductions, continued implementation of Congressionally mandated automatic spending cuts, and other efforts to reduce U.S. government spending, which could cause clients to reduce or delay funding for orders for services or invest appropriated funds on a less consistent or rapid basis or not at all, particularly when considering long-term initiatives and in light of uncertainty around Congressional efforts to craft a long-term agreement on the U.S. government's ability to incur indebtedness in excess of its current limits and generally in the current political environment,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127" w:lineRule="exact"/>
        <w:rPr>
          <w:rFonts w:ascii="Arial" w:cs="Arial" w:eastAsia="Arial" w:hAnsi="Arial"/>
          <w:sz w:val="17"/>
          <w:szCs w:val="17"/>
          <w:color w:val="auto"/>
        </w:rPr>
      </w:pPr>
    </w:p>
    <w:p>
      <w:pPr>
        <w:ind w:left="1300" w:hanging="644"/>
        <w:spacing w:after="0" w:line="255"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and continued uncertainty around the timing, extent, nature and effect of Congressional and other U.S. government action to address budgetary constraints, the outcome of Congressional efforts to craft a long-term agreement on the U.S. government’s ability to incur indebtedness in excess of its current limits and the U.S. deficit, including, the required reductions under the Budget Control Act of 2011 (as amended by the American Taxpayer Relief Act of 2012 and the Consolidated Appropriations Act, 2014), which provides for automatic spending cuts totaling approximately $1.2 trillion between 2013 and 2021, and the extension of the Temporary Debt Limit Extension Act, which is currently scheduled to expire on March 15, 2015;</w:t>
      </w:r>
    </w:p>
    <w:p>
      <w:pPr>
        <w:spacing w:after="0" w:line="139"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11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931" w:right="259" w:bottom="1440" w:gutter="0" w:footer="0" w:header="0"/>
        </w:sectPr>
      </w:pPr>
    </w:p>
    <w:bookmarkStart w:id="21" w:name="page22"/>
    <w:bookmarkEnd w:id="21"/>
    <w:p>
      <w:pPr>
        <w:ind w:left="1300" w:right="28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implementation by U.S. government agencies of approximately $64 billion and $90 billion in mandated 2014 and 2015 sequestration spending cuts, respectively, including an estimated $30 billion and $45 billion in cuts to the Department of Defense, respectively;</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127"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116" w:lineRule="exact"/>
        <w:rPr>
          <w:rFonts w:ascii="Arial" w:cs="Arial" w:eastAsia="Arial" w:hAnsi="Arial"/>
          <w:sz w:val="18"/>
          <w:szCs w:val="18"/>
          <w:color w:val="auto"/>
        </w:rPr>
      </w:pPr>
    </w:p>
    <w:p>
      <w:pPr>
        <w:ind w:left="1300" w:right="220" w:hanging="644"/>
        <w:spacing w:after="0" w:line="31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92" w:lineRule="exact"/>
        <w:rPr>
          <w:rFonts w:ascii="Arial" w:cs="Arial" w:eastAsia="Arial" w:hAnsi="Arial"/>
          <w:sz w:val="16"/>
          <w:szCs w:val="16"/>
          <w:color w:val="auto"/>
        </w:rPr>
      </w:pPr>
    </w:p>
    <w:p>
      <w:pPr>
        <w:ind w:left="1300" w:right="38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116"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a result of the U.S. government's efforts to reduce outlays for contractor costs, we may see a continuing shift toward placement of our consulting staff at client site locations instead of our facilities, which generally results in lower billing rates and could have a negative impact on our revenue;</w:t>
      </w:r>
    </w:p>
    <w:p>
      <w:pPr>
        <w:spacing w:after="0" w:line="127" w:lineRule="exact"/>
        <w:rPr>
          <w:rFonts w:ascii="Arial" w:cs="Arial" w:eastAsia="Arial" w:hAnsi="Arial"/>
          <w:sz w:val="18"/>
          <w:szCs w:val="18"/>
          <w:color w:val="auto"/>
        </w:rPr>
      </w:pPr>
    </w:p>
    <w:p>
      <w:pPr>
        <w:ind w:left="1300" w:right="54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69" w:lineRule="exact"/>
        <w:rPr>
          <w:rFonts w:ascii="Arial" w:cs="Arial" w:eastAsia="Arial" w:hAnsi="Arial"/>
          <w:sz w:val="16"/>
          <w:szCs w:val="16"/>
          <w:color w:val="auto"/>
        </w:rPr>
      </w:pPr>
    </w:p>
    <w:p>
      <w:pPr>
        <w:ind w:left="1300" w:right="6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127"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competition from other government contractors and market entrants seeking to take advantage of certain of the trends identified above;</w:t>
      </w:r>
    </w:p>
    <w:p>
      <w:pPr>
        <w:spacing w:after="0" w:line="116"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published on June 24, 2014, which substantially further reduce the amount of allowable executive compensation under these contracts and extend these limitations to a larger segment of our executives and our entire contract base; and</w:t>
      </w:r>
    </w:p>
    <w:p>
      <w:pPr>
        <w:spacing w:after="0" w:line="132"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90"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and the Consolidated Appropriations Act, 2014), provides for automatic spending cuts totaling approximately $1.2 trillion between 2013 and 2021, and requires an estimated $500 billion in federal defense spending cuts over this time period. Under the Budget Control Act, as amended, approximately $64 billion and $90 billion in spending cuts are mandated for fiscal 2014 and 2015, respectively, and the Department of Defense has estimated its share of these cuts at $30 billion and $45 billion, respectively. A reduction in the amount of services that we are contracted to provide to the Department of Defense could have a material adverse effect on our business and results of operations, and given the uncertainty of when and how these automatic reductions may be applied, we are unable to predict the nature or magnitude of the potential adverse effect.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54" w:right="23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i w:val="1"/>
          <w:iCs w:val="1"/>
          <w:color w:val="auto"/>
        </w:rPr>
        <w:t>Contract Types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hanging="655"/>
        <w:spacing w:after="0" w:line="270" w:lineRule="auto"/>
        <w:tabs>
          <w:tab w:leader="none" w:pos="19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Cost-Reimbursable Contracts. </w:t>
      </w:r>
      <w:r>
        <w:rPr>
          <w:rFonts w:ascii="Arial" w:cs="Arial" w:eastAsia="Arial" w:hAnsi="Arial"/>
          <w:sz w:val="17"/>
          <w:szCs w:val="17"/>
          <w:color w:val="auto"/>
        </w:rPr>
        <w:t>Cost-reimbursable contracts provide for the payment of allowable costs incurred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the 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73" w:lineRule="exact"/>
        <w:rPr>
          <w:rFonts w:ascii="Arial" w:cs="Arial" w:eastAsia="Arial" w:hAnsi="Arial"/>
          <w:sz w:val="17"/>
          <w:szCs w:val="17"/>
          <w:color w:val="auto"/>
        </w:rPr>
      </w:pPr>
    </w:p>
    <w:p>
      <w:pPr>
        <w:ind w:left="1960" w:right="120" w:hanging="655"/>
        <w:spacing w:after="0" w:line="257" w:lineRule="auto"/>
        <w:tabs>
          <w:tab w:leader="none" w:pos="19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0" w:lineRule="exact"/>
        <w:rPr>
          <w:rFonts w:ascii="Arial" w:cs="Arial" w:eastAsia="Arial" w:hAnsi="Arial"/>
          <w:sz w:val="18"/>
          <w:szCs w:val="18"/>
          <w:i w:val="1"/>
          <w:iCs w:val="1"/>
          <w:color w:val="auto"/>
        </w:rPr>
      </w:pPr>
    </w:p>
    <w:p>
      <w:pPr>
        <w:ind w:left="1960" w:right="140" w:hanging="655"/>
        <w:spacing w:after="0" w:line="255" w:lineRule="auto"/>
        <w:tabs>
          <w:tab w:leader="none" w:pos="19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193"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The table below presents the percentage of total revenue for each type of contract:</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2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2120" w:type="dxa"/>
            <w:vAlign w:val="bottom"/>
            <w:gridSpan w:val="3"/>
          </w:tcPr>
          <w:p>
            <w:pPr>
              <w:jc w:val="center"/>
              <w:ind w:right="868"/>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5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6"/>
                <w:szCs w:val="16"/>
                <w:color w:val="auto"/>
              </w:rPr>
            </w:pPr>
          </w:p>
        </w:tc>
        <w:tc>
          <w:tcPr>
            <w:tcW w:w="2120" w:type="dxa"/>
            <w:vAlign w:val="bottom"/>
            <w:gridSpan w:val="3"/>
          </w:tcPr>
          <w:p>
            <w:pPr>
              <w:jc w:val="center"/>
              <w:ind w:right="888"/>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514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center"/>
              <w:ind w:left="377"/>
              <w:spacing w:after="0"/>
              <w:rPr>
                <w:sz w:val="20"/>
                <w:szCs w:val="20"/>
                <w:color w:val="auto"/>
              </w:rPr>
            </w:pPr>
            <w:r>
              <w:rPr>
                <w:rFonts w:ascii="Arial" w:cs="Arial" w:eastAsia="Arial" w:hAnsi="Arial"/>
                <w:sz w:val="14"/>
                <w:szCs w:val="14"/>
                <w:b w:val="1"/>
                <w:bCs w:val="1"/>
                <w:color w:val="auto"/>
                <w:w w:val="96"/>
              </w:rPr>
              <w:t>2014</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center"/>
              <w:ind w:left="454"/>
              <w:spacing w:after="0"/>
              <w:rPr>
                <w:sz w:val="20"/>
                <w:szCs w:val="20"/>
                <w:color w:val="auto"/>
              </w:rPr>
            </w:pPr>
            <w:r>
              <w:rPr>
                <w:rFonts w:ascii="Arial" w:cs="Arial" w:eastAsia="Arial" w:hAnsi="Arial"/>
                <w:sz w:val="14"/>
                <w:szCs w:val="14"/>
                <w:b w:val="1"/>
                <w:bCs w:val="1"/>
                <w:color w:val="auto"/>
                <w:w w:val="89"/>
              </w:rPr>
              <w:t>2014</w:t>
            </w:r>
          </w:p>
        </w:tc>
        <w:tc>
          <w:tcPr>
            <w:tcW w:w="5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 (1)</w:t>
            </w:r>
          </w:p>
        </w:tc>
        <w:tc>
          <w:tcPr>
            <w:tcW w:w="1000" w:type="dxa"/>
            <w:vAlign w:val="bottom"/>
            <w:tcBorders>
              <w:bottom w:val="single" w:sz="8" w:color="CCEEFF"/>
            </w:tcBorders>
            <w:shd w:val="clear" w:color="auto" w:fill="CCEEFF"/>
          </w:tcPr>
          <w:p>
            <w:pPr>
              <w:jc w:val="center"/>
              <w:ind w:left="377"/>
              <w:spacing w:after="0"/>
              <w:rPr>
                <w:sz w:val="20"/>
                <w:szCs w:val="20"/>
                <w:color w:val="auto"/>
              </w:rPr>
            </w:pPr>
            <w:r>
              <w:rPr>
                <w:rFonts w:ascii="Arial" w:cs="Arial" w:eastAsia="Arial" w:hAnsi="Arial"/>
                <w:sz w:val="18"/>
                <w:szCs w:val="18"/>
                <w:color w:val="auto"/>
                <w:w w:val="94"/>
              </w:rPr>
              <w:t>55%</w:t>
            </w:r>
          </w:p>
        </w:tc>
        <w:tc>
          <w:tcPr>
            <w:tcW w:w="2080" w:type="dxa"/>
            <w:vAlign w:val="bottom"/>
            <w:tcBorders>
              <w:bottom w:val="single" w:sz="8" w:color="CCEEFF"/>
            </w:tcBorders>
            <w:gridSpan w:val="3"/>
            <w:shd w:val="clear" w:color="auto" w:fill="CCEEFF"/>
          </w:tcPr>
          <w:p>
            <w:pPr>
              <w:jc w:val="center"/>
              <w:ind w:left="514"/>
              <w:spacing w:after="0"/>
              <w:rPr>
                <w:sz w:val="20"/>
                <w:szCs w:val="20"/>
                <w:color w:val="auto"/>
              </w:rPr>
            </w:pPr>
            <w:r>
              <w:rPr>
                <w:rFonts w:ascii="Arial" w:cs="Arial" w:eastAsia="Arial" w:hAnsi="Arial"/>
                <w:sz w:val="18"/>
                <w:szCs w:val="18"/>
                <w:color w:val="auto"/>
                <w:w w:val="88"/>
              </w:rPr>
              <w:t>55%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54"/>
              <w:spacing w:after="0"/>
              <w:rPr>
                <w:sz w:val="20"/>
                <w:szCs w:val="20"/>
                <w:color w:val="auto"/>
              </w:rPr>
            </w:pPr>
            <w:r>
              <w:rPr>
                <w:rFonts w:ascii="Arial" w:cs="Arial" w:eastAsia="Arial" w:hAnsi="Arial"/>
                <w:sz w:val="18"/>
                <w:szCs w:val="18"/>
                <w:color w:val="auto"/>
                <w:w w:val="88"/>
              </w:rPr>
              <w:t>56%</w:t>
            </w:r>
          </w:p>
        </w:tc>
        <w:tc>
          <w:tcPr>
            <w:tcW w:w="2120" w:type="dxa"/>
            <w:vAlign w:val="bottom"/>
            <w:tcBorders>
              <w:bottom w:val="single" w:sz="8" w:color="CCEEFF"/>
            </w:tcBorders>
            <w:gridSpan w:val="3"/>
            <w:shd w:val="clear" w:color="auto" w:fill="CCEEFF"/>
          </w:tcPr>
          <w:p>
            <w:pPr>
              <w:jc w:val="center"/>
              <w:ind w:left="557"/>
              <w:spacing w:after="0"/>
              <w:rPr>
                <w:sz w:val="20"/>
                <w:szCs w:val="20"/>
                <w:color w:val="auto"/>
              </w:rPr>
            </w:pPr>
            <w:r>
              <w:rPr>
                <w:rFonts w:ascii="Arial" w:cs="Arial" w:eastAsia="Arial" w:hAnsi="Arial"/>
                <w:sz w:val="18"/>
                <w:szCs w:val="18"/>
                <w:color w:val="auto"/>
                <w:w w:val="88"/>
              </w:rPr>
              <w:t>55%</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000" w:type="dxa"/>
            <w:vAlign w:val="bottom"/>
          </w:tcPr>
          <w:p>
            <w:pPr>
              <w:jc w:val="center"/>
              <w:ind w:left="377"/>
              <w:spacing w:after="0"/>
              <w:rPr>
                <w:sz w:val="20"/>
                <w:szCs w:val="20"/>
                <w:color w:val="auto"/>
              </w:rPr>
            </w:pPr>
            <w:r>
              <w:rPr>
                <w:rFonts w:ascii="Arial" w:cs="Arial" w:eastAsia="Arial" w:hAnsi="Arial"/>
                <w:sz w:val="18"/>
                <w:szCs w:val="18"/>
                <w:color w:val="auto"/>
                <w:w w:val="94"/>
              </w:rPr>
              <w:t>26%</w:t>
            </w:r>
          </w:p>
        </w:tc>
        <w:tc>
          <w:tcPr>
            <w:tcW w:w="2080" w:type="dxa"/>
            <w:vAlign w:val="bottom"/>
            <w:gridSpan w:val="3"/>
          </w:tcPr>
          <w:p>
            <w:pPr>
              <w:jc w:val="center"/>
              <w:ind w:left="514"/>
              <w:spacing w:after="0"/>
              <w:rPr>
                <w:sz w:val="20"/>
                <w:szCs w:val="20"/>
                <w:color w:val="auto"/>
              </w:rPr>
            </w:pPr>
            <w:r>
              <w:rPr>
                <w:rFonts w:ascii="Arial" w:cs="Arial" w:eastAsia="Arial" w:hAnsi="Arial"/>
                <w:sz w:val="18"/>
                <w:szCs w:val="18"/>
                <w:color w:val="auto"/>
                <w:w w:val="88"/>
              </w:rPr>
              <w:t>29%</w:t>
            </w:r>
          </w:p>
        </w:tc>
        <w:tc>
          <w:tcPr>
            <w:tcW w:w="120" w:type="dxa"/>
            <w:vAlign w:val="bottom"/>
          </w:tcPr>
          <w:p>
            <w:pPr>
              <w:spacing w:after="0"/>
              <w:rPr>
                <w:sz w:val="21"/>
                <w:szCs w:val="21"/>
                <w:color w:val="auto"/>
              </w:rPr>
            </w:pPr>
          </w:p>
        </w:tc>
        <w:tc>
          <w:tcPr>
            <w:tcW w:w="940" w:type="dxa"/>
            <w:vAlign w:val="bottom"/>
          </w:tcPr>
          <w:p>
            <w:pPr>
              <w:jc w:val="center"/>
              <w:ind w:left="454"/>
              <w:spacing w:after="0"/>
              <w:rPr>
                <w:sz w:val="20"/>
                <w:szCs w:val="20"/>
                <w:color w:val="auto"/>
              </w:rPr>
            </w:pPr>
            <w:r>
              <w:rPr>
                <w:rFonts w:ascii="Arial" w:cs="Arial" w:eastAsia="Arial" w:hAnsi="Arial"/>
                <w:sz w:val="18"/>
                <w:szCs w:val="18"/>
                <w:color w:val="auto"/>
                <w:w w:val="88"/>
              </w:rPr>
              <w:t>26%</w:t>
            </w:r>
          </w:p>
        </w:tc>
        <w:tc>
          <w:tcPr>
            <w:tcW w:w="2120" w:type="dxa"/>
            <w:vAlign w:val="bottom"/>
            <w:gridSpan w:val="3"/>
          </w:tcPr>
          <w:p>
            <w:pPr>
              <w:jc w:val="center"/>
              <w:ind w:left="557"/>
              <w:spacing w:after="0"/>
              <w:rPr>
                <w:sz w:val="20"/>
                <w:szCs w:val="20"/>
                <w:color w:val="auto"/>
              </w:rPr>
            </w:pPr>
            <w:r>
              <w:rPr>
                <w:rFonts w:ascii="Arial" w:cs="Arial" w:eastAsia="Arial" w:hAnsi="Arial"/>
                <w:sz w:val="18"/>
                <w:szCs w:val="18"/>
                <w:color w:val="auto"/>
                <w:w w:val="88"/>
              </w:rPr>
              <w:t>30%</w:t>
            </w:r>
          </w:p>
        </w:tc>
      </w:tr>
      <w:tr>
        <w:trPr>
          <w:trHeight w:val="27"/>
        </w:trPr>
        <w:tc>
          <w:tcPr>
            <w:tcW w:w="5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(2)</w:t>
            </w:r>
          </w:p>
        </w:tc>
        <w:tc>
          <w:tcPr>
            <w:tcW w:w="100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4"/>
              </w:rPr>
              <w:t>19%</w:t>
            </w:r>
          </w:p>
        </w:tc>
        <w:tc>
          <w:tcPr>
            <w:tcW w:w="2080" w:type="dxa"/>
            <w:vAlign w:val="bottom"/>
            <w:gridSpan w:val="3"/>
            <w:shd w:val="clear" w:color="auto" w:fill="CCEEFF"/>
          </w:tcPr>
          <w:p>
            <w:pPr>
              <w:jc w:val="center"/>
              <w:ind w:left="514"/>
              <w:spacing w:after="0"/>
              <w:rPr>
                <w:sz w:val="20"/>
                <w:szCs w:val="20"/>
                <w:color w:val="auto"/>
              </w:rPr>
            </w:pPr>
            <w:r>
              <w:rPr>
                <w:rFonts w:ascii="Arial" w:cs="Arial" w:eastAsia="Arial" w:hAnsi="Arial"/>
                <w:sz w:val="18"/>
                <w:szCs w:val="18"/>
                <w:color w:val="auto"/>
                <w:w w:val="88"/>
              </w:rPr>
              <w:t>16%</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88"/>
              </w:rPr>
              <w:t>18%</w:t>
            </w:r>
          </w:p>
        </w:tc>
        <w:tc>
          <w:tcPr>
            <w:tcW w:w="2120" w:type="dxa"/>
            <w:vAlign w:val="bottom"/>
            <w:gridSpan w:val="3"/>
            <w:shd w:val="clear" w:color="auto" w:fill="CCEEFF"/>
          </w:tcPr>
          <w:p>
            <w:pPr>
              <w:jc w:val="center"/>
              <w:ind w:left="557"/>
              <w:spacing w:after="0"/>
              <w:rPr>
                <w:sz w:val="20"/>
                <w:szCs w:val="20"/>
                <w:color w:val="auto"/>
              </w:rPr>
            </w:pPr>
            <w:r>
              <w:rPr>
                <w:rFonts w:ascii="Arial" w:cs="Arial" w:eastAsia="Arial" w:hAnsi="Arial"/>
                <w:sz w:val="18"/>
                <w:szCs w:val="18"/>
                <w:color w:val="auto"/>
                <w:w w:val="88"/>
              </w:rPr>
              <w:t>15%</w:t>
            </w:r>
          </w:p>
        </w:tc>
      </w:tr>
      <w:tr>
        <w:trPr>
          <w:trHeight w:val="27"/>
        </w:trPr>
        <w:tc>
          <w:tcPr>
            <w:tcW w:w="5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both cost-plus-fixed-fee and cost-plus-award-fee contracts.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fixed-price level of effort contracts.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73" w:right="239" w:bottom="1440" w:gutter="0" w:footer="0" w:header="0"/>
        </w:sectPr>
      </w:pPr>
    </w:p>
    <w:bookmarkStart w:id="23" w:name="page24"/>
    <w:bookmarkEnd w:id="23"/>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9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139"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People</w:t>
      </w:r>
    </w:p>
    <w:p>
      <w:pPr>
        <w:spacing w:after="0" w:line="9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clients.We seek to achieve that result through recruitment and management of capacity and compensation. As of September 30, 2014 and 2013, we employed approximately 22,100 and 23,200 people, respectively, of which approximately 20,100 and 21,000, respectively, were consulting staff.</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333" w:lineRule="exact"/>
        <w:rPr>
          <w:sz w:val="20"/>
          <w:szCs w:val="20"/>
          <w:color w:val="auto"/>
        </w:rPr>
      </w:pPr>
    </w:p>
    <w:p>
      <w:pPr>
        <w:ind w:left="1300" w:right="76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278"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278" w:lineRule="exact"/>
        <w:rPr>
          <w:rFonts w:ascii="Arial" w:cs="Arial" w:eastAsia="Arial" w:hAnsi="Arial"/>
          <w:sz w:val="18"/>
          <w:szCs w:val="18"/>
          <w:color w:val="auto"/>
        </w:rPr>
      </w:pPr>
    </w:p>
    <w:p>
      <w:pPr>
        <w:ind w:left="1300" w:right="360" w:hanging="644"/>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Priced Options. </w:t>
      </w:r>
      <w:r>
        <w:rPr>
          <w:rFonts w:ascii="Arial" w:cs="Arial" w:eastAsia="Arial" w:hAnsi="Arial"/>
          <w:sz w:val="16"/>
          <w:szCs w:val="16"/>
          <w:color w:val="auto"/>
        </w:rPr>
        <w:t>Priced contract options represent 100% of the undiscounted revenue value of all future contract option periods under</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contracts that may be exercised at our clients’ option and for which funding has not been appropriated or otherwise authorized.</w:t>
      </w:r>
    </w:p>
    <w:p>
      <w:pPr>
        <w:spacing w:after="0" w:line="7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352"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03" w:lineRule="exact"/>
        <w:rPr>
          <w:sz w:val="20"/>
          <w:szCs w:val="20"/>
          <w:color w:val="auto"/>
        </w:rPr>
      </w:pPr>
    </w:p>
    <w:p>
      <w:pPr>
        <w:ind w:left="7400"/>
        <w:spacing w:after="0"/>
        <w:tabs>
          <w:tab w:leader="none" w:pos="906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23495</wp:posOffset>
            </wp:positionV>
            <wp:extent cx="545401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4015" cy="17145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2940" w:type="dxa"/>
            <w:vAlign w:val="bottom"/>
          </w:tcPr>
          <w:p>
            <w:pPr>
              <w:ind w:left="380"/>
              <w:spacing w:after="0"/>
              <w:rPr>
                <w:sz w:val="20"/>
                <w:szCs w:val="20"/>
                <w:color w:val="auto"/>
              </w:rPr>
            </w:pPr>
            <w:r>
              <w:rPr>
                <w:rFonts w:ascii="Arial" w:cs="Arial" w:eastAsia="Arial" w:hAnsi="Arial"/>
                <w:sz w:val="18"/>
                <w:szCs w:val="18"/>
                <w:color w:val="auto"/>
              </w:rPr>
              <w:t>Funded</w:t>
            </w:r>
          </w:p>
        </w:tc>
        <w:tc>
          <w:tcPr>
            <w:tcW w:w="2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3,337</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 (1)</w:t>
            </w:r>
          </w:p>
        </w:tc>
        <w:tc>
          <w:tcPr>
            <w:tcW w:w="2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43"/>
        </w:trPr>
        <w:tc>
          <w:tcPr>
            <w:tcW w:w="294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2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5,673</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2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11,651</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Arial" w:cs="Arial" w:eastAsia="Arial" w:hAnsi="Arial"/>
                <w:sz w:val="18"/>
                <w:szCs w:val="18"/>
                <w:color w:val="auto"/>
              </w:rPr>
              <w:t>22</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9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4" w:name="page25"/>
    <w:bookmarkEnd w:id="24"/>
    <w:p>
      <w:pPr>
        <w:ind w:left="1300" w:right="700" w:hanging="644"/>
        <w:spacing w:after="0" w:line="34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a reduction by management to the revenue value of orders for services under one existing single award ID/IQ contract the Company has had for several years, based on an established pattern of funding under these contracts by the U.S. government.</w:t>
      </w:r>
    </w:p>
    <w:p>
      <w:pPr>
        <w:spacing w:after="0" w:line="7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171"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decreased by 6.5% from September 30, 2013 to September 30, 2014. Additions to funded backlog during the twelve months ended September 30, 2014 remained consistent, totaling $5.4 billion in comparison to $5.4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167"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6.7% of funded backlog as of the end of any of the four fiscal quarters preceding the fiscal quarter ended September 30, 2014.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90"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279" w:lineRule="exact"/>
        <w:rPr>
          <w:sz w:val="20"/>
          <w:szCs w:val="20"/>
          <w:color w:val="auto"/>
        </w:rPr>
      </w:pPr>
    </w:p>
    <w:p>
      <w:pPr>
        <w:ind w:left="1300" w:right="5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224"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224"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92" w:right="259" w:bottom="1440" w:gutter="0" w:footer="0" w:header="0"/>
        </w:sectPr>
      </w:pPr>
    </w:p>
    <w:bookmarkStart w:id="25" w:name="page26"/>
    <w:bookmarkEnd w:id="25"/>
    <w:p>
      <w:pPr>
        <w:ind w:left="1300" w:right="20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94"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May 2014, the Financial Accounting Standards Board issued a new standard that will replace existing revenue recognition standards and significantly expand the disclosure requirements for revenue arrangements. The new standard will be effective for the Company beginning on April 1, 2017 (i.e., beginning with the first quarter fiscal 2018 interim financial statements). The new standard may be adopted retrospectively for all periods presented, or adopted using a modified retrospective approach. Under the retrospective approach, the fiscal 2017 and 2016 financial statements would be adjusted to reflect the effects of applying the new standard on those periods. Under the modified retrospective approach, the new standard would only be applied for the period beginning April 1, 2017 to new contracts and those contracts that are not yet complete at April 1, 2017, with a cumulative catch-up adjustment recorded to beginning retained earnings for existing contracts that still require performance. We are still in the process of determining which transition method to utilize in order to apply the new standard and still assessing what effect the application of this standard may have on the timing of our revenue recognition and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6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tcBorders>
              <w:right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4"/>
                <w:szCs w:val="14"/>
                <w:color w:val="auto"/>
              </w:rPr>
            </w:pPr>
          </w:p>
        </w:tc>
        <w:tc>
          <w:tcPr>
            <w:tcW w:w="2340" w:type="dxa"/>
            <w:vAlign w:val="bottom"/>
            <w:tcBorders>
              <w:right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9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right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right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040" w:type="dxa"/>
            <w:vAlign w:val="bottom"/>
            <w:tcBorders>
              <w:right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Borders>
              <w:right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Borders>
              <w:right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1,304,841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1,378,020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2,627,138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2,805,711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642,425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685,138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1,287,426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1,386,610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352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347,651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365,632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698,623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763,520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176,972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173,481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348,041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344,809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43"/>
        </w:trPr>
        <w:tc>
          <w:tcPr>
            <w:tcW w:w="35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15,810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18,102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32,042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36,432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7"/>
              </w:rPr>
              <w:t>Total operating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1,182,858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1,242,353</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2,366,132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2,531,371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121,983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135,667</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261,006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274,340</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104,973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113,798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224,022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231,813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39,689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45,985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87,623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93,687</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65,284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67,813</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136,399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138,126</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right="3880"/>
        <w:spacing w:after="0" w:line="305" w:lineRule="auto"/>
        <w:rPr>
          <w:sz w:val="20"/>
          <w:szCs w:val="20"/>
          <w:color w:val="auto"/>
        </w:rPr>
      </w:pPr>
      <w:r>
        <w:rPr>
          <w:rFonts w:ascii="Arial" w:cs="Arial" w:eastAsia="Arial" w:hAnsi="Arial"/>
          <w:sz w:val="18"/>
          <w:szCs w:val="18"/>
          <w:b w:val="1"/>
          <w:bCs w:val="1"/>
          <w:i w:val="1"/>
          <w:iCs w:val="1"/>
          <w:color w:val="auto"/>
        </w:rPr>
        <w:t xml:space="preserve">Three Months Ended September 30, 2014 Compared to Three Months Ended September 30, 2013 </w:t>
      </w:r>
      <w:r>
        <w:rPr>
          <w:rFonts w:ascii="Arial" w:cs="Arial" w:eastAsia="Arial" w:hAnsi="Arial"/>
          <w:sz w:val="18"/>
          <w:szCs w:val="18"/>
          <w:i w:val="1"/>
          <w:iCs w:val="1"/>
          <w:color w:val="auto"/>
        </w:rPr>
        <w:t>Revenue</w:t>
      </w:r>
    </w:p>
    <w:p>
      <w:pPr>
        <w:spacing w:after="0" w:line="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Revenue decreased to $1,304.8 million from $1,378.0 million, or a 5.3% decrease as a result of lower demand primarily driven by continuing macro challenges in the federal government spending environment and the residual impact of the slower award pace in the months immediately following last October's government shutdown, which resulted in reductions in consulting staff headcount. While the decline in consulting staff headcount led to fewer billable hours in total, the Company maintained a high level of productivity of consulting staff, which continues to help offset the headcount reductions and reduces the ratio of indirect costs to direct labor. The revenue decline period over period was also attributable to a reduction in billable expenses due to a decline in our use of subcontractors and other direct expenses incurred to perform on contracts. Conversions to funded backlog during the twelve months ended September 30, 2014 and the twelve months ended September 30, 2013 totaled $5.4 billion for both periods. The revenue conversion was a result of the conversion of unfunded backlog to funded backlog, the award of new contracts and task orders under which funding was appropriated, and the exercise and subsequent funding of priced options.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2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Cost of revenue decreased to $642.4 million from $685.1 million, or a 6.2% decrease. This decrease was primarily due to a decrease in salaries and salary-related benefits of $32.3 million and a decrease in employer retirement plan contributions of $13.1 million. The decrease in salaries and salary-related benefits was primarily due to reduced headcount in direct consulting staff. The decrease in employer retirement plan contributions was due to a decrease in the Company's expected discretionary employer contribution percentage due to a change to the matching program effective April 1, 2014, as well as the reduced headcount noted above. Cost of revenue as a percentage of revenue was 49.2% and 49.7% for the three months ended September 30, 2014 and 2013, respectively.</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23"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Billable expenses decreased to $347.7 million from $365.6 million, or a 4.9% decrease. The overall decrease was primarily due to decreases in subcontractor-related expenses and other direct expenses of $21.5 million incurred to perform on contracts. Direct subcontractor related expenses decreased due to lower demand. Billable expenses as a percentage of revenue were 26.6% and 26.5% for the three months ended September 30, 2014 and 2013, respectively.</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931" w:right="319" w:bottom="1440" w:gutter="0" w:footer="0" w:header="0"/>
        </w:sectPr>
      </w:pPr>
    </w:p>
    <w:bookmarkStart w:id="27" w:name="page28"/>
    <w:bookmarkEnd w:id="27"/>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General and administrative expenses increased to $177.0 million from $173.5 million, or a 2.0% increase. This increase was primarily due to increases in incentive compensation of $2.0 million, offset by decreases in salaries and salary-related benefits of $3.3 million and employer retirement plan contributions of $1.2 million. In addition, the prior year period included a release of a provision of approximately $3.8 million for a contingency that was settled, for which a similar event was not present in the current period. The decrease in salaries and salary-related benefits was primarily driven by the net reduction in our headcount. The decrease in employer retirement plan contributions was due to a decrease in the Company's expected discretionary employer contribution percentage due to a change to the matching program effective April 1, 2014, as well as the reduced headcount noted above. General and administrative expenses as a percentage of revenue were 13.6% and 12.6% for the three months ended September 30, 2014 and 2013, respectively.</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23" w:lineRule="exact"/>
        <w:rPr>
          <w:sz w:val="20"/>
          <w:szCs w:val="20"/>
          <w:color w:val="auto"/>
        </w:rPr>
      </w:pPr>
    </w:p>
    <w:p>
      <w:pPr>
        <w:ind w:right="360" w:firstLine="405"/>
        <w:spacing w:after="0" w:line="261" w:lineRule="auto"/>
        <w:rPr>
          <w:sz w:val="20"/>
          <w:szCs w:val="20"/>
          <w:color w:val="auto"/>
        </w:rPr>
      </w:pPr>
      <w:r>
        <w:rPr>
          <w:rFonts w:ascii="Arial" w:cs="Arial" w:eastAsia="Arial" w:hAnsi="Arial"/>
          <w:sz w:val="18"/>
          <w:szCs w:val="18"/>
          <w:color w:val="auto"/>
        </w:rPr>
        <w:t>Depreciation and amortization decreased to $15.8 million from $18.1 million, or an 12.7% decrease primarily due to a reduction in amortization of intangible assets.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23" w:lineRule="exact"/>
        <w:rPr>
          <w:sz w:val="20"/>
          <w:szCs w:val="20"/>
          <w:color w:val="auto"/>
        </w:rPr>
      </w:pPr>
    </w:p>
    <w:p>
      <w:pPr>
        <w:ind w:right="280" w:firstLine="405"/>
        <w:spacing w:after="0" w:line="255" w:lineRule="auto"/>
        <w:rPr>
          <w:sz w:val="20"/>
          <w:szCs w:val="20"/>
          <w:color w:val="auto"/>
        </w:rPr>
      </w:pPr>
      <w:r>
        <w:rPr>
          <w:rFonts w:ascii="Arial" w:cs="Arial" w:eastAsia="Arial" w:hAnsi="Arial"/>
          <w:sz w:val="18"/>
          <w:szCs w:val="18"/>
          <w:color w:val="auto"/>
        </w:rPr>
        <w:t>Interest expense decreased to $17.8 million from $20.2 million, or an 11.7% decrease, primarily as a result of the First Amendment to the Credit Agreement consummated in August 2013 that repriced the outstanding Term Loan B indebtedness which generated a reduction in interest expense for the three months ended September 30, 2014 as compared to September 30, 2013.</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Income tax expense decreased to $39.7 million from $46.0 million, or a 13.7% decrease, primarily due to a decrease in both pre-tax income and the effective tax rate from 40.4% to 37.8%. The decrease in the effective tax rate primarily relates to state income tax credits recognized during the three months ended September 30, 2014, which reduced the effective tax rate by approximately 2.7%</w:t>
      </w:r>
    </w:p>
    <w:p>
      <w:pPr>
        <w:spacing w:after="0" w:line="190" w:lineRule="exact"/>
        <w:rPr>
          <w:sz w:val="20"/>
          <w:szCs w:val="20"/>
          <w:color w:val="auto"/>
        </w:rPr>
      </w:pPr>
    </w:p>
    <w:p>
      <w:pPr>
        <w:ind w:left="260" w:right="4280"/>
        <w:spacing w:after="0" w:line="305" w:lineRule="auto"/>
        <w:rPr>
          <w:sz w:val="20"/>
          <w:szCs w:val="20"/>
          <w:color w:val="auto"/>
        </w:rPr>
      </w:pPr>
      <w:r>
        <w:rPr>
          <w:rFonts w:ascii="Arial" w:cs="Arial" w:eastAsia="Arial" w:hAnsi="Arial"/>
          <w:sz w:val="18"/>
          <w:szCs w:val="18"/>
          <w:b w:val="1"/>
          <w:bCs w:val="1"/>
          <w:i w:val="1"/>
          <w:iCs w:val="1"/>
          <w:color w:val="auto"/>
        </w:rPr>
        <w:t xml:space="preserve">Six Months Ended September 30, 2014 Compared to Six Months Ended September 30, 2013 </w:t>
      </w:r>
      <w:r>
        <w:rPr>
          <w:rFonts w:ascii="Arial" w:cs="Arial" w:eastAsia="Arial" w:hAnsi="Arial"/>
          <w:sz w:val="18"/>
          <w:szCs w:val="18"/>
          <w:i w:val="1"/>
          <w:iCs w:val="1"/>
          <w:color w:val="auto"/>
        </w:rPr>
        <w:t>Revenue</w:t>
      </w:r>
    </w:p>
    <w:p>
      <w:pPr>
        <w:spacing w:after="0" w:line="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Revenue decreased to $2,627.1 million from $2,805.7 million, or a 6.4% decrease as a result of lower demand primarily driven by continuing macro challenges in the federal government spending environment and the residual impact of the slower award pace in the months immediately following last October's government shutdown which resulted in reductions in consulting staff headcount. While the decline in consulting staff headcount led to fewer billable hours in total, the Company maintained a high level of productivity of consulting staff, which continues to help offset the headcount reductions and reduces the ratio of indirect costs to direct labor. The revenue decline period over period was also attributable to a reduction in billable expenses due to a decline in our use of subcontractors and other direct expenses incurred to perform on contracts. Conversions to funded backlog during the twelve months ended September 30, 2014 and the twelve months ended September 30, 2013 both totaled $5.4 billion. The revenue conversion was a result of the conversion of unfunded backlog to funded backlog, the award of new contracts and task orders under which funding was appropriated, and the exercise and subsequent funding of priced options.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23"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Cost of revenue decreased to $1,287.4 million from $1,386.6 million, or a 7.2% decrease. This decrease was primarily due to a decrease in salaries and salary-related benefits of $73.4 million and a decrease in employer retirement plan contributions of $26.1 million. The decrease in salaries and salary-related benefits was primarily due to reduced headcount in direct consulting staff. The decrease in employer retirement plan contributions was due to a decrease in the Company's expected discretionary employer contribution percentage due to a change to the matching program effective April 1, 2014, as well as the reduced headcount noted above. Cost of revenue as a percentage of revenue was 49.0% and 49.4% for the six months ended September 30, 2014 and 2013, respectively.</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23"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Billable expenses decreased to $698.6 million from $763.5 million, or an 8.5% decrease. The overall decrease was primarily due to decreases in subcontractor-related expenses and other direct expenses of $70.0 million incurred to perform on contracts. Direct subcontractor related expenses decreased due to lower demand. Billable expenses as a percentage of revenue were 26.6% and 27.2% for the six months ended September 30, 2014 and 2013, respectively.</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908" w:right="319" w:bottom="1440" w:gutter="0" w:footer="0" w:header="0"/>
        </w:sectPr>
      </w:pPr>
    </w:p>
    <w:bookmarkStart w:id="28" w:name="page29"/>
    <w:bookmarkEnd w:id="28"/>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General and administrative expenses increased to $348.0 million from $344.8 million, or a 0.9% increase. This increase was primarily due to the release of a provision of approximately $3.8 million in the prior year period for a contingency that was settled, for which a similar event was not present in the current period. This was partially offset by decreases in employer retirement plan contributions of $2.6 million and salary and salary related benefits of $1.8 million. The decrease in employer retirement plan contributions was due to a decrease in the Company's expected discretionary employer contribution percentage due to a change to a matching program effective April 1, 2014, as well as reduced headcount. The decrease in salaries and salary-related benefits was primarily driven by the net reduction in our headcount. General and administrative expenses as a percentage of revenue were 13.2% and 12.3% for the six months ended September 30, 2014 and 2013, respectively.</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23" w:lineRule="exact"/>
        <w:rPr>
          <w:sz w:val="20"/>
          <w:szCs w:val="20"/>
          <w:color w:val="auto"/>
        </w:rPr>
      </w:pPr>
    </w:p>
    <w:p>
      <w:pPr>
        <w:ind w:right="480" w:firstLine="405"/>
        <w:spacing w:after="0" w:line="261" w:lineRule="auto"/>
        <w:rPr>
          <w:sz w:val="20"/>
          <w:szCs w:val="20"/>
          <w:color w:val="auto"/>
        </w:rPr>
      </w:pPr>
      <w:r>
        <w:rPr>
          <w:rFonts w:ascii="Arial" w:cs="Arial" w:eastAsia="Arial" w:hAnsi="Arial"/>
          <w:sz w:val="18"/>
          <w:szCs w:val="18"/>
          <w:color w:val="auto"/>
        </w:rPr>
        <w:t>Depreciation and amortization decreased to $32.0 million from $36.4 million, or a 12.0% decrease primarily due to a reduction in amortization of intangible assets.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23"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Interest expense decreased to $36.7 million from $40.9 million, or a 10.3% decrease, primarily as a result of the First Amendment to the Credit Agreement consummated in August 2013 that repriced the outstanding Term Loan B indebtedness which generated a reduction in interest expense for the six months ended September 30, 2014 as compared to September 30, 2013.</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Income tax expense decreased to $87.6 million from $93.7 million, or a 6.5% decrease, primarily due to a decrease in both pre-tax income and the effective tax rate from 40.4% to 39.1% . The decrease in the effective tax rate primarily relates to state income tax credits recognized during the six months ended September 30, 2014, which reduced the effective tax rate by approximately 1.2%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We have historically been able to generate sufficient cash to fund our operations, debt payments, capital expenditures, and discretionary funding needs. We had $241.8 million and $260.0 million in cash and cash equivalents as of September 30, 2014 and March 31, 2014, respectively. However, due to fluctuations in cash flows, including as a result of the trends and developments described above under "—Factors and Trends Affecting Our Results of Operations" relating to U.S. government cost-cutting, reductions or delays in the U.S. government appropriations and spending process and other budgetary matters, it may be necessary from time-to-time in the future to borrow under our senior secured loan facilities to meet cash demands.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232"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279"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225"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From time to time we evaluate alternative uses for excess cash resources once our operating cash flow needs and required debt amortization have been met. Some of the possible uses of our remaining excess cash at any point in time may include funding acquisitions, further investment in our business and voluntary debt prepayments, as well as initiatives intended to return value to stockholders in the form of payment of special dividends and share repurchases. The Company is currently authorized by the Board of Directors to repurchase up to $30.0 million of our shares, of which no shares have been repurchased as of September 30, 2014. Any determination to pursue one or more of the above alternative uses for excess cash is subject to</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908" w:right="279" w:bottom="1440" w:gutter="0" w:footer="0" w:header="0"/>
        </w:sectPr>
      </w:pPr>
    </w:p>
    <w:bookmarkStart w:id="29" w:name="page30"/>
    <w:bookmarkEnd w:id="29"/>
    <w:p>
      <w:pPr>
        <w:jc w:val="both"/>
        <w:ind w:right="40"/>
        <w:spacing w:after="0" w:line="264" w:lineRule="auto"/>
        <w:rPr>
          <w:sz w:val="20"/>
          <w:szCs w:val="20"/>
          <w:color w:val="auto"/>
        </w:rPr>
      </w:pPr>
      <w:r>
        <w:rPr>
          <w:rFonts w:ascii="Arial" w:cs="Arial" w:eastAsia="Arial" w:hAnsi="Arial"/>
          <w:sz w:val="18"/>
          <w:szCs w:val="18"/>
          <w:color w:val="auto"/>
        </w:rPr>
        <w:t>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condensed consolidated statement of cash flows:</w:t>
      </w:r>
    </w:p>
    <w:p>
      <w:pPr>
        <w:spacing w:after="0" w:line="200" w:lineRule="exact"/>
        <w:rPr>
          <w:sz w:val="20"/>
          <w:szCs w:val="20"/>
          <w:color w:val="auto"/>
        </w:rPr>
      </w:pPr>
    </w:p>
    <w:p>
      <w:pPr>
        <w:spacing w:after="0" w:line="23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6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dividends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16,196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32,244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28,188</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Special dividends (2)</w:t>
            </w:r>
          </w:p>
        </w:tc>
        <w:tc>
          <w:tcPr>
            <w:tcW w:w="28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147,248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147,248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equivalents (3)</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42,325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46,797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47,908</w:t>
            </w:r>
          </w:p>
        </w:tc>
      </w:tr>
      <w:tr>
        <w:trPr>
          <w:trHeight w:val="257"/>
        </w:trPr>
        <w:tc>
          <w:tcPr>
            <w:tcW w:w="4460" w:type="dxa"/>
            <w:vAlign w:val="bottom"/>
          </w:tcPr>
          <w:p>
            <w:pPr>
              <w:ind w:left="160"/>
              <w:spacing w:after="0"/>
              <w:rPr>
                <w:sz w:val="20"/>
                <w:szCs w:val="20"/>
                <w:color w:val="auto"/>
              </w:rPr>
            </w:pPr>
            <w:r>
              <w:rPr>
                <w:rFonts w:ascii="Arial" w:cs="Arial" w:eastAsia="Arial" w:hAnsi="Arial"/>
                <w:sz w:val="18"/>
                <w:szCs w:val="18"/>
                <w:color w:val="auto"/>
              </w:rPr>
              <w:t>Total distributions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205,769</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48,317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226,289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76,096</w:t>
            </w: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represent recurring dividends of $0.11 per share and $0.10 per share that were declared and paid during fiscal 2015 and fiscal 2014, respectively.</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represent a special dividend of $1.00 per share that was declared and paid for during fiscal 2015.</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special dividends declared and paid.</w:t>
      </w:r>
    </w:p>
    <w:p>
      <w:pPr>
        <w:spacing w:after="0" w:line="7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On October 29, 2014, we announced a regular quarterly cash dividend in the amount of $0.11 per share, payable on November 28, 2014 to stockholders of record on November 10, 2014.</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each special dividend declared, the Board of Directors, acting as the Administrator of the Officers' Rollover Stock Plan and the Equity Incentive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Plan, as amended, is required to make a determination under the respective plan's antidilution provision to adjust the outstanding options. In the event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elects to grant option holders a cash payment equal to the amount of the special dividend, the Company accrues a stock-based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liability as the respective option's stock compensation expense is recorded in the statement of operations. This obligation will be settled 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options' mandatory exercise date for Rollover options and on the later of the date the dividend is paid or vesting for the EIP options. The stock-based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compensation liability as of September 30, 2014 includes all special dividends declared through September 30, 2014. As of September 30, 2014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2014, the Company calculated a total recorded and unrecorded stock-based compensation liability of $36.4 million and $73.1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the special dividends paid in July and December 2009, June and August 2012, November 2013, and February and August 2014.</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111"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59 as of September 30, 2014 and 60 as of March 31, 2014.</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692" w:right="279" w:bottom="1440" w:gutter="0" w:footer="0" w:header="0"/>
        </w:sectPr>
      </w:pPr>
    </w:p>
    <w:bookmarkStart w:id="30" w:name="page31"/>
    <w:bookmarkEnd w:id="30"/>
    <w:p>
      <w:pPr>
        <w:ind w:left="420"/>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163"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13335</wp:posOffset>
            </wp:positionV>
            <wp:extent cx="2470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7"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2013</w:t>
            </w:r>
          </w:p>
        </w:tc>
      </w:tr>
      <w:tr>
        <w:trPr>
          <w:trHeight w:val="244"/>
        </w:trPr>
        <w:tc>
          <w:tcPr>
            <w:tcW w:w="6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21"/>
                <w:szCs w:val="21"/>
                <w:color w:val="auto"/>
              </w:rPr>
            </w:pPr>
          </w:p>
        </w:tc>
        <w:tc>
          <w:tcPr>
            <w:tcW w:w="1400" w:type="dxa"/>
            <w:vAlign w:val="bottom"/>
          </w:tcPr>
          <w:p>
            <w:pPr>
              <w:jc w:val="right"/>
              <w:ind w:right="496"/>
              <w:spacing w:after="0"/>
              <w:rPr>
                <w:sz w:val="20"/>
                <w:szCs w:val="20"/>
                <w:color w:val="auto"/>
              </w:rPr>
            </w:pPr>
            <w:r>
              <w:rPr>
                <w:rFonts w:ascii="Arial" w:cs="Arial" w:eastAsia="Arial" w:hAnsi="Arial"/>
                <w:sz w:val="14"/>
                <w:szCs w:val="14"/>
                <w:b w:val="1"/>
                <w:bCs w:val="1"/>
                <w:color w:val="auto"/>
              </w:rPr>
              <w:t>(Unaudited)</w:t>
            </w:r>
          </w:p>
        </w:tc>
      </w:tr>
      <w:tr>
        <w:trPr>
          <w:trHeight w:val="209"/>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8"/>
                <w:szCs w:val="18"/>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200,529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139,609</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(3,155)</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(209,768)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(59,615)</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Total (decrease) increase in cash and cash equivalents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(18,170)</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76,839</w:t>
            </w: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Operating Activities</w:t>
      </w:r>
    </w:p>
    <w:p>
      <w:pPr>
        <w:spacing w:after="0" w:line="90"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Net cash from operations is primarily affected by the overall profitability of our contracts, our ability to invoice and collect from clients in a timely manner, and our ability to manage our vendor payments. Net cash provided by operations was $200.5 million in the six months ended September 30, 2014 compared to $139.6 million in the same prior year period, or a 43.6% increase. The increase in net cash provided by operations was primarily due to the following:</w:t>
      </w:r>
    </w:p>
    <w:p>
      <w:pPr>
        <w:spacing w:after="0" w:line="187" w:lineRule="exact"/>
        <w:rPr>
          <w:sz w:val="20"/>
          <w:szCs w:val="20"/>
          <w:color w:val="auto"/>
        </w:rPr>
      </w:pPr>
    </w:p>
    <w:p>
      <w:pPr>
        <w:ind w:left="660" w:right="18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cash collections in fiscal 2015 as compared to fiscal 2014. In the prior year, our cash collections were lower due to less timely payments by our customers due in part to the government sequestration and staff furloughs, as the government agency payment offices did not have full staff to process and approve payments. The current year showed a return to a typical volume of cash collections during the U.S. government's fiscal year end.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reduction in accrued compensation for bonuses in fiscal 2015 as compared to fiscal 2014 primarily due to the decline in headcount.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the change in income taxes payable compared to the prior year period due to the timing of the estimated tax payments.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reduction in the volume of outstanding invoices as compared to the prior year which partially offset the increases noted above.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Cash from Investing Activities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Net cash used in investing activities was $8.9 million in the six months ended September 30, 2014 compared to $3.2 million in the same prior year period, or a 183.1% increase. The increase in net cash used in investing activities was due to an increase in capital expenditures. In addition the Company received a purchase price adjustment from a business acquisition, which offset the cash used in investing activities during the six months ended September 30, 2013.</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Financing Activities</w:t>
      </w:r>
    </w:p>
    <w:p>
      <w:pPr>
        <w:spacing w:after="0" w:line="117"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Net cash used in financing activities was $209.8 million in the six months ended September 30, 2014 compared to $59.6 million in the same prior year period, or a 251.9% increase. The increase in net cash used in financing activities was primarily due to an increase in regular and special cash dividends paid in fiscal 2015 as compared to fiscal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May 7, 2014 the Company entered into the Second Amendment to the Credit Agreement, dated as of July 31, 2012 (as previously amended by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First Amendment to the Credit Agreement, dated as of August 16, 2013). As of September 30, 2014, the Credit Agreement provided the Company with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$830.0 million Term Loan A and an $841.2 million Term Loan B, and a $500.0 million revolving credit facility, with a sublimit for letters of credit of $100.0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76"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Our debt totaled $1,645.5 million and $1,658.9 million as of September 30, 2014 and March 31, 2014, respectively. The interest rate in effect for Term Loan A was 2.65% and for Term Loan B was 3.75% as of September 30, 2014 and March 31, 2014. As of September 30, 2014 and March 31, 2014, there were no amounts outstanding under our revolving credit facility of $500.0 million. As of September 30, 2014 and March 31, 2014, the Company was in compliance with all of the Credit Agreement's debt covenants.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54" w:right="239" w:bottom="1440" w:gutter="0" w:footer="0" w:header="0"/>
        </w:sectPr>
      </w:pPr>
    </w:p>
    <w:bookmarkStart w:id="31" w:name="page32"/>
    <w:bookmarkEnd w:id="31"/>
    <w:p>
      <w:pPr>
        <w:ind w:right="420" w:firstLine="405"/>
        <w:spacing w:after="0" w:line="277" w:lineRule="auto"/>
        <w:rPr>
          <w:sz w:val="20"/>
          <w:szCs w:val="20"/>
          <w:color w:val="auto"/>
        </w:rPr>
      </w:pPr>
      <w:r>
        <w:rPr>
          <w:rFonts w:ascii="Arial" w:cs="Arial" w:eastAsia="Arial" w:hAnsi="Arial"/>
          <w:sz w:val="18"/>
          <w:szCs w:val="18"/>
          <w:color w:val="auto"/>
        </w:rPr>
        <w:t>Absent any prepayment accelerations of Debt Issuance Costs, or DIC, or the effect of changes in interest rates, the following table summarizes the estimated annual amortization expense of DIC using the effective interest rate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DIC Amortization Expense</w:t>
            </w: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50"/>
        </w:trPr>
        <w:tc>
          <w:tcPr>
            <w:tcW w:w="16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1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(in thousands)</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Term Loan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6,896</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1,733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1,622</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1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B</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Revolver</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8,652</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925</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1,858</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1,853</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1,853</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1,853</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1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1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23,823</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0"/>
        </w:trPr>
        <w:tc>
          <w:tcPr>
            <w:tcW w:w="1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with annual incremental increases to 1.875%, 2.50%, 3.125%, and 13.0%, prior to Term Loan A's maturity date of May 31, 2019. As a result of paying approximately $168.4 million of Term Loan B principal during the May 7, 2014 Second Amendment, no additional principal payments are required until the remaining balance is due on Term Loan B's maturity date of July 31, 2019. The revolving credit facility matures on May 31, 2019, at which time any outstanding principal balance is due in full.</w:t>
      </w:r>
    </w:p>
    <w:p>
      <w:pPr>
        <w:spacing w:after="0" w:line="188" w:lineRule="exact"/>
        <w:rPr>
          <w:sz w:val="20"/>
          <w:szCs w:val="20"/>
          <w:color w:val="auto"/>
        </w:rPr>
      </w:pPr>
    </w:p>
    <w:p>
      <w:pPr>
        <w:jc w:val="both"/>
        <w:ind w:right="160" w:firstLine="405"/>
        <w:spacing w:after="0" w:line="259" w:lineRule="auto"/>
        <w:rPr>
          <w:sz w:val="20"/>
          <w:szCs w:val="20"/>
          <w:color w:val="auto"/>
        </w:rPr>
      </w:pPr>
      <w:r>
        <w:rPr>
          <w:rFonts w:ascii="Arial" w:cs="Arial" w:eastAsia="Arial" w:hAnsi="Arial"/>
          <w:sz w:val="18"/>
          <w:szCs w:val="18"/>
          <w:color w:val="auto"/>
        </w:rPr>
        <w:t>The interest rate on borrowings under Term Loan A is LIBOR plus a 2.50% spread. The spread ranges from 2.00% to 2.75% based on the Company's total leverage ratio. The interest rate on borrowings under Term Loan B is LIBOR plus a 3.0% spread with a 0.75% floor. The spread ranges from 2.00% to 3.00% based upon either an ABR or LIBOR borrowing. The revolving credit facility margin and commitment fee are subject to the leveraged based pricing grid, as set forth in the Credit Agreement, as amended.</w:t>
      </w:r>
    </w:p>
    <w:p>
      <w:pPr>
        <w:spacing w:after="0" w:line="187"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loans under the Credit Agreement, as amended, are secured by substantially all of our assets and none of such assets will be available to satisfy the claims of our general creditors. The Credit Agreement, as amended,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 speculative hedging and limitations on changes of names and jurisdictions. In addition, we are required to meet certain financial covenants at each quarter end, namely Consolidated Net Total Leverage and Consolidated Net Interest Coverage Ratios. As of September 30, 2014, we were compliant with these covenants.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26, 2014, we accessed $30 million of our $500 million revolving credit facility to support month-end transactions. On September 30, 2014, we repaid the $30 million borrowed from the revolving credit facility.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256"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At the annual meeting of stockholders held on July 31, 2014, the stockholders approved a proposal to amend and restate the Company's certificate of incorporation, which had the effect of converting all issued and outstanding shares of Class B Non-Voting Common Stock and Class C Restricted Common Stock into shares of Class A Common Stock on a one-for-one basis. The conversion was effected on August 13, 2014 when the Company filed its third amended and restated certificate of incorporation with the Secretary of State of the State of Delaware. As a result of the conversion, there were no more shares of Class B Non-Voting Common Stock and Class C Restricted Common Stock as of September 30, 2014.</w:t>
      </w:r>
    </w:p>
    <w:p>
      <w:pPr>
        <w:spacing w:after="0" w:line="3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stockholders’ equity amounted to $164.3 million as of September 30, 2014, a decrease of $7.3 million compared to stockholders’ equity of $171.6 million as of March 31, 2014. The decrease is primarily due to $179.5 million in recurring and special dividend payments and an $8.3 million increase in treasury stock, partially offset by net income of $136.4 million in the six months ended September 30, 2014, $37.3 million in excess tax benefits for the exercise of stock options, and stock-based compensation expense.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2014, we did not have any off-balance sheet arrangements.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854"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Capital Expenditures</w:t>
      </w:r>
    </w:p>
    <w:p>
      <w:pPr>
        <w:spacing w:after="0" w:line="9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six months ended September 30, 2014 and 2013 were $8.9 million and $6.7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16 to our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9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This Quarterly Report on Form 10-Q, or Quarterly Report, including information incorporated by reference into this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w:t>
      </w:r>
    </w:p>
    <w:p>
      <w:pPr>
        <w:spacing w:after="0" w:line="138"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These risks and other factors include: 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and the Consolidated Appropriations Act, 2014), which have reduced and delayed contract awards and funding for orders for services especially in the current political environment or otherwise negatively affect our ability to generate revenue under contract awards, including as a result of reduced staffing and hours of operation at U.S. government clients; delayed funding of our contracts due to uncertainty relating to and a possible failure of Congressional efforts to craft a long-term agreement on the U.S. government’s ability to incur indebtedness in excess of its current limits, or changes in the pattern or timing of government funding and spending (including those resulting from or related to cuts associated with sequestration or other budgetary cuts made in lieu of sequestration); current and continued uncertainty around the timing, extent, nature, and effect of ongoing Congressional and other U.S. government action to address budgetary constraints, including, but not limited to, uncertainty around the outcome of Congressional efforts to craft a long-term agreement on the U.S. government’s ability to incur indebtedness in excess of its current limits, and the U.S. deficit; any issue that compromises our relationships with the U.S. government or damages our professional reputation, including negative publicity concerning government contractors in general or us in particular; changes in U.S. government spending, including a continuation of efforts by the U.S. government to decrease spending for management support service contracts, and mission priorities that shift expenditures away from agencies or programs that we support; the size of our addressable markets and the amount of U.S. government spending on private contractors; failure to comply with numerous laws and regulations; our ability to compete effectively in the competitive bidding process and delays or losses of contract awards caused by competitors' protests of major contract awards received by us; the loss of General Services Administration Multiple Award schedule contracts, or GSA schedules, or our position as prime contractor on government-wide acquisition contract vehicles, or GWACs; changes in the mix of our contracts and our ability to accurately estimate or otherwise recover expenses, time, and resources for our contracts; our ability to generate revenue under certain of our contracts; our ability to realize the full value of and replenish our backlog and the timing of our receipt of revenue under contracts included in backlog; changes in estimates used in recognizing revenue; an inability to attract, train, or retain employees with the requisite skills, experience, and security clearances; an inability to hire, assimilate, and deploy enough employees to serve our clients under existing contracts; an inability to timely and effectively utilize our employees; failure by us or our employees to obtain and maintain necessary security clearances; the loss of members of senior management or failure to develop new leaders; misconduct or other improper activities from our employees or subcontractors, including the improper use or release of our clients' sensitive or classified information; increased insourcing by various U.S. government agencies due to changes in the definition of “inherently governmental” work, including proposals to limit contractor access to sensitive or classified information and work assignments; increased competition from other companies in our industry; failure to maintain strong relationships with other contractors; inherent uncertainties and potential adverse developments in legal or regulatory proceedings, including litigation, audits, reviews, and investigations, which may result in materially adverse judgments,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31" w:right="239" w:bottom="1440" w:gutter="0" w:footer="0" w:header="0"/>
        </w:sectPr>
      </w:pPr>
    </w:p>
    <w:bookmarkStart w:id="33" w:name="page34"/>
    <w:bookmarkEnd w:id="33"/>
    <w:p>
      <w:pPr>
        <w:spacing w:after="0" w:line="268" w:lineRule="auto"/>
        <w:rPr>
          <w:sz w:val="20"/>
          <w:szCs w:val="20"/>
          <w:color w:val="auto"/>
        </w:rPr>
      </w:pPr>
      <w:r>
        <w:rPr>
          <w:rFonts w:ascii="Arial" w:cs="Arial" w:eastAsia="Arial" w:hAnsi="Arial"/>
          <w:sz w:val="17"/>
          <w:szCs w:val="17"/>
          <w:color w:val="auto"/>
        </w:rPr>
        <w:t>settlements, withheld payments, penalties, or other unfavorable outcomes including debarment, as well as disputes over the availability of insurance or indemnification; 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 2013, and an increased risk of compensation being deemed unallowable or payments being withheld as a result of U.S. government audit, review or investigation; internal system or service failures and security breaches, including, but not limited to, those resulting from external cyber attacks on our network and internal systems; risks related to changes to our operating structure, capabilities, or strategy intended to address client needs, grow our business or respond to market developments; risks associated with new relationships, clients, capabilities, and service offerings in our U.S. and international businesses; failure to comply with special U.S. government laws and regulations relating to our international operations; risks related to our indebtedness and credit facilities which contain financial and operating covenants; the adoption by the U.S. government of new laws, rules, and regulations, such as those relating to organizational conflicts of interest issues or limits; risks related to completed and future acquisitions, including our ability to realize the expected benefits from such acquisitions; an inability to utilize existing or future tax benefits, including those related to our stock-based compensation expense, for any reason, including a change in law; variable purchasing patterns under U.S. government GSA schedules, blanket purchase agreements and indefinite delivery, indefinite quantity, or ID/IQ, contracts; and other risks and factors described in Part II, “Item 1A. Risk Factors” and elsewhere in this Quarterly Report.</w:t>
      </w:r>
    </w:p>
    <w:p>
      <w:pPr>
        <w:spacing w:after="0" w:line="131"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7"/>
          <w:szCs w:val="17"/>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2014 filed with the Securities and Exchange Commission on May 22, 2014.</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54" w:right="23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 million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September 30, 2014 and March 31, 2014, there were no material amounts accrued in the condensed consolidated financial statements related to these proceedings.</w:t>
      </w:r>
    </w:p>
    <w:p>
      <w:pPr>
        <w:spacing w:after="0" w:line="126"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Six former officers and stockholders who had departed the firm prior to July 31, 2008, the date on which we became majority owned by The Carlyle Group and certain of its affiliated investment funds, as described in the Company’s Annual Report, or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us and certain of our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 appeals exhausted. Five of the remaining suits are pending in the United States District Court for the Southern District of New York, and the sixth is pending in the United States District Court for the Southern District of California. The aggregate alleged damages sought in these six remaining suits is approximately $348.7 million ($291.5 million of which is sought to be trebled pursuant to RICO), plus punitive damages, costs, and fees.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26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2014 filed with the Securities and Exchange Commission on May 22, 2014.</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688" w:right="2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0"/>
                <w:szCs w:val="20"/>
                <w:color w:val="auto"/>
              </w:rPr>
            </w:pPr>
          </w:p>
        </w:tc>
        <w:tc>
          <w:tcPr>
            <w:tcW w:w="104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56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160" w:type="dxa"/>
            <w:vAlign w:val="bottom"/>
          </w:tcPr>
          <w:p>
            <w:pPr>
              <w:spacing w:after="0"/>
              <w:rPr>
                <w:sz w:val="11"/>
                <w:szCs w:val="11"/>
                <w:color w:val="auto"/>
              </w:rPr>
            </w:pPr>
          </w:p>
        </w:tc>
        <w:tc>
          <w:tcPr>
            <w:tcW w:w="10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7"/>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9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Third Amended and Restated Certificate of Incorporation of Booz Allen Hamilton Holding Corporation*</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Amended and Restated Stockholders Agreement of Booz Allen Hamilton Holding Corporation (Incorporated by reference to Exhibit 4.3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Irrevocable Proxy and Tag-Along Agreement (Incorporated by reference to Exhibit 4.4 to the Company’s Quarterly Report for the period ended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Management Agreement, by and among Booz Allen Hamilton Holding Corporation (formerly known as Explorer Holding Corporation), Booz</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8"/>
              </w:rPr>
              <w:t>Allen Hamilton Inc., and TC Group V US, LLC, dated as of July 31, 2008 (Incorporated by reference to Exhibit 10.6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9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Second Amended and Restated Equity Incentive Plan of Booz Allen Hamilton Holding Corporation*</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Booz Allen Hamilton Holding Corporation Officers’ Rollover Stock Plan (Incorporated by reference to Exhibit 10.8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8"/>
              </w:rPr>
              <w:t>Form of Booz Allen Hamilton Holding Corporation Rollover Stock Option Agreement (Incorporated by reference to Exhibit 10.9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r>
        <w:trPr>
          <w:trHeight w:val="608"/>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560" w:type="dxa"/>
            <w:vAlign w:val="bottom"/>
            <w:gridSpan w:val="3"/>
          </w:tcPr>
          <w:p>
            <w:pPr>
              <w:ind w:left="48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ectPr>
          <w:pgSz w:w="11900" w:h="16838" w:orient="portrait"/>
          <w:cols w:equalWidth="0" w:num="1">
            <w:col w:w="11360"/>
          </w:cols>
          <w:pgMar w:left="240" w:top="688" w:right="29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10.10</w:t>
            </w:r>
          </w:p>
        </w:tc>
        <w:tc>
          <w:tcPr>
            <w:tcW w:w="10680" w:type="dxa"/>
            <w:vAlign w:val="bottom"/>
          </w:tcPr>
          <w:p>
            <w:pPr>
              <w:ind w:left="260"/>
              <w:spacing w:after="0"/>
              <w:rPr>
                <w:sz w:val="20"/>
                <w:szCs w:val="20"/>
                <w:color w:val="auto"/>
              </w:rPr>
            </w:pPr>
            <w:r>
              <w:rPr>
                <w:rFonts w:ascii="Arial" w:cs="Arial" w:eastAsia="Arial" w:hAnsi="Arial"/>
                <w:sz w:val="18"/>
                <w:szCs w:val="18"/>
                <w:color w:val="auto"/>
              </w:rPr>
              <w:t>Amended and Restated Booz Allen Hamilton Holding Corporation Annual Incentive Plan*</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10.11</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10.12</w:t>
            </w: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Officer’s Comprehensive Medical and Dental Choice Plans (Incorporated by reference to Exhibit 10.17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10.13</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Retired Officer’s Comprehensive Medical and Dental Choice Plans (Incorporated by reference to Exhibit 10.18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10.14</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Group Variable Universal Life Insurance (Incorporated by reference to Exhibit 10.20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10.15</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10.16</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Annual Performance Bonus Program (Incorporated by reference to Exhibit 10.22 to the Company’s Registration Statement on Form S-1 (File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10.17</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10.18</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10.19</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10-K (File No. 001-34972))</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10.20</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10.21</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Amendment No. 1 to the Amended and Restated Stockholders Agreement (Incorporated by reference to Exhibit 10.1 to the Company's Periodic</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Report on Form 8-K filed on June 14, 2012 (File No. 001-34972))</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10.22</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Credit Agreement, by and among Booz Allen Hamilton Inc., as the Borrower, the several lenders from time to time parties thereto, Bank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America, N.A., as Administrative Agent, Collateral Agent and Issuing Lender, Merrill Lynch, Pierce, Fenner &amp; Smith Incorporated and Credit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Suisse Securities (USA) LLC, as Joint Lead Arrangers, Merrill Lynch, Pierce, Fenner &amp; Smith Incorporated, Credit Suisse Securities (USA)</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LLC, Barclays Bank PLC, Citigroup Global Markets Inc., HSBC Securities (USA) Inc., J.P. Morgan Securities LLC, Morgan Stanley Senior</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Funding, Inc. and Sumimoto Mitsui Banking Corporation, as Joint Bookrunners, Credit Suisse Securities (USA) LLC, as Syndication Agent,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Inc., Sumimoto Mitsui Banking Corporation and The Bank of Tokyo-Mitsubishi UFJ, Ltd., as Co-Documentation Agents, dated as of July 31,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2012 (Incorporated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10.23</w:t>
            </w: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r>
        <w:trPr>
          <w:trHeight w:val="392"/>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10.24</w:t>
            </w:r>
          </w:p>
        </w:tc>
        <w:tc>
          <w:tcPr>
            <w:tcW w:w="10680" w:type="dxa"/>
            <w:vAlign w:val="bottom"/>
            <w:vMerge w:val="restart"/>
          </w:tcPr>
          <w:p>
            <w:pPr>
              <w:ind w:left="260"/>
              <w:spacing w:after="0"/>
              <w:rPr>
                <w:sz w:val="20"/>
                <w:szCs w:val="20"/>
                <w:color w:val="auto"/>
              </w:rPr>
            </w:pPr>
            <w:r>
              <w:rPr>
                <w:rFonts w:ascii="Arial" w:cs="Arial" w:eastAsia="Arial" w:hAnsi="Arial"/>
                <w:sz w:val="18"/>
                <w:szCs w:val="18"/>
                <w:color w:val="auto"/>
                <w:w w:val="97"/>
              </w:rPr>
              <w:t>First Amendment to Credit Agreement, dated as of August 16, 2013, by and among Booz Allen Hamilton Inc., as Borrower, Booz Allen</w:t>
            </w: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10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Hamilton Investor Corporation, Booz Allen Hamilton Engineering Holding Co., LLC, Booz Allen Hamilton Engineering Services, LLC, SDI</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Technology Corporation, ASE, Inc. and , Booz Allen Hamilton International, Inc., as Guarantors, Bank of America, N.A., as Administrative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Agent, Collateral Agent and New Refinancing Tranche B Term Lender, and the other Lenders and financial institutions from time to time party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thereto (Incorporated by reference to Exhibit 10.1 to the Company’s Periodic Report on Form 8-K filed on August 20, 2013 (File No. 001-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r>
        <w:trPr>
          <w:trHeight w:val="458"/>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10.25</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Employment Agreement (Incorporated by reference to Exhibit 10.27 to the Company’s Annual Report for the year ended March 31,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2014 on Form 10-K (File No. 001-34972))</w:t>
            </w:r>
          </w:p>
        </w:tc>
        <w:tc>
          <w:tcPr>
            <w:tcW w:w="0" w:type="dxa"/>
            <w:vAlign w:val="bottom"/>
          </w:tcPr>
          <w:p>
            <w:pPr>
              <w:spacing w:after="0"/>
              <w:rPr>
                <w:sz w:val="1"/>
                <w:szCs w:val="1"/>
                <w:color w:val="auto"/>
              </w:rPr>
            </w:pPr>
          </w:p>
        </w:tc>
      </w:tr>
      <w:tr>
        <w:trPr>
          <w:trHeight w:val="593"/>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10.26</w:t>
            </w: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Form of Restricted Stock Agreement under the Amended and Restated Equity Incentive Plan of Booz Allen Hamilton Holding Corporation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(Incorporated by reference to Exhibit 10.28 to the Company’s Annual Report for the year ended March 31, 2014 on Form 10-K (File No. 001-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854" w:right="27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40"/>
          </w:cols>
          <w:pgMar w:left="280" w:top="854" w:right="279" w:bottom="1440" w:gutter="0" w:footer="0" w:header="0"/>
          <w:type w:val="continuous"/>
        </w:sectPr>
      </w:pPr>
    </w:p>
    <w:bookmarkStart w:id="37" w:name="page38"/>
    <w:bookmarkEnd w:id="37"/>
    <w:tbl>
      <w:tblPr>
        <w:tblLayout w:type="fixed"/>
        <w:tblInd w:w="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10.27</w:t>
            </w:r>
          </w:p>
        </w:tc>
        <w:tc>
          <w:tcPr>
            <w:tcW w:w="10660" w:type="dxa"/>
            <w:vAlign w:val="bottom"/>
          </w:tcPr>
          <w:p>
            <w:pPr>
              <w:ind w:left="260"/>
              <w:spacing w:after="0"/>
              <w:rPr>
                <w:sz w:val="20"/>
                <w:szCs w:val="20"/>
                <w:color w:val="auto"/>
              </w:rPr>
            </w:pPr>
            <w:r>
              <w:rPr>
                <w:rFonts w:ascii="Arial" w:cs="Arial" w:eastAsia="Arial" w:hAnsi="Arial"/>
                <w:sz w:val="18"/>
                <w:szCs w:val="18"/>
                <w:color w:val="auto"/>
                <w:w w:val="96"/>
              </w:rPr>
              <w:t>Form of Restricted Stock Unit Agreement under the Equity Incentive Plan of Booz Allen Hamilton Holding Corporation (Incorporated by</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9"/>
              </w:rPr>
              <w:t>reference to Exhibit 10.29 to the Company’s Annual Report for the year ended March 31, 2014 on Form 10-K (File No. 001-34972))</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10.28</w:t>
            </w:r>
          </w:p>
        </w:tc>
        <w:tc>
          <w:tcPr>
            <w:tcW w:w="10660" w:type="dxa"/>
            <w:vAlign w:val="bottom"/>
          </w:tcPr>
          <w:p>
            <w:pPr>
              <w:ind w:left="260"/>
              <w:spacing w:after="0"/>
              <w:rPr>
                <w:sz w:val="20"/>
                <w:szCs w:val="20"/>
                <w:color w:val="auto"/>
              </w:rPr>
            </w:pPr>
            <w:r>
              <w:rPr>
                <w:rFonts w:ascii="Arial" w:cs="Arial" w:eastAsia="Arial" w:hAnsi="Arial"/>
                <w:sz w:val="18"/>
                <w:szCs w:val="18"/>
                <w:color w:val="auto"/>
                <w:w w:val="96"/>
              </w:rPr>
              <w:t>Second Amendment to Credit Agreement, dated as of May 7, 2014, among Booz Allen Hamilton Inc., as Borrower, Booz Allen Hamilton</w:t>
            </w: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3"/>
              </w:rPr>
              <w:t>Investor Corporation, Booz Allen Hamilton Engineering Holding Co., LLC, Booz Allen Hamilton Engineering Services, LLC, SDI Technology</w:t>
            </w: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2"/>
              </w:rPr>
              <w:t>Corporation, ASE, Inc. and Booz Allen Hamilton International, Inc., as Guarantors, Bank of America, N.A., as Administrative Agent, Collateral</w:t>
            </w: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1"/>
              </w:rPr>
              <w:t>Agent and Issuing Lender, and the other Lenders and financial institutions from time to time party thereto. (Incorporated by reference to Exhibit</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10.1 to the Company’s Periodic Report on Form 8-K filed on May 13, 2014 (File No. 001-34972))</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66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66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10660" w:type="dxa"/>
            <w:vAlign w:val="bottom"/>
          </w:tcPr>
          <w:p>
            <w:pPr>
              <w:ind w:left="260"/>
              <w:spacing w:after="0"/>
              <w:rPr>
                <w:sz w:val="20"/>
                <w:szCs w:val="20"/>
                <w:color w:val="auto"/>
              </w:rPr>
            </w:pPr>
            <w:r>
              <w:rPr>
                <w:rFonts w:ascii="Arial" w:cs="Arial" w:eastAsia="Arial" w:hAnsi="Arial"/>
                <w:sz w:val="18"/>
                <w:szCs w:val="18"/>
                <w:color w:val="auto"/>
                <w:w w:val="95"/>
              </w:rPr>
              <w:t>Certification of the Chief Executive Officer required by Rule 13a-14(b) or Rule 15d-14(b) and Section 1350 of Chapter 63 of Title 18 of the</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10660" w:type="dxa"/>
            <w:vAlign w:val="bottom"/>
          </w:tcPr>
          <w:p>
            <w:pPr>
              <w:ind w:left="260"/>
              <w:spacing w:after="0"/>
              <w:rPr>
                <w:sz w:val="20"/>
                <w:szCs w:val="20"/>
                <w:color w:val="auto"/>
              </w:rPr>
            </w:pPr>
            <w:r>
              <w:rPr>
                <w:rFonts w:ascii="Arial" w:cs="Arial" w:eastAsia="Arial" w:hAnsi="Arial"/>
                <w:sz w:val="18"/>
                <w:szCs w:val="18"/>
                <w:color w:val="auto"/>
                <w:w w:val="95"/>
              </w:rPr>
              <w:t>Certification of the Chief Financial Officer required by Rule 13a-14(b) or Rule 15d-14(b) and Section 1350 of Chapter 63 of Title 18 of the</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r>
    </w:tbl>
    <w:p>
      <w:pPr>
        <w:spacing w:after="0" w:line="161" w:lineRule="exact"/>
        <w:rPr>
          <w:sz w:val="20"/>
          <w:szCs w:val="20"/>
          <w:color w:val="auto"/>
        </w:rPr>
      </w:pPr>
    </w:p>
    <w:p>
      <w:pPr>
        <w:ind w:left="960" w:right="120" w:hanging="925"/>
        <w:spacing w:after="0" w:line="255"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materials from Booz Allen Hamilton Holding Corporation’s Quarterly Report on Form 10-Q for the three and six months ended September 30, 2014 formatted in XBRL (eXtensible Business Reporting Language): (i) Condensed Consolidated Balance Sheets at September 30, 2014 and March 31, 2014; (ii) Condensed Consolidated Statements of Operations for the three and six months ended September 30, 2014 and 2013; (iii) Condensed Consolidated Statements of Comprehensive Income for the three and six months ended September 30, 2014 and 2013; (iv) Condensed Consolidated Statements of Cash Flows for the three and six months ended September 30, 2014 and 2013;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3" w:lineRule="exact"/>
        <w:rPr>
          <w:sz w:val="20"/>
          <w:szCs w:val="20"/>
          <w:color w:val="auto"/>
        </w:rPr>
      </w:pPr>
    </w:p>
    <w:p>
      <w:pPr>
        <w:ind w:left="660" w:right="80" w:hanging="652"/>
        <w:spacing w:after="0" w:line="277"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854" w:right="299" w:bottom="1440" w:gutter="0" w:footer="0" w:header="0"/>
        </w:sectPr>
      </w:pPr>
    </w:p>
    <w:bookmarkStart w:id="38" w:name="page39"/>
    <w:bookmarkEnd w:id="38"/>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3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October 29,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240" w:top="688" w:right="599" w:bottom="1440" w:gutter="0" w:footer="0" w:header="0"/>
        </w:sectPr>
      </w:pPr>
    </w:p>
    <w:bookmarkStart w:id="39" w:name="page40"/>
    <w:bookmarkEnd w:id="39"/>
    <w:p>
      <w:pPr>
        <w:ind w:left="8860"/>
        <w:spacing w:after="0"/>
        <w:rPr>
          <w:sz w:val="20"/>
          <w:szCs w:val="20"/>
          <w:color w:val="auto"/>
        </w:rPr>
      </w:pPr>
      <w:r>
        <w:rPr>
          <w:rFonts w:ascii="Arial" w:cs="Arial" w:eastAsia="Arial" w:hAnsi="Arial"/>
          <w:sz w:val="18"/>
          <w:szCs w:val="18"/>
          <w:b w:val="1"/>
          <w:bCs w:val="1"/>
          <w:color w:val="auto"/>
        </w:rPr>
        <w:t>Exhibit 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Booz Allen Hamilton Holding Corporation,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170" w:lineRule="exact"/>
        <w:rPr>
          <w:sz w:val="20"/>
          <w:szCs w:val="20"/>
          <w:color w:val="auto"/>
        </w:rPr>
      </w:pPr>
    </w:p>
    <w:p>
      <w:pPr>
        <w:ind w:left="960" w:hanging="30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 of the Corporation is Booz Allen Hamilton Holding Corporation.</w:t>
      </w:r>
    </w:p>
    <w:p>
      <w:pPr>
        <w:spacing w:after="0" w:line="225" w:lineRule="exact"/>
        <w:rPr>
          <w:rFonts w:ascii="Arial" w:cs="Arial" w:eastAsia="Arial" w:hAnsi="Arial"/>
          <w:sz w:val="18"/>
          <w:szCs w:val="18"/>
          <w:color w:val="auto"/>
        </w:rPr>
      </w:pPr>
    </w:p>
    <w:p>
      <w:pPr>
        <w:jc w:val="both"/>
        <w:ind w:firstLine="656"/>
        <w:spacing w:after="0" w:line="25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Corporation was incorporated under the name Explorer Holding Corporation by the filing of its original Certificate of Incorporation with the Secretary of State of the State of Delaware (the “</w:t>
      </w:r>
      <w:r>
        <w:rPr>
          <w:rFonts w:ascii="Arial" w:cs="Arial" w:eastAsia="Arial" w:hAnsi="Arial"/>
          <w:sz w:val="18"/>
          <w:szCs w:val="18"/>
          <w:u w:val="single" w:color="auto"/>
          <w:color w:val="auto"/>
        </w:rPr>
        <w:t>Secretary of State</w:t>
      </w:r>
      <w:r>
        <w:rPr>
          <w:rFonts w:ascii="Arial" w:cs="Arial" w:eastAsia="Arial" w:hAnsi="Arial"/>
          <w:sz w:val="18"/>
          <w:szCs w:val="18"/>
          <w:color w:val="auto"/>
        </w:rPr>
        <w:t>”) on May 12, 2008. An Amended and Restated Certificate of Incorporation was filed with the Secretary of State on July 30, 2008. A Certificate of Amendment, changing the name of the Corporation from Explorer Holding Corporation to Booz Allen Hamilton Holding Corporation, was filed with the Secretary of State on September 25, 2009. A Second Amended and Restated Certificate of Incorporation was filed with the Secretary of State on November 8, 2010.</w:t>
      </w:r>
    </w:p>
    <w:p>
      <w:pPr>
        <w:spacing w:after="0" w:line="188" w:lineRule="exact"/>
        <w:rPr>
          <w:rFonts w:ascii="Arial" w:cs="Arial" w:eastAsia="Arial" w:hAnsi="Arial"/>
          <w:sz w:val="18"/>
          <w:szCs w:val="18"/>
          <w:color w:val="auto"/>
        </w:rPr>
      </w:pPr>
    </w:p>
    <w:p>
      <w:pPr>
        <w:jc w:val="both"/>
        <w:ind w:firstLine="656"/>
        <w:spacing w:after="0" w:line="312" w:lineRule="auto"/>
        <w:tabs>
          <w:tab w:leader="none" w:pos="97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Corporation’s Second Amended and Restated Certificate of Incorporation is hereby amended and restated pursuant to Sections 242 and 245 of the General Corporation Law of the State of Delaware, so as to read in its entirety in the form attached hereto as Exhibit A and incorporated herein by this reference (Exhibit A and this Certificate collectively constituting the Corporation’s Third Amended and Restated Certificate of Incorporation).</w:t>
      </w:r>
    </w:p>
    <w:p>
      <w:pPr>
        <w:spacing w:after="0" w:line="146" w:lineRule="exact"/>
        <w:rPr>
          <w:rFonts w:ascii="Arial" w:cs="Arial" w:eastAsia="Arial" w:hAnsi="Arial"/>
          <w:sz w:val="16"/>
          <w:szCs w:val="16"/>
          <w:color w:val="auto"/>
        </w:rPr>
      </w:pPr>
    </w:p>
    <w:p>
      <w:pPr>
        <w:jc w:val="both"/>
        <w:ind w:firstLine="656"/>
        <w:spacing w:after="0" w:line="255" w:lineRule="auto"/>
        <w:tabs>
          <w:tab w:leader="none" w:pos="9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amendment and restatement of the Second Amended and Restated Certification of Incorporation of the Corporation has been duly adopted in accordance with the provisions of Sections 228, 242 and 245 of the General Corporation Law of the State of Delaware, the Board of Directors of the Corporation having adopted resolutions setting forth such amendment and restatement, declaring its advisability, and directing that it be submitted to the stockholders of the Corporation for their approval; and the holders of outstanding stock having not less than the minimum number of votes that would be necessary to authorize or take such action at a meeting at which all shares entitled to vote thereon were present and voted having consented in writing to the adoption of such amendment and restatement.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WITNESS WHEREOF, the undersigned officer of the Corporation has executed this Third Amended and Restated Certificate of Incorporation of the Corporation on the 13th day of August, 2014.</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BOOZ ALLEN HAMILTON HOLDING</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Douglas S. Manya</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Douglas S. Manya</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Vice President, Deputy General Counsel</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1420"/>
          </w:cols>
          <w:pgMar w:left="240" w:top="39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w:t>
      </w:r>
      <w:r>
        <w:rPr>
          <w:rFonts w:ascii="Arial" w:cs="Arial" w:eastAsia="Arial" w:hAnsi="Arial"/>
          <w:sz w:val="18"/>
          <w:szCs w:val="18"/>
          <w:i w:val="1"/>
          <w:iCs w:val="1"/>
          <w:color w:val="auto"/>
        </w:rPr>
        <w:t>Name.</w:t>
      </w:r>
      <w:r>
        <w:rPr>
          <w:rFonts w:ascii="Arial" w:cs="Arial" w:eastAsia="Arial" w:hAnsi="Arial"/>
          <w:sz w:val="18"/>
          <w:szCs w:val="18"/>
          <w:color w:val="auto"/>
        </w:rPr>
        <w:t xml:space="preserve"> The name of the Corporation is Booz Allen Hamilton Holding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w:t>
      </w:r>
      <w:r>
        <w:rPr>
          <w:rFonts w:ascii="Arial" w:cs="Arial" w:eastAsia="Arial" w:hAnsi="Arial"/>
          <w:sz w:val="16"/>
          <w:szCs w:val="16"/>
          <w:i w:val="1"/>
          <w:iCs w:val="1"/>
          <w:color w:val="auto"/>
        </w:rPr>
        <w:t>Registered Office</w:t>
      </w:r>
      <w:r>
        <w:rPr>
          <w:rFonts w:ascii="Arial" w:cs="Arial" w:eastAsia="Arial" w:hAnsi="Arial"/>
          <w:sz w:val="16"/>
          <w:szCs w:val="16"/>
          <w:color w:val="auto"/>
        </w:rPr>
        <w:t>. The Corporation’s registered office in the State of Delaware is located at Corporation Trust Center, 1209 Orange Street in the City of Wilmington, County of New Castle 19801. The name of its registered agent at such address is The Corporation Trust Company.</w:t>
      </w:r>
    </w:p>
    <w:p>
      <w:pPr>
        <w:spacing w:after="0" w:line="124"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w:t>
      </w:r>
      <w:r>
        <w:rPr>
          <w:rFonts w:ascii="Arial" w:cs="Arial" w:eastAsia="Arial" w:hAnsi="Arial"/>
          <w:sz w:val="18"/>
          <w:szCs w:val="18"/>
          <w:i w:val="1"/>
          <w:iCs w:val="1"/>
          <w:color w:val="auto"/>
        </w:rPr>
        <w:t>Purpose.</w:t>
      </w:r>
      <w:r>
        <w:rPr>
          <w:rFonts w:ascii="Arial" w:cs="Arial" w:eastAsia="Arial" w:hAnsi="Arial"/>
          <w:sz w:val="18"/>
          <w:szCs w:val="18"/>
          <w:color w:val="auto"/>
        </w:rPr>
        <w:t xml:space="preserve"> The purpose of the Corporation is to engage in any lawful act or activity for which corporations may be organized under the General Corporation Law of the State of Delaware.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u w:val="single" w:color="auto"/>
          <w:color w:val="auto"/>
        </w:rPr>
        <w:t>FOURTH</w:t>
      </w:r>
      <w:r>
        <w:rPr>
          <w:rFonts w:ascii="Arial" w:cs="Arial" w:eastAsia="Arial" w:hAnsi="Arial"/>
          <w:sz w:val="16"/>
          <w:szCs w:val="16"/>
          <w:color w:val="auto"/>
        </w:rPr>
        <w:t xml:space="preserve">.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The total number of shares of capital stock which the Corporation shall have authority to issue is 700,000,000,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consisting of:</w:t>
      </w:r>
    </w:p>
    <w:p>
      <w:pPr>
        <w:spacing w:after="0" w:line="211" w:lineRule="exact"/>
        <w:rPr>
          <w:sz w:val="20"/>
          <w:szCs w:val="20"/>
          <w:color w:val="auto"/>
        </w:rPr>
      </w:pPr>
    </w:p>
    <w:p>
      <w:pPr>
        <w:ind w:left="1540" w:hanging="235"/>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600,000,000 shares of Class A Common Stock, par value $0.01 per share;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16,000,000 shares of Class B Non-Voting Common Stock, par value $0.01 per share;</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5,000,000 shares of Class C Restricted Common Stock, par value $0.01 per share;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540" w:hanging="235"/>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25,000,000 shares of Class E Special Voting Common Stock, par value $0.003 per share;</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54,000,000 shares of Preferred Stock, par value $0.01 per share.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stock described in subparagraphs (a), (b), (c) and (e) above is hereinafter sometimes referred to as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the stock described in subparagraph (f) above is hereinafter referred to as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Upon this Third Amended and Restated Certificate of Incorporation of the Corporation becoming effective pursuant to the General Corporation Law of the State of Delaware (the “</w:t>
      </w:r>
      <w:r>
        <w:rPr>
          <w:rFonts w:ascii="Arial" w:cs="Arial" w:eastAsia="Arial" w:hAnsi="Arial"/>
          <w:sz w:val="18"/>
          <w:szCs w:val="18"/>
          <w:u w:val="single" w:color="auto"/>
          <w:color w:val="auto"/>
        </w:rPr>
        <w:t>Effective Time</w:t>
      </w:r>
      <w:r>
        <w:rPr>
          <w:rFonts w:ascii="Arial" w:cs="Arial" w:eastAsia="Arial" w:hAnsi="Arial"/>
          <w:sz w:val="18"/>
          <w:szCs w:val="18"/>
          <w:color w:val="auto"/>
        </w:rPr>
        <w:t>”), and in each case without any further action of the Corporation or any stockholder, (</w:t>
      </w:r>
      <w:r>
        <w:rPr>
          <w:rFonts w:ascii="Arial" w:cs="Arial" w:eastAsia="Arial" w:hAnsi="Arial"/>
          <w:sz w:val="18"/>
          <w:szCs w:val="18"/>
          <w:u w:val="single" w:color="auto"/>
          <w:color w:val="auto"/>
        </w:rPr>
        <w:t>i</w:t>
      </w:r>
      <w:r>
        <w:rPr>
          <w:rFonts w:ascii="Arial" w:cs="Arial" w:eastAsia="Arial" w:hAnsi="Arial"/>
          <w:sz w:val="18"/>
          <w:szCs w:val="18"/>
          <w:color w:val="auto"/>
        </w:rPr>
        <w:t>) each share of Class B Non-Voting Common Stock, par value $0.01 per share, issued and outstanding immediately prior to the Effective Time, will be automatically reclassified as and converted into an equal number of shares of Class A Common Stock of the Corporation, par value $0.01 per share and (</w:t>
      </w:r>
      <w:r>
        <w:rPr>
          <w:rFonts w:ascii="Arial" w:cs="Arial" w:eastAsia="Arial" w:hAnsi="Arial"/>
          <w:sz w:val="18"/>
          <w:szCs w:val="18"/>
          <w:u w:val="single" w:color="auto"/>
          <w:color w:val="auto"/>
        </w:rPr>
        <w:t>ii</w:t>
      </w:r>
      <w:r>
        <w:rPr>
          <w:rFonts w:ascii="Arial" w:cs="Arial" w:eastAsia="Arial" w:hAnsi="Arial"/>
          <w:sz w:val="18"/>
          <w:szCs w:val="18"/>
          <w:color w:val="auto"/>
        </w:rPr>
        <w:t>) each share of Class C Restricted Common Stock, par value $0.01 per share, issued and outstanding immediately prior to the Effective Time, will be automatically reclassified as and converted into an equal number of shares of Class A Common Stock of the Corporation, par value $0.01 per share.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w:t>
      </w:r>
      <w:r>
        <w:rPr>
          <w:rFonts w:ascii="Arial" w:cs="Arial" w:eastAsia="Arial" w:hAnsi="Arial"/>
          <w:sz w:val="18"/>
          <w:szCs w:val="18"/>
          <w:color w:val="auto"/>
        </w:rPr>
        <w:t>. The Common Stock shall have the following rights, powers and preferences:</w:t>
      </w:r>
    </w:p>
    <w:p>
      <w:pPr>
        <w:spacing w:after="0" w:line="225" w:lineRule="exact"/>
        <w:rPr>
          <w:sz w:val="20"/>
          <w:szCs w:val="20"/>
          <w:color w:val="auto"/>
        </w:rPr>
      </w:pPr>
    </w:p>
    <w:p>
      <w:pPr>
        <w:jc w:val="both"/>
        <w:ind w:left="660" w:firstLine="645"/>
        <w:spacing w:after="0" w:line="293" w:lineRule="auto"/>
        <w:tabs>
          <w:tab w:leader="none" w:pos="1553"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Voting Rights of Common Stock</w:t>
      </w:r>
      <w:r>
        <w:rPr>
          <w:rFonts w:ascii="Arial" w:cs="Arial" w:eastAsia="Arial" w:hAnsi="Arial"/>
          <w:sz w:val="16"/>
          <w:szCs w:val="16"/>
          <w:color w:val="auto"/>
        </w:rPr>
        <w:t xml:space="preserve">. Except as otherwise provided by ( </w:t>
      </w:r>
      <w:r>
        <w:rPr>
          <w:rFonts w:ascii="Arial" w:cs="Arial" w:eastAsia="Arial" w:hAnsi="Arial"/>
          <w:sz w:val="16"/>
          <w:szCs w:val="16"/>
          <w:u w:val="single" w:color="auto"/>
          <w:color w:val="auto"/>
        </w:rPr>
        <w:t>i</w:t>
      </w:r>
      <w:r>
        <w:rPr>
          <w:rFonts w:ascii="Arial" w:cs="Arial" w:eastAsia="Arial" w:hAnsi="Arial"/>
          <w:sz w:val="16"/>
          <w:szCs w:val="16"/>
          <w:color w:val="auto"/>
        </w:rPr>
        <w:t xml:space="preserve"> ) the General Corporation Law of the State of Delaware, or (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 Article Sixth or any resolution of the Board of Directors fixing the relative powers (including voting powers, if any), preferences and rights of any series of Preferred Stock, and the qualifications, limitations or restrictions thereof, the entire voting power of the shares of the Corporation for the election of directors and for all other purposes shall be vested exclusively in the Class A Common Stock, Class C Restricted Common Stock and Class E Special Voting Common Stock (collectively, the “</w:t>
      </w:r>
      <w:r>
        <w:rPr>
          <w:rFonts w:ascii="Arial" w:cs="Arial" w:eastAsia="Arial" w:hAnsi="Arial"/>
          <w:sz w:val="16"/>
          <w:szCs w:val="16"/>
          <w:u w:val="single" w:color="auto"/>
          <w:color w:val="auto"/>
        </w:rPr>
        <w:t>Voting Common Stock</w:t>
      </w:r>
      <w:r>
        <w:rPr>
          <w:rFonts w:ascii="Arial" w:cs="Arial" w:eastAsia="Arial" w:hAnsi="Arial"/>
          <w:sz w:val="16"/>
          <w:szCs w:val="16"/>
          <w:color w:val="auto"/>
        </w:rPr>
        <w:t>”). Except as otherwise provided by the General Corporation Law of the State of Delaware, the holders of the Voting Common Stock, as such, shall vote together as a single class. Except as required by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color w:val="auto"/>
        </w:rPr>
        <w:t>the General Corporation Law of the State of Delaware, the holders of Class B Non-Voting Common Stock will have no voting rights of any nature whatsoever.</w:t>
      </w:r>
    </w:p>
    <w:p>
      <w:pPr>
        <w:spacing w:after="0" w:line="170" w:lineRule="exact"/>
        <w:rPr>
          <w:sz w:val="20"/>
          <w:szCs w:val="20"/>
          <w:color w:val="auto"/>
        </w:rPr>
      </w:pPr>
    </w:p>
    <w:p>
      <w:pPr>
        <w:jc w:val="both"/>
        <w:ind w:firstLine="645"/>
        <w:spacing w:after="0" w:line="285" w:lineRule="auto"/>
        <w:tabs>
          <w:tab w:leader="none" w:pos="90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Dividend and Liquidation Rights of Common Stock</w:t>
      </w:r>
      <w:r>
        <w:rPr>
          <w:rFonts w:ascii="Arial" w:cs="Arial" w:eastAsia="Arial" w:hAnsi="Arial"/>
          <w:sz w:val="16"/>
          <w:szCs w:val="16"/>
          <w:color w:val="auto"/>
        </w:rPr>
        <w:t>. Except as otherwise provided by (</w:t>
      </w:r>
      <w:r>
        <w:rPr>
          <w:rFonts w:ascii="Arial" w:cs="Arial" w:eastAsia="Arial" w:hAnsi="Arial"/>
          <w:sz w:val="16"/>
          <w:szCs w:val="16"/>
          <w:u w:val="single" w:color="auto"/>
          <w:color w:val="auto"/>
        </w:rPr>
        <w:t>x</w:t>
      </w:r>
      <w:r>
        <w:rPr>
          <w:rFonts w:ascii="Arial" w:cs="Arial" w:eastAsia="Arial" w:hAnsi="Arial"/>
          <w:sz w:val="16"/>
          <w:szCs w:val="16"/>
          <w:color w:val="auto"/>
        </w:rPr>
        <w:t>) the General Corporation Law of the State of Delaware, or (</w:t>
      </w:r>
      <w:r>
        <w:rPr>
          <w:rFonts w:ascii="Arial" w:cs="Arial" w:eastAsia="Arial" w:hAnsi="Arial"/>
          <w:sz w:val="16"/>
          <w:szCs w:val="16"/>
          <w:u w:val="single" w:color="auto"/>
          <w:color w:val="auto"/>
        </w:rPr>
        <w:t>y</w:t>
      </w:r>
      <w:r>
        <w:rPr>
          <w:rFonts w:ascii="Arial" w:cs="Arial" w:eastAsia="Arial" w:hAnsi="Arial"/>
          <w:sz w:val="16"/>
          <w:szCs w:val="16"/>
          <w:color w:val="auto"/>
        </w:rPr>
        <w:t>) Article Sixth or any resolution of the Board of Directors fixing the relative powers (including voting powers, if any), preferences and rights of any series of Preferred Stock, and the qualifications, limitations or restrictions thereof, (</w:t>
      </w:r>
      <w:r>
        <w:rPr>
          <w:rFonts w:ascii="Arial" w:cs="Arial" w:eastAsia="Arial" w:hAnsi="Arial"/>
          <w:sz w:val="16"/>
          <w:szCs w:val="16"/>
          <w:u w:val="single" w:color="auto"/>
          <w:color w:val="auto"/>
        </w:rPr>
        <w:t>i</w:t>
      </w:r>
      <w:r>
        <w:rPr>
          <w:rFonts w:ascii="Arial" w:cs="Arial" w:eastAsia="Arial" w:hAnsi="Arial"/>
          <w:sz w:val="16"/>
          <w:szCs w:val="16"/>
          <w:color w:val="auto"/>
        </w:rPr>
        <w:t>) each share of Common Stock, other than the Class E Special Voting Common Stock, shall be entitled to participate equally in all dividends or other distributions declared on and payable with respect to the Common Stock, (</w:t>
      </w:r>
      <w:r>
        <w:rPr>
          <w:rFonts w:ascii="Arial" w:cs="Arial" w:eastAsia="Arial" w:hAnsi="Arial"/>
          <w:sz w:val="16"/>
          <w:szCs w:val="16"/>
          <w:u w:val="single" w:color="auto"/>
          <w:color w:val="auto"/>
        </w:rPr>
        <w:t>ii</w:t>
      </w:r>
      <w:r>
        <w:rPr>
          <w:rFonts w:ascii="Arial" w:cs="Arial" w:eastAsia="Arial" w:hAnsi="Arial"/>
          <w:sz w:val="16"/>
          <w:szCs w:val="16"/>
          <w:color w:val="auto"/>
        </w:rPr>
        <w:t>) each share of Common Stock shall be entitled to share ratably, in proportion to its par value, until such time as there shall have been distributed an amount equal to each share’s par value, in the distribution of assets of the Corporation in the event of any voluntary or involuntary liquidation, dissolution or winding up of the affairs of the Corporation, or upon any distribution of all or substantially all of the assets of the Corporation, and (</w:t>
      </w:r>
      <w:r>
        <w:rPr>
          <w:rFonts w:ascii="Arial" w:cs="Arial" w:eastAsia="Arial" w:hAnsi="Arial"/>
          <w:sz w:val="16"/>
          <w:szCs w:val="16"/>
          <w:u w:val="single" w:color="auto"/>
          <w:color w:val="auto"/>
        </w:rPr>
        <w:t>iii</w:t>
      </w:r>
      <w:r>
        <w:rPr>
          <w:rFonts w:ascii="Arial" w:cs="Arial" w:eastAsia="Arial" w:hAnsi="Arial"/>
          <w:sz w:val="16"/>
          <w:szCs w:val="16"/>
          <w:color w:val="auto"/>
        </w:rPr>
        <w:t>) each share of Common Stock, other than the Class E Special Voting Common Stock, shall be entitled to share equally in the distribution of assets of the Corporation remaining after the distribution described in clause (ii) above in the event of any voluntary or involuntary liquidation, dissolution or winding up of the affairs of the Corporation, or upon any distribution of all or substantially all of the assets of the Corporation. Shares of the Class E Special Voting Common Stock shall have no rights to receive dividends or other distributions and shall receive, in connection with any distribution of assets upon any voluntary or involuntary liquidation, dissolution or winding up of the affairs of the Corporation, or upon any distribution of all or substantially all of the assets of the Corporation, solely the amount described in clause (ii) of the preceding sentence. Upon any merger, recapitalization or like transaction, each share of Common Stock, other than the Class E Special Voting Stock, shall receive either the same consideration as each other such share or, if the consideration received is common stock, consideration that differs only in such a manner as is necessary and appropriate to replicate the existing differences among such classes of Common Stock.</w:t>
      </w:r>
    </w:p>
    <w:p>
      <w:pPr>
        <w:spacing w:after="0" w:line="177" w:lineRule="exact"/>
        <w:rPr>
          <w:rFonts w:ascii="Arial" w:cs="Arial" w:eastAsia="Arial" w:hAnsi="Arial"/>
          <w:sz w:val="16"/>
          <w:szCs w:val="16"/>
          <w:color w:val="auto"/>
        </w:rPr>
      </w:pPr>
    </w:p>
    <w:p>
      <w:pPr>
        <w:ind w:firstLine="645"/>
        <w:spacing w:after="0" w:line="277" w:lineRule="auto"/>
        <w:tabs>
          <w:tab w:leader="none" w:pos="90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Rights and Preferences of Class C Restricted Common Stock</w:t>
      </w:r>
      <w:r>
        <w:rPr>
          <w:rFonts w:ascii="Arial" w:cs="Arial" w:eastAsia="Arial" w:hAnsi="Arial"/>
          <w:sz w:val="18"/>
          <w:szCs w:val="18"/>
          <w:color w:val="auto"/>
        </w:rPr>
        <w:t>. In addition to the terms, rights, restrictions and qualifications set forth herein, each share of Class C Restricted Common Stock shall be subject to the following:</w:t>
      </w:r>
    </w:p>
    <w:p>
      <w:pPr>
        <w:spacing w:after="0" w:line="170" w:lineRule="exact"/>
        <w:rPr>
          <w:rFonts w:ascii="Arial" w:cs="Arial" w:eastAsia="Arial" w:hAnsi="Arial"/>
          <w:sz w:val="18"/>
          <w:szCs w:val="18"/>
          <w:color w:val="auto"/>
        </w:rPr>
      </w:pPr>
    </w:p>
    <w:p>
      <w:pPr>
        <w:jc w:val="both"/>
        <w:ind w:left="640" w:firstLine="653"/>
        <w:spacing w:after="0" w:line="257" w:lineRule="auto"/>
        <w:tabs>
          <w:tab w:leader="none" w:pos="153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xml:space="preserve">. Each share of Class C Restricted Common Stock shall be subject to the restrictions on transfer and ownership and the related terms and conditions thereof set forth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the Explorer Holding Corporation Officers’ Rollover Stock Plan (as such plan may be amended, modified or supplemented from time to time, the “</w:t>
      </w:r>
      <w:r>
        <w:rPr>
          <w:rFonts w:ascii="Arial" w:cs="Arial" w:eastAsia="Arial" w:hAnsi="Arial"/>
          <w:sz w:val="18"/>
          <w:szCs w:val="18"/>
          <w:u w:val="single" w:color="auto"/>
          <w:color w:val="auto"/>
        </w:rPr>
        <w:t>Officers’ Rollover Stock Plan</w:t>
      </w:r>
      <w:r>
        <w:rPr>
          <w:rFonts w:ascii="Arial" w:cs="Arial" w:eastAsia="Arial" w:hAnsi="Arial"/>
          <w:sz w:val="18"/>
          <w:szCs w:val="18"/>
          <w:color w:val="auto"/>
        </w:rPr>
        <w:t xml:space="preserve">”) applicable to Class C Restricted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that this subsection (c)(i) of this Article Fifth shall not grant any rights to holders of Class C Restricted Common Stock under the Officers’ Rollover Stock Plan.</w:t>
      </w:r>
    </w:p>
    <w:p>
      <w:pPr>
        <w:spacing w:after="0" w:line="188" w:lineRule="exact"/>
        <w:rPr>
          <w:rFonts w:ascii="Arial" w:cs="Arial" w:eastAsia="Arial" w:hAnsi="Arial"/>
          <w:sz w:val="18"/>
          <w:szCs w:val="18"/>
          <w:color w:val="auto"/>
        </w:rPr>
      </w:pPr>
    </w:p>
    <w:p>
      <w:pPr>
        <w:jc w:val="both"/>
        <w:ind w:left="640" w:firstLine="653"/>
        <w:spacing w:after="0" w:line="264" w:lineRule="auto"/>
        <w:tabs>
          <w:tab w:leader="none" w:pos="1553"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Repurchase Rights</w:t>
      </w:r>
      <w:r>
        <w:rPr>
          <w:rFonts w:ascii="Arial" w:cs="Arial" w:eastAsia="Arial" w:hAnsi="Arial"/>
          <w:sz w:val="18"/>
          <w:szCs w:val="18"/>
          <w:color w:val="auto"/>
        </w:rPr>
        <w:t xml:space="preserve">. Each share of Class C Restricted Common Stock shall be subject to the repurchase and conversion rights of the Corporation and the related terms and conditions thereof set forth in </w:t>
      </w: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the Officers’ Rollover Stock Plan applicable to Class C Restricted Common Stock.</w:t>
      </w:r>
    </w:p>
    <w:p>
      <w:pPr>
        <w:spacing w:after="0" w:line="181" w:lineRule="exact"/>
        <w:rPr>
          <w:rFonts w:ascii="Arial" w:cs="Arial" w:eastAsia="Arial" w:hAnsi="Arial"/>
          <w:sz w:val="18"/>
          <w:szCs w:val="18"/>
          <w:color w:val="auto"/>
        </w:rPr>
      </w:pPr>
    </w:p>
    <w:p>
      <w:pPr>
        <w:ind w:left="1600" w:hanging="307"/>
        <w:spacing w:after="0"/>
        <w:tabs>
          <w:tab w:leader="none" w:pos="160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Shares of Class C Restricted Common Stock shall vest as set forth in the Officers’ Rollover Stock Plan.</w:t>
      </w:r>
    </w:p>
    <w:p>
      <w:pPr>
        <w:spacing w:after="0" w:line="225" w:lineRule="exact"/>
        <w:rPr>
          <w:rFonts w:ascii="Arial" w:cs="Arial" w:eastAsia="Arial" w:hAnsi="Arial"/>
          <w:sz w:val="18"/>
          <w:szCs w:val="18"/>
          <w:color w:val="auto"/>
        </w:rPr>
      </w:pPr>
    </w:p>
    <w:p>
      <w:pPr>
        <w:jc w:val="both"/>
        <w:ind w:left="640" w:firstLine="653"/>
        <w:spacing w:after="0" w:line="259" w:lineRule="auto"/>
        <w:tabs>
          <w:tab w:leader="none" w:pos="1606"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Officers’ Rollover Stock Plan</w:t>
      </w:r>
      <w:r>
        <w:rPr>
          <w:rFonts w:ascii="Arial" w:cs="Arial" w:eastAsia="Arial" w:hAnsi="Arial"/>
          <w:sz w:val="18"/>
          <w:szCs w:val="18"/>
          <w:color w:val="auto"/>
        </w:rPr>
        <w:t xml:space="preserve">. In addition to the terms, rights, restrictions and qualifications set forth herein, each share of Class C Restricted Common Stock shall be subject to the terms, rights, restrictions and qualifications set forth in the Officers’ Rollover Stock Plan applicable to Class C Restricted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that this subsection (c)(iv) of this Article Fifth shall not grant any rights to holders of Class C Restricted Common Stock under the Stockholders Agreement.</w:t>
      </w:r>
    </w:p>
    <w:p>
      <w:pPr>
        <w:spacing w:after="0" w:line="186" w:lineRule="exact"/>
        <w:rPr>
          <w:rFonts w:ascii="Arial" w:cs="Arial" w:eastAsia="Arial" w:hAnsi="Arial"/>
          <w:sz w:val="18"/>
          <w:szCs w:val="18"/>
          <w:color w:val="auto"/>
        </w:rPr>
      </w:pPr>
    </w:p>
    <w:p>
      <w:pPr>
        <w:ind w:left="900" w:hanging="25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[Reserved]</w:t>
      </w:r>
    </w:p>
    <w:p>
      <w:pPr>
        <w:spacing w:after="0" w:line="25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0"/>
          </w:cols>
          <w:pgMar w:left="900" w:top="368" w:right="239" w:bottom="1440" w:gutter="0" w:footer="0" w:header="0"/>
        </w:sectPr>
      </w:pPr>
    </w:p>
    <w:bookmarkStart w:id="42" w:name="page43"/>
    <w:bookmarkEnd w:id="42"/>
    <w:p>
      <w:pPr>
        <w:ind w:left="660" w:firstLine="645"/>
        <w:spacing w:after="0" w:line="277" w:lineRule="auto"/>
        <w:tabs>
          <w:tab w:leader="none" w:pos="155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Rights and Preferences of Class E Special Voting Common Stock</w:t>
      </w:r>
      <w:r>
        <w:rPr>
          <w:rFonts w:ascii="Arial" w:cs="Arial" w:eastAsia="Arial" w:hAnsi="Arial"/>
          <w:sz w:val="18"/>
          <w:szCs w:val="18"/>
          <w:color w:val="auto"/>
        </w:rPr>
        <w:t>. In addition to the terms, rights, restrictions and qualifications set forth herein, each share of Class E Special Voting Common Stock shall be subject to the following:</w:t>
      </w:r>
    </w:p>
    <w:p>
      <w:pPr>
        <w:spacing w:after="0" w:line="62" w:lineRule="exact"/>
        <w:rPr>
          <w:rFonts w:ascii="Arial" w:cs="Arial" w:eastAsia="Arial" w:hAnsi="Arial"/>
          <w:sz w:val="18"/>
          <w:szCs w:val="18"/>
          <w:color w:val="auto"/>
        </w:rPr>
      </w:pPr>
    </w:p>
    <w:p>
      <w:pPr>
        <w:jc w:val="both"/>
        <w:ind w:left="1300" w:firstLine="653"/>
        <w:spacing w:after="0" w:line="259" w:lineRule="auto"/>
        <w:tabs>
          <w:tab w:leader="none" w:pos="2163"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xml:space="preserve">. Each share of Class E Special Voting Common Stock shall be subject to the restrictions on transfer and ownership and the related terms and conditions thereof set forth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the Officers’ Rollover Stock Plan applicable to Class E Special Voting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that this subsection (e)(i) of this Article Fifth shall not grant any rights to holders of Class E Special Voting Common Stock under the Officers’ Rollover Stock Plan.</w:t>
      </w:r>
    </w:p>
    <w:p>
      <w:pPr>
        <w:spacing w:after="0" w:line="78" w:lineRule="exact"/>
        <w:rPr>
          <w:rFonts w:ascii="Arial" w:cs="Arial" w:eastAsia="Arial" w:hAnsi="Arial"/>
          <w:sz w:val="18"/>
          <w:szCs w:val="18"/>
          <w:color w:val="auto"/>
        </w:rPr>
      </w:pPr>
    </w:p>
    <w:p>
      <w:pPr>
        <w:jc w:val="both"/>
        <w:ind w:left="1300" w:firstLine="653"/>
        <w:spacing w:after="0" w:line="264" w:lineRule="auto"/>
        <w:tabs>
          <w:tab w:leader="none" w:pos="2227"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Repurchase Rights</w:t>
      </w:r>
      <w:r>
        <w:rPr>
          <w:rFonts w:ascii="Arial" w:cs="Arial" w:eastAsia="Arial" w:hAnsi="Arial"/>
          <w:sz w:val="18"/>
          <w:szCs w:val="18"/>
          <w:color w:val="auto"/>
        </w:rPr>
        <w:t xml:space="preserve">. Each share of Class E Special Voting Common Stock shall be subject to the obligation to sell and the repurchase rights of the Corporation and the related terms and conditions thereof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the Officers’ Rollover Stock Plan applicable to Class E Special Voting Common Stock.</w:t>
      </w:r>
    </w:p>
    <w:p>
      <w:pPr>
        <w:spacing w:after="0" w:line="73" w:lineRule="exact"/>
        <w:rPr>
          <w:rFonts w:ascii="Arial" w:cs="Arial" w:eastAsia="Arial" w:hAnsi="Arial"/>
          <w:sz w:val="18"/>
          <w:szCs w:val="18"/>
          <w:color w:val="auto"/>
        </w:rPr>
      </w:pPr>
    </w:p>
    <w:p>
      <w:pPr>
        <w:jc w:val="both"/>
        <w:ind w:left="1300" w:firstLine="653"/>
        <w:spacing w:after="0" w:line="279" w:lineRule="auto"/>
        <w:tabs>
          <w:tab w:leader="none" w:pos="2277"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Officers’ Rollover Stock Plan</w:t>
      </w:r>
      <w:r>
        <w:rPr>
          <w:rFonts w:ascii="Arial" w:cs="Arial" w:eastAsia="Arial" w:hAnsi="Arial"/>
          <w:sz w:val="17"/>
          <w:szCs w:val="17"/>
          <w:color w:val="auto"/>
        </w:rPr>
        <w:t xml:space="preserve">. In addition to the terms, rights, restrictions and qualifications set forth herein, each share of Class E Special Voting Common Stock shall be subject to the terms, rights, restrictions and qualifications set forth in the Officers’ Rollover Stock Plan applicable to Class E Special Voting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that this subsection (e)(iii) of this Article Fifth shall not grant any rights to holders of Class E Special Voting Common Stock under the Stockholders Agreement.</w:t>
      </w:r>
    </w:p>
    <w:p>
      <w:pPr>
        <w:spacing w:after="0" w:line="63" w:lineRule="exact"/>
        <w:rPr>
          <w:rFonts w:ascii="Arial" w:cs="Arial" w:eastAsia="Arial" w:hAnsi="Arial"/>
          <w:sz w:val="17"/>
          <w:szCs w:val="17"/>
          <w:color w:val="auto"/>
        </w:rPr>
      </w:pPr>
    </w:p>
    <w:p>
      <w:pPr>
        <w:jc w:val="both"/>
        <w:ind w:left="660" w:firstLine="645"/>
        <w:spacing w:after="0" w:line="288" w:lineRule="auto"/>
        <w:tabs>
          <w:tab w:leader="none" w:pos="1533"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Conversion into Class A Common Stock upon Transfer</w:t>
      </w:r>
      <w:r>
        <w:rPr>
          <w:rFonts w:ascii="Arial" w:cs="Arial" w:eastAsia="Arial" w:hAnsi="Arial"/>
          <w:sz w:val="16"/>
          <w:szCs w:val="16"/>
          <w:color w:val="auto"/>
        </w:rPr>
        <w:t>. In the event of any sale of Common Stock that, but for this subparagraph (f), would be shares of Class B Non-Voting Common Stock or Class C Restricted Common Stock, as the case may be, pursuant to (</w:t>
      </w:r>
      <w:r>
        <w:rPr>
          <w:rFonts w:ascii="Arial" w:cs="Arial" w:eastAsia="Arial" w:hAnsi="Arial"/>
          <w:sz w:val="16"/>
          <w:szCs w:val="16"/>
          <w:u w:val="single" w:color="auto"/>
          <w:color w:val="auto"/>
        </w:rPr>
        <w:t>i</w:t>
      </w:r>
      <w:r>
        <w:rPr>
          <w:rFonts w:ascii="Arial" w:cs="Arial" w:eastAsia="Arial" w:hAnsi="Arial"/>
          <w:sz w:val="16"/>
          <w:szCs w:val="16"/>
          <w:color w:val="auto"/>
        </w:rPr>
        <w:t>) the exercise of Bring-Along Rights by the Carlyle Stockholders pursuant to Section 4 of the Amended and Restated Stockholders Agreement of Booz Allen Hamilton Holding Corporation, dated as of November 8, 2010 (as such agreement may be amended, modified or supplemented from time to time,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w:t>
      </w:r>
      <w:r>
        <w:rPr>
          <w:rFonts w:ascii="Arial" w:cs="Arial" w:eastAsia="Arial" w:hAnsi="Arial"/>
          <w:sz w:val="16"/>
          <w:szCs w:val="16"/>
          <w:u w:val="single" w:color="auto"/>
          <w:color w:val="auto"/>
        </w:rPr>
        <w:t>ii</w:t>
      </w:r>
      <w:r>
        <w:rPr>
          <w:rFonts w:ascii="Arial" w:cs="Arial" w:eastAsia="Arial" w:hAnsi="Arial"/>
          <w:sz w:val="16"/>
          <w:szCs w:val="16"/>
          <w:color w:val="auto"/>
        </w:rPr>
        <w:t>) following the day that is one hundred eighty (180) days (or such shorter or longer period as determined by the managing underwriters to be appropriate in order to avoid a material adverse impact on marketability or price) after the consummation of the first underwritten initial public offering of common stock by the Corporation,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the exercise of registration rights pursuant to Section 6 of the Stockholders Agreement, such shares of Class B Non-Voting Common Stock or Class C Restricted Common Stock, as the case may be, shall, effective upon the consummation of such sale, be converted into shares of Class A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that clause (ii) of this subsection (f) shall not apply to shares of Class C Restricted Common Stock that have not vested at the time of the consummation of such sale.</w:t>
      </w:r>
    </w:p>
    <w:p>
      <w:pPr>
        <w:spacing w:after="0" w:line="16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u w:val="single" w:color="auto"/>
          <w:color w:val="auto"/>
        </w:rPr>
        <w:t>SIXTH</w:t>
      </w:r>
      <w:r>
        <w:rPr>
          <w:rFonts w:ascii="Arial" w:cs="Arial" w:eastAsia="Arial" w:hAnsi="Arial"/>
          <w:sz w:val="17"/>
          <w:szCs w:val="17"/>
          <w:color w:val="auto"/>
        </w:rPr>
        <w:t xml:space="preserve">. </w:t>
      </w:r>
      <w:r>
        <w:rPr>
          <w:rFonts w:ascii="Arial" w:cs="Arial" w:eastAsia="Arial" w:hAnsi="Arial"/>
          <w:sz w:val="17"/>
          <w:szCs w:val="17"/>
          <w:i w:val="1"/>
          <w:iCs w:val="1"/>
          <w:color w:val="auto"/>
        </w:rPr>
        <w:t>Preferred Stock.</w:t>
      </w:r>
      <w:r>
        <w:rPr>
          <w:rFonts w:ascii="Arial" w:cs="Arial" w:eastAsia="Arial" w:hAnsi="Arial"/>
          <w:sz w:val="17"/>
          <w:szCs w:val="17"/>
          <w:color w:val="auto"/>
        </w:rPr>
        <w:t xml:space="preserve"> The Preferred Stock may be issued, from time to time, in one or more series as authorized by the Board of Directors. Prior to issuance of a series of Preferred Stock, the Board of Directors by resolution shall designate that series to distinguish it from other series and classes of stock of the Corporation, shall specify the number of shares to be included in the series, and shall fix the voting powers (full, limited or no voting powers) and the designations, preferences and relative participating, optional or other special rights of that series, and the qualifications limitations or restrictions thereof, including, without limitation any dividend rights and redemption, sinking fund and conversion rights. Subject to the express terms of any other series of Preferred Stock outstanding at the time, the Board of Directors may increase or decrease the number of shares or alter the designation or classify or reclassify any unissued shares of a particular series of Preferred Stock by fixing or altering in any one or more respects from time to time before issuing the shares any terms, rights, restrictions and qualifications of the shares.</w:t>
      </w:r>
    </w:p>
    <w:p>
      <w:pPr>
        <w:spacing w:after="0" w:line="17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of Corporation.</w:t>
      </w:r>
      <w:r>
        <w:rPr>
          <w:rFonts w:ascii="Arial" w:cs="Arial" w:eastAsia="Arial" w:hAnsi="Arial"/>
          <w:sz w:val="18"/>
          <w:szCs w:val="18"/>
          <w:color w:val="auto"/>
        </w:rPr>
        <w:t xml:space="preserve"> The following provisions are inserted for the management of the business and for the conduct of the affairs of the Corporation and for the purpose of creating, defining, limiting and regulating the powers of the Corporation and its directors and stockholders:</w:t>
      </w:r>
    </w:p>
    <w:p>
      <w:pPr>
        <w:spacing w:after="0" w:line="181" w:lineRule="exact"/>
        <w:rPr>
          <w:sz w:val="20"/>
          <w:szCs w:val="20"/>
          <w:color w:val="auto"/>
        </w:rPr>
      </w:pPr>
    </w:p>
    <w:p>
      <w:pPr>
        <w:jc w:val="both"/>
        <w:ind w:left="660" w:firstLine="645"/>
        <w:spacing w:after="0" w:line="264" w:lineRule="auto"/>
        <w:tabs>
          <w:tab w:leader="none" w:pos="15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directors of the Corporation, subject to any rights of the holders of shares of any class or series of Preferred Stock to elect directors, shall be classified with respect to the time for which they severally hold office into three classes, as nearly equal in number as possible. One class’s initial term will expire at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43" w:name="page44"/>
    <w:bookmarkEnd w:id="43"/>
    <w:p>
      <w:pPr>
        <w:jc w:val="both"/>
        <w:spacing w:after="0" w:line="269" w:lineRule="auto"/>
        <w:rPr>
          <w:sz w:val="20"/>
          <w:szCs w:val="20"/>
          <w:color w:val="auto"/>
        </w:rPr>
      </w:pPr>
      <w:r>
        <w:rPr>
          <w:rFonts w:ascii="Arial" w:cs="Arial" w:eastAsia="Arial" w:hAnsi="Arial"/>
          <w:sz w:val="17"/>
          <w:szCs w:val="17"/>
          <w:color w:val="auto"/>
        </w:rPr>
        <w:t xml:space="preserve">first annual meeting of the stockholders following the effectiveness of this Third Amended and Restated Certificate of Incorporation, another class’s initial term will expire at the second annual meeting of the stockholders following the effectiveness of this Third Amended and Restated Certificate of Incorporation and another class’s initial term will expire at the third annual meeting of stockholders following the effectiveness of this Third Amended and Restated Certificate of Incorporation, with directors of each class to hold office until their successors are duly elected and qualified,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of each director shall continue until the election and qualification of a successor and be subject to such director’s earlier death, resignation or removal. At each annual meeting of stockholders of the Corporation beginning with the first annual meeting of stockholders following the filing of this Third Amended and Restated Certificate of Incorporation, subject to any rights of the holders of shares of any class or series of Preferred Stock, the successors of the directors whose term expires at that meeting shall be elected to hold office for a term expiring at the annual meeting of stockholders held in the third year following the year of their election. In the case of any increase or decrease, from time to time, in the number of directors of the Corporation, the number of directors in each class shall be apportioned as nearly equal a possible. No decrease in the number of directors shall shorten the term of any incumbent director.</w:t>
      </w:r>
    </w:p>
    <w:p>
      <w:pPr>
        <w:spacing w:after="0" w:line="183" w:lineRule="exact"/>
        <w:rPr>
          <w:sz w:val="20"/>
          <w:szCs w:val="20"/>
          <w:color w:val="auto"/>
        </w:rPr>
      </w:pPr>
    </w:p>
    <w:p>
      <w:pPr>
        <w:ind w:right="20" w:firstLine="645"/>
        <w:spacing w:after="0" w:line="277" w:lineRule="auto"/>
        <w:tabs>
          <w:tab w:leader="none" w:pos="9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Subject to any special rights of any holders of any class or series of Preferred Stock to elect directors, the precise number of directors of the Corporation shall be fixed, and may be altered from time to time, only by resolution of the Board of Directors.</w:t>
      </w:r>
    </w:p>
    <w:p>
      <w:pPr>
        <w:spacing w:after="0" w:line="170" w:lineRule="exact"/>
        <w:rPr>
          <w:rFonts w:ascii="Arial" w:cs="Arial" w:eastAsia="Arial" w:hAnsi="Arial"/>
          <w:sz w:val="18"/>
          <w:szCs w:val="18"/>
          <w:color w:val="auto"/>
        </w:rPr>
      </w:pPr>
    </w:p>
    <w:p>
      <w:pPr>
        <w:ind w:right="20" w:firstLine="645"/>
        <w:spacing w:after="0" w:line="308" w:lineRule="auto"/>
        <w:tabs>
          <w:tab w:leader="none" w:pos="896"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Subject to this Article Seventh, the election of directors may be conducted in any manner approved by the person presiding at a meeting of the stockholders or the directors, as the case may be, at the time when the election is held and need not be by written ballot.</w:t>
      </w:r>
    </w:p>
    <w:p>
      <w:pPr>
        <w:spacing w:after="0" w:line="146" w:lineRule="exact"/>
        <w:rPr>
          <w:rFonts w:ascii="Arial" w:cs="Arial" w:eastAsia="Arial" w:hAnsi="Arial"/>
          <w:sz w:val="17"/>
          <w:szCs w:val="17"/>
          <w:color w:val="auto"/>
        </w:rPr>
      </w:pPr>
    </w:p>
    <w:p>
      <w:pPr>
        <w:jc w:val="both"/>
        <w:ind w:firstLine="645"/>
        <w:spacing w:after="0" w:line="291" w:lineRule="auto"/>
        <w:tabs>
          <w:tab w:leader="none" w:pos="9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Subject to any rights of the holders of shares of any class or series of Preferred Stock, if any, to elect additional directors under specified circumstances, (i) until the first date (such date, the “</w:t>
      </w:r>
      <w:r>
        <w:rPr>
          <w:rFonts w:ascii="Arial" w:cs="Arial" w:eastAsia="Arial" w:hAnsi="Arial"/>
          <w:sz w:val="16"/>
          <w:szCs w:val="16"/>
          <w:u w:val="single" w:color="auto"/>
          <w:color w:val="auto"/>
        </w:rPr>
        <w:t>Effective Date</w:t>
      </w:r>
      <w:r>
        <w:rPr>
          <w:rFonts w:ascii="Arial" w:cs="Arial" w:eastAsia="Arial" w:hAnsi="Arial"/>
          <w:sz w:val="16"/>
          <w:szCs w:val="16"/>
          <w:color w:val="auto"/>
        </w:rPr>
        <w:t>”) that a “group” (as defined under Section 13(d)(3)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no longer beneficially owns more than 50.0% of the outstanding shares of Voting Common Stock, a director may be removed at any time, either for or without cause, upon affirmative vote of holders of at least a majority of the votes to which all the stockholders of the Corporation would be entitled to cast in any election of directors or class of directors and (ii) from and after the Effective Date, a director may be removed from office only for cause and only by the affirmative vote of holders of at least a majority of the votes to which all the stockholders of the Corporation would be entitled to cast in any election of directors or class of directors.</w:t>
      </w:r>
    </w:p>
    <w:p>
      <w:pPr>
        <w:spacing w:after="0" w:line="167" w:lineRule="exact"/>
        <w:rPr>
          <w:rFonts w:ascii="Arial" w:cs="Arial" w:eastAsia="Arial" w:hAnsi="Arial"/>
          <w:sz w:val="16"/>
          <w:szCs w:val="16"/>
          <w:color w:val="auto"/>
        </w:rPr>
      </w:pPr>
    </w:p>
    <w:p>
      <w:pPr>
        <w:jc w:val="both"/>
        <w:ind w:firstLine="645"/>
        <w:spacing w:after="0" w:line="279" w:lineRule="auto"/>
        <w:tabs>
          <w:tab w:leader="none" w:pos="895"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Subject to any rights of the holders of shares of any class or series of Preferred Stock, if any, to elect additional directors under specified circumstances, and except as otherwise provided by law, any vacancy in the Board of Directors that results from an increase in the number of directors, from the death, disability, resignation, disqualification, removal of any director or from any other cause shall be filled solely by a majority of the total number of directors then in office, even if less than a quorum, or by a sole remaining director.</w:t>
      </w:r>
    </w:p>
    <w:p>
      <w:pPr>
        <w:spacing w:after="0" w:line="171" w:lineRule="exact"/>
        <w:rPr>
          <w:rFonts w:ascii="Arial" w:cs="Arial" w:eastAsia="Arial" w:hAnsi="Arial"/>
          <w:sz w:val="17"/>
          <w:szCs w:val="17"/>
          <w:color w:val="auto"/>
        </w:rPr>
      </w:pPr>
    </w:p>
    <w:p>
      <w:pPr>
        <w:ind w:firstLine="645"/>
        <w:spacing w:after="0" w:line="308" w:lineRule="auto"/>
        <w:tabs>
          <w:tab w:leader="none" w:pos="894" w:val="left"/>
        </w:tabs>
        <w:numPr>
          <w:ilvl w:val="0"/>
          <w:numId w:val="34"/>
        </w:numPr>
        <w:rPr>
          <w:rFonts w:ascii="Arial" w:cs="Arial" w:eastAsia="Arial" w:hAnsi="Arial"/>
          <w:sz w:val="17"/>
          <w:szCs w:val="17"/>
          <w:color w:val="auto"/>
        </w:rPr>
      </w:pPr>
      <w:r>
        <w:rPr>
          <w:rFonts w:ascii="Arial" w:cs="Arial" w:eastAsia="Arial" w:hAnsi="Arial"/>
          <w:sz w:val="17"/>
          <w:szCs w:val="17"/>
          <w:color w:val="auto"/>
        </w:rPr>
        <w:t>All corporate powers and authority of the Corporation (except as at the time otherwise provided bylaw, by this Third Amended and Restated Certificate of Incorporation or by the Bylaws of the Corporation) shall be vested in and exercised by the Board of Directors.</w:t>
      </w:r>
    </w:p>
    <w:p>
      <w:pPr>
        <w:spacing w:after="0" w:line="146" w:lineRule="exact"/>
        <w:rPr>
          <w:rFonts w:ascii="Arial" w:cs="Arial" w:eastAsia="Arial" w:hAnsi="Arial"/>
          <w:sz w:val="17"/>
          <w:szCs w:val="17"/>
          <w:color w:val="auto"/>
        </w:rPr>
      </w:pPr>
    </w:p>
    <w:p>
      <w:pPr>
        <w:ind w:firstLine="645"/>
        <w:spacing w:after="0" w:line="308" w:lineRule="auto"/>
        <w:tabs>
          <w:tab w:leader="none" w:pos="907"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Board of Directors shall have the power without the consent or vote of the stockholders to adopt, amend, alter or repeal the Bylaws of the Corporation, except to the extent that this Third Amended and Restated Certificate of Incorporation otherwise provide.</w:t>
      </w:r>
    </w:p>
    <w:p>
      <w:pPr>
        <w:spacing w:after="0" w:line="146" w:lineRule="exact"/>
        <w:rPr>
          <w:rFonts w:ascii="Arial" w:cs="Arial" w:eastAsia="Arial" w:hAnsi="Arial"/>
          <w:sz w:val="17"/>
          <w:szCs w:val="17"/>
          <w:color w:val="auto"/>
        </w:rPr>
      </w:pPr>
    </w:p>
    <w:p>
      <w:pPr>
        <w:jc w:val="both"/>
        <w:ind w:firstLine="645"/>
        <w:spacing w:after="0" w:line="259" w:lineRule="auto"/>
        <w:tabs>
          <w:tab w:leader="none" w:pos="926"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No director of the Corporation shall be liable to the Corporation or its stockholders for monetary damages for breach of his or her fiduciary duty as a director,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contained in this Article Seventh shall eliminate or limit the liability of a director (</w:t>
      </w:r>
      <w:r>
        <w:rPr>
          <w:rFonts w:ascii="Arial" w:cs="Arial" w:eastAsia="Arial" w:hAnsi="Arial"/>
          <w:sz w:val="18"/>
          <w:szCs w:val="18"/>
          <w:u w:val="single" w:color="auto"/>
          <w:color w:val="auto"/>
        </w:rPr>
        <w:t>i</w:t>
      </w:r>
      <w:r>
        <w:rPr>
          <w:rFonts w:ascii="Arial" w:cs="Arial" w:eastAsia="Arial" w:hAnsi="Arial"/>
          <w:sz w:val="18"/>
          <w:szCs w:val="18"/>
          <w:color w:val="auto"/>
        </w:rPr>
        <w:t>) for any breach of the director’s duty of loyalty to the Corporation or its stockholders, (</w:t>
      </w:r>
      <w:r>
        <w:rPr>
          <w:rFonts w:ascii="Arial" w:cs="Arial" w:eastAsia="Arial" w:hAnsi="Arial"/>
          <w:sz w:val="18"/>
          <w:szCs w:val="18"/>
          <w:u w:val="single" w:color="auto"/>
          <w:color w:val="auto"/>
        </w:rPr>
        <w:t>ii</w:t>
      </w:r>
      <w:r>
        <w:rPr>
          <w:rFonts w:ascii="Arial" w:cs="Arial" w:eastAsia="Arial" w:hAnsi="Arial"/>
          <w:sz w:val="18"/>
          <w:szCs w:val="18"/>
          <w:color w:val="auto"/>
        </w:rPr>
        <w:t>) for acts or omissions not in good faith or which involve intentional misconduct or a knowing violation of the law, (</w:t>
      </w:r>
      <w:r>
        <w:rPr>
          <w:rFonts w:ascii="Arial" w:cs="Arial" w:eastAsia="Arial" w:hAnsi="Arial"/>
          <w:sz w:val="18"/>
          <w:szCs w:val="18"/>
          <w:u w:val="single" w:color="auto"/>
          <w:color w:val="auto"/>
        </w:rPr>
        <w:t>iii</w:t>
      </w:r>
      <w:r>
        <w:rPr>
          <w:rFonts w:ascii="Arial" w:cs="Arial" w:eastAsia="Arial" w:hAnsi="Arial"/>
          <w:sz w:val="18"/>
          <w:szCs w:val="18"/>
          <w:color w:val="auto"/>
        </w:rPr>
        <w:t>) under Section 174 of the General Corporation Law of the</w:t>
      </w:r>
    </w:p>
    <w:p>
      <w:pPr>
        <w:spacing w:after="0" w:line="21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0"/>
          </w:cols>
          <w:pgMar w:left="900" w:top="368" w:right="239" w:bottom="1440" w:gutter="0" w:footer="0" w:header="0"/>
        </w:sectPr>
      </w:pPr>
    </w:p>
    <w:bookmarkStart w:id="44" w:name="page45"/>
    <w:bookmarkEnd w:id="44"/>
    <w:p>
      <w:pPr>
        <w:jc w:val="both"/>
        <w:ind w:left="660"/>
        <w:spacing w:after="0" w:line="259" w:lineRule="auto"/>
        <w:rPr>
          <w:sz w:val="20"/>
          <w:szCs w:val="20"/>
          <w:color w:val="auto"/>
        </w:rPr>
      </w:pPr>
      <w:r>
        <w:rPr>
          <w:rFonts w:ascii="Arial" w:cs="Arial" w:eastAsia="Arial" w:hAnsi="Arial"/>
          <w:sz w:val="18"/>
          <w:szCs w:val="18"/>
          <w:color w:val="auto"/>
        </w:rPr>
        <w:t>State of Delaware or (</w:t>
      </w:r>
      <w:r>
        <w:rPr>
          <w:rFonts w:ascii="Arial" w:cs="Arial" w:eastAsia="Arial" w:hAnsi="Arial"/>
          <w:sz w:val="18"/>
          <w:szCs w:val="18"/>
          <w:u w:val="single" w:color="auto"/>
          <w:color w:val="auto"/>
        </w:rPr>
        <w:t>iv</w:t>
      </w:r>
      <w:r>
        <w:rPr>
          <w:rFonts w:ascii="Arial" w:cs="Arial" w:eastAsia="Arial" w:hAnsi="Arial"/>
          <w:sz w:val="18"/>
          <w:szCs w:val="18"/>
          <w:color w:val="auto"/>
        </w:rPr>
        <w:t>) for any transaction from which the director derived an improper personal benefit. If the General Corporation Law of the State of Delaware is amended after the filing of this Third Amended and Restated Certificate of Incorporation to authorize corporate action further eliminating or limiting the personal liability of directors, then the liability of a director of the Corporation shall be eliminated or limited to the fullest extent permitted by the General Corporation Law of the State of Delaware, as so amended.</w:t>
      </w:r>
    </w:p>
    <w:p>
      <w:pPr>
        <w:spacing w:after="0" w:line="187" w:lineRule="exact"/>
        <w:rPr>
          <w:sz w:val="20"/>
          <w:szCs w:val="20"/>
          <w:color w:val="auto"/>
        </w:rPr>
      </w:pPr>
    </w:p>
    <w:p>
      <w:pPr>
        <w:jc w:val="both"/>
        <w:ind w:left="660" w:firstLine="645"/>
        <w:spacing w:after="0" w:line="257" w:lineRule="auto"/>
        <w:tabs>
          <w:tab w:leader="none" w:pos="15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Corporation shall, through its Bylaws or otherwise, indemnify to the fullest extent permitted under the General Corporation Law of the State of Delaware, as it now exists or as amended from time to time, any person who is or was a director or officer of the Corporation or its subsidiaries. The Corporation may, by action of its Board of Directors, provide rights to indemnification and to advancement of expenses to such other employees or agents of the Corporation or its subsidiaries to such extent and to such effect as the Board of Directors shall determine to be appropriate and authorized by Delaware Law.</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 Action by Written Consent</w:t>
      </w:r>
      <w:r>
        <w:rPr>
          <w:rFonts w:ascii="Arial" w:cs="Arial" w:eastAsia="Arial" w:hAnsi="Arial"/>
          <w:sz w:val="18"/>
          <w:szCs w:val="18"/>
          <w:color w:val="auto"/>
        </w:rPr>
        <w:t>. From and after the Effective Date, any action required or permitted to be taken at any annual or special meeting of stockholders of the Corporation may be taken only upon the vote of the stockholders at an annual or special meeting duly called and may not be taken by written consent of the stockholders. The Bylaws may establish procedures regulating the submission by stockholders of nominations and proposals for consideration at meetings of stockholders of the Corporation.</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u w:val="single" w:color="auto"/>
          <w:color w:val="auto"/>
        </w:rPr>
        <w:t>NINTH</w:t>
      </w:r>
      <w:r>
        <w:rPr>
          <w:rFonts w:ascii="Arial" w:cs="Arial" w:eastAsia="Arial" w:hAnsi="Arial"/>
          <w:sz w:val="18"/>
          <w:szCs w:val="18"/>
          <w:i w:val="1"/>
          <w:iCs w:val="1"/>
          <w:color w:val="auto"/>
        </w:rPr>
        <w:t>. Special Meetings</w:t>
      </w:r>
      <w:r>
        <w:rPr>
          <w:rFonts w:ascii="Arial" w:cs="Arial" w:eastAsia="Arial" w:hAnsi="Arial"/>
          <w:sz w:val="18"/>
          <w:szCs w:val="18"/>
          <w:color w:val="auto"/>
        </w:rPr>
        <w:t>. A special meeting of the stockholders of the Corporation for any purpose or purposes may be called only by or at the direction of the Board of Directors pursuant to a resolution adopted by a majority of the total number of directors then in office, and any right of the stockholders of the Corporation to call a special meeting of the stockholders is specifically denied.</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u w:val="single" w:color="auto"/>
          <w:color w:val="auto"/>
        </w:rPr>
        <w:t>TENTH</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Opportunities.</w:t>
      </w:r>
      <w:r>
        <w:rPr>
          <w:rFonts w:ascii="Arial" w:cs="Arial" w:eastAsia="Arial" w:hAnsi="Arial"/>
          <w:sz w:val="16"/>
          <w:szCs w:val="16"/>
          <w:color w:val="auto"/>
        </w:rPr>
        <w:t xml:space="preserve"> To the fullest extent permitted by Section 122(17) of the General Corporation Law of the State of Delaware and except as may be otherwise expressly agreed in writing by the Corporation and Explorer Coinvest LLC, a Delaware limited liability company (“</w:t>
      </w:r>
      <w:r>
        <w:rPr>
          <w:rFonts w:ascii="Arial" w:cs="Arial" w:eastAsia="Arial" w:hAnsi="Arial"/>
          <w:sz w:val="16"/>
          <w:szCs w:val="16"/>
          <w:u w:val="single" w:color="auto"/>
          <w:color w:val="auto"/>
        </w:rPr>
        <w:t>Explorer Coinvest</w:t>
      </w:r>
      <w:r>
        <w:rPr>
          <w:rFonts w:ascii="Arial" w:cs="Arial" w:eastAsia="Arial" w:hAnsi="Arial"/>
          <w:sz w:val="16"/>
          <w:szCs w:val="16"/>
          <w:color w:val="auto"/>
        </w:rPr>
        <w:t>”), the Corporation, on behalf of itself and its subsidiaries, renounces any interest or expectancy of the Corporation and its subsidiaries in, or in being offered an opportunity to participate in, business opportunities, that are from time to time presented to Explorer Coinvest or any of its respective officers, directors, agents, stockholders, members, partners, affiliates and subsidiaries (other than the Corporation and its subsidiaries), even if the opportunity is one that the Corporation or its subsidiaries might reasonably be deemed to have pursued or had the ability or desire to pursue if granted the opportunity to do so and no such person shall be liable to the Corporation or any of its subsidiaries for breach of any fiduciary or other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the Corporation or its subsidiaries unless, in the case of any such person who is a director or officer of the Corporation, such business opportunity is expressly offered to such director or officer in writing solely in his or her capacity as a director or officer of the Corporation. Any person purchasing or otherwise acquiring any interest in any shares of stock of the Corporation shall be deemed to have notice of and consented to the provisions of this Article Tenth. Neither the alteration, amendment or repeal of this Article Tenth nor the adoption of any provision of this Third Amended and Restated Certificate of Incorporation inconsistent with this Article Tenth shall eliminate or reduce the effect of this Article Tenth in respect of any business opportunity first identified or any other matter occurring, or any cause of action, suit or claim that, but for this Article Tenth, would accrue or arise, prior to such alteration, amendment, repeal or adoption.</w:t>
      </w:r>
    </w:p>
    <w:p>
      <w:pPr>
        <w:spacing w:after="0" w:line="16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u w:val="single" w:color="auto"/>
          <w:color w:val="auto"/>
        </w:rPr>
        <w:t>ELEVENTH</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203 of the General Corporation Law</w:t>
      </w:r>
      <w:r>
        <w:rPr>
          <w:rFonts w:ascii="Arial" w:cs="Arial" w:eastAsia="Arial" w:hAnsi="Arial"/>
          <w:sz w:val="18"/>
          <w:szCs w:val="18"/>
          <w:color w:val="auto"/>
        </w:rPr>
        <w:t xml:space="preserve"> . The Corporation elects not to be governed by Section 203 of the General Corporation Law of the State of Delaware, “Business Combinations With Interested Stockholders” (“</w:t>
      </w:r>
      <w:r>
        <w:rPr>
          <w:rFonts w:ascii="Arial" w:cs="Arial" w:eastAsia="Arial" w:hAnsi="Arial"/>
          <w:sz w:val="18"/>
          <w:szCs w:val="18"/>
          <w:u w:val="single" w:color="auto"/>
          <w:color w:val="auto"/>
        </w:rPr>
        <w:t>Section 203</w:t>
      </w:r>
      <w:r>
        <w:rPr>
          <w:rFonts w:ascii="Arial" w:cs="Arial" w:eastAsia="Arial" w:hAnsi="Arial"/>
          <w:sz w:val="18"/>
          <w:szCs w:val="18"/>
          <w:color w:val="auto"/>
        </w:rPr>
        <w:t>”), as permitted under and pursuant to subsection (b)(3) of Section 203, until the first date that Explorer Coinvest and its affiliates no longer beneficially own at least 20% of the outstanding shares of Voting Common Stock. From and after such date, the Corporation shall be governed by Section 203 so long as Section 203 by its terms would apply to the Corporation.</w:t>
      </w:r>
    </w:p>
    <w:p>
      <w:pPr>
        <w:spacing w:after="0" w:line="18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u w:val="single" w:color="auto"/>
          <w:color w:val="auto"/>
        </w:rPr>
        <w:t>TWELFTH</w:t>
      </w:r>
      <w:r>
        <w:rPr>
          <w:rFonts w:ascii="Arial" w:cs="Arial" w:eastAsia="Arial" w:hAnsi="Arial"/>
          <w:sz w:val="18"/>
          <w:szCs w:val="18"/>
          <w:color w:val="auto"/>
        </w:rPr>
        <w:t xml:space="preserve">. </w:t>
      </w:r>
      <w:r>
        <w:rPr>
          <w:rFonts w:ascii="Arial" w:cs="Arial" w:eastAsia="Arial" w:hAnsi="Arial"/>
          <w:sz w:val="18"/>
          <w:szCs w:val="18"/>
          <w:i w:val="1"/>
          <w:iCs w:val="1"/>
          <w:color w:val="auto"/>
        </w:rPr>
        <w:t>Forum.</w:t>
      </w:r>
      <w:r>
        <w:rPr>
          <w:rFonts w:ascii="Arial" w:cs="Arial" w:eastAsia="Arial" w:hAnsi="Arial"/>
          <w:sz w:val="18"/>
          <w:szCs w:val="18"/>
          <w:color w:val="auto"/>
        </w:rPr>
        <w:t xml:space="preserve"> The Court of Chancery of the State of Delaware shall be the sole and exclusive forum for (</w:t>
      </w:r>
      <w:r>
        <w:rPr>
          <w:rFonts w:ascii="Arial" w:cs="Arial" w:eastAsia="Arial" w:hAnsi="Arial"/>
          <w:sz w:val="18"/>
          <w:szCs w:val="18"/>
          <w:u w:val="single" w:color="auto"/>
          <w:color w:val="auto"/>
        </w:rPr>
        <w:t>i</w:t>
      </w:r>
      <w:r>
        <w:rPr>
          <w:rFonts w:ascii="Arial" w:cs="Arial" w:eastAsia="Arial" w:hAnsi="Arial"/>
          <w:sz w:val="18"/>
          <w:szCs w:val="18"/>
          <w:color w:val="auto"/>
        </w:rPr>
        <w:t>) any derivative action or proceeding brought on behalf of the Corporation, (</w:t>
      </w:r>
      <w:r>
        <w:rPr>
          <w:rFonts w:ascii="Arial" w:cs="Arial" w:eastAsia="Arial" w:hAnsi="Arial"/>
          <w:sz w:val="18"/>
          <w:szCs w:val="18"/>
          <w:u w:val="single" w:color="auto"/>
          <w:color w:val="auto"/>
        </w:rPr>
        <w:t>ii</w:t>
      </w:r>
      <w:r>
        <w:rPr>
          <w:rFonts w:ascii="Arial" w:cs="Arial" w:eastAsia="Arial" w:hAnsi="Arial"/>
          <w:sz w:val="18"/>
          <w:szCs w:val="18"/>
          <w:color w:val="auto"/>
        </w:rPr>
        <w:t>) any action asserting a claim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45" w:name="page46"/>
    <w:bookmarkEnd w:id="45"/>
    <w:p>
      <w:pPr>
        <w:jc w:val="both"/>
        <w:spacing w:after="0" w:line="259" w:lineRule="auto"/>
        <w:rPr>
          <w:sz w:val="20"/>
          <w:szCs w:val="20"/>
          <w:color w:val="auto"/>
        </w:rPr>
      </w:pPr>
      <w:r>
        <w:rPr>
          <w:rFonts w:ascii="Arial" w:cs="Arial" w:eastAsia="Arial" w:hAnsi="Arial"/>
          <w:sz w:val="18"/>
          <w:szCs w:val="18"/>
          <w:color w:val="auto"/>
        </w:rPr>
        <w:t>of breach of a fiduciary duty owed by any director or officer of the Corporation to the Corporation or the Corporation’s stockholders, (</w:t>
      </w:r>
      <w:r>
        <w:rPr>
          <w:rFonts w:ascii="Arial" w:cs="Arial" w:eastAsia="Arial" w:hAnsi="Arial"/>
          <w:sz w:val="18"/>
          <w:szCs w:val="18"/>
          <w:u w:val="single" w:color="auto"/>
          <w:color w:val="auto"/>
        </w:rPr>
        <w:t>iii</w:t>
      </w:r>
      <w:r>
        <w:rPr>
          <w:rFonts w:ascii="Arial" w:cs="Arial" w:eastAsia="Arial" w:hAnsi="Arial"/>
          <w:sz w:val="18"/>
          <w:szCs w:val="18"/>
          <w:color w:val="auto"/>
        </w:rPr>
        <w:t>) any action asserting a claim against the Corporation arising pursuant to any provision of the General Corporation Law of the State of Delaware or the Corporation’s Third Amended and Restated Certificate of Incorporation or Bylaws, or (</w:t>
      </w:r>
      <w:r>
        <w:rPr>
          <w:rFonts w:ascii="Arial" w:cs="Arial" w:eastAsia="Arial" w:hAnsi="Arial"/>
          <w:sz w:val="18"/>
          <w:szCs w:val="18"/>
          <w:u w:val="single" w:color="auto"/>
          <w:color w:val="auto"/>
        </w:rPr>
        <w:t>iv</w:t>
      </w:r>
      <w:r>
        <w:rPr>
          <w:rFonts w:ascii="Arial" w:cs="Arial" w:eastAsia="Arial" w:hAnsi="Arial"/>
          <w:sz w:val="18"/>
          <w:szCs w:val="18"/>
          <w:color w:val="auto"/>
        </w:rPr>
        <w:t>) any action asserting a claim against the Corporation governed by the internal affairs doctrine.</w:t>
      </w:r>
    </w:p>
    <w:p>
      <w:pPr>
        <w:spacing w:after="0" w:line="18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u w:val="single" w:color="auto"/>
          <w:color w:val="auto"/>
        </w:rPr>
        <w:t>THIRTEENTH</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w:t>
      </w:r>
      <w:r>
        <w:rPr>
          <w:rFonts w:ascii="Arial" w:cs="Arial" w:eastAsia="Arial" w:hAnsi="Arial"/>
          <w:sz w:val="18"/>
          <w:szCs w:val="18"/>
          <w:color w:val="auto"/>
        </w:rPr>
        <w:t xml:space="preserve">. The Corporation reserves the right to amend, alter or repeal any provision contained in this Third Amended and Restated Certificate of Incorporation in the manner now or hereafter prescribed by the laws of the State of Delaware, and all rights herein conferred upon stockholders or directors are granted subject to this reservation,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however, that any amendment, alteration or repeal of Article Seventh, Section (h) shall not adversely affect any right or protection existing under this Third Amended and Restated Certificate of Incorporation immediately prior to such amendment, alteration or repeal, including any right or protection of a director or officer thereunder in respect of any act or omission occurring prior to the time of such amendment, modification or repeal.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b w:val="1"/>
          <w:bCs w:val="1"/>
          <w:color w:val="auto"/>
        </w:rPr>
        <w:t>SECOND AMENDED AND RESTATED EQUITY INCENTIVE PLAN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BOOZ ALLEN HAMILTON HOLDING CORPORATION</w:t>
      </w: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Booz Allen Hamilton Holding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hereby adopts this Second Amended and Restated Equity Incentive Plan of Booz Allen Hamilton Holding Corporation, which amends and restates the Amended and Restated Equity Incentive Plan of Booz Allen Hamilton Holding Corporation (as amended and restated, the “</w:t>
      </w:r>
      <w:r>
        <w:rPr>
          <w:rFonts w:ascii="Arial" w:cs="Arial" w:eastAsia="Arial" w:hAnsi="Arial"/>
          <w:sz w:val="19"/>
          <w:szCs w:val="19"/>
          <w:u w:val="single" w:color="auto"/>
          <w:color w:val="auto"/>
        </w:rPr>
        <w:t>Plan</w:t>
      </w:r>
      <w:r>
        <w:rPr>
          <w:rFonts w:ascii="Arial" w:cs="Arial" w:eastAsia="Arial" w:hAnsi="Arial"/>
          <w:sz w:val="19"/>
          <w:szCs w:val="19"/>
          <w:color w:val="auto"/>
        </w:rPr>
        <w:t>”). The purposes of this Plan are as follows:</w:t>
      </w:r>
    </w:p>
    <w:p>
      <w:pPr>
        <w:spacing w:after="0" w:line="170" w:lineRule="exact"/>
        <w:rPr>
          <w:sz w:val="20"/>
          <w:szCs w:val="20"/>
          <w:color w:val="auto"/>
        </w:rPr>
      </w:pPr>
    </w:p>
    <w:p>
      <w:pPr>
        <w:jc w:val="both"/>
        <w:ind w:firstLine="656"/>
        <w:spacing w:after="0" w:line="244" w:lineRule="auto"/>
        <w:tabs>
          <w:tab w:leader="none" w:pos="1115" w:val="left"/>
        </w:tabs>
        <w:numPr>
          <w:ilvl w:val="0"/>
          <w:numId w:val="36"/>
        </w:numPr>
        <w:rPr>
          <w:rFonts w:ascii="Arial" w:cs="Arial" w:eastAsia="Arial" w:hAnsi="Arial"/>
          <w:sz w:val="20"/>
          <w:szCs w:val="20"/>
          <w:color w:val="auto"/>
        </w:rPr>
      </w:pPr>
      <w:r>
        <w:rPr>
          <w:rFonts w:ascii="Arial" w:cs="Arial" w:eastAsia="Arial" w:hAnsi="Arial"/>
          <w:sz w:val="20"/>
          <w:szCs w:val="20"/>
          <w:color w:val="auto"/>
        </w:rPr>
        <w:t>To further the growth, development and financial success of the Company and its Subsidiaries (as defined herein), by providing additional incentives to employees, consultants and directors of the Company and its Subsidiaries, who have been or will be given responsibility for the management or administration of the Company’s (or one of its Subsidiaries’) business affairs, by assisting them to become owners of Company Common Stock, thereby benefiting directly from the growth, development and financial success of the Company and its Subsidiaries.</w:t>
      </w:r>
    </w:p>
    <w:p>
      <w:pPr>
        <w:spacing w:after="0" w:line="194" w:lineRule="exact"/>
        <w:rPr>
          <w:rFonts w:ascii="Arial" w:cs="Arial" w:eastAsia="Arial" w:hAnsi="Arial"/>
          <w:sz w:val="20"/>
          <w:szCs w:val="20"/>
          <w:color w:val="auto"/>
        </w:rPr>
      </w:pPr>
    </w:p>
    <w:p>
      <w:pPr>
        <w:jc w:val="both"/>
        <w:ind w:firstLine="656"/>
        <w:spacing w:after="0" w:line="244" w:lineRule="auto"/>
        <w:tabs>
          <w:tab w:leader="none" w:pos="1228" w:val="left"/>
        </w:tabs>
        <w:numPr>
          <w:ilvl w:val="0"/>
          <w:numId w:val="36"/>
        </w:numPr>
        <w:rPr>
          <w:rFonts w:ascii="Arial" w:cs="Arial" w:eastAsia="Arial" w:hAnsi="Arial"/>
          <w:sz w:val="20"/>
          <w:szCs w:val="20"/>
          <w:color w:val="auto"/>
        </w:rPr>
      </w:pPr>
      <w:r>
        <w:rPr>
          <w:rFonts w:ascii="Arial" w:cs="Arial" w:eastAsia="Arial" w:hAnsi="Arial"/>
          <w:sz w:val="20"/>
          <w:szCs w:val="20"/>
          <w:color w:val="auto"/>
        </w:rPr>
        <w:t>To enable the Company (and its Subsidiaries) to obtain and retain the services of the type of professional, technical and managerial employees, consultants and directors considered essential to the long-term success of the Company (and its Subsidiaries) by providing and offering them an opportunity to become owners of Company Common Stock pursuant to the exercise of Options, the grant of Restricted Stock or Restricted Stock Units, the grant of Performance Awards, the grant of other Stock-Based Awards or an offer to purchase shares of Company Common Stock.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Whenever the following terms are used in this Plan, they shall have the meaning specified below unless the context clearly indicates to the contrary. The singular pronoun shall include the plural where the context so indicates.</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Board or any committee of the Board designated by the Board to administer the Plan; provided, that, with respect to (i) Awards intended to qualify as performance-based compensation under Section 162(m) of the Code, the Administrator shall mean the compensation committee of the Board or such other committee or subcommittee of the Board or the compensation committee as the Board or the compensation committee shall designate, consisting of two or more members, each of whom is an “outside director” within the meaning of Section 162(m) of the Code and (ii) Awards intended to qualify for the exemption contained in Rule 16b-3 promulgated under the Exchange Act, the Administrator shall mean the compensation committee of the Board or such other committee or subcommittee of the Board or the compensation committee as the Board or the compensation committee shall designate, consisting of two or more members, each of whom is a “non-employee directors” within the meaning of such rule, or, in the alternative, the entire Board.</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1.2</w:t>
      </w:r>
      <w:r>
        <w:rPr>
          <w:rFonts w:ascii="Arial" w:cs="Arial" w:eastAsia="Arial" w:hAnsi="Arial"/>
          <w:sz w:val="20"/>
          <w:szCs w:val="20"/>
          <w:color w:val="auto"/>
        </w:rPr>
        <w:t xml:space="preserve"> “</w:t>
      </w:r>
      <w:r>
        <w:rPr>
          <w:rFonts w:ascii="Arial" w:cs="Arial" w:eastAsia="Arial" w:hAnsi="Arial"/>
          <w:sz w:val="20"/>
          <w:szCs w:val="20"/>
          <w:u w:val="single" w:color="auto"/>
          <w:color w:val="auto"/>
        </w:rPr>
        <w:t>Affiliate</w:t>
      </w:r>
      <w:r>
        <w:rPr>
          <w:rFonts w:ascii="Arial" w:cs="Arial" w:eastAsia="Arial" w:hAnsi="Arial"/>
          <w:sz w:val="20"/>
          <w:szCs w:val="20"/>
          <w:color w:val="auto"/>
        </w:rPr>
        <w:t>” shall mean, with respect to any Person, any other Person directly or indirectly controlling, controlled by or under common control with, such Person where “control” shall have the meaning given such term under Rule 405 of the Securities Act. For the purposes of this Plan, Affiliates of the Company shall include all Principal Stockholders.</w:t>
      </w:r>
    </w:p>
    <w:p>
      <w:pPr>
        <w:spacing w:after="0" w:line="18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u w:val="single" w:color="auto"/>
          <w:color w:val="auto"/>
        </w:rPr>
        <w:t>Section 1.3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Alternative Award</w:t>
      </w:r>
      <w:r>
        <w:rPr>
          <w:rFonts w:ascii="Arial" w:cs="Arial" w:eastAsia="Arial" w:hAnsi="Arial"/>
          <w:sz w:val="18"/>
          <w:szCs w:val="18"/>
          <w:color w:val="auto"/>
        </w:rPr>
        <w:t>” shall have the meaning set forth in Section 13.2.</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1.4</w:t>
      </w:r>
      <w:r>
        <w:rPr>
          <w:rFonts w:ascii="Arial" w:cs="Arial" w:eastAsia="Arial" w:hAnsi="Arial"/>
          <w:sz w:val="20"/>
          <w:szCs w:val="20"/>
          <w:color w:val="auto"/>
        </w:rPr>
        <w:t xml:space="preserve"> “</w:t>
      </w:r>
      <w:r>
        <w:rPr>
          <w:rFonts w:ascii="Arial" w:cs="Arial" w:eastAsia="Arial" w:hAnsi="Arial"/>
          <w:sz w:val="20"/>
          <w:szCs w:val="20"/>
          <w:u w:val="single" w:color="auto"/>
          <w:color w:val="auto"/>
        </w:rPr>
        <w:t>Applicable Laws</w:t>
      </w:r>
      <w:r>
        <w:rPr>
          <w:rFonts w:ascii="Arial" w:cs="Arial" w:eastAsia="Arial" w:hAnsi="Arial"/>
          <w:sz w:val="20"/>
          <w:szCs w:val="20"/>
          <w:color w:val="auto"/>
        </w:rPr>
        <w:t>” shall mean the requirements relating to the administration of stock option, restricted stock, restricted stock unit and other equity-based compensation plans under U.S. state corporate laws, U.S. federal and state securities laws, the Code, any stock exchange or quotation system on which the Company Common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62" w:right="239" w:bottom="1440" w:gutter="0" w:footer="0" w:header="0"/>
        </w:sectPr>
      </w:pPr>
    </w:p>
    <w:bookmarkStart w:id="47" w:name="page48"/>
    <w:bookmarkEnd w:id="47"/>
    <w:p>
      <w:pPr>
        <w:spacing w:after="0"/>
        <w:rPr>
          <w:sz w:val="20"/>
          <w:szCs w:val="20"/>
          <w:color w:val="auto"/>
        </w:rPr>
      </w:pPr>
      <w:r>
        <w:rPr>
          <w:rFonts w:ascii="Arial" w:cs="Arial" w:eastAsia="Arial" w:hAnsi="Arial"/>
          <w:sz w:val="20"/>
          <w:szCs w:val="20"/>
          <w:color w:val="auto"/>
        </w:rPr>
        <w:t>Stock is listed or quoted and the applicable laws of any other country or jurisdiction where Awards are granted under the Plan.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1.5</w:t>
      </w:r>
      <w:r>
        <w:rPr>
          <w:rFonts w:ascii="Arial" w:cs="Arial" w:eastAsia="Arial" w:hAnsi="Arial"/>
          <w:sz w:val="20"/>
          <w:szCs w:val="20"/>
          <w:color w:val="auto"/>
        </w:rPr>
        <w:t xml:space="preserve"> “</w:t>
      </w:r>
      <w:r>
        <w:rPr>
          <w:rFonts w:ascii="Arial" w:cs="Arial" w:eastAsia="Arial" w:hAnsi="Arial"/>
          <w:sz w:val="20"/>
          <w:szCs w:val="20"/>
          <w:u w:val="single" w:color="auto"/>
          <w:color w:val="auto"/>
        </w:rPr>
        <w:t>Award</w:t>
      </w:r>
      <w:r>
        <w:rPr>
          <w:rFonts w:ascii="Arial" w:cs="Arial" w:eastAsia="Arial" w:hAnsi="Arial"/>
          <w:sz w:val="20"/>
          <w:szCs w:val="20"/>
          <w:color w:val="auto"/>
        </w:rPr>
        <w:t>” shall mean any Option, Stock Purchase Right, Restricted Stock, Restricted Stock Unit, Performance Share, Performance Unit, Stock Appreciation Right, Dividend Equivalent, Deferred Share Unit or other Stock-Based Award granted to a Participant pursuant to the Plan, including an Award combining two or more types in a single grant.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1.6</w:t>
      </w:r>
      <w:r>
        <w:rPr>
          <w:rFonts w:ascii="Arial" w:cs="Arial" w:eastAsia="Arial" w:hAnsi="Arial"/>
          <w:sz w:val="20"/>
          <w:szCs w:val="20"/>
          <w:color w:val="auto"/>
        </w:rPr>
        <w:t xml:space="preserve"> “</w:t>
      </w:r>
      <w:r>
        <w:rPr>
          <w:rFonts w:ascii="Arial" w:cs="Arial" w:eastAsia="Arial" w:hAnsi="Arial"/>
          <w:sz w:val="20"/>
          <w:szCs w:val="20"/>
          <w:u w:val="single" w:color="auto"/>
          <w:color w:val="auto"/>
        </w:rPr>
        <w:t>Award Agreement</w:t>
      </w:r>
      <w:r>
        <w:rPr>
          <w:rFonts w:ascii="Arial" w:cs="Arial" w:eastAsia="Arial" w:hAnsi="Arial"/>
          <w:sz w:val="20"/>
          <w:szCs w:val="20"/>
          <w:color w:val="auto"/>
        </w:rPr>
        <w:t>” shall mean any written agreement, contract or other instrument or document evidencing an Award, including through an electronic medium.</w:t>
      </w:r>
    </w:p>
    <w:p>
      <w:pPr>
        <w:spacing w:after="0" w:line="17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u w:val="single" w:color="auto"/>
          <w:color w:val="auto"/>
        </w:rPr>
        <w:t>Section 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Base Price</w:t>
      </w:r>
      <w:r>
        <w:rPr>
          <w:rFonts w:ascii="Arial" w:cs="Arial" w:eastAsia="Arial" w:hAnsi="Arial"/>
          <w:sz w:val="16"/>
          <w:szCs w:val="16"/>
          <w:color w:val="auto"/>
        </w:rPr>
        <w:t>” shall have the meaning set forth in Section 1.57.</w:t>
      </w:r>
    </w:p>
    <w:p>
      <w:pPr>
        <w:spacing w:after="0" w:line="21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u w:val="single" w:color="auto"/>
          <w:color w:val="auto"/>
        </w:rPr>
        <w:t>Section 1.8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w:t>
      </w:r>
      <w:r>
        <w:rPr>
          <w:rFonts w:ascii="Arial" w:cs="Arial" w:eastAsia="Arial" w:hAnsi="Arial"/>
          <w:sz w:val="18"/>
          <w:szCs w:val="18"/>
          <w:u w:val="single" w:color="auto"/>
          <w:color w:val="auto"/>
        </w:rPr>
        <w:t>Cause</w:t>
      </w:r>
      <w:r>
        <w:rPr>
          <w:rFonts w:ascii="Arial" w:cs="Arial" w:eastAsia="Arial" w:hAnsi="Arial"/>
          <w:sz w:val="18"/>
          <w:szCs w:val="18"/>
          <w:color w:val="auto"/>
        </w:rPr>
        <w:t>” shall mean any of the following: (</w:t>
      </w:r>
      <w:r>
        <w:rPr>
          <w:rFonts w:ascii="Arial" w:cs="Arial" w:eastAsia="Arial" w:hAnsi="Arial"/>
          <w:sz w:val="18"/>
          <w:szCs w:val="18"/>
          <w:u w:val="single" w:color="auto"/>
          <w:color w:val="auto"/>
        </w:rPr>
        <w:t>i</w:t>
      </w:r>
      <w:r>
        <w:rPr>
          <w:rFonts w:ascii="Arial" w:cs="Arial" w:eastAsia="Arial" w:hAnsi="Arial"/>
          <w:sz w:val="18"/>
          <w:szCs w:val="18"/>
          <w:color w:val="auto"/>
        </w:rPr>
        <w:t>) the Participant’s commission of a material act of fraud, embezzlement, misappropriation, misconduct against the Company or any of its Affiliates, or the conviction of, or plea of no contest to, or imposition of unadjudicated probation for any crime that is a felony (or a comparable classification in a jurisdiction that does not use these terms) other than as a result of a traffic violation (unless such traffic violation results in a formal sentencing of the Participant to prison time), or the Participant’s commission of a crime or other material act of misconduct that results in such Participant’s loss of any government security clearance that is reasonably necessary to perform his or her material employment-related duties; (</w:t>
      </w:r>
      <w:r>
        <w:rPr>
          <w:rFonts w:ascii="Arial" w:cs="Arial" w:eastAsia="Arial" w:hAnsi="Arial"/>
          <w:sz w:val="18"/>
          <w:szCs w:val="18"/>
          <w:u w:val="single" w:color="auto"/>
          <w:color w:val="auto"/>
        </w:rPr>
        <w:t>ii</w:t>
      </w:r>
      <w:r>
        <w:rPr>
          <w:rFonts w:ascii="Arial" w:cs="Arial" w:eastAsia="Arial" w:hAnsi="Arial"/>
          <w:sz w:val="18"/>
          <w:szCs w:val="18"/>
          <w:color w:val="auto"/>
        </w:rPr>
        <w:t>) the Participant’s willful failure to substantially perform his or her material employment-related duties (other than any such failure resulting from the Participant’s Disability) or the Participant’s willful failure to carry out, or comply with, any lawful and reasonable directive of the Board or the Participant’s immediate supervisor; (</w:t>
      </w:r>
      <w:r>
        <w:rPr>
          <w:rFonts w:ascii="Arial" w:cs="Arial" w:eastAsia="Arial" w:hAnsi="Arial"/>
          <w:sz w:val="18"/>
          <w:szCs w:val="18"/>
          <w:u w:val="single" w:color="auto"/>
          <w:color w:val="auto"/>
        </w:rPr>
        <w:t>iii</w:t>
      </w:r>
      <w:r>
        <w:rPr>
          <w:rFonts w:ascii="Arial" w:cs="Arial" w:eastAsia="Arial" w:hAnsi="Arial"/>
          <w:sz w:val="18"/>
          <w:szCs w:val="18"/>
          <w:color w:val="auto"/>
        </w:rPr>
        <w:t>) the Participant’s material violation of any material Company policy as in effect from time to time or material breach of the Participant’s fiduciary duties to the Company or any of its Affiliates; (</w:t>
      </w:r>
      <w:r>
        <w:rPr>
          <w:rFonts w:ascii="Arial" w:cs="Arial" w:eastAsia="Arial" w:hAnsi="Arial"/>
          <w:sz w:val="18"/>
          <w:szCs w:val="18"/>
          <w:u w:val="single" w:color="auto"/>
          <w:color w:val="auto"/>
        </w:rPr>
        <w:t>iv</w:t>
      </w:r>
      <w:r>
        <w:rPr>
          <w:rFonts w:ascii="Arial" w:cs="Arial" w:eastAsia="Arial" w:hAnsi="Arial"/>
          <w:sz w:val="18"/>
          <w:szCs w:val="18"/>
          <w:color w:val="auto"/>
        </w:rPr>
        <w:t>) the Participant’s material breach of the Stockholders Agreement, the Plan, or any exchange agreement, Award Agreement, or employment, non-competition, nondisclosure or non-solicitation agreement between the Company or any of its Subsidiaries and the Participant or (</w:t>
      </w:r>
      <w:r>
        <w:rPr>
          <w:rFonts w:ascii="Arial" w:cs="Arial" w:eastAsia="Arial" w:hAnsi="Arial"/>
          <w:sz w:val="18"/>
          <w:szCs w:val="18"/>
          <w:u w:val="single" w:color="auto"/>
          <w:color w:val="auto"/>
        </w:rPr>
        <w:t>v</w:t>
      </w:r>
      <w:r>
        <w:rPr>
          <w:rFonts w:ascii="Arial" w:cs="Arial" w:eastAsia="Arial" w:hAnsi="Arial"/>
          <w:sz w:val="18"/>
          <w:szCs w:val="18"/>
          <w:color w:val="auto"/>
        </w:rPr>
        <w:t xml:space="preserve">) the Participant’s unlawful use (including being under the influence) or possession of illegal drugs on the Company’s (or any Affiliate’s) premises or while performing the Participant’s duties and responsibilities;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the case of clauses (ii), (iii) or (iv), prior to October 1, 2010, such events shall only constitute Cause if not remedied within ten (10) business days (or such longer period as provided below) after receipt of written notice from the Company specifying such failure, violation or breach, as the case may be. The determination as to whether “Cause” has occurred shall be made by the Board, acting in good faith, which shall have the authority to waive the consequences under the Plan in the event of the existence or occurrence of any of the events, acts or omissions constituting “Cause.” The Company must notify a Participant of any event alleged to constitute “Cause” within six months following the Board’s knowledge of its existence or such event shall not constitute “Cause” for purposes of the Plan. A termination for Cause shall be deemed to include a determination following a Participant’s termination of employment for any reason if the circumstances existing prior to such termination would have entitled the Company or one of its Subsidiaries to have terminated such Participant’s employment for Cause;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proviso shall not apply if, prior to termination of employment, the Board determined, following conclusion of an investigation, that such termination was not for Cause unless new facts regarding the Participant’s conduct are revealed to the Board following termination of employment that result in a change in the Board’s determination. The ten (10) business day period described above with respect to awards granted prior to October 1, 2010 may be extended for such longer period as the Chief Personnel Officer or, with respect to the Chief Personnel Officer, the Chief Executive Officer shall determine, in his sole discretion.</w:t>
      </w:r>
    </w:p>
    <w:p>
      <w:pPr>
        <w:spacing w:after="0" w:line="17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1.10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the occurrence of any of the following events:</w:t>
      </w:r>
    </w:p>
    <w:p>
      <w:pPr>
        <w:spacing w:after="0" w:line="229" w:lineRule="exact"/>
        <w:rPr>
          <w:sz w:val="20"/>
          <w:szCs w:val="20"/>
          <w:color w:val="auto"/>
        </w:rPr>
      </w:pPr>
    </w:p>
    <w:p>
      <w:pPr>
        <w:jc w:val="both"/>
        <w:ind w:firstLine="1305"/>
        <w:spacing w:after="0" w:line="314" w:lineRule="auto"/>
        <w:tabs>
          <w:tab w:leader="none" w:pos="21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entity or “group” (as defined in Section 13(d) of the Exchange Act) (other than the Company, any Subsidiary, any Principal Stockholder or any Affiliate thereof, an employee benefit plan maintained by the Company, or a Person that, prior to such transaction, directly or indirectly controls, is controlled by, or is under common control with, the Company) of fifty (50) percent or more of the total combined voting power of the Company’s then outstanding voting securities;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22" w:right="239" w:bottom="1440" w:gutter="0" w:footer="0" w:header="0"/>
        </w:sectPr>
      </w:pPr>
    </w:p>
    <w:bookmarkStart w:id="48" w:name="page49"/>
    <w:bookmarkEnd w:id="48"/>
    <w:p>
      <w:pPr>
        <w:jc w:val="both"/>
        <w:ind w:firstLine="1305"/>
        <w:spacing w:after="0" w:line="274" w:lineRule="auto"/>
        <w:tabs>
          <w:tab w:leader="none" w:pos="2175"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merger or consolidation of the Company, as a result of which persons who were shareholders of the Company immediately prior to such merger or consolidation, together with the Principal Stockholders, do not, immediately thereafter, own, directly or indirectly, more than fifty (50) percent of the combined voting power entitled to vote generally in the election of directors of the merged or consolidated company;</w:t>
      </w:r>
    </w:p>
    <w:p>
      <w:pPr>
        <w:spacing w:after="0" w:line="300" w:lineRule="exact"/>
        <w:rPr>
          <w:rFonts w:ascii="Arial" w:cs="Arial" w:eastAsia="Arial" w:hAnsi="Arial"/>
          <w:sz w:val="20"/>
          <w:szCs w:val="20"/>
          <w:color w:val="auto"/>
        </w:rPr>
      </w:pPr>
    </w:p>
    <w:p>
      <w:pPr>
        <w:jc w:val="both"/>
        <w:ind w:firstLine="1305"/>
        <w:spacing w:after="0" w:line="310" w:lineRule="auto"/>
        <w:tabs>
          <w:tab w:leader="none" w:pos="21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liquidation or dissolution of the Company other than a liquidation or dissolution of the Company into a Subsidiary or for the purposes of effecting a corporate restructuring or reorganization as a result of which persons who were shareholders of the Company immediately prior to such liquidation or dissolution, together with the Principal Stockholders, continue to own immediately thereafter, directly or indirectly, more than fifty (50) percent of the combined voting power entitled to vote generally in the election of directors of the entity that owns, directly or indirectly, substantially all of the assets of the Company following such transaction; or</w:t>
      </w:r>
    </w:p>
    <w:p>
      <w:pPr>
        <w:spacing w:after="0" w:line="270" w:lineRule="exact"/>
        <w:rPr>
          <w:rFonts w:ascii="Arial" w:cs="Arial" w:eastAsia="Arial" w:hAnsi="Arial"/>
          <w:sz w:val="18"/>
          <w:szCs w:val="18"/>
          <w:color w:val="auto"/>
        </w:rPr>
      </w:pPr>
    </w:p>
    <w:p>
      <w:pPr>
        <w:jc w:val="both"/>
        <w:ind w:firstLine="1305"/>
        <w:spacing w:after="0" w:line="299" w:lineRule="auto"/>
        <w:tabs>
          <w:tab w:leader="none" w:pos="2175"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sale, transfer or other disposition of all or substantially all of the assets of the Company to one or more persons or entities that are not, immediately prior to such transaction, Affiliates of the Company, or any employee benefit plan of the Company (other than by way of a transaction that would not be deemed a Change in Control pursuant to clauses (a) or (b) above);</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 each case,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such event constitutes a “change in control” within the meaning of Section 409A of the Code.</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Notwithstanding the foregoing, a “Change in Control” shall not be deemed to occur if the Company files for bankruptcy, liquidation or reorganization under the United States Bankruptcy Code or as a result of any restructuring that occurs as a result of any such proceeding.</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w:t>
      </w:r>
      <w:r>
        <w:rPr>
          <w:rFonts w:ascii="Arial" w:cs="Arial" w:eastAsia="Arial" w:hAnsi="Arial"/>
          <w:sz w:val="20"/>
          <w:szCs w:val="20"/>
          <w:u w:val="single" w:color="auto"/>
          <w:color w:val="auto"/>
        </w:rPr>
        <w:t>Change in Control Price</w:t>
      </w:r>
      <w:r>
        <w:rPr>
          <w:rFonts w:ascii="Arial" w:cs="Arial" w:eastAsia="Arial" w:hAnsi="Arial"/>
          <w:sz w:val="20"/>
          <w:szCs w:val="20"/>
          <w:color w:val="auto"/>
        </w:rPr>
        <w:t>” shall mean the highest price per share of Company Common Stock offered in conjunction with any transaction resulting in a Change in Control.</w:t>
      </w:r>
    </w:p>
    <w:p>
      <w:pPr>
        <w:spacing w:after="0" w:line="17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shall mean the Internal Revenue Code of 1986, as amended.</w:t>
      </w:r>
    </w:p>
    <w:p>
      <w:pPr>
        <w:spacing w:after="0" w:line="21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1.13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Booz Allen Hamilton Holding Corporation, a Delaware corporation, and any successor.</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1.14</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Company Common Stock</w:t>
      </w:r>
      <w:r>
        <w:rPr>
          <w:rFonts w:ascii="Arial" w:cs="Arial" w:eastAsia="Arial" w:hAnsi="Arial"/>
          <w:sz w:val="20"/>
          <w:szCs w:val="20"/>
          <w:color w:val="auto"/>
        </w:rPr>
        <w:t>” shall mean the class A common stock, par value $0.01 per share, of the Company and such other class of stock into which such common stock is hereafter converted or exchanged.</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Competitive Activity</w:t>
      </w:r>
      <w:r>
        <w:rPr>
          <w:rFonts w:ascii="Arial" w:cs="Arial" w:eastAsia="Arial" w:hAnsi="Arial"/>
          <w:sz w:val="18"/>
          <w:szCs w:val="18"/>
          <w:color w:val="auto"/>
        </w:rPr>
        <w:t>” shall mean (</w:t>
      </w:r>
      <w:r>
        <w:rPr>
          <w:rFonts w:ascii="Arial" w:cs="Arial" w:eastAsia="Arial" w:hAnsi="Arial"/>
          <w:sz w:val="18"/>
          <w:szCs w:val="18"/>
          <w:u w:val="single" w:color="auto"/>
          <w:color w:val="auto"/>
        </w:rPr>
        <w:t>a</w:t>
      </w:r>
      <w:r>
        <w:rPr>
          <w:rFonts w:ascii="Arial" w:cs="Arial" w:eastAsia="Arial" w:hAnsi="Arial"/>
          <w:sz w:val="18"/>
          <w:szCs w:val="18"/>
          <w:color w:val="auto"/>
        </w:rPr>
        <w:t>) directly or indirectly engaging in or providing, or owning, investing in, managing, joining, operating or controlling, or participating in the ownership, management, operation or control of, or being connected as a director, officer, employee, partner, member, consultant or otherwise with, any business enterprise (whether for profit or not for profit) that is engaged in the business of providing consulting services, either management or technical, staff augmentation, or any related services for any U.S. governmental entity or any other business activities that, as of the date of the Participant’s termination of employment, are directly competitive in any geographic area with the business activities of the Company or any of its divisions, subsidiaries or Affiliates (including any business activities that, to the knowledge of the Participant, the Company or any of its respective divisions, subsidiaries or Affiliates has been planning to engage in prior to the Participant’s termination of employment or service); (</w:t>
      </w:r>
      <w:r>
        <w:rPr>
          <w:rFonts w:ascii="Arial" w:cs="Arial" w:eastAsia="Arial" w:hAnsi="Arial"/>
          <w:sz w:val="18"/>
          <w:szCs w:val="18"/>
          <w:u w:val="single" w:color="auto"/>
          <w:color w:val="auto"/>
        </w:rPr>
        <w:t>b</w:t>
      </w:r>
      <w:r>
        <w:rPr>
          <w:rFonts w:ascii="Arial" w:cs="Arial" w:eastAsia="Arial" w:hAnsi="Arial"/>
          <w:sz w:val="18"/>
          <w:szCs w:val="18"/>
          <w:color w:val="auto"/>
        </w:rPr>
        <w:t>) without the Company’s prior written consent, recruiting for employment with any entity that competes with the Company, or hiring for such entity, any employee of the Company, former employee of the Company, or independent contractor to the Company who left the Company or discontinued providing services to the Company within six (6) months of the termination of the Participant’s employment or (</w:t>
      </w:r>
      <w:r>
        <w:rPr>
          <w:rFonts w:ascii="Arial" w:cs="Arial" w:eastAsia="Arial" w:hAnsi="Arial"/>
          <w:sz w:val="18"/>
          <w:szCs w:val="18"/>
          <w:u w:val="single" w:color="auto"/>
          <w:color w:val="auto"/>
        </w:rPr>
        <w:t>c</w:t>
      </w:r>
      <w:r>
        <w:rPr>
          <w:rFonts w:ascii="Arial" w:cs="Arial" w:eastAsia="Arial" w:hAnsi="Arial"/>
          <w:sz w:val="18"/>
          <w:szCs w:val="18"/>
          <w:color w:val="auto"/>
        </w:rPr>
        <w:t>) directly or indirectly using, disclosing or disseminating to any other Person or otherwise employing Confidential Information, in each case that is not approved in writing by the Administrator, it being understood that direct employment as an employee of (and not as a consultant or advisor to) any U.S. federal, state or local governmental entity shall not be considered a competitive activity. In the event any court of competent jurisdiction shall find that any provision hereof relating to Competitive Activity is not enforceable in accordance with its terms, the court shall reform such provisions such that the provisions shall be enforceable to the maximum extent permissible at law.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4" w:right="239" w:bottom="1440" w:gutter="0" w:footer="0" w:header="0"/>
        </w:sectPr>
      </w:pPr>
    </w:p>
    <w:bookmarkStart w:id="49" w:name="page50"/>
    <w:bookmarkEnd w:id="49"/>
    <w:p>
      <w:pPr>
        <w:jc w:val="both"/>
        <w:ind w:firstLine="648"/>
        <w:spacing w:after="0" w:line="242" w:lineRule="auto"/>
        <w:rPr>
          <w:sz w:val="20"/>
          <w:szCs w:val="20"/>
          <w:color w:val="auto"/>
        </w:rPr>
      </w:pPr>
      <w:r>
        <w:rPr>
          <w:rFonts w:ascii="Arial" w:cs="Arial" w:eastAsia="Arial" w:hAnsi="Arial"/>
          <w:sz w:val="20"/>
          <w:szCs w:val="20"/>
          <w:u w:val="single" w:color="auto"/>
          <w:color w:val="auto"/>
        </w:rPr>
        <w:t>Section 1.16</w:t>
      </w:r>
      <w:r>
        <w:rPr>
          <w:rFonts w:ascii="Arial" w:cs="Arial" w:eastAsia="Arial" w:hAnsi="Arial"/>
          <w:sz w:val="20"/>
          <w:szCs w:val="20"/>
          <w:color w:val="auto"/>
        </w:rPr>
        <w:t xml:space="preserve">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shall mean any and all of three categories of information: (</w:t>
      </w:r>
      <w:r>
        <w:rPr>
          <w:rFonts w:ascii="Arial" w:cs="Arial" w:eastAsia="Arial" w:hAnsi="Arial"/>
          <w:sz w:val="20"/>
          <w:szCs w:val="20"/>
          <w:u w:val="single" w:color="auto"/>
          <w:color w:val="auto"/>
        </w:rPr>
        <w:t>a</w:t>
      </w:r>
      <w:r>
        <w:rPr>
          <w:rFonts w:ascii="Arial" w:cs="Arial" w:eastAsia="Arial" w:hAnsi="Arial"/>
          <w:sz w:val="20"/>
          <w:szCs w:val="20"/>
          <w:color w:val="auto"/>
        </w:rPr>
        <w:t>) confidential proprietary information about the Company’s business including, but not limited to, information that is not readily available to the public, and which concerns the Company’s operations, financial results, plans and compensation structure, strategies, knowledge on-line database, clients, trade secrets, or any other proprietary information; (</w:t>
      </w:r>
      <w:r>
        <w:rPr>
          <w:rFonts w:ascii="Arial" w:cs="Arial" w:eastAsia="Arial" w:hAnsi="Arial"/>
          <w:sz w:val="20"/>
          <w:szCs w:val="20"/>
          <w:u w:val="single" w:color="auto"/>
          <w:color w:val="auto"/>
        </w:rPr>
        <w:t>b</w:t>
      </w:r>
      <w:r>
        <w:rPr>
          <w:rFonts w:ascii="Arial" w:cs="Arial" w:eastAsia="Arial" w:hAnsi="Arial"/>
          <w:sz w:val="20"/>
          <w:szCs w:val="20"/>
          <w:color w:val="auto"/>
        </w:rPr>
        <w:t>) confidential information entrusted to the Company by third parties such as clients (including the U.S. government and its agencies) or vendors and (</w:t>
      </w:r>
      <w:r>
        <w:rPr>
          <w:rFonts w:ascii="Arial" w:cs="Arial" w:eastAsia="Arial" w:hAnsi="Arial"/>
          <w:sz w:val="20"/>
          <w:szCs w:val="20"/>
          <w:u w:val="single" w:color="auto"/>
          <w:color w:val="auto"/>
        </w:rPr>
        <w:t>c</w:t>
      </w:r>
      <w:r>
        <w:rPr>
          <w:rFonts w:ascii="Arial" w:cs="Arial" w:eastAsia="Arial" w:hAnsi="Arial"/>
          <w:sz w:val="20"/>
          <w:szCs w:val="20"/>
          <w:color w:val="auto"/>
        </w:rPr>
        <w:t>) personally identifiable information received from employees, clients, or third parties (including, but not limited to, names, addresses, Social Security Numbers, background information, credit card or bank information, telephone or facsimile numbers, e-mail addresses and health information), which if misused could result in identity theft, credit card fraud or other serious harm.</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1.17</w:t>
      </w:r>
      <w:r>
        <w:rPr>
          <w:rFonts w:ascii="Arial" w:cs="Arial" w:eastAsia="Arial" w:hAnsi="Arial"/>
          <w:sz w:val="20"/>
          <w:szCs w:val="20"/>
          <w:color w:val="auto"/>
        </w:rPr>
        <w:t xml:space="preserve"> “</w:t>
      </w:r>
      <w:r>
        <w:rPr>
          <w:rFonts w:ascii="Arial" w:cs="Arial" w:eastAsia="Arial" w:hAnsi="Arial"/>
          <w:sz w:val="20"/>
          <w:szCs w:val="20"/>
          <w:u w:val="single" w:color="auto"/>
          <w:color w:val="auto"/>
        </w:rPr>
        <w:t>Consultant</w:t>
      </w:r>
      <w:r>
        <w:rPr>
          <w:rFonts w:ascii="Arial" w:cs="Arial" w:eastAsia="Arial" w:hAnsi="Arial"/>
          <w:sz w:val="20"/>
          <w:szCs w:val="20"/>
          <w:color w:val="auto"/>
        </w:rPr>
        <w:t>” shall mean any natural Person who is engaged by the Company or any of its Subsidiaries to render consulting or advisory services to such entity.</w:t>
      </w:r>
    </w:p>
    <w:p>
      <w:pPr>
        <w:spacing w:after="0" w:line="17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u w:val="single" w:color="auto"/>
          <w:color w:val="auto"/>
        </w:rPr>
        <w:t>Section 1.18</w:t>
      </w:r>
      <w:r>
        <w:rPr>
          <w:rFonts w:ascii="Arial" w:cs="Arial" w:eastAsia="Arial" w:hAnsi="Arial"/>
          <w:sz w:val="20"/>
          <w:szCs w:val="20"/>
          <w:color w:val="auto"/>
        </w:rPr>
        <w:t xml:space="preserve"> “</w:t>
      </w:r>
      <w:r>
        <w:rPr>
          <w:rFonts w:ascii="Arial" w:cs="Arial" w:eastAsia="Arial" w:hAnsi="Arial"/>
          <w:sz w:val="20"/>
          <w:szCs w:val="20"/>
          <w:u w:val="single" w:color="auto"/>
          <w:color w:val="auto"/>
        </w:rPr>
        <w:t>Corporate Event</w:t>
      </w:r>
      <w:r>
        <w:rPr>
          <w:rFonts w:ascii="Arial" w:cs="Arial" w:eastAsia="Arial" w:hAnsi="Arial"/>
          <w:sz w:val="20"/>
          <w:szCs w:val="20"/>
          <w:color w:val="auto"/>
        </w:rPr>
        <w:t>” shall mean, as determined by the Administrator in its sole discretion, any transaction or event described in Section 14.1(a) or any unusual or nonrecurring transaction or event affecting the Company, any Subsidiary of the Company, or the financial statements of the Company or any of its Subsidiaries, or changes in applicable laws, regulations or accounting principles (including, without limitation, a recapitalization of the Company).</w:t>
      </w:r>
    </w:p>
    <w:p>
      <w:pPr>
        <w:spacing w:after="0" w:line="19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1.19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Covered Employee</w:t>
      </w:r>
      <w:r>
        <w:rPr>
          <w:rFonts w:ascii="Arial" w:cs="Arial" w:eastAsia="Arial" w:hAnsi="Arial"/>
          <w:sz w:val="18"/>
          <w:szCs w:val="18"/>
          <w:color w:val="auto"/>
        </w:rPr>
        <w:t>” shall have the meaning set forth in Section 162(m)(3) of the Code.</w:t>
      </w:r>
    </w:p>
    <w:p>
      <w:pPr>
        <w:spacing w:after="0" w:line="21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1.20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Deferred Annual Amount</w:t>
      </w:r>
      <w:r>
        <w:rPr>
          <w:rFonts w:ascii="Arial" w:cs="Arial" w:eastAsia="Arial" w:hAnsi="Arial"/>
          <w:sz w:val="18"/>
          <w:szCs w:val="18"/>
          <w:color w:val="auto"/>
        </w:rPr>
        <w:t>” shall have the meaning set forth in Section 8.1.</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u w:val="single" w:color="auto"/>
          <w:color w:val="auto"/>
        </w:rPr>
        <w:t>Section 1.21</w:t>
      </w:r>
      <w:r>
        <w:rPr>
          <w:rFonts w:ascii="Arial" w:cs="Arial" w:eastAsia="Arial" w:hAnsi="Arial"/>
          <w:sz w:val="20"/>
          <w:szCs w:val="20"/>
          <w:color w:val="auto"/>
        </w:rPr>
        <w:t xml:space="preserve"> “</w:t>
      </w:r>
      <w:r>
        <w:rPr>
          <w:rFonts w:ascii="Arial" w:cs="Arial" w:eastAsia="Arial" w:hAnsi="Arial"/>
          <w:sz w:val="20"/>
          <w:szCs w:val="20"/>
          <w:u w:val="single" w:color="auto"/>
          <w:color w:val="auto"/>
        </w:rPr>
        <w:t>Deferred Share Unit</w:t>
      </w:r>
      <w:r>
        <w:rPr>
          <w:rFonts w:ascii="Arial" w:cs="Arial" w:eastAsia="Arial" w:hAnsi="Arial"/>
          <w:sz w:val="20"/>
          <w:szCs w:val="20"/>
          <w:color w:val="auto"/>
        </w:rPr>
        <w:t>” shall mean a unit credited to a Participant’s account in the books of the Company under Article VIII that represents the right to receive Shares of Company Common Stock or cash equal to the Fair Market Value thereof on settlement of the account.</w:t>
      </w:r>
    </w:p>
    <w:p>
      <w:pPr>
        <w:spacing w:after="0" w:line="18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1.22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or a member of the board of directors of any Subsidiary of the Company.</w:t>
      </w:r>
    </w:p>
    <w:p>
      <w:pPr>
        <w:spacing w:after="0" w:line="21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1.23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“disability,” as such term is defined in Section 22(e)(3) of the Code.</w:t>
      </w:r>
    </w:p>
    <w:p>
      <w:pPr>
        <w:spacing w:after="0" w:line="216"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20"/>
          <w:szCs w:val="20"/>
          <w:u w:val="single" w:color="auto"/>
          <w:color w:val="auto"/>
        </w:rPr>
        <w:t>Section 1.24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the right to receive payments in cash or in Shares, based on dividends with respect to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Shares.</w:t>
      </w:r>
    </w:p>
    <w:p>
      <w:pPr>
        <w:spacing w:after="0" w:line="20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1.25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Section 14.9.</w:t>
      </w:r>
    </w:p>
    <w:p>
      <w:pPr>
        <w:spacing w:after="0" w:line="21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1.26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Elective Deferred Share Unit</w:t>
      </w:r>
      <w:r>
        <w:rPr>
          <w:rFonts w:ascii="Arial" w:cs="Arial" w:eastAsia="Arial" w:hAnsi="Arial"/>
          <w:sz w:val="18"/>
          <w:szCs w:val="18"/>
          <w:color w:val="auto"/>
        </w:rPr>
        <w:t>” shall have the meaning set forth in Section 8.1.</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1.27</w:t>
      </w:r>
      <w:r>
        <w:rPr>
          <w:rFonts w:ascii="Arial" w:cs="Arial" w:eastAsia="Arial" w:hAnsi="Arial"/>
          <w:sz w:val="20"/>
          <w:szCs w:val="20"/>
          <w:color w:val="auto"/>
        </w:rPr>
        <w:t xml:space="preserve"> “</w:t>
      </w:r>
      <w:r>
        <w:rPr>
          <w:rFonts w:ascii="Arial" w:cs="Arial" w:eastAsia="Arial" w:hAnsi="Arial"/>
          <w:sz w:val="20"/>
          <w:szCs w:val="20"/>
          <w:u w:val="single" w:color="auto"/>
          <w:color w:val="auto"/>
        </w:rPr>
        <w:t>Eligible Representative</w:t>
      </w:r>
      <w:r>
        <w:rPr>
          <w:rFonts w:ascii="Arial" w:cs="Arial" w:eastAsia="Arial" w:hAnsi="Arial"/>
          <w:sz w:val="20"/>
          <w:szCs w:val="20"/>
          <w:color w:val="auto"/>
        </w:rPr>
        <w:t>” for a Participant shall mean such Participant’s personal representative or such other person as is empowered under the deceased Participant’s will or the then applicable laws of descent and distribution to represent the Participant hereunder.</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u w:val="single" w:color="auto"/>
          <w:color w:val="auto"/>
        </w:rPr>
        <w:t>Section 1.28</w:t>
      </w:r>
      <w:r>
        <w:rPr>
          <w:rFonts w:ascii="Arial" w:cs="Arial" w:eastAsia="Arial" w:hAnsi="Arial"/>
          <w:sz w:val="19"/>
          <w:szCs w:val="19"/>
          <w:color w:val="auto"/>
        </w:rPr>
        <w:t xml:space="preserve"> “</w:t>
      </w:r>
      <w:r>
        <w:rPr>
          <w:rFonts w:ascii="Arial" w:cs="Arial" w:eastAsia="Arial" w:hAnsi="Arial"/>
          <w:sz w:val="19"/>
          <w:szCs w:val="19"/>
          <w:u w:val="single" w:color="auto"/>
          <w:color w:val="auto"/>
        </w:rPr>
        <w:t>Employee</w:t>
      </w:r>
      <w:r>
        <w:rPr>
          <w:rFonts w:ascii="Arial" w:cs="Arial" w:eastAsia="Arial" w:hAnsi="Arial"/>
          <w:sz w:val="19"/>
          <w:szCs w:val="19"/>
          <w:color w:val="auto"/>
        </w:rPr>
        <w:t>” shall mean any employee (as defined in accordance with the regulations and revenue rulings then applicable under Section 3401(c) of the Code) of the Company or one of its Subsidiaries, whether such employee is so employed at the time this Plan is adopted or becomes so employed subsequent to the adoption of this Plan. A person shall not cease to be an Employee in the case of (</w:t>
      </w:r>
      <w:r>
        <w:rPr>
          <w:rFonts w:ascii="Arial" w:cs="Arial" w:eastAsia="Arial" w:hAnsi="Arial"/>
          <w:sz w:val="19"/>
          <w:szCs w:val="19"/>
          <w:u w:val="single" w:color="auto"/>
          <w:color w:val="auto"/>
        </w:rPr>
        <w:t>a</w:t>
      </w:r>
      <w:r>
        <w:rPr>
          <w:rFonts w:ascii="Arial" w:cs="Arial" w:eastAsia="Arial" w:hAnsi="Arial"/>
          <w:sz w:val="19"/>
          <w:szCs w:val="19"/>
          <w:color w:val="auto"/>
        </w:rPr>
        <w:t>) any leave of absence approved by the Company or (</w:t>
      </w:r>
      <w:r>
        <w:rPr>
          <w:rFonts w:ascii="Arial" w:cs="Arial" w:eastAsia="Arial" w:hAnsi="Arial"/>
          <w:sz w:val="19"/>
          <w:szCs w:val="19"/>
          <w:u w:val="single" w:color="auto"/>
          <w:color w:val="auto"/>
        </w:rPr>
        <w:t>b</w:t>
      </w:r>
      <w:r>
        <w:rPr>
          <w:rFonts w:ascii="Arial" w:cs="Arial" w:eastAsia="Arial" w:hAnsi="Arial"/>
          <w:sz w:val="19"/>
          <w:szCs w:val="19"/>
          <w:color w:val="auto"/>
        </w:rPr>
        <w:t>) transfers between locations of the Company or between the Company, any of its Subsidiaries, or any successor. For purposes of Incentive Stock Options, no such leave may exceed three (3) months, unless reemployment upon expiration of such leave is guaranteed by statute or contract. If reemployment upon expiration of a leave of absence approved by the Company is not so guaranteed, the employment relationship shall be deemed to have terminated on the first day immediately following such three (3)-month period, and such Incentive Stock Option held by the Optionee shall cease to be treated as an Incentive Stock Option and shall be treated for tax purposes as a Non-Qualified Stock</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22" w:right="239" w:bottom="1440" w:gutter="0" w:footer="0" w:header="0"/>
        </w:sectPr>
      </w:pPr>
    </w:p>
    <w:bookmarkStart w:id="50" w:name="page51"/>
    <w:bookmarkEnd w:id="50"/>
    <w:p>
      <w:pPr>
        <w:spacing w:after="0" w:line="219" w:lineRule="exact"/>
        <w:rPr>
          <w:sz w:val="20"/>
          <w:szCs w:val="20"/>
          <w:color w:val="auto"/>
        </w:rPr>
      </w:pPr>
      <w:r>
        <w:rPr>
          <w:rFonts w:ascii="Arial" w:cs="Arial" w:eastAsia="Arial" w:hAnsi="Arial"/>
          <w:sz w:val="19"/>
          <w:szCs w:val="19"/>
          <w:color w:val="auto"/>
        </w:rPr>
        <w:t>Option on the first day immediately following a three (3)</w:t>
      </w:r>
      <w:r>
        <w:rPr>
          <w:rFonts w:ascii="MS PGothic" w:cs="MS PGothic" w:eastAsia="MS PGothic" w:hAnsi="MS PGothic"/>
          <w:sz w:val="19"/>
          <w:szCs w:val="19"/>
          <w:color w:val="auto"/>
        </w:rPr>
        <w:t>‑</w:t>
      </w:r>
      <w:r>
        <w:rPr>
          <w:rFonts w:ascii="Arial" w:cs="Arial" w:eastAsia="Arial" w:hAnsi="Arial"/>
          <w:sz w:val="19"/>
          <w:szCs w:val="19"/>
          <w:color w:val="auto"/>
        </w:rPr>
        <w:t>month period from the date the employment relationship is deemed terminated.</w:t>
      </w:r>
    </w:p>
    <w:p>
      <w:pPr>
        <w:spacing w:after="0" w:line="22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u w:val="single" w:color="auto"/>
          <w:color w:val="auto"/>
        </w:rPr>
        <w:t>Section 1.29</w:t>
      </w:r>
      <w:r>
        <w:rPr>
          <w:rFonts w:ascii="Arial" w:cs="Arial" w:eastAsia="Arial" w:hAnsi="Arial"/>
          <w:sz w:val="20"/>
          <w:szCs w:val="20"/>
          <w:color w:val="auto"/>
        </w:rPr>
        <w:t xml:space="preserve"> “</w:t>
      </w:r>
      <w:r>
        <w:rPr>
          <w:rFonts w:ascii="Arial" w:cs="Arial" w:eastAsia="Arial" w:hAnsi="Arial"/>
          <w:sz w:val="20"/>
          <w:szCs w:val="20"/>
          <w:u w:val="single" w:color="auto"/>
          <w:color w:val="auto"/>
        </w:rPr>
        <w:t>Equity Restructuring</w:t>
      </w:r>
      <w:r>
        <w:rPr>
          <w:rFonts w:ascii="Arial" w:cs="Arial" w:eastAsia="Arial" w:hAnsi="Arial"/>
          <w:sz w:val="20"/>
          <w:szCs w:val="20"/>
          <w:color w:val="auto"/>
        </w:rPr>
        <w:t>” shall mean, as determined by the Administrator in its sole discretion, a non-reciprocal transaction between the Company and its stockholders, such as a stock dividend, stock split, spin-off or recapitalization through a large, nonrecurring cash dividend, that affects the shares of Company Common Stock (or other securities of the Company) or the share price of Company Common Stock (or other securities) and causes a change in the per share value of the Company Common Stock underlying outstanding Awards.</w:t>
      </w:r>
    </w:p>
    <w:p>
      <w:pPr>
        <w:spacing w:after="0" w:line="19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Securities Exchange Act of 1934, as amended.</w:t>
      </w:r>
    </w:p>
    <w:p>
      <w:pPr>
        <w:spacing w:after="0" w:line="21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1.31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of a Share as of a given date shall be:</w:t>
      </w:r>
    </w:p>
    <w:p>
      <w:pPr>
        <w:spacing w:after="0" w:line="337" w:lineRule="exact"/>
        <w:rPr>
          <w:sz w:val="20"/>
          <w:szCs w:val="20"/>
          <w:color w:val="auto"/>
        </w:rPr>
      </w:pPr>
    </w:p>
    <w:p>
      <w:pPr>
        <w:jc w:val="both"/>
        <w:ind w:firstLine="1305"/>
        <w:spacing w:after="0" w:line="299" w:lineRule="auto"/>
        <w:tabs>
          <w:tab w:leader="none" w:pos="2164"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If the Company Common Stock is listed on any established stock exchange or a national market system, the closing sales price for a Share (or the closing bid, if no sales were reported) as quoted on such exchange or system on the date of determination,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if not so reported, such other source as the Administrator deems reliable;</w:t>
      </w:r>
    </w:p>
    <w:p>
      <w:pPr>
        <w:spacing w:after="0" w:line="277" w:lineRule="exact"/>
        <w:rPr>
          <w:rFonts w:ascii="Arial" w:cs="Arial" w:eastAsia="Arial" w:hAnsi="Arial"/>
          <w:sz w:val="19"/>
          <w:szCs w:val="19"/>
          <w:color w:val="auto"/>
        </w:rPr>
      </w:pPr>
    </w:p>
    <w:p>
      <w:pPr>
        <w:jc w:val="both"/>
        <w:ind w:firstLine="1305"/>
        <w:spacing w:after="0" w:line="322" w:lineRule="auto"/>
        <w:tabs>
          <w:tab w:leader="none" w:pos="21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Company Common Stock is regularly quoted by a recognized securities dealer but selling prices are not reported, the Administrator shall determine the Fair Market Value in good faith with reference to the mean between the high bid and low asked prices for a Share on the date of determination and sales prices of securities issued to investors in any recent arm’s length transactions; or</w:t>
      </w:r>
    </w:p>
    <w:p>
      <w:pPr>
        <w:spacing w:after="0" w:line="260" w:lineRule="exact"/>
        <w:rPr>
          <w:rFonts w:ascii="Arial" w:cs="Arial" w:eastAsia="Arial" w:hAnsi="Arial"/>
          <w:sz w:val="18"/>
          <w:szCs w:val="18"/>
          <w:color w:val="auto"/>
        </w:rPr>
      </w:pPr>
    </w:p>
    <w:p>
      <w:pPr>
        <w:jc w:val="both"/>
        <w:ind w:firstLine="1305"/>
        <w:spacing w:after="0" w:line="293" w:lineRule="auto"/>
        <w:tabs>
          <w:tab w:leader="none" w:pos="2164"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the absence of an established market for the Company Common Stock, the Fair Market Value shall be determined in good faith by the Administrator with reference to the most recent valuation of the Company Common Stock performed by an independent valuation consultant or appraiser of nationally recognized standing (which valuation shall be prepared not less frequently than annually) and sales prices of securities issued to investors in any recent arm’s length transactions.</w:t>
      </w:r>
    </w:p>
    <w:p>
      <w:pPr>
        <w:spacing w:after="0" w:line="27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u w:val="single" w:color="auto"/>
          <w:color w:val="auto"/>
        </w:rPr>
        <w:t>Section 1.32</w:t>
      </w:r>
      <w:r>
        <w:rPr>
          <w:rFonts w:ascii="Arial" w:cs="Arial" w:eastAsia="Arial" w:hAnsi="Arial"/>
          <w:sz w:val="20"/>
          <w:szCs w:val="20"/>
          <w:color w:val="auto"/>
        </w:rPr>
        <w:t xml:space="preserve"> “</w:t>
      </w:r>
      <w:r>
        <w:rPr>
          <w:rFonts w:ascii="Arial" w:cs="Arial" w:eastAsia="Arial" w:hAnsi="Arial"/>
          <w:sz w:val="20"/>
          <w:szCs w:val="20"/>
          <w:u w:val="single" w:color="auto"/>
          <w:color w:val="auto"/>
        </w:rPr>
        <w:t>Incentive Stock Option</w:t>
      </w:r>
      <w:r>
        <w:rPr>
          <w:rFonts w:ascii="Arial" w:cs="Arial" w:eastAsia="Arial" w:hAnsi="Arial"/>
          <w:sz w:val="20"/>
          <w:szCs w:val="20"/>
          <w:color w:val="auto"/>
        </w:rPr>
        <w:t>” shall mean an Option which qualifies under Section 422 of the Code and is designated as an Incentive Stock Option by the Administrator.</w:t>
      </w:r>
    </w:p>
    <w:p>
      <w:pPr>
        <w:spacing w:after="0" w:line="28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u w:val="single" w:color="auto"/>
          <w:color w:val="auto"/>
        </w:rPr>
        <w:t>Section 1.33</w:t>
      </w:r>
      <w:r>
        <w:rPr>
          <w:rFonts w:ascii="Arial" w:cs="Arial" w:eastAsia="Arial" w:hAnsi="Arial"/>
          <w:sz w:val="20"/>
          <w:szCs w:val="20"/>
          <w:color w:val="auto"/>
        </w:rPr>
        <w:t xml:space="preserve"> “</w:t>
      </w:r>
      <w:r>
        <w:rPr>
          <w:rFonts w:ascii="Arial" w:cs="Arial" w:eastAsia="Arial" w:hAnsi="Arial"/>
          <w:sz w:val="20"/>
          <w:szCs w:val="20"/>
          <w:u w:val="single" w:color="auto"/>
          <w:color w:val="auto"/>
        </w:rPr>
        <w:t>Leadership Team</w:t>
      </w:r>
      <w:r>
        <w:rPr>
          <w:rFonts w:ascii="Arial" w:cs="Arial" w:eastAsia="Arial" w:hAnsi="Arial"/>
          <w:sz w:val="20"/>
          <w:szCs w:val="20"/>
          <w:color w:val="auto"/>
        </w:rPr>
        <w:t>” shall mean the group of senior executives of the Company with policy-making functions, as designated by the Chief Executive Officer of the Company.</w:t>
      </w:r>
    </w:p>
    <w:p>
      <w:pPr>
        <w:spacing w:after="0" w:line="285"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u w:val="single" w:color="auto"/>
          <w:color w:val="auto"/>
        </w:rPr>
        <w:t>Section 1.34</w:t>
      </w:r>
      <w:r>
        <w:rPr>
          <w:rFonts w:ascii="Arial" w:cs="Arial" w:eastAsia="Arial" w:hAnsi="Arial"/>
          <w:sz w:val="20"/>
          <w:szCs w:val="20"/>
          <w:color w:val="auto"/>
        </w:rPr>
        <w:t xml:space="preserve"> “</w:t>
      </w:r>
      <w:r>
        <w:rPr>
          <w:rFonts w:ascii="Arial" w:cs="Arial" w:eastAsia="Arial" w:hAnsi="Arial"/>
          <w:sz w:val="20"/>
          <w:szCs w:val="20"/>
          <w:u w:val="single" w:color="auto"/>
          <w:color w:val="auto"/>
        </w:rPr>
        <w:t>Non-Qualified Stock Option</w:t>
      </w:r>
      <w:r>
        <w:rPr>
          <w:rFonts w:ascii="Arial" w:cs="Arial" w:eastAsia="Arial" w:hAnsi="Arial"/>
          <w:sz w:val="20"/>
          <w:szCs w:val="20"/>
          <w:color w:val="auto"/>
        </w:rPr>
        <w:t>” shall mean an Option which is not an “incentive stock option” under Section 422 of the Code and shall include an Option which is designated as a Non-Qualified Stock Option by the Administrator.</w:t>
      </w:r>
    </w:p>
    <w:p>
      <w:pPr>
        <w:spacing w:after="0" w:line="28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1.35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Non-U.S. Awards</w:t>
      </w:r>
      <w:r>
        <w:rPr>
          <w:rFonts w:ascii="Arial" w:cs="Arial" w:eastAsia="Arial" w:hAnsi="Arial"/>
          <w:sz w:val="18"/>
          <w:szCs w:val="18"/>
          <w:color w:val="auto"/>
        </w:rPr>
        <w:t>” shall have the meaning set forth in Section 12.4.</w:t>
      </w:r>
    </w:p>
    <w:p>
      <w:pPr>
        <w:spacing w:after="0" w:line="32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u w:val="single" w:color="auto"/>
          <w:color w:val="auto"/>
        </w:rPr>
        <w:t>Section 1.36</w:t>
      </w:r>
      <w:r>
        <w:rPr>
          <w:rFonts w:ascii="Arial" w:cs="Arial" w:eastAsia="Arial" w:hAnsi="Arial"/>
          <w:sz w:val="20"/>
          <w:szCs w:val="20"/>
          <w:color w:val="auto"/>
        </w:rPr>
        <w:t xml:space="preserve"> “</w:t>
      </w:r>
      <w:r>
        <w:rPr>
          <w:rFonts w:ascii="Arial" w:cs="Arial" w:eastAsia="Arial" w:hAnsi="Arial"/>
          <w:sz w:val="20"/>
          <w:szCs w:val="20"/>
          <w:u w:val="single" w:color="auto"/>
          <w:color w:val="auto"/>
        </w:rPr>
        <w:t>Option</w:t>
      </w:r>
      <w:r>
        <w:rPr>
          <w:rFonts w:ascii="Arial" w:cs="Arial" w:eastAsia="Arial" w:hAnsi="Arial"/>
          <w:sz w:val="20"/>
          <w:szCs w:val="20"/>
          <w:color w:val="auto"/>
        </w:rPr>
        <w:t>” shall mean an option to purchase Company Common Stock granted under the Plan. The term “Option” includes both an Incentive Stock Option and a Non-Qualified Stock Option.</w:t>
      </w:r>
    </w:p>
    <w:p>
      <w:pPr>
        <w:spacing w:after="0" w:line="28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1.37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shall have the meaning set forth in Section 4.3.</w:t>
      </w:r>
    </w:p>
    <w:p>
      <w:pPr>
        <w:spacing w:after="0" w:line="32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1.38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Optionee</w:t>
      </w:r>
      <w:r>
        <w:rPr>
          <w:rFonts w:ascii="Arial" w:cs="Arial" w:eastAsia="Arial" w:hAnsi="Arial"/>
          <w:sz w:val="18"/>
          <w:szCs w:val="18"/>
          <w:color w:val="auto"/>
        </w:rPr>
        <w:t>” shall mean a Participant to whom an Option or SAR is granted under the Plan.</w:t>
      </w:r>
    </w:p>
    <w:p>
      <w:pPr>
        <w:spacing w:after="0" w:line="32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1.39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shall mean any Service Provider who has been granted an Award pursuant to the Plan.</w:t>
      </w:r>
    </w:p>
    <w:p>
      <w:pPr>
        <w:spacing w:after="0" w:line="32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u w:val="single" w:color="auto"/>
          <w:color w:val="auto"/>
        </w:rPr>
        <w:t>Section 1.40</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Performance Award</w:t>
      </w:r>
      <w:r>
        <w:rPr>
          <w:rFonts w:ascii="Arial" w:cs="Arial" w:eastAsia="Arial" w:hAnsi="Arial"/>
          <w:sz w:val="20"/>
          <w:szCs w:val="20"/>
          <w:color w:val="auto"/>
        </w:rPr>
        <w:t>” shall mean Performance Shares, Performance Units and all other Awards that vest (in whole or in part) upon the achievement of specified Performance Goals.</w:t>
      </w:r>
    </w:p>
    <w:p>
      <w:pPr>
        <w:sectPr>
          <w:pgSz w:w="11900" w:h="16838" w:orient="portrait"/>
          <w:cols w:equalWidth="0" w:num="1">
            <w:col w:w="11420"/>
          </w:cols>
          <w:pgMar w:left="240" w:top="6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622" w:right="239" w:bottom="1440" w:gutter="0" w:footer="0" w:header="0"/>
          <w:type w:val="continuous"/>
        </w:sectPr>
      </w:pPr>
    </w:p>
    <w:bookmarkStart w:id="51" w:name="page52"/>
    <w:bookmarkEnd w:id="51"/>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1.41</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Performance Cycle</w:t>
      </w:r>
      <w:r>
        <w:rPr>
          <w:rFonts w:ascii="Arial" w:cs="Arial" w:eastAsia="Arial" w:hAnsi="Arial"/>
          <w:sz w:val="20"/>
          <w:szCs w:val="20"/>
          <w:color w:val="auto"/>
        </w:rPr>
        <w:t>” shall mean the period of time selected by the Administrator during which performance is measured for the purpose of determining the extent to which a Performance Award has been earned or vested.</w:t>
      </w:r>
    </w:p>
    <w:p>
      <w:pPr>
        <w:spacing w:after="0" w:line="2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1.42</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Performance Goals</w:t>
      </w:r>
      <w:r>
        <w:rPr>
          <w:rFonts w:ascii="Arial" w:cs="Arial" w:eastAsia="Arial" w:hAnsi="Arial"/>
          <w:sz w:val="20"/>
          <w:szCs w:val="20"/>
          <w:color w:val="auto"/>
        </w:rPr>
        <w:t>” means the objectives established by the Administrator for a Performance Cycle pursuant to Section 7.4 for the purpose of determining the extent to which a Performance Award has been earned or vested.</w:t>
      </w:r>
    </w:p>
    <w:p>
      <w:pPr>
        <w:spacing w:after="0" w:line="2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1.43</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Performance Share</w:t>
      </w:r>
      <w:r>
        <w:rPr>
          <w:rFonts w:ascii="Arial" w:cs="Arial" w:eastAsia="Arial" w:hAnsi="Arial"/>
          <w:sz w:val="20"/>
          <w:szCs w:val="20"/>
          <w:color w:val="auto"/>
        </w:rPr>
        <w:t>” means an Award granted pursuant to Article VII of the Plan of a contractual right to receive a Share (or the cash equivalent thereof) upon the achievement, in whole or in part, of the applicable Performance Goals.</w:t>
      </w:r>
    </w:p>
    <w:p>
      <w:pPr>
        <w:spacing w:after="0" w:line="2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Performance Unit</w:t>
      </w:r>
      <w:r>
        <w:rPr>
          <w:rFonts w:ascii="Arial" w:cs="Arial" w:eastAsia="Arial" w:hAnsi="Arial"/>
          <w:sz w:val="19"/>
          <w:szCs w:val="19"/>
          <w:color w:val="auto"/>
        </w:rPr>
        <w:t>” means a dollar-denominated unit (or a unit denominated in the Participant’s local currency) granted pursuant to Article VII of the Plan, payable upon the achievement, in whole or in part, of the applicable Performance Goals.</w:t>
      </w:r>
    </w:p>
    <w:p>
      <w:pPr>
        <w:spacing w:after="0" w:line="26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1.45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Permitted Transfer</w:t>
      </w:r>
      <w:r>
        <w:rPr>
          <w:rFonts w:ascii="Arial" w:cs="Arial" w:eastAsia="Arial" w:hAnsi="Arial"/>
          <w:sz w:val="16"/>
          <w:szCs w:val="16"/>
          <w:color w:val="auto"/>
        </w:rPr>
        <w:t>” shall have the meaning ascribed to such term in the Stockholders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1.46</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Person</w:t>
      </w:r>
      <w:r>
        <w:rPr>
          <w:rFonts w:ascii="Arial" w:cs="Arial" w:eastAsia="Arial" w:hAnsi="Arial"/>
          <w:sz w:val="20"/>
          <w:szCs w:val="20"/>
          <w:color w:val="auto"/>
        </w:rPr>
        <w:t>” shall mean an individual, partnership, corporation, limited liability company, business trust, joint stock company, trust, unincorporated association, joint venture, governmental authority or any other entity of whatever nature.</w:t>
      </w:r>
    </w:p>
    <w:p>
      <w:pPr>
        <w:spacing w:after="0" w:line="17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1.47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shall have the meaning set forth in the Preamble hereto.</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1.48</w:t>
      </w:r>
      <w:r>
        <w:rPr>
          <w:rFonts w:ascii="Arial" w:cs="Arial" w:eastAsia="Arial" w:hAnsi="Arial"/>
          <w:sz w:val="20"/>
          <w:szCs w:val="20"/>
          <w:color w:val="auto"/>
        </w:rPr>
        <w:t xml:space="preserve"> “</w:t>
      </w:r>
      <w:r>
        <w:rPr>
          <w:rFonts w:ascii="Arial" w:cs="Arial" w:eastAsia="Arial" w:hAnsi="Arial"/>
          <w:sz w:val="20"/>
          <w:szCs w:val="20"/>
          <w:u w:val="single" w:color="auto"/>
          <w:color w:val="auto"/>
        </w:rPr>
        <w:t>Principal Stockholders</w:t>
      </w:r>
      <w:r>
        <w:rPr>
          <w:rFonts w:ascii="Arial" w:cs="Arial" w:eastAsia="Arial" w:hAnsi="Arial"/>
          <w:sz w:val="20"/>
          <w:szCs w:val="20"/>
          <w:color w:val="auto"/>
        </w:rPr>
        <w:t>” shall mean (</w:t>
      </w:r>
      <w:r>
        <w:rPr>
          <w:rFonts w:ascii="Arial" w:cs="Arial" w:eastAsia="Arial" w:hAnsi="Arial"/>
          <w:sz w:val="20"/>
          <w:szCs w:val="20"/>
          <w:u w:val="single" w:color="auto"/>
          <w:color w:val="auto"/>
        </w:rPr>
        <w:t>i</w:t>
      </w:r>
      <w:r>
        <w:rPr>
          <w:rFonts w:ascii="Arial" w:cs="Arial" w:eastAsia="Arial" w:hAnsi="Arial"/>
          <w:sz w:val="20"/>
          <w:szCs w:val="20"/>
          <w:color w:val="auto"/>
        </w:rPr>
        <w:t>) the Initial Carlyle Stockholders (as defined in the Stockholders Agreement) and (</w:t>
      </w:r>
      <w:r>
        <w:rPr>
          <w:rFonts w:ascii="Arial" w:cs="Arial" w:eastAsia="Arial" w:hAnsi="Arial"/>
          <w:sz w:val="20"/>
          <w:szCs w:val="20"/>
          <w:u w:val="single" w:color="auto"/>
          <w:color w:val="auto"/>
        </w:rPr>
        <w:t>ii</w:t>
      </w:r>
      <w:r>
        <w:rPr>
          <w:rFonts w:ascii="Arial" w:cs="Arial" w:eastAsia="Arial" w:hAnsi="Arial"/>
          <w:sz w:val="20"/>
          <w:szCs w:val="20"/>
          <w:color w:val="auto"/>
        </w:rPr>
        <w:t>) any of their Affiliates to which (</w:t>
      </w:r>
      <w:r>
        <w:rPr>
          <w:rFonts w:ascii="Arial" w:cs="Arial" w:eastAsia="Arial" w:hAnsi="Arial"/>
          <w:sz w:val="20"/>
          <w:szCs w:val="20"/>
          <w:u w:val="single" w:color="auto"/>
          <w:color w:val="auto"/>
        </w:rPr>
        <w:t>a</w:t>
      </w:r>
      <w:r>
        <w:rPr>
          <w:rFonts w:ascii="Arial" w:cs="Arial" w:eastAsia="Arial" w:hAnsi="Arial"/>
          <w:sz w:val="20"/>
          <w:szCs w:val="20"/>
          <w:color w:val="auto"/>
        </w:rPr>
        <w:t>) any of the Principal Stockholders identified in clause (i) or any other Person transfers Company Common Stock or (</w:t>
      </w:r>
      <w:r>
        <w:rPr>
          <w:rFonts w:ascii="Arial" w:cs="Arial" w:eastAsia="Arial" w:hAnsi="Arial"/>
          <w:sz w:val="20"/>
          <w:szCs w:val="20"/>
          <w:u w:val="single" w:color="auto"/>
          <w:color w:val="auto"/>
        </w:rPr>
        <w:t>b</w:t>
      </w:r>
      <w:r>
        <w:rPr>
          <w:rFonts w:ascii="Arial" w:cs="Arial" w:eastAsia="Arial" w:hAnsi="Arial"/>
          <w:sz w:val="20"/>
          <w:szCs w:val="20"/>
          <w:color w:val="auto"/>
        </w:rPr>
        <w:t>) the Company issues Company Common Stock.</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1.49</w:t>
      </w:r>
      <w:r>
        <w:rPr>
          <w:rFonts w:ascii="Arial" w:cs="Arial" w:eastAsia="Arial" w:hAnsi="Arial"/>
          <w:sz w:val="20"/>
          <w:szCs w:val="20"/>
          <w:color w:val="auto"/>
        </w:rPr>
        <w:t xml:space="preserve"> “</w:t>
      </w:r>
      <w:r>
        <w:rPr>
          <w:rFonts w:ascii="Arial" w:cs="Arial" w:eastAsia="Arial" w:hAnsi="Arial"/>
          <w:sz w:val="20"/>
          <w:szCs w:val="20"/>
          <w:u w:val="single" w:color="auto"/>
          <w:color w:val="auto"/>
        </w:rPr>
        <w:t>Public Offering</w:t>
      </w:r>
      <w:r>
        <w:rPr>
          <w:rFonts w:ascii="Arial" w:cs="Arial" w:eastAsia="Arial" w:hAnsi="Arial"/>
          <w:sz w:val="20"/>
          <w:szCs w:val="20"/>
          <w:color w:val="auto"/>
        </w:rPr>
        <w:t>” shall mean the first day as of which (</w:t>
      </w:r>
      <w:r>
        <w:rPr>
          <w:rFonts w:ascii="Arial" w:cs="Arial" w:eastAsia="Arial" w:hAnsi="Arial"/>
          <w:sz w:val="20"/>
          <w:szCs w:val="20"/>
          <w:u w:val="single" w:color="auto"/>
          <w:color w:val="auto"/>
        </w:rPr>
        <w:t>i</w:t>
      </w:r>
      <w:r>
        <w:rPr>
          <w:rFonts w:ascii="Arial" w:cs="Arial" w:eastAsia="Arial" w:hAnsi="Arial"/>
          <w:sz w:val="20"/>
          <w:szCs w:val="20"/>
          <w:color w:val="auto"/>
        </w:rPr>
        <w:t>) sales of Company Common Stock are made to the public in the United States pursuant to an underwritten public offering of the Company Common Stock led by one or more underwriters at least one of which is an underwriter of nationally recognized standing or (</w:t>
      </w:r>
      <w:r>
        <w:rPr>
          <w:rFonts w:ascii="Arial" w:cs="Arial" w:eastAsia="Arial" w:hAnsi="Arial"/>
          <w:sz w:val="20"/>
          <w:szCs w:val="20"/>
          <w:u w:val="single" w:color="auto"/>
          <w:color w:val="auto"/>
        </w:rPr>
        <w:t>ii</w:t>
      </w:r>
      <w:r>
        <w:rPr>
          <w:rFonts w:ascii="Arial" w:cs="Arial" w:eastAsia="Arial" w:hAnsi="Arial"/>
          <w:sz w:val="20"/>
          <w:szCs w:val="20"/>
          <w:color w:val="auto"/>
        </w:rPr>
        <w:t>) the Administrator has determined that the Company Common Stock otherwise has become publicly traded for this purpose.</w:t>
      </w:r>
    </w:p>
    <w:p>
      <w:pPr>
        <w:spacing w:after="0" w:line="19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20"/>
          <w:szCs w:val="20"/>
          <w:u w:val="single" w:color="auto"/>
          <w:color w:val="auto"/>
        </w:rPr>
        <w:t>Section 1.50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shall mean an Award granted pursuant to Section 6.1.</w:t>
      </w:r>
    </w:p>
    <w:p>
      <w:pPr>
        <w:spacing w:after="0" w:line="21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1.51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shall mean an Award granted pursuant to Section 6.2.</w:t>
      </w:r>
    </w:p>
    <w:p>
      <w:pPr>
        <w:spacing w:after="0" w:line="21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1.52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Secretary</w:t>
      </w:r>
      <w:r>
        <w:rPr>
          <w:rFonts w:ascii="Arial" w:cs="Arial" w:eastAsia="Arial" w:hAnsi="Arial"/>
          <w:sz w:val="16"/>
          <w:szCs w:val="16"/>
          <w:color w:val="auto"/>
        </w:rPr>
        <w:t>” shall mean the Secretary of the Company.</w:t>
      </w:r>
    </w:p>
    <w:p>
      <w:pPr>
        <w:spacing w:after="0" w:line="21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1.53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1.54</w:t>
      </w:r>
      <w:r>
        <w:rPr>
          <w:rFonts w:ascii="Arial" w:cs="Arial" w:eastAsia="Arial" w:hAnsi="Arial"/>
          <w:sz w:val="20"/>
          <w:szCs w:val="20"/>
          <w:color w:val="auto"/>
        </w:rPr>
        <w:t xml:space="preserve"> “</w:t>
      </w:r>
      <w:r>
        <w:rPr>
          <w:rFonts w:ascii="Arial" w:cs="Arial" w:eastAsia="Arial" w:hAnsi="Arial"/>
          <w:sz w:val="20"/>
          <w:szCs w:val="20"/>
          <w:u w:val="single" w:color="auto"/>
          <w:color w:val="auto"/>
        </w:rPr>
        <w:t>Service Award</w:t>
      </w:r>
      <w:r>
        <w:rPr>
          <w:rFonts w:ascii="Arial" w:cs="Arial" w:eastAsia="Arial" w:hAnsi="Arial"/>
          <w:sz w:val="20"/>
          <w:szCs w:val="20"/>
          <w:color w:val="auto"/>
        </w:rPr>
        <w:t>” shall mean all Awards that vest solely based on the passage of time or continued service over a fixed period of time.</w:t>
      </w:r>
    </w:p>
    <w:p>
      <w:pPr>
        <w:spacing w:after="0" w:line="17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1.55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shall mean an Employee, Consultant or Director.</w:t>
      </w:r>
    </w:p>
    <w:p>
      <w:pPr>
        <w:spacing w:after="0" w:line="21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1.56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Share</w:t>
      </w:r>
      <w:r>
        <w:rPr>
          <w:rFonts w:ascii="Arial" w:cs="Arial" w:eastAsia="Arial" w:hAnsi="Arial"/>
          <w:sz w:val="16"/>
          <w:szCs w:val="16"/>
          <w:color w:val="auto"/>
        </w:rPr>
        <w:t>” shall mean a share of Company Common Stock.</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1.57</w:t>
      </w:r>
      <w:r>
        <w:rPr>
          <w:rFonts w:ascii="Arial" w:cs="Arial" w:eastAsia="Arial" w:hAnsi="Arial"/>
          <w:sz w:val="20"/>
          <w:szCs w:val="20"/>
          <w:color w:val="auto"/>
        </w:rPr>
        <w:t xml:space="preserve"> “</w:t>
      </w:r>
      <w:r>
        <w:rPr>
          <w:rFonts w:ascii="Arial" w:cs="Arial" w:eastAsia="Arial" w:hAnsi="Arial"/>
          <w:sz w:val="20"/>
          <w:szCs w:val="20"/>
          <w:u w:val="single" w:color="auto"/>
          <w:color w:val="auto"/>
        </w:rPr>
        <w:t>Stock Appreciation Right</w:t>
      </w:r>
      <w:r>
        <w:rPr>
          <w:rFonts w:ascii="Arial" w:cs="Arial" w:eastAsia="Arial" w:hAnsi="Arial"/>
          <w:sz w:val="20"/>
          <w:szCs w:val="20"/>
          <w:color w:val="auto"/>
        </w:rPr>
        <w:t>” or “</w:t>
      </w:r>
      <w:r>
        <w:rPr>
          <w:rFonts w:ascii="Arial" w:cs="Arial" w:eastAsia="Arial" w:hAnsi="Arial"/>
          <w:sz w:val="20"/>
          <w:szCs w:val="20"/>
          <w:u w:val="single" w:color="auto"/>
          <w:color w:val="auto"/>
        </w:rPr>
        <w:t>SAR</w:t>
      </w:r>
      <w:r>
        <w:rPr>
          <w:rFonts w:ascii="Arial" w:cs="Arial" w:eastAsia="Arial" w:hAnsi="Arial"/>
          <w:sz w:val="20"/>
          <w:szCs w:val="20"/>
          <w:color w:val="auto"/>
        </w:rPr>
        <w:t>” shall mean the right to receive a payment from the Company in cash and/or Shares equal to the product of (</w:t>
      </w:r>
      <w:r>
        <w:rPr>
          <w:rFonts w:ascii="Arial" w:cs="Arial" w:eastAsia="Arial" w:hAnsi="Arial"/>
          <w:sz w:val="20"/>
          <w:szCs w:val="20"/>
          <w:u w:val="single" w:color="auto"/>
          <w:color w:val="auto"/>
        </w:rPr>
        <w:t>i</w:t>
      </w:r>
      <w:r>
        <w:rPr>
          <w:rFonts w:ascii="Arial" w:cs="Arial" w:eastAsia="Arial" w:hAnsi="Arial"/>
          <w:sz w:val="20"/>
          <w:szCs w:val="20"/>
          <w:color w:val="auto"/>
        </w:rPr>
        <w:t>) the excess, if any, of the Fair Market Value of one Share on the exercise date over a specified price (the “</w:t>
      </w:r>
      <w:r>
        <w:rPr>
          <w:rFonts w:ascii="Arial" w:cs="Arial" w:eastAsia="Arial" w:hAnsi="Arial"/>
          <w:sz w:val="20"/>
          <w:szCs w:val="20"/>
          <w:u w:val="single" w:color="auto"/>
          <w:color w:val="auto"/>
        </w:rPr>
        <w:t>Base</w:t>
      </w:r>
      <w:r>
        <w:rPr>
          <w:rFonts w:ascii="Arial" w:cs="Arial" w:eastAsia="Arial" w:hAnsi="Arial"/>
          <w:sz w:val="20"/>
          <w:szCs w:val="20"/>
          <w:color w:val="auto"/>
        </w:rPr>
        <w:t xml:space="preserve"> </w:t>
      </w:r>
      <w:r>
        <w:rPr>
          <w:rFonts w:ascii="Arial" w:cs="Arial" w:eastAsia="Arial" w:hAnsi="Arial"/>
          <w:sz w:val="20"/>
          <w:szCs w:val="20"/>
          <w:u w:val="single" w:color="auto"/>
          <w:color w:val="auto"/>
        </w:rPr>
        <w:t>Price</w:t>
      </w:r>
      <w:r>
        <w:rPr>
          <w:rFonts w:ascii="Arial" w:cs="Arial" w:eastAsia="Arial" w:hAnsi="Arial"/>
          <w:sz w:val="20"/>
          <w:szCs w:val="20"/>
          <w:color w:val="auto"/>
        </w:rPr>
        <w:t>”) fixed by the Administrator on the grant date (which specified price shall not be less than the Fair Market Value of one Share on the grant date), multiplied by (</w:t>
      </w:r>
      <w:r>
        <w:rPr>
          <w:rFonts w:ascii="Arial" w:cs="Arial" w:eastAsia="Arial" w:hAnsi="Arial"/>
          <w:sz w:val="20"/>
          <w:szCs w:val="20"/>
          <w:u w:val="single" w:color="auto"/>
          <w:color w:val="auto"/>
        </w:rPr>
        <w:t>ii</w:t>
      </w:r>
      <w:r>
        <w:rPr>
          <w:rFonts w:ascii="Arial" w:cs="Arial" w:eastAsia="Arial" w:hAnsi="Arial"/>
          <w:sz w:val="20"/>
          <w:szCs w:val="20"/>
          <w:color w:val="auto"/>
        </w:rPr>
        <w:t>) a stated number of Shares.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30" w:right="239" w:bottom="1440" w:gutter="0" w:footer="0" w:header="0"/>
        </w:sectPr>
      </w:pPr>
    </w:p>
    <w:bookmarkStart w:id="52" w:name="page53"/>
    <w:bookmarkEnd w:id="52"/>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1.58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Stock-Based Award</w:t>
      </w:r>
      <w:r>
        <w:rPr>
          <w:rFonts w:ascii="Arial" w:cs="Arial" w:eastAsia="Arial" w:hAnsi="Arial"/>
          <w:sz w:val="18"/>
          <w:szCs w:val="18"/>
          <w:color w:val="auto"/>
        </w:rPr>
        <w:t>” shall have the meaning set forth in Section 9.1.</w:t>
      </w:r>
    </w:p>
    <w:p>
      <w:pPr>
        <w:spacing w:after="0" w:line="21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1.59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Purchase Right</w:t>
      </w:r>
      <w:r>
        <w:rPr>
          <w:rFonts w:ascii="Arial" w:cs="Arial" w:eastAsia="Arial" w:hAnsi="Arial"/>
          <w:sz w:val="16"/>
          <w:szCs w:val="16"/>
          <w:color w:val="auto"/>
        </w:rPr>
        <w:t>” shall mean an Award granted pursuant to Section 3.4.</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u w:val="single" w:color="auto"/>
          <w:color w:val="auto"/>
        </w:rPr>
        <w:t>Section 1.60</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shall mean that certain agreement by and among each Participant, the Principal Stockholders, the Company and other parties thereto, which contains certain restrictions and limitations applicable to Awards granted under this Plan, as may be amended from time to time. Prior to a Public Offering, if the Participant is not a party to the Stockholders Agreement at the time of grant of an Award of Shares, settlement of an Award, purchase of Company Common Stock pursuant to a Stock Purchase Right or exercise of an Option or SAR (or any portion thereof), the time of grant of such Award, settlement of such Award, purchase of Company Common Stock pursuant to a Stock Purchase Right or, as applicable, the exercise of an Option or SAR shall be subject to the condition that the Participant enter into the Stockholders Agreement with the Company in the form provided to the Participant by the Company.</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1.61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Subplans</w:t>
      </w:r>
      <w:r>
        <w:rPr>
          <w:rFonts w:ascii="Arial" w:cs="Arial" w:eastAsia="Arial" w:hAnsi="Arial"/>
          <w:sz w:val="16"/>
          <w:szCs w:val="16"/>
          <w:color w:val="auto"/>
        </w:rPr>
        <w:t>” shall have the meaning set forth in Section 12.4.</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1.62</w:t>
      </w:r>
      <w:r>
        <w:rPr>
          <w:rFonts w:ascii="Arial" w:cs="Arial" w:eastAsia="Arial" w:hAnsi="Arial"/>
          <w:sz w:val="20"/>
          <w:szCs w:val="20"/>
          <w:color w:val="auto"/>
        </w:rPr>
        <w:t xml:space="preserve"> “</w:t>
      </w:r>
      <w:r>
        <w:rPr>
          <w:rFonts w:ascii="Arial" w:cs="Arial" w:eastAsia="Arial" w:hAnsi="Arial"/>
          <w:sz w:val="20"/>
          <w:szCs w:val="20"/>
          <w:u w:val="single" w:color="auto"/>
          <w:color w:val="auto"/>
        </w:rPr>
        <w:t>Subsidiary</w:t>
      </w:r>
      <w:r>
        <w:rPr>
          <w:rFonts w:ascii="Arial" w:cs="Arial" w:eastAsia="Arial" w:hAnsi="Arial"/>
          <w:sz w:val="20"/>
          <w:szCs w:val="20"/>
          <w:color w:val="auto"/>
        </w:rPr>
        <w:t>” of any entity shall mean any corporation in an unbroken chain of corporations beginning with such entity if each of the corporations other than the last corporation in the unbroken chain then owns stock possessing 50% or more of the total combined voting power of all classes of stock in one of the other corporations in such chain.</w:t>
      </w:r>
    </w:p>
    <w:p>
      <w:pPr>
        <w:spacing w:after="0" w:line="1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u w:val="single" w:color="auto"/>
          <w:color w:val="auto"/>
        </w:rPr>
        <w:t>Section 1.63</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xml:space="preserve">” and any similar term or terms shall mean, with respect to a director who is not an Employee of the Company or any of its Subsidiaries, the date upon which such director ceases to be a member of the Board, with respect to a Consultant who is not an Employee of the Company or any of its Subsidiaries, the date upon which such Consultant ceases to provide consulting or advisory services to the Company or any of its Subsidiaries, and, with respect to an Employee, the date the Participant ceases to be an Employee;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any Award subject to Section 409A of the Code, such terms shall mean “separation from service,” as defined in Section 409A of the Code and the rules, regulations and guidance promulgated thereunder.</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1.64</w:t>
      </w:r>
      <w:r>
        <w:rPr>
          <w:rFonts w:ascii="Arial" w:cs="Arial" w:eastAsia="Arial" w:hAnsi="Arial"/>
          <w:sz w:val="20"/>
          <w:szCs w:val="20"/>
          <w:color w:val="auto"/>
        </w:rPr>
        <w:t xml:space="preserve"> “</w:t>
      </w:r>
      <w:r>
        <w:rPr>
          <w:rFonts w:ascii="Arial" w:cs="Arial" w:eastAsia="Arial" w:hAnsi="Arial"/>
          <w:sz w:val="20"/>
          <w:szCs w:val="20"/>
          <w:u w:val="single" w:color="auto"/>
          <w:color w:val="auto"/>
        </w:rPr>
        <w:t>Withholding Taxes</w:t>
      </w:r>
      <w:r>
        <w:rPr>
          <w:rFonts w:ascii="Arial" w:cs="Arial" w:eastAsia="Arial" w:hAnsi="Arial"/>
          <w:sz w:val="20"/>
          <w:szCs w:val="20"/>
          <w:color w:val="auto"/>
        </w:rPr>
        <w:t>” shall mean the statutory minimum of any federal, state, local or foreign income taxes, withholding taxes or employment taxes required to be withheld under Applicable Law.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SHARES SUBJECT TO THE PLAN</w:t>
      </w:r>
    </w:p>
    <w:p>
      <w:pPr>
        <w:spacing w:after="0" w:line="22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u w:val="single" w:color="auto"/>
          <w:color w:val="auto"/>
        </w:rPr>
        <w:t>Section 2.1</w:t>
      </w:r>
      <w:r>
        <w:rPr>
          <w:sz w:val="20"/>
          <w:szCs w:val="20"/>
          <w:color w:val="auto"/>
        </w:rPr>
        <w:tab/>
      </w:r>
      <w:r>
        <w:rPr>
          <w:rFonts w:ascii="Arial" w:cs="Arial" w:eastAsia="Arial" w:hAnsi="Arial"/>
          <w:sz w:val="16"/>
          <w:szCs w:val="16"/>
          <w:u w:val="single" w:color="auto"/>
          <w:color w:val="auto"/>
        </w:rPr>
        <w:t>Shares Subject to Plan</w:t>
      </w:r>
      <w:r>
        <w:rPr>
          <w:rFonts w:ascii="Arial" w:cs="Arial" w:eastAsia="Arial" w:hAnsi="Arial"/>
          <w:sz w:val="16"/>
          <w:szCs w:val="16"/>
          <w:color w:val="auto"/>
        </w:rPr>
        <w:t>.</w:t>
      </w:r>
    </w:p>
    <w:p>
      <w:pPr>
        <w:spacing w:after="0" w:line="200" w:lineRule="exact"/>
        <w:rPr>
          <w:sz w:val="20"/>
          <w:szCs w:val="20"/>
          <w:color w:val="auto"/>
        </w:rPr>
      </w:pPr>
    </w:p>
    <w:p>
      <w:pPr>
        <w:spacing w:after="0" w:line="245" w:lineRule="exact"/>
        <w:rPr>
          <w:sz w:val="20"/>
          <w:szCs w:val="20"/>
          <w:color w:val="auto"/>
        </w:rPr>
      </w:pPr>
    </w:p>
    <w:p>
      <w:pPr>
        <w:jc w:val="both"/>
        <w:ind w:firstLine="1305"/>
        <w:spacing w:after="0" w:line="278" w:lineRule="auto"/>
        <w:tabs>
          <w:tab w:leader="none" w:pos="2164"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Subject to Section 14.1, the aggregate number of Shares which may be issued under this Plan is 33,000,000;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subject to Section 2.1(b), no more than 33,000,000 Shares shall be issued in the form of Options under the Plan. The Shares may be authorized but unissued, or reacquired Company Common Stock.</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jc w:val="both"/>
        <w:ind w:firstLine="1305"/>
        <w:spacing w:after="0" w:line="271" w:lineRule="auto"/>
        <w:tabs>
          <w:tab w:leader="none" w:pos="2175"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To the extent that an Award terminates, is forfeited, is repurchased, expires, or lapses for any reason, any Shares subject to the Award shall again be available for the grant of an Award pursuant to the Plan;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vested Shares that are repurchased after being issued from the Plan shall not be available for future issuance under the Plan. Additionally, any Shares tendered or withheld to satisfy the grant or exercise price or tax withholding obligation pursuant to any Award shall again be available for the grant of an Award pursuant to the Plan. To the extent permitted by Applicable Law, Shares issued in assumption of, or in substitution for, any outstanding awards of any entity acquired in any form of combination by the Company or any of its Subsidiaries shall not be counted against Shares available for grant pursuant to this Plan.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22" w:right="239" w:bottom="1440" w:gutter="0" w:footer="0" w:header="0"/>
        </w:sectPr>
      </w:pPr>
    </w:p>
    <w:bookmarkStart w:id="53" w:name="page54"/>
    <w:bookmarkEnd w:id="53"/>
    <w:p>
      <w:pPr>
        <w:ind w:firstLine="648"/>
        <w:spacing w:after="0" w:line="260" w:lineRule="auto"/>
        <w:rPr>
          <w:sz w:val="20"/>
          <w:szCs w:val="20"/>
          <w:color w:val="auto"/>
        </w:rPr>
      </w:pPr>
      <w:r>
        <w:rPr>
          <w:rFonts w:ascii="Arial" w:cs="Arial" w:eastAsia="Arial" w:hAnsi="Arial"/>
          <w:sz w:val="20"/>
          <w:szCs w:val="20"/>
          <w:u w:val="single" w:color="auto"/>
          <w:color w:val="auto"/>
        </w:rPr>
        <w:t>Section 2.2 Individual Award Limitations</w:t>
      </w:r>
      <w:r>
        <w:rPr>
          <w:rFonts w:ascii="Arial" w:cs="Arial" w:eastAsia="Arial" w:hAnsi="Arial"/>
          <w:sz w:val="20"/>
          <w:szCs w:val="20"/>
          <w:color w:val="auto"/>
        </w:rPr>
        <w:t>. Subject to Section 2.1(a) and Section 14.1, the following individual Award limits shall apply for those Awards intended to qualify as performance-based compensation under Section 162(m) of the Code:</w:t>
      </w:r>
    </w:p>
    <w:p>
      <w:pPr>
        <w:spacing w:after="0" w:line="200" w:lineRule="exact"/>
        <w:rPr>
          <w:sz w:val="20"/>
          <w:szCs w:val="20"/>
          <w:color w:val="auto"/>
        </w:rPr>
      </w:pPr>
    </w:p>
    <w:p>
      <w:pPr>
        <w:spacing w:after="0" w:line="207" w:lineRule="exact"/>
        <w:rPr>
          <w:sz w:val="20"/>
          <w:szCs w:val="20"/>
          <w:color w:val="auto"/>
        </w:rPr>
      </w:pPr>
    </w:p>
    <w:p>
      <w:pPr>
        <w:ind w:right="20" w:firstLine="1305"/>
        <w:spacing w:after="0" w:line="316" w:lineRule="auto"/>
        <w:tabs>
          <w:tab w:leader="none" w:pos="2164" w:val="left"/>
        </w:tabs>
        <w:numPr>
          <w:ilvl w:val="0"/>
          <w:numId w:val="41"/>
        </w:numPr>
        <w:rPr>
          <w:rFonts w:ascii="Arial" w:cs="Arial" w:eastAsia="Arial" w:hAnsi="Arial"/>
          <w:sz w:val="19"/>
          <w:szCs w:val="19"/>
          <w:color w:val="auto"/>
        </w:rPr>
      </w:pPr>
      <w:r>
        <w:rPr>
          <w:rFonts w:ascii="Arial" w:cs="Arial" w:eastAsia="Arial" w:hAnsi="Arial"/>
          <w:sz w:val="19"/>
          <w:szCs w:val="19"/>
          <w:color w:val="auto"/>
        </w:rPr>
        <w:t>No Participant may receive the right to more than 450,000 Performance Shares, shares of performance-based Restricted Stock and Restricted Stock Units and performance-based Deferred Share Units under the Plan in any one year.</w:t>
      </w:r>
    </w:p>
    <w:p>
      <w:pPr>
        <w:spacing w:after="0" w:line="370" w:lineRule="exact"/>
        <w:rPr>
          <w:rFonts w:ascii="Arial" w:cs="Arial" w:eastAsia="Arial" w:hAnsi="Arial"/>
          <w:sz w:val="19"/>
          <w:szCs w:val="19"/>
          <w:color w:val="auto"/>
        </w:rPr>
      </w:pPr>
    </w:p>
    <w:p>
      <w:pPr>
        <w:ind w:firstLine="1305"/>
        <w:spacing w:after="0" w:line="289" w:lineRule="auto"/>
        <w:tabs>
          <w:tab w:leader="none" w:pos="2175" w:val="left"/>
        </w:tabs>
        <w:numPr>
          <w:ilvl w:val="0"/>
          <w:numId w:val="41"/>
        </w:numPr>
        <w:rPr>
          <w:rFonts w:ascii="Arial" w:cs="Arial" w:eastAsia="Arial" w:hAnsi="Arial"/>
          <w:sz w:val="20"/>
          <w:szCs w:val="20"/>
          <w:color w:val="auto"/>
        </w:rPr>
      </w:pPr>
      <w:r>
        <w:rPr>
          <w:rFonts w:ascii="Arial" w:cs="Arial" w:eastAsia="Arial" w:hAnsi="Arial"/>
          <w:sz w:val="20"/>
          <w:szCs w:val="20"/>
          <w:color w:val="auto"/>
        </w:rPr>
        <w:t>No Participant may receive the right to Performance Units under the Plan in any one year with a value of more than US $5,000,000 (or the equivalent of such amount denominated in the Participant’s local currency).</w:t>
      </w:r>
    </w:p>
    <w:p>
      <w:pPr>
        <w:spacing w:after="0" w:line="391" w:lineRule="exact"/>
        <w:rPr>
          <w:rFonts w:ascii="Arial" w:cs="Arial" w:eastAsia="Arial" w:hAnsi="Arial"/>
          <w:sz w:val="20"/>
          <w:szCs w:val="20"/>
          <w:color w:val="auto"/>
        </w:rPr>
      </w:pPr>
    </w:p>
    <w:p>
      <w:pPr>
        <w:ind w:firstLine="1305"/>
        <w:spacing w:after="0" w:line="289" w:lineRule="auto"/>
        <w:tabs>
          <w:tab w:leader="none" w:pos="2164" w:val="left"/>
        </w:tabs>
        <w:numPr>
          <w:ilvl w:val="0"/>
          <w:numId w:val="41"/>
        </w:numPr>
        <w:rPr>
          <w:rFonts w:ascii="Arial" w:cs="Arial" w:eastAsia="Arial" w:hAnsi="Arial"/>
          <w:sz w:val="20"/>
          <w:szCs w:val="20"/>
          <w:color w:val="auto"/>
        </w:rPr>
      </w:pPr>
      <w:r>
        <w:rPr>
          <w:rFonts w:ascii="Arial" w:cs="Arial" w:eastAsia="Arial" w:hAnsi="Arial"/>
          <w:sz w:val="20"/>
          <w:szCs w:val="20"/>
          <w:color w:val="auto"/>
        </w:rPr>
        <w:t>No Participant may receive Options, SARs or any other Award based solely on the increase in value of the Shares on more than 700,000 Shares under the Plan in any one year.</w:t>
      </w:r>
    </w:p>
    <w:p>
      <w:pPr>
        <w:spacing w:after="0" w:line="37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u w:val="single" w:color="auto"/>
          <w:color w:val="auto"/>
        </w:rPr>
        <w:t>Section 2.3 Prohibition Against Repricing</w:t>
      </w:r>
      <w:r>
        <w:rPr>
          <w:rFonts w:ascii="Arial" w:cs="Arial" w:eastAsia="Arial" w:hAnsi="Arial"/>
          <w:sz w:val="20"/>
          <w:szCs w:val="20"/>
          <w:color w:val="auto"/>
        </w:rPr>
        <w:t>. Except to the extent (</w:t>
      </w:r>
      <w:r>
        <w:rPr>
          <w:rFonts w:ascii="Arial" w:cs="Arial" w:eastAsia="Arial" w:hAnsi="Arial"/>
          <w:sz w:val="20"/>
          <w:szCs w:val="20"/>
          <w:u w:val="single" w:color="auto"/>
          <w:color w:val="auto"/>
        </w:rPr>
        <w:t>i</w:t>
      </w:r>
      <w:r>
        <w:rPr>
          <w:rFonts w:ascii="Arial" w:cs="Arial" w:eastAsia="Arial" w:hAnsi="Arial"/>
          <w:sz w:val="20"/>
          <w:szCs w:val="20"/>
          <w:color w:val="auto"/>
        </w:rPr>
        <w:t>) approved in advance by holders of a majority of the Shares entitled to vote generally in the election of directors or (</w:t>
      </w:r>
      <w:r>
        <w:rPr>
          <w:rFonts w:ascii="Arial" w:cs="Arial" w:eastAsia="Arial" w:hAnsi="Arial"/>
          <w:sz w:val="20"/>
          <w:szCs w:val="20"/>
          <w:u w:val="single" w:color="auto"/>
          <w:color w:val="auto"/>
        </w:rPr>
        <w:t>ii</w:t>
      </w:r>
      <w:r>
        <w:rPr>
          <w:rFonts w:ascii="Arial" w:cs="Arial" w:eastAsia="Arial" w:hAnsi="Arial"/>
          <w:sz w:val="20"/>
          <w:szCs w:val="20"/>
          <w:color w:val="auto"/>
        </w:rPr>
        <w:t>) as a result of any Corporate Event, the Administrator shall not have the power or authority to reduce, whether through amendment or otherwise, the exercise price of any outstanding Option or base price of any outstanding Stock Appreciation Right or to grant any new Award, or make any cash payment, in substitution for or upon the cancellation of Options or Stock Appreciation Rights previously granted.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GRANTING OF OPTIONS AND SARS AND SALE OF COMPANY COMMON STOCK</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3.1 Eligibility</w:t>
      </w:r>
      <w:r>
        <w:rPr>
          <w:rFonts w:ascii="Arial" w:cs="Arial" w:eastAsia="Arial" w:hAnsi="Arial"/>
          <w:sz w:val="20"/>
          <w:szCs w:val="20"/>
          <w:color w:val="auto"/>
        </w:rPr>
        <w:t>. Non-Qualified Stock Options and Stock Appreciation Rights may be granted to Service Providers. Subject to Section 3.2, Incentive Stock Options may only be granted to Employees.</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u w:val="single" w:color="auto"/>
          <w:color w:val="auto"/>
        </w:rPr>
        <w:t>Section 3.2 Qualification of Incentive Stock Options</w:t>
      </w:r>
      <w:r>
        <w:rPr>
          <w:rFonts w:ascii="Arial" w:cs="Arial" w:eastAsia="Arial" w:hAnsi="Arial"/>
          <w:sz w:val="18"/>
          <w:szCs w:val="18"/>
          <w:color w:val="auto"/>
        </w:rPr>
        <w:t>. No Employee may be granted an Incentive Stock Option under the Plan if such Employee, at the time the Incentive Stock Option is granted, owns stock possessing more than ten (10) percent of the total combined voting power of all classes of stock of the Company or any then existing Subsidiary of the Company or “parent corporation” (within the meaning of Section 424(e) of the Code) unless such Incentive Stock Option conforms to the applicable provisions of Section 422 of the Code.</w:t>
      </w:r>
    </w:p>
    <w:p>
      <w:pPr>
        <w:spacing w:after="0" w:line="16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u w:val="single" w:color="auto"/>
          <w:color w:val="auto"/>
        </w:rPr>
        <w:t>Section 3.3</w:t>
      </w:r>
      <w:r>
        <w:rPr>
          <w:sz w:val="20"/>
          <w:szCs w:val="20"/>
          <w:color w:val="auto"/>
        </w:rPr>
        <w:tab/>
      </w:r>
      <w:r>
        <w:rPr>
          <w:rFonts w:ascii="Arial" w:cs="Arial" w:eastAsia="Arial" w:hAnsi="Arial"/>
          <w:sz w:val="18"/>
          <w:szCs w:val="18"/>
          <w:u w:val="single" w:color="auto"/>
          <w:color w:val="auto"/>
        </w:rPr>
        <w:t>Granting of Options and Stock Appreciation Rights to Service Providers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2180" w:hanging="875"/>
        <w:spacing w:after="0"/>
        <w:tabs>
          <w:tab w:leader="none" w:pos="218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Options and Stock Appreciation Rights</w:t>
      </w:r>
      <w:r>
        <w:rPr>
          <w:rFonts w:ascii="Arial" w:cs="Arial" w:eastAsia="Arial" w:hAnsi="Arial"/>
          <w:sz w:val="20"/>
          <w:szCs w:val="20"/>
          <w:color w:val="auto"/>
        </w:rPr>
        <w:t>. The Administrator may from time to time:</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firstLine="1953"/>
        <w:spacing w:after="0" w:line="289" w:lineRule="auto"/>
        <w:tabs>
          <w:tab w:leader="none" w:pos="2780" w:val="left"/>
        </w:tabs>
        <w:numPr>
          <w:ilvl w:val="1"/>
          <w:numId w:val="42"/>
        </w:numPr>
        <w:rPr>
          <w:rFonts w:ascii="Arial" w:cs="Arial" w:eastAsia="Arial" w:hAnsi="Arial"/>
          <w:sz w:val="20"/>
          <w:szCs w:val="20"/>
          <w:color w:val="auto"/>
        </w:rPr>
      </w:pPr>
      <w:r>
        <w:rPr>
          <w:rFonts w:ascii="Arial" w:cs="Arial" w:eastAsia="Arial" w:hAnsi="Arial"/>
          <w:sz w:val="20"/>
          <w:szCs w:val="20"/>
          <w:color w:val="auto"/>
        </w:rPr>
        <w:t>Select from among the Service Providers (including those to whom Options or SARs have been previously granted under the Plan) such of them as in its opinion should be granted Options and/or SARs;</w:t>
      </w:r>
    </w:p>
    <w:p>
      <w:pPr>
        <w:spacing w:after="0" w:line="391" w:lineRule="exact"/>
        <w:rPr>
          <w:rFonts w:ascii="Arial" w:cs="Arial" w:eastAsia="Arial" w:hAnsi="Arial"/>
          <w:sz w:val="20"/>
          <w:szCs w:val="20"/>
          <w:color w:val="auto"/>
        </w:rPr>
      </w:pPr>
    </w:p>
    <w:p>
      <w:pPr>
        <w:ind w:firstLine="1953"/>
        <w:spacing w:after="0" w:line="289" w:lineRule="auto"/>
        <w:tabs>
          <w:tab w:leader="none" w:pos="2835" w:val="left"/>
        </w:tabs>
        <w:numPr>
          <w:ilvl w:val="1"/>
          <w:numId w:val="42"/>
        </w:numPr>
        <w:rPr>
          <w:rFonts w:ascii="Arial" w:cs="Arial" w:eastAsia="Arial" w:hAnsi="Arial"/>
          <w:sz w:val="20"/>
          <w:szCs w:val="20"/>
          <w:color w:val="auto"/>
        </w:rPr>
      </w:pPr>
      <w:r>
        <w:rPr>
          <w:rFonts w:ascii="Arial" w:cs="Arial" w:eastAsia="Arial" w:hAnsi="Arial"/>
          <w:sz w:val="20"/>
          <w:szCs w:val="20"/>
          <w:color w:val="auto"/>
        </w:rPr>
        <w:t>Determine the number of Shares to be subject to such Options and/or SARs granted to such Service Provider, and determine whether such Options are to be Incentive Stock Options or Non-Qualified Stock Options; and</w:t>
      </w:r>
    </w:p>
    <w:p>
      <w:pPr>
        <w:spacing w:after="0" w:line="391" w:lineRule="exact"/>
        <w:rPr>
          <w:rFonts w:ascii="Arial" w:cs="Arial" w:eastAsia="Arial" w:hAnsi="Arial"/>
          <w:sz w:val="20"/>
          <w:szCs w:val="20"/>
          <w:color w:val="auto"/>
        </w:rPr>
      </w:pPr>
    </w:p>
    <w:p>
      <w:pPr>
        <w:ind w:left="2900" w:hanging="947"/>
        <w:spacing w:after="0"/>
        <w:tabs>
          <w:tab w:leader="none" w:pos="2900" w:val="left"/>
        </w:tabs>
        <w:numPr>
          <w:ilvl w:val="1"/>
          <w:numId w:val="42"/>
        </w:numPr>
        <w:rPr>
          <w:rFonts w:ascii="Arial" w:cs="Arial" w:eastAsia="Arial" w:hAnsi="Arial"/>
          <w:sz w:val="20"/>
          <w:szCs w:val="20"/>
          <w:color w:val="auto"/>
        </w:rPr>
      </w:pPr>
      <w:r>
        <w:rPr>
          <w:rFonts w:ascii="Arial" w:cs="Arial" w:eastAsia="Arial" w:hAnsi="Arial"/>
          <w:sz w:val="20"/>
          <w:szCs w:val="20"/>
          <w:color w:val="auto"/>
        </w:rPr>
        <w:t>Determine the terms and conditions of such Options and SARs, consistent with the Plan.</w:t>
      </w:r>
    </w:p>
    <w:p>
      <w:pPr>
        <w:spacing w:after="0" w:line="200" w:lineRule="exact"/>
        <w:rPr>
          <w:sz w:val="20"/>
          <w:szCs w:val="20"/>
          <w:color w:val="auto"/>
        </w:rPr>
      </w:pPr>
    </w:p>
    <w:p>
      <w:pPr>
        <w:spacing w:after="0" w:line="24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Stock Appreciation Rights may be granted in tandem with Options or may be granted on a freestanding basis, not related to any Option. Unless otherwise determined by the Administrator at or after the grant date, Stock Appreciation Rights granted in tandem with Options shall have substantially similar terms and conditions to such Options to the extent applicable, or may be granted on a freestanding basis, not related to any Option.</w:t>
      </w:r>
    </w:p>
    <w:p>
      <w:pPr>
        <w:sectPr>
          <w:pgSz w:w="11900" w:h="16838" w:orient="portrait"/>
          <w:cols w:equalWidth="0" w:num="1">
            <w:col w:w="11420"/>
          </w:cols>
          <w:pgMar w:left="240" w:top="10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068" w:right="239" w:bottom="1440" w:gutter="0" w:footer="0" w:header="0"/>
          <w:type w:val="continuous"/>
        </w:sectPr>
      </w:pPr>
    </w:p>
    <w:bookmarkStart w:id="54" w:name="page55"/>
    <w:bookmarkEnd w:id="54"/>
    <w:p>
      <w:pPr>
        <w:jc w:val="both"/>
        <w:ind w:left="660" w:firstLine="1293"/>
        <w:spacing w:after="0" w:line="302" w:lineRule="auto"/>
        <w:tabs>
          <w:tab w:leader="none" w:pos="28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the selection of a Service Provider to be granted an Option or SAR under this Section 3.3, the Administrator shall instruct the Secretary or another authorized officer to issue such Option or SAR and may impose such conditions on the grant of such Option or SAR as it deems appropriate. Without limiting the generality of the preceding sentence, but subject to Section 2.3, the Administrator may, subject to applicable securities laws, require as a condition to the grant of an Option or SAR to a Service Provider that the Service Provider surrender for cancellation all or a portion of the unexercised Options or SARs which have previously been granted to him or her. An Option or SAR, the grant of which is conditioned upon such surrender, may have an Option Price or Base Price that is lower (or higher) than the Option Price or Base Price of the surrendered Option or SAR, may cover the same (or a lesser or greater) number of Shares as the surrendered Option or SAR, may contain such other terms as the Administrator deems appropriate and shall be exercisable in accordance with its terms, without regard to the number of Shares, price, period of exercisability or any other term or condition of the surrendered Option or SAR. Subject to Section 14.3 of the Plan, any Incentive Stock Option granted under the Plan may be modified by the Administrator, without the consent of the Optionee, even if such modification would result in the disqualification of such Option as an “incentive stock option” under Section 422 of the Code.</w:t>
      </w:r>
    </w:p>
    <w:p>
      <w:pPr>
        <w:spacing w:after="0" w:line="3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u w:val="single" w:color="auto"/>
          <w:color w:val="auto"/>
        </w:rPr>
        <w:t>Section 3.4 Sale of Company Common Stock to Service Providers</w:t>
      </w:r>
      <w:r>
        <w:rPr>
          <w:rFonts w:ascii="Arial" w:cs="Arial" w:eastAsia="Arial" w:hAnsi="Arial"/>
          <w:sz w:val="19"/>
          <w:szCs w:val="19"/>
          <w:color w:val="auto"/>
        </w:rPr>
        <w:t xml:space="preserve">. The Administrator, acting in its sole discretion, may from time to time designate one or more Service Providers to whom an offer to sell Shares shall be made and the terms and conditions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price per Share shall not be less than the Fair Market Value of such Shares on the date any such offer is accepted. Each Share sold to a Service Provider under this Section 3.4 shall be evidenced by a written stock purchase agreement in a form approved by the Board, which shall contain terms consistent with the terms hereof. Any Shares sold under this Section 3.4 shall be subject to the same limitations, restrictions and administration hereunder as would apply to any Shares issued pursuant to the exercise of an Option under this Plan including, but not limited to, conditions and restrictions set forth in Section 5.6 below. Shares acquired pursuant to this Section 3.4 prior to a Public Offering shall also be subject to the terms and conditions of a Stockholders Agreement, which shall be entered into with the Participant upon the acquisition of such Shares.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TERMS OF OPTIONS AND SARS</w:t>
      </w:r>
    </w:p>
    <w:p>
      <w:pPr>
        <w:spacing w:after="0" w:line="22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u w:val="single" w:color="auto"/>
          <w:color w:val="auto"/>
        </w:rPr>
        <w:t>Section 4.1</w:t>
      </w:r>
      <w:r>
        <w:rPr>
          <w:sz w:val="20"/>
          <w:szCs w:val="20"/>
          <w:color w:val="auto"/>
        </w:rPr>
        <w:tab/>
      </w:r>
      <w:r>
        <w:rPr>
          <w:rFonts w:ascii="Arial" w:cs="Arial" w:eastAsia="Arial" w:hAnsi="Arial"/>
          <w:sz w:val="18"/>
          <w:szCs w:val="18"/>
          <w:u w:val="single" w:color="auto"/>
          <w:color w:val="auto"/>
        </w:rPr>
        <w:t>Award Agreement</w:t>
      </w:r>
      <w:r>
        <w:rPr>
          <w:rFonts w:ascii="Arial" w:cs="Arial" w:eastAsia="Arial" w:hAnsi="Arial"/>
          <w:sz w:val="18"/>
          <w:szCs w:val="18"/>
          <w:color w:val="auto"/>
        </w:rPr>
        <w:t>.</w:t>
      </w:r>
    </w:p>
    <w:p>
      <w:pPr>
        <w:spacing w:after="0" w:line="229" w:lineRule="exact"/>
        <w:rPr>
          <w:sz w:val="20"/>
          <w:szCs w:val="20"/>
          <w:color w:val="auto"/>
        </w:rPr>
      </w:pPr>
    </w:p>
    <w:p>
      <w:pPr>
        <w:jc w:val="both"/>
        <w:ind w:firstLine="1305"/>
        <w:spacing w:after="0" w:line="293" w:lineRule="auto"/>
        <w:tabs>
          <w:tab w:leader="none" w:pos="2164" w:val="left"/>
        </w:tabs>
        <w:numPr>
          <w:ilvl w:val="0"/>
          <w:numId w:val="44"/>
        </w:numPr>
        <w:rPr>
          <w:rFonts w:ascii="Arial" w:cs="Arial" w:eastAsia="Arial" w:hAnsi="Arial"/>
          <w:sz w:val="19"/>
          <w:szCs w:val="19"/>
          <w:color w:val="auto"/>
        </w:rPr>
      </w:pPr>
      <w:r>
        <w:rPr>
          <w:rFonts w:ascii="Arial" w:cs="Arial" w:eastAsia="Arial" w:hAnsi="Arial"/>
          <w:sz w:val="19"/>
          <w:szCs w:val="19"/>
          <w:color w:val="auto"/>
        </w:rPr>
        <w:t>Each Option and each Stock Appreciation Right shall be evidenced by a written Award Agreement, which shall be executed by the Optionee and an authorized officer and which shall contain such terms and conditions as the Administrator shall determine, consistent with the Plan. Award Agreements evidencing Incentive Stock Options shall contain such terms and conditions as may be necessary to qualify such Options as “incentive stock options” under Section 422 of the Code.</w:t>
      </w:r>
    </w:p>
    <w:p>
      <w:pPr>
        <w:spacing w:after="0" w:line="175" w:lineRule="exact"/>
        <w:rPr>
          <w:rFonts w:ascii="Arial" w:cs="Arial" w:eastAsia="Arial" w:hAnsi="Arial"/>
          <w:sz w:val="19"/>
          <w:szCs w:val="19"/>
          <w:color w:val="auto"/>
        </w:rPr>
      </w:pPr>
    </w:p>
    <w:p>
      <w:pPr>
        <w:jc w:val="both"/>
        <w:ind w:firstLine="1305"/>
        <w:spacing w:after="0" w:line="274" w:lineRule="auto"/>
        <w:tabs>
          <w:tab w:leader="none" w:pos="2175"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The Administrator may, at any time, and from time to time, amend the terms of any one or more existing Award Agreements,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subject to the provisions of this Plan the rights of an Optionee under an Award Agreement shall not be adversely impaired in any material respect without the Optionee’s written consent. The Company shall provide an Optionee with written notice of any amendment made to such Optionee’s existing Award Agreement.</w:t>
      </w:r>
    </w:p>
    <w:p>
      <w:pPr>
        <w:spacing w:after="0" w:line="17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u w:val="single" w:color="auto"/>
          <w:color w:val="auto"/>
        </w:rPr>
        <w:t>Section 4.2</w:t>
      </w:r>
      <w:r>
        <w:rPr>
          <w:sz w:val="20"/>
          <w:szCs w:val="20"/>
          <w:color w:val="auto"/>
        </w:rPr>
        <w:tab/>
      </w:r>
      <w:r>
        <w:rPr>
          <w:rFonts w:ascii="Arial" w:cs="Arial" w:eastAsia="Arial" w:hAnsi="Arial"/>
          <w:sz w:val="18"/>
          <w:szCs w:val="18"/>
          <w:u w:val="single" w:color="auto"/>
          <w:color w:val="auto"/>
        </w:rPr>
        <w:t>Exercisability and Vesting of Options and Stock Appreciation Rights</w:t>
      </w:r>
      <w:r>
        <w:rPr>
          <w:rFonts w:ascii="Arial" w:cs="Arial" w:eastAsia="Arial" w:hAnsi="Arial"/>
          <w:sz w:val="18"/>
          <w:szCs w:val="18"/>
          <w:color w:val="auto"/>
        </w:rPr>
        <w:t>.</w:t>
      </w:r>
    </w:p>
    <w:p>
      <w:pPr>
        <w:spacing w:after="0" w:line="229" w:lineRule="exact"/>
        <w:rPr>
          <w:sz w:val="20"/>
          <w:szCs w:val="20"/>
          <w:color w:val="auto"/>
        </w:rPr>
      </w:pPr>
    </w:p>
    <w:p>
      <w:pPr>
        <w:jc w:val="both"/>
        <w:ind w:firstLine="1305"/>
        <w:spacing w:after="0" w:line="322" w:lineRule="auto"/>
        <w:tabs>
          <w:tab w:leader="none" w:pos="21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Each Option and SAR shall vest and become exercisable according to the terms of the applicable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by a resolution adopted after an Option or SAR is granted the Administrator may, on such terms and conditions as it may determine to be appropriate, accelerate the time at which such Option or SAR or any portion thereof may be exercised.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52" w:right="239" w:bottom="1440" w:gutter="0" w:footer="0" w:header="0"/>
        </w:sectPr>
      </w:pPr>
    </w:p>
    <w:bookmarkStart w:id="55" w:name="page56"/>
    <w:bookmarkEnd w:id="55"/>
    <w:p>
      <w:pPr>
        <w:jc w:val="both"/>
        <w:ind w:firstLine="1305"/>
        <w:spacing w:after="0" w:line="278" w:lineRule="auto"/>
        <w:tabs>
          <w:tab w:leader="none" w:pos="2175" w:val="left"/>
        </w:tabs>
        <w:numPr>
          <w:ilvl w:val="0"/>
          <w:numId w:val="46"/>
        </w:numPr>
        <w:rPr>
          <w:rFonts w:ascii="Arial" w:cs="Arial" w:eastAsia="Arial" w:hAnsi="Arial"/>
          <w:sz w:val="20"/>
          <w:szCs w:val="20"/>
          <w:color w:val="auto"/>
        </w:rPr>
      </w:pPr>
      <w:r>
        <w:rPr>
          <w:rFonts w:ascii="Arial" w:cs="Arial" w:eastAsia="Arial" w:hAnsi="Arial"/>
          <w:sz w:val="20"/>
          <w:szCs w:val="20"/>
          <w:color w:val="auto"/>
        </w:rPr>
        <w:t>Except as otherwise provided by the Administrator or in the applicable Award Agreement, no portion of an Option or SAR which is unexercisable on the date that an Optionee incurs a termination of service as a Service Provider shall thereafter become exercisable.</w:t>
      </w:r>
    </w:p>
    <w:p>
      <w:pPr>
        <w:spacing w:after="0" w:line="186" w:lineRule="exact"/>
        <w:rPr>
          <w:rFonts w:ascii="Arial" w:cs="Arial" w:eastAsia="Arial" w:hAnsi="Arial"/>
          <w:sz w:val="20"/>
          <w:szCs w:val="20"/>
          <w:color w:val="auto"/>
        </w:rPr>
      </w:pPr>
    </w:p>
    <w:p>
      <w:pPr>
        <w:jc w:val="both"/>
        <w:ind w:firstLine="1305"/>
        <w:spacing w:after="0" w:line="293" w:lineRule="auto"/>
        <w:tabs>
          <w:tab w:leader="none" w:pos="2164"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aggregate Fair Market Value (determined as of the time the Option is granted) of all Shares with respect to which Incentive Stock Options are first exercisable by a Service Provider in any calendar year may not exceed $100,000 or such other limitation as imposed by Section 422(d) of the Code, or any successor provision. To the extent that Incentive Stock Options are first exercisable by a Participant in excess of such limitation, the excess shall be considered Non-Qualified Stock Options.</w:t>
      </w:r>
    </w:p>
    <w:p>
      <w:pPr>
        <w:spacing w:after="0" w:line="175" w:lineRule="exact"/>
        <w:rPr>
          <w:rFonts w:ascii="Arial" w:cs="Arial" w:eastAsia="Arial" w:hAnsi="Arial"/>
          <w:sz w:val="19"/>
          <w:szCs w:val="19"/>
          <w:color w:val="auto"/>
        </w:rPr>
      </w:pPr>
    </w:p>
    <w:p>
      <w:pPr>
        <w:jc w:val="both"/>
        <w:ind w:firstLine="1305"/>
        <w:spacing w:after="0" w:line="314" w:lineRule="auto"/>
        <w:tabs>
          <w:tab w:leader="none" w:pos="21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Stock Appreciation Rights granted in tandem with an Option shall become vested and exercisable on the same date or dates as the Options with which such Stock Appreciation Rights are associated vest and become exercisable. Stock Appreciation Rights that are granted in tandem with an Option may only be exercised upon the surrender of the right to exercise such Option for an equivalent number of Shares, and may be exercised only with respect to the Shares for which the related Option is then exercisable.</w:t>
      </w:r>
    </w:p>
    <w:p>
      <w:pPr>
        <w:spacing w:after="0" w:line="1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4.3 Option Price and Base Price</w:t>
      </w:r>
      <w:r>
        <w:rPr>
          <w:rFonts w:ascii="Arial" w:cs="Arial" w:eastAsia="Arial" w:hAnsi="Arial"/>
          <w:sz w:val="20"/>
          <w:szCs w:val="20"/>
          <w:color w:val="auto"/>
        </w:rPr>
        <w:t>. The per Share purchase price of the Shares subject to each Option (the “</w:t>
      </w:r>
      <w:r>
        <w:rPr>
          <w:rFonts w:ascii="Arial" w:cs="Arial" w:eastAsia="Arial" w:hAnsi="Arial"/>
          <w:sz w:val="20"/>
          <w:szCs w:val="20"/>
          <w:u w:val="single" w:color="auto"/>
          <w:color w:val="auto"/>
        </w:rPr>
        <w:t>Option Price</w:t>
      </w:r>
      <w:r>
        <w:rPr>
          <w:rFonts w:ascii="Arial" w:cs="Arial" w:eastAsia="Arial" w:hAnsi="Arial"/>
          <w:sz w:val="20"/>
          <w:szCs w:val="20"/>
          <w:color w:val="auto"/>
        </w:rPr>
        <w:t>”) and the Base Price of each Stock Appreciation Right shall be set by the Administrator and shall be not less than 100% of the Fair Market Value of such Shares on the date such Option or SAR is granted.</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4.4 Expiration of Options and SARs</w:t>
      </w:r>
      <w:r>
        <w:rPr>
          <w:rFonts w:ascii="Arial" w:cs="Arial" w:eastAsia="Arial" w:hAnsi="Arial"/>
          <w:sz w:val="20"/>
          <w:szCs w:val="20"/>
          <w:color w:val="auto"/>
        </w:rPr>
        <w:t>. No Option or SAR may be exercised to any extent by anyone after the first to occur of the following events:</w:t>
      </w:r>
    </w:p>
    <w:p>
      <w:pPr>
        <w:spacing w:after="0" w:line="190" w:lineRule="exact"/>
        <w:rPr>
          <w:sz w:val="20"/>
          <w:szCs w:val="20"/>
          <w:color w:val="auto"/>
        </w:rPr>
      </w:pPr>
    </w:p>
    <w:p>
      <w:pPr>
        <w:ind w:left="2180" w:hanging="875"/>
        <w:spacing w:after="0"/>
        <w:tabs>
          <w:tab w:leader="none" w:pos="21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expiration of ten (10) years from the date the Option or SAR was granted; or</w:t>
      </w:r>
    </w:p>
    <w:p>
      <w:pPr>
        <w:spacing w:after="0" w:line="242" w:lineRule="exact"/>
        <w:rPr>
          <w:rFonts w:ascii="Arial" w:cs="Arial" w:eastAsia="Arial" w:hAnsi="Arial"/>
          <w:sz w:val="20"/>
          <w:szCs w:val="20"/>
          <w:color w:val="auto"/>
        </w:rPr>
      </w:pPr>
    </w:p>
    <w:p>
      <w:pPr>
        <w:jc w:val="both"/>
        <w:ind w:firstLine="1305"/>
        <w:spacing w:after="0" w:line="322" w:lineRule="auto"/>
        <w:tabs>
          <w:tab w:leader="none" w:pos="21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an Incentive Stock Option in the case of an Optionee owning (within the meaning of Section 424(d) of the Code), at the time the Incentive Stock Option was granted, more than 10% of the total combined voting power of all classes of stock of the Company or any Subsidiary, the expiration of five (5) years from the date the Incentive Stock Option was granted.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EXERCISE OF OPTIONS AND SARS</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u w:val="single" w:color="auto"/>
          <w:color w:val="auto"/>
        </w:rPr>
        <w:t>Section 5.1 Person Eligible to Exercise</w:t>
      </w:r>
      <w:r>
        <w:rPr>
          <w:rFonts w:ascii="Arial" w:cs="Arial" w:eastAsia="Arial" w:hAnsi="Arial"/>
          <w:sz w:val="20"/>
          <w:szCs w:val="20"/>
          <w:color w:val="auto"/>
        </w:rPr>
        <w:t xml:space="preserve">. During the lifetime of the Optionee, only he or she may exercise an Option or SAR (or any portion thereof) granted to him or her;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Optionee’s Eligible Representative may exercise his or her Option or SAR or portion thereof during the period of the Optionee’s Disability. After the death of the Optionee, any exercisable portion of an Option or SAR may, prior to the time when such portion becomes unexercisable under the Plan or the applicable Award Agreement, be exercised by his or her Eligible Representative.</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5.2 Partial Exercise</w:t>
      </w:r>
      <w:r>
        <w:rPr>
          <w:rFonts w:ascii="Arial" w:cs="Arial" w:eastAsia="Arial" w:hAnsi="Arial"/>
          <w:sz w:val="20"/>
          <w:szCs w:val="20"/>
          <w:color w:val="auto"/>
        </w:rPr>
        <w:t xml:space="preserve">. At any time and from time to time prior to the time when the Option or SAR becomes unexercisable under the Plan or the applicable Award Agreement, the exercisable portion of an Option or SAR may be exercised in whole or in part;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Company shall not be required to issue fractional Shares and the Administrator may, by the terms of the Option or SAR, require any partial exercise to exceed a specified minimum number of Shares.</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5.3 Manner of Exercise</w:t>
      </w:r>
      <w:r>
        <w:rPr>
          <w:rFonts w:ascii="Arial" w:cs="Arial" w:eastAsia="Arial" w:hAnsi="Arial"/>
          <w:sz w:val="20"/>
          <w:szCs w:val="20"/>
          <w:color w:val="auto"/>
        </w:rPr>
        <w:t>. An exercisable Option or SAR, or any exercisable portion thereof, may be exercised solely by delivery to the Secretary of all of the following prior to the time when such Option or SAR or such portion becomes unexercisable under the Plan or the applicable Award Agreement:</w:t>
      </w:r>
    </w:p>
    <w:p>
      <w:pPr>
        <w:spacing w:after="0" w:line="200" w:lineRule="exact"/>
        <w:rPr>
          <w:sz w:val="20"/>
          <w:szCs w:val="20"/>
          <w:color w:val="auto"/>
        </w:rPr>
      </w:pPr>
    </w:p>
    <w:p>
      <w:pPr>
        <w:spacing w:after="0" w:line="216" w:lineRule="exact"/>
        <w:rPr>
          <w:sz w:val="20"/>
          <w:szCs w:val="20"/>
          <w:color w:val="auto"/>
        </w:rPr>
      </w:pPr>
    </w:p>
    <w:p>
      <w:pPr>
        <w:jc w:val="both"/>
        <w:ind w:firstLine="1305"/>
        <w:spacing w:after="0" w:line="278" w:lineRule="auto"/>
        <w:tabs>
          <w:tab w:leader="none" w:pos="2164" w:val="left"/>
        </w:tabs>
        <w:numPr>
          <w:ilvl w:val="0"/>
          <w:numId w:val="48"/>
        </w:numPr>
        <w:rPr>
          <w:rFonts w:ascii="Arial" w:cs="Arial" w:eastAsia="Arial" w:hAnsi="Arial"/>
          <w:sz w:val="20"/>
          <w:szCs w:val="20"/>
          <w:color w:val="auto"/>
        </w:rPr>
      </w:pPr>
      <w:r>
        <w:rPr>
          <w:rFonts w:ascii="Arial" w:cs="Arial" w:eastAsia="Arial" w:hAnsi="Arial"/>
          <w:sz w:val="20"/>
          <w:szCs w:val="20"/>
          <w:color w:val="auto"/>
        </w:rPr>
        <w:t>Subject to any conditions that may be imposed by the Administrator, notice in writing signed by the Optionee or his or her Eligible Representative, stating that such Option or SAR or portion is being exercised, and specifically stating the number of Shares with respect to which the Option or SAR is being exercised;</w:t>
      </w:r>
    </w:p>
    <w:p>
      <w:pPr>
        <w:sectPr>
          <w:pgSz w:w="11900" w:h="16838" w:orient="portrait"/>
          <w:cols w:equalWidth="0" w:num="1">
            <w:col w:w="11420"/>
          </w:cols>
          <w:pgMar w:left="240" w:top="6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636" w:right="239" w:bottom="1440" w:gutter="0" w:footer="0" w:header="0"/>
          <w:type w:val="continuous"/>
        </w:sectPr>
      </w:pPr>
    </w:p>
    <w:bookmarkStart w:id="56" w:name="page57"/>
    <w:bookmarkEnd w:id="56"/>
    <w:p>
      <w:pPr>
        <w:ind w:right="20" w:firstLine="1305"/>
        <w:spacing w:after="0" w:line="289" w:lineRule="auto"/>
        <w:tabs>
          <w:tab w:leader="none" w:pos="2175" w:val="left"/>
        </w:tabs>
        <w:numPr>
          <w:ilvl w:val="0"/>
          <w:numId w:val="49"/>
        </w:numPr>
        <w:rPr>
          <w:rFonts w:ascii="Arial" w:cs="Arial" w:eastAsia="Arial" w:hAnsi="Arial"/>
          <w:sz w:val="20"/>
          <w:szCs w:val="20"/>
          <w:color w:val="auto"/>
        </w:rPr>
      </w:pPr>
      <w:r>
        <w:rPr>
          <w:rFonts w:ascii="Arial" w:cs="Arial" w:eastAsia="Arial" w:hAnsi="Arial"/>
          <w:sz w:val="20"/>
          <w:szCs w:val="20"/>
          <w:color w:val="auto"/>
        </w:rPr>
        <w:t>If required by the Administrator, a copy of the Stockholders Agreement signed by the Optionee or Eligible Representative, if applicable;</w:t>
      </w:r>
    </w:p>
    <w:p>
      <w:pPr>
        <w:spacing w:after="0" w:line="391" w:lineRule="exact"/>
        <w:rPr>
          <w:rFonts w:ascii="Arial" w:cs="Arial" w:eastAsia="Arial" w:hAnsi="Arial"/>
          <w:sz w:val="20"/>
          <w:szCs w:val="20"/>
          <w:color w:val="auto"/>
        </w:rPr>
      </w:pPr>
    </w:p>
    <w:p>
      <w:pPr>
        <w:jc w:val="both"/>
        <w:ind w:firstLine="1305"/>
        <w:spacing w:after="0" w:line="278" w:lineRule="auto"/>
        <w:tabs>
          <w:tab w:leader="none" w:pos="2164" w:val="left"/>
        </w:tabs>
        <w:numPr>
          <w:ilvl w:val="0"/>
          <w:numId w:val="49"/>
        </w:numPr>
        <w:rPr>
          <w:rFonts w:ascii="Arial" w:cs="Arial" w:eastAsia="Arial" w:hAnsi="Arial"/>
          <w:sz w:val="20"/>
          <w:szCs w:val="20"/>
          <w:color w:val="auto"/>
        </w:rPr>
      </w:pPr>
      <w:r>
        <w:rPr>
          <w:rFonts w:ascii="Arial" w:cs="Arial" w:eastAsia="Arial" w:hAnsi="Arial"/>
          <w:sz w:val="20"/>
          <w:szCs w:val="20"/>
          <w:color w:val="auto"/>
        </w:rPr>
        <w:t>(i) With respect to the exercise of any Option, full payment (in cash (through wire transfer only) or by personal, certified, or bank cashier check) of the aggregate Option Price of the Shares with respect to which such Option (or portion thereof) is thereby exercised; or</w:t>
      </w:r>
    </w:p>
    <w:p>
      <w:pPr>
        <w:spacing w:after="0" w:line="389" w:lineRule="exact"/>
        <w:rPr>
          <w:rFonts w:ascii="Arial" w:cs="Arial" w:eastAsia="Arial" w:hAnsi="Arial"/>
          <w:sz w:val="20"/>
          <w:szCs w:val="20"/>
          <w:color w:val="auto"/>
        </w:rPr>
      </w:pPr>
    </w:p>
    <w:p>
      <w:pPr>
        <w:jc w:val="both"/>
        <w:ind w:firstLine="1953"/>
        <w:spacing w:after="0" w:line="269" w:lineRule="auto"/>
        <w:tabs>
          <w:tab w:leader="none" w:pos="2494" w:val="left"/>
        </w:tabs>
        <w:numPr>
          <w:ilvl w:val="1"/>
          <w:numId w:val="49"/>
        </w:numPr>
        <w:rPr>
          <w:rFonts w:ascii="Arial" w:cs="Arial" w:eastAsia="Arial" w:hAnsi="Arial"/>
          <w:sz w:val="19"/>
          <w:szCs w:val="19"/>
          <w:color w:val="auto"/>
        </w:rPr>
      </w:pPr>
      <w:r>
        <w:rPr>
          <w:rFonts w:ascii="Arial" w:cs="Arial" w:eastAsia="Arial" w:hAnsi="Arial"/>
          <w:sz w:val="19"/>
          <w:szCs w:val="19"/>
          <w:color w:val="auto"/>
        </w:rPr>
        <w:t>With the consent of the Administrator, (</w:t>
      </w:r>
      <w:r>
        <w:rPr>
          <w:rFonts w:ascii="Arial" w:cs="Arial" w:eastAsia="Arial" w:hAnsi="Arial"/>
          <w:sz w:val="19"/>
          <w:szCs w:val="19"/>
          <w:u w:val="single" w:color="auto"/>
          <w:color w:val="auto"/>
        </w:rPr>
        <w:t>A</w:t>
      </w:r>
      <w:r>
        <w:rPr>
          <w:rFonts w:ascii="Arial" w:cs="Arial" w:eastAsia="Arial" w:hAnsi="Arial"/>
          <w:sz w:val="19"/>
          <w:szCs w:val="19"/>
          <w:color w:val="auto"/>
        </w:rPr>
        <w:t>) Shares owned by the Optionee duly endorsed for transfer to the Company or (</w:t>
      </w:r>
      <w:r>
        <w:rPr>
          <w:rFonts w:ascii="Arial" w:cs="Arial" w:eastAsia="Arial" w:hAnsi="Arial"/>
          <w:sz w:val="19"/>
          <w:szCs w:val="19"/>
          <w:u w:val="single" w:color="auto"/>
          <w:color w:val="auto"/>
        </w:rPr>
        <w:t>B</w:t>
      </w:r>
      <w:r>
        <w:rPr>
          <w:rFonts w:ascii="Arial" w:cs="Arial" w:eastAsia="Arial" w:hAnsi="Arial"/>
          <w:sz w:val="19"/>
          <w:szCs w:val="19"/>
          <w:color w:val="auto"/>
        </w:rPr>
        <w:t>) Shares issuable to the Optionee upon exercise of the Option, with a Fair Market Value on the date of Option exercise equal to the aggregate Option Price of the Shares with respect to which such Option (or portion thereof) is thereby exercised or</w:t>
      </w:r>
    </w:p>
    <w:p>
      <w:pPr>
        <w:spacing w:after="0" w:line="170" w:lineRule="exact"/>
        <w:rPr>
          <w:rFonts w:ascii="Arial" w:cs="Arial" w:eastAsia="Arial" w:hAnsi="Arial"/>
          <w:sz w:val="19"/>
          <w:szCs w:val="19"/>
          <w:color w:val="auto"/>
        </w:rPr>
      </w:pPr>
    </w:p>
    <w:p>
      <w:pPr>
        <w:ind w:firstLine="1953"/>
        <w:spacing w:after="0" w:line="260" w:lineRule="auto"/>
        <w:tabs>
          <w:tab w:leader="none" w:pos="2447" w:val="left"/>
        </w:tabs>
        <w:numPr>
          <w:ilvl w:val="1"/>
          <w:numId w:val="49"/>
        </w:numPr>
        <w:rPr>
          <w:rFonts w:ascii="Arial" w:cs="Arial" w:eastAsia="Arial" w:hAnsi="Arial"/>
          <w:sz w:val="20"/>
          <w:szCs w:val="20"/>
          <w:color w:val="auto"/>
        </w:rPr>
      </w:pPr>
      <w:r>
        <w:rPr>
          <w:rFonts w:ascii="Arial" w:cs="Arial" w:eastAsia="Arial" w:hAnsi="Arial"/>
          <w:sz w:val="20"/>
          <w:szCs w:val="20"/>
          <w:color w:val="auto"/>
        </w:rPr>
        <w:t>With the consent of the Administrator, any form of payment permitted by Applicable Laws and any combination of the foregoing methods of payment.</w:t>
      </w:r>
    </w:p>
    <w:p>
      <w:pPr>
        <w:spacing w:after="0" w:line="190" w:lineRule="exact"/>
        <w:rPr>
          <w:sz w:val="20"/>
          <w:szCs w:val="20"/>
          <w:color w:val="auto"/>
        </w:rPr>
      </w:pPr>
    </w:p>
    <w:p>
      <w:pPr>
        <w:jc w:val="both"/>
        <w:ind w:left="660" w:firstLine="1293"/>
        <w:spacing w:after="0" w:line="278" w:lineRule="auto"/>
        <w:tabs>
          <w:tab w:leader="none" w:pos="2835" w:val="left"/>
        </w:tabs>
        <w:numPr>
          <w:ilvl w:val="1"/>
          <w:numId w:val="50"/>
        </w:numPr>
        <w:rPr>
          <w:rFonts w:ascii="Arial" w:cs="Arial" w:eastAsia="Arial" w:hAnsi="Arial"/>
          <w:sz w:val="20"/>
          <w:szCs w:val="20"/>
          <w:color w:val="auto"/>
        </w:rPr>
      </w:pPr>
      <w:r>
        <w:rPr>
          <w:rFonts w:ascii="Arial" w:cs="Arial" w:eastAsia="Arial" w:hAnsi="Arial"/>
          <w:sz w:val="20"/>
          <w:szCs w:val="20"/>
          <w:color w:val="auto"/>
        </w:rPr>
        <w:t>Full payment to the Company (in cash or by personal, certified or bank cashier check or by any other means of payment approved by the Administrator) of all minimum amounts necessary to satisfy any and all Withholding Taxes arising in connection with the exercise of the Option or SAR;</w:t>
      </w:r>
    </w:p>
    <w:p>
      <w:pPr>
        <w:spacing w:after="0" w:line="186" w:lineRule="exact"/>
        <w:rPr>
          <w:rFonts w:ascii="Arial" w:cs="Arial" w:eastAsia="Arial" w:hAnsi="Arial"/>
          <w:sz w:val="20"/>
          <w:szCs w:val="20"/>
          <w:color w:val="auto"/>
        </w:rPr>
      </w:pPr>
    </w:p>
    <w:p>
      <w:pPr>
        <w:jc w:val="both"/>
        <w:ind w:firstLine="1305"/>
        <w:spacing w:after="0" w:line="293" w:lineRule="auto"/>
        <w:tabs>
          <w:tab w:leader="none" w:pos="2164" w:val="left"/>
        </w:tabs>
        <w:numPr>
          <w:ilvl w:val="0"/>
          <w:numId w:val="51"/>
        </w:numPr>
        <w:rPr>
          <w:rFonts w:ascii="Arial" w:cs="Arial" w:eastAsia="Arial" w:hAnsi="Arial"/>
          <w:sz w:val="19"/>
          <w:szCs w:val="19"/>
          <w:color w:val="auto"/>
        </w:rPr>
      </w:pPr>
      <w:r>
        <w:rPr>
          <w:rFonts w:ascii="Arial" w:cs="Arial" w:eastAsia="Arial" w:hAnsi="Arial"/>
          <w:sz w:val="19"/>
          <w:szCs w:val="19"/>
          <w:color w:val="auto"/>
        </w:rPr>
        <w:t>Such representations and documents as the Administrator deems necessary or advisable to effect compliance with all applicable provisions of the Securities Act and any other federal or state securities laws or regulations. The Administrator may, in its sole discretion, also take whatever additional actions it deems appropriate to effect such compliance including, without limitation, placing legends on share certificates and issuing stop-transfer orders to transfer agents and registrars and</w:t>
      </w:r>
    </w:p>
    <w:p>
      <w:pPr>
        <w:spacing w:after="0" w:line="175" w:lineRule="exact"/>
        <w:rPr>
          <w:rFonts w:ascii="Arial" w:cs="Arial" w:eastAsia="Arial" w:hAnsi="Arial"/>
          <w:sz w:val="19"/>
          <w:szCs w:val="19"/>
          <w:color w:val="auto"/>
        </w:rPr>
      </w:pPr>
    </w:p>
    <w:p>
      <w:pPr>
        <w:jc w:val="both"/>
        <w:ind w:firstLine="1305"/>
        <w:spacing w:after="0" w:line="278" w:lineRule="auto"/>
        <w:tabs>
          <w:tab w:leader="none" w:pos="2143"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 the event that the Option or SAR or portion thereof shall be exercised as permitted under Section 5.1 by any person or persons other than the Optionee, appropriate proof of the right of such person or persons to exercise the Option or SAR or portion thereof.</w:t>
      </w:r>
    </w:p>
    <w:p>
      <w:pPr>
        <w:spacing w:after="0" w:line="17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u w:val="single" w:color="auto"/>
          <w:color w:val="auto"/>
        </w:rPr>
        <w:t>Section 5.4 Optionee Representations</w:t>
      </w:r>
      <w:r>
        <w:rPr>
          <w:rFonts w:ascii="Arial" w:cs="Arial" w:eastAsia="Arial" w:hAnsi="Arial"/>
          <w:sz w:val="18"/>
          <w:szCs w:val="18"/>
          <w:color w:val="auto"/>
        </w:rPr>
        <w:t>. The Administrator, in its sole discretion, may require an Optionee to make certain representations or acknowledgements, on or prior to the purchase of any Shares pursuant to any Option or SAR granted under this Plan, in respect thereof including but not limited to that the Optionee is acquiring the Shares for an investment purpose and not for resale, and, if the Optionee is an Affiliate, additional acknowledgements regarding when and to what extent any transfers of such Shares may occur.</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u w:val="single" w:color="auto"/>
          <w:color w:val="auto"/>
        </w:rPr>
        <w:t>Section 5.5 Settlement of SARs</w:t>
      </w:r>
      <w:r>
        <w:rPr>
          <w:rFonts w:ascii="Arial" w:cs="Arial" w:eastAsia="Arial" w:hAnsi="Arial"/>
          <w:sz w:val="18"/>
          <w:szCs w:val="18"/>
          <w:color w:val="auto"/>
        </w:rPr>
        <w:t>. Unless otherwise determined by the Administrator, upon exercise of a Stock Appreciation Right, the Participant shall be entitled to receive payment in the form, determined by the Administrator, of Shares, or cash, or a combination of Shares and cash having an aggregate value (based in the case of Shares on Fair Market Value) equal to the amount determined by multiplying:</w:t>
      </w:r>
    </w:p>
    <w:p>
      <w:pPr>
        <w:spacing w:after="0" w:line="165" w:lineRule="exact"/>
        <w:rPr>
          <w:sz w:val="20"/>
          <w:szCs w:val="20"/>
          <w:color w:val="auto"/>
        </w:rPr>
      </w:pPr>
    </w:p>
    <w:p>
      <w:pPr>
        <w:ind w:left="2180" w:hanging="875"/>
        <w:spacing w:after="0"/>
        <w:tabs>
          <w:tab w:leader="none" w:pos="2180" w:val="left"/>
        </w:tabs>
        <w:numPr>
          <w:ilvl w:val="0"/>
          <w:numId w:val="52"/>
        </w:numPr>
        <w:rPr>
          <w:rFonts w:ascii="Arial" w:cs="Arial" w:eastAsia="Arial" w:hAnsi="Arial"/>
          <w:sz w:val="19"/>
          <w:szCs w:val="19"/>
          <w:color w:val="auto"/>
        </w:rPr>
      </w:pPr>
      <w:r>
        <w:rPr>
          <w:rFonts w:ascii="Arial" w:cs="Arial" w:eastAsia="Arial" w:hAnsi="Arial"/>
          <w:sz w:val="19"/>
          <w:szCs w:val="19"/>
          <w:color w:val="auto"/>
        </w:rPr>
        <w:t>any increase in the Fair Market Value of one Share on the exercise date over the Base Price of such Stock</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Appreciation Right, by</w:t>
      </w:r>
    </w:p>
    <w:p>
      <w:pPr>
        <w:spacing w:after="0" w:line="242" w:lineRule="exact"/>
        <w:rPr>
          <w:rFonts w:ascii="Arial" w:cs="Arial" w:eastAsia="Arial" w:hAnsi="Arial"/>
          <w:sz w:val="19"/>
          <w:szCs w:val="19"/>
          <w:color w:val="auto"/>
        </w:rPr>
      </w:pPr>
    </w:p>
    <w:p>
      <w:pPr>
        <w:ind w:left="2180" w:hanging="875"/>
        <w:spacing w:after="0"/>
        <w:tabs>
          <w:tab w:leader="none" w:pos="21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number of Shares with respect to which the Stock Appreciation Right is exercised;</w:t>
      </w:r>
    </w:p>
    <w:p>
      <w:pPr>
        <w:spacing w:after="0" w:line="242" w:lineRule="exact"/>
        <w:rPr>
          <w:rFonts w:ascii="Arial" w:cs="Arial" w:eastAsia="Arial" w:hAnsi="Arial"/>
          <w:sz w:val="20"/>
          <w:szCs w:val="20"/>
          <w:color w:val="auto"/>
        </w:rPr>
      </w:pPr>
    </w:p>
    <w:p>
      <w:pPr>
        <w:jc w:val="both"/>
        <w:ind w:firstLine="1305"/>
        <w:spacing w:after="0" w:line="314" w:lineRule="auto"/>
        <w:tabs>
          <w:tab w:leader="none" w:pos="216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on the grant date, the Administrator may establish, in its sole discretion, a maximum amount per Share that may be payable upon exercise of a Stock Appreciation Right,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no event shall the value of the Company Common Stock or cash delivered on exercise exceed the excess of the Fair Market Value of the Shares with respect to which the Stock Appreciation Right is exercised over the Fair Market Value of such Shares on the grant date of such Stock Appreciation Right.</w:t>
      </w:r>
    </w:p>
    <w:p>
      <w:pPr>
        <w:spacing w:after="0" w:line="1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5.6 Conditions to Issuance of Stock Certificates</w:t>
      </w:r>
      <w:r>
        <w:rPr>
          <w:rFonts w:ascii="Arial" w:cs="Arial" w:eastAsia="Arial" w:hAnsi="Arial"/>
          <w:sz w:val="20"/>
          <w:szCs w:val="20"/>
          <w:color w:val="auto"/>
        </w:rPr>
        <w:t>. The Shares issuable and deliverable upon the exercise of an Option or SAR, or any portion thereof, may be either previously authorized but unissued Shares or issued Shares which have then been reacquired by the Company, subject to Section 2.1(b). The Company shall record</w:t>
      </w:r>
    </w:p>
    <w:p>
      <w:pPr>
        <w:sectPr>
          <w:pgSz w:w="11900" w:h="16838" w:orient="portrait"/>
          <w:cols w:equalWidth="0" w:num="1">
            <w:col w:w="11420"/>
          </w:cols>
          <w:pgMar w:left="240" w:top="8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852" w:right="239" w:bottom="1440" w:gutter="0" w:footer="0" w:header="0"/>
          <w:type w:val="continuous"/>
        </w:sectPr>
      </w:pPr>
    </w:p>
    <w:bookmarkStart w:id="57" w:name="page58"/>
    <w:bookmarkEnd w:id="57"/>
    <w:p>
      <w:pPr>
        <w:jc w:val="both"/>
        <w:spacing w:after="0" w:line="278" w:lineRule="auto"/>
        <w:rPr>
          <w:sz w:val="20"/>
          <w:szCs w:val="20"/>
          <w:color w:val="auto"/>
        </w:rPr>
      </w:pPr>
      <w:r>
        <w:rPr>
          <w:rFonts w:ascii="Arial" w:cs="Arial" w:eastAsia="Arial" w:hAnsi="Arial"/>
          <w:sz w:val="18"/>
          <w:szCs w:val="18"/>
          <w:color w:val="auto"/>
        </w:rPr>
        <w:t>shares delivered upon exercise of an Option or SAR in the books and records of the Company or a certificate of Shares will be delivered to the Optionee at the Company’s principal place of business as soon as practicable after the Option or SAR is properly exercised or the Company may, in the Administrator’s discretion, retain physical possession of the certificate until such time as the Administrator deems appropriate. Notwithstanding the above, the Company shall not be required to issue or deliver any certificate or certificates for Shares purchased upon the exercise of any Option or SAR or portion thereof prior to fulfillment of all of the following conditions:</w:t>
      </w:r>
    </w:p>
    <w:p>
      <w:pPr>
        <w:spacing w:after="0" w:line="179" w:lineRule="exact"/>
        <w:rPr>
          <w:sz w:val="20"/>
          <w:szCs w:val="20"/>
          <w:color w:val="auto"/>
        </w:rPr>
      </w:pPr>
    </w:p>
    <w:p>
      <w:pPr>
        <w:ind w:left="2180" w:hanging="875"/>
        <w:spacing w:after="0"/>
        <w:tabs>
          <w:tab w:leader="none" w:pos="2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admission of such Shares to listing on any and all stock exchanges on which such class of Company Common</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Stock is then listed;</w:t>
      </w:r>
    </w:p>
    <w:p>
      <w:pPr>
        <w:spacing w:after="0" w:line="242" w:lineRule="exact"/>
        <w:rPr>
          <w:rFonts w:ascii="Arial" w:cs="Arial" w:eastAsia="Arial" w:hAnsi="Arial"/>
          <w:sz w:val="18"/>
          <w:szCs w:val="18"/>
          <w:color w:val="auto"/>
        </w:rPr>
      </w:pPr>
    </w:p>
    <w:p>
      <w:pPr>
        <w:jc w:val="both"/>
        <w:ind w:firstLine="1305"/>
        <w:spacing w:after="0" w:line="278" w:lineRule="auto"/>
        <w:tabs>
          <w:tab w:leader="none" w:pos="2175"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completion of any registration or other qualification of such Shares under any state or federal law or under the rulings or regulations of the Securities and Exchange Commission or any other governmental regulatory body, which the Administrator shall, in its sole discretion, deem necessary or advisable;</w:t>
      </w:r>
    </w:p>
    <w:p>
      <w:pPr>
        <w:spacing w:after="0" w:line="186" w:lineRule="exact"/>
        <w:rPr>
          <w:rFonts w:ascii="Arial" w:cs="Arial" w:eastAsia="Arial" w:hAnsi="Arial"/>
          <w:sz w:val="20"/>
          <w:szCs w:val="20"/>
          <w:color w:val="auto"/>
        </w:rPr>
      </w:pPr>
    </w:p>
    <w:p>
      <w:pPr>
        <w:ind w:firstLine="1305"/>
        <w:spacing w:after="0" w:line="289" w:lineRule="auto"/>
        <w:tabs>
          <w:tab w:leader="none" w:pos="2164"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obtaining of any approval or other clearance from any state or federal governmental agency which the Administrator shall, in its sole discretion, determine to be necessary or advisable and</w:t>
      </w:r>
    </w:p>
    <w:p>
      <w:pPr>
        <w:spacing w:after="0" w:line="175" w:lineRule="exact"/>
        <w:rPr>
          <w:rFonts w:ascii="Arial" w:cs="Arial" w:eastAsia="Arial" w:hAnsi="Arial"/>
          <w:sz w:val="20"/>
          <w:szCs w:val="20"/>
          <w:color w:val="auto"/>
        </w:rPr>
      </w:pPr>
    </w:p>
    <w:p>
      <w:pPr>
        <w:ind w:firstLine="1305"/>
        <w:spacing w:after="0" w:line="289" w:lineRule="auto"/>
        <w:tabs>
          <w:tab w:leader="none" w:pos="2175"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payment to the Company (or its Subsidiary, as applicable) of all amounts which it is required to withhold under Applicable Law in connection with the exercise of the Option or SAR.</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Administrator shall not have any liability to any Optionee for any delay in the delivery of Shares to be issued upon an Optionee’s exercise of an Option or SAR.</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5.7 Rights as Stockholders</w:t>
      </w:r>
      <w:r>
        <w:rPr>
          <w:rFonts w:ascii="Arial" w:cs="Arial" w:eastAsia="Arial" w:hAnsi="Arial"/>
          <w:sz w:val="20"/>
          <w:szCs w:val="20"/>
          <w:color w:val="auto"/>
        </w:rPr>
        <w:t>. The holder of an Option or SAR shall not be, nor have any of the rights or privileges of, a stockholder of the Company in respect of any Shares purchasable upon the exercise of any part of an Option or SAR unless and until such holder has, to the extent required by the Administrator, signed a Stockholders Agreement and certificates representing such Shares have been issued by the Company to such holder.</w:t>
      </w:r>
    </w:p>
    <w:p>
      <w:pPr>
        <w:spacing w:after="0" w:line="1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u w:val="single" w:color="auto"/>
          <w:color w:val="auto"/>
        </w:rPr>
        <w:t>Section 5.8 Transfer Restrictions</w:t>
      </w:r>
      <w:r>
        <w:rPr>
          <w:rFonts w:ascii="Arial" w:cs="Arial" w:eastAsia="Arial" w:hAnsi="Arial"/>
          <w:sz w:val="18"/>
          <w:szCs w:val="18"/>
          <w:color w:val="auto"/>
        </w:rPr>
        <w:t>. Shares acquired upon exercise of an Option or SAR may be subject to the terms and conditions of a Stockholders Agreement. In addition, the Administrator, in its sole discretion, may impose further restrictions on the transferability of the Shares purchasable upon the exercise of an Option or SAR as it deems appropriate. Any such restriction shall be set forth in the respective Award Agreement and may be referred to on the certificates evidencing such Shares. The Administrator may require the Employee to give the Company prompt notice of any disposition of Shares acquired by exercise of an Incentive Stock Option, within two (2) years from the date of granting such Option or one (1) year after the transfer of such Shares to such Employee. The Administrator may direct that the certificates evidencing Shares acquired by exercise of an Incentive Stock Option refer to such requirement.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16" w:lineRule="exact"/>
        <w:rPr>
          <w:sz w:val="20"/>
          <w:szCs w:val="20"/>
          <w:color w:val="auto"/>
        </w:rPr>
      </w:pPr>
    </w:p>
    <w:p>
      <w:pPr>
        <w:ind w:left="2260"/>
        <w:spacing w:after="0"/>
        <w:rPr>
          <w:sz w:val="20"/>
          <w:szCs w:val="20"/>
          <w:color w:val="auto"/>
        </w:rPr>
      </w:pPr>
      <w:r>
        <w:rPr>
          <w:rFonts w:ascii="Arial" w:cs="Arial" w:eastAsia="Arial" w:hAnsi="Arial"/>
          <w:sz w:val="20"/>
          <w:szCs w:val="20"/>
          <w:b w:val="1"/>
          <w:bCs w:val="1"/>
          <w:u w:val="single" w:color="auto"/>
          <w:color w:val="auto"/>
        </w:rPr>
        <w:t>RESTRICTED STOCK AWARDS AND RESTRICTED STOCK UNIT AWARDS</w:t>
      </w:r>
    </w:p>
    <w:p>
      <w:pPr>
        <w:spacing w:after="0" w:line="22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u w:val="single" w:color="auto"/>
          <w:color w:val="auto"/>
        </w:rPr>
        <w:t>Section 6.1</w:t>
      </w:r>
      <w:r>
        <w:rPr>
          <w:sz w:val="20"/>
          <w:szCs w:val="20"/>
          <w:color w:val="auto"/>
        </w:rPr>
        <w:tab/>
      </w:r>
      <w:r>
        <w:rPr>
          <w:rFonts w:ascii="Arial" w:cs="Arial" w:eastAsia="Arial" w:hAnsi="Arial"/>
          <w:sz w:val="16"/>
          <w:szCs w:val="16"/>
          <w:u w:val="single" w:color="auto"/>
          <w:color w:val="auto"/>
        </w:rPr>
        <w:t>Restricted Stock</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8" w:lineRule="auto"/>
        <w:tabs>
          <w:tab w:leader="none" w:pos="2164"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Grant of Restricted Stock</w:t>
      </w:r>
      <w:r>
        <w:rPr>
          <w:rFonts w:ascii="Arial" w:cs="Arial" w:eastAsia="Arial" w:hAnsi="Arial"/>
          <w:sz w:val="20"/>
          <w:szCs w:val="20"/>
          <w:color w:val="auto"/>
        </w:rPr>
        <w:t>. The Administrator is authorized to make Awards of Restricted Stock to any Service Provider selected by the Administrator in such amounts and subject to such terms and conditions as determined by the Administrator. All Awards of Restricted Stock shall be evidenced by an Award Agreement.</w:t>
      </w:r>
    </w:p>
    <w:p>
      <w:pPr>
        <w:spacing w:after="0" w:line="186" w:lineRule="exact"/>
        <w:rPr>
          <w:rFonts w:ascii="Arial" w:cs="Arial" w:eastAsia="Arial" w:hAnsi="Arial"/>
          <w:sz w:val="20"/>
          <w:szCs w:val="20"/>
          <w:color w:val="auto"/>
        </w:rPr>
      </w:pPr>
    </w:p>
    <w:p>
      <w:pPr>
        <w:jc w:val="both"/>
        <w:ind w:right="20" w:firstLine="1305"/>
        <w:spacing w:after="0" w:line="293" w:lineRule="auto"/>
        <w:tabs>
          <w:tab w:leader="none" w:pos="217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Issuance and Restrictions</w:t>
      </w:r>
      <w:r>
        <w:rPr>
          <w:rFonts w:ascii="Arial" w:cs="Arial" w:eastAsia="Arial" w:hAnsi="Arial"/>
          <w:sz w:val="19"/>
          <w:szCs w:val="19"/>
          <w:color w:val="auto"/>
        </w:rPr>
        <w:t>. Restricted Stock shall be subject to such restrictions on transferability and other restrictions as the Administrator may impose (including, without limitation, limitations on the right to vote Restricted Stock or the right to receive dividends on the Restricted Stock). These restrictions may lapse separately or in combination at such times, pursuant to such circumstances, in such installments, or otherwise, as the Administrator determines at the time of the grant of the Award or thereafter.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22" w:right="239" w:bottom="1440" w:gutter="0" w:footer="0" w:header="0"/>
        </w:sectPr>
      </w:pPr>
    </w:p>
    <w:bookmarkStart w:id="58" w:name="page59"/>
    <w:bookmarkEnd w:id="58"/>
    <w:p>
      <w:pPr>
        <w:jc w:val="both"/>
        <w:ind w:right="20" w:firstLine="1305"/>
        <w:spacing w:after="0" w:line="314" w:lineRule="auto"/>
        <w:tabs>
          <w:tab w:leader="none" w:pos="2164"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Certificates for Restricted Stock</w:t>
      </w:r>
      <w:r>
        <w:rPr>
          <w:rFonts w:ascii="Arial" w:cs="Arial" w:eastAsia="Arial" w:hAnsi="Arial"/>
          <w:sz w:val="18"/>
          <w:szCs w:val="18"/>
          <w:color w:val="auto"/>
        </w:rPr>
        <w:t>. Restricted Stock granted pursuant to the Plan may be evidenced in such manner as the Administrator shall determine. If certificates representing shares of Restricted Stock are registered in the name of the Participant, certificates must bear an appropriate legend referring to the terms, conditions, and restrictions applicable to such Restricted Stock, and the Company may, at its discretion, retain physical possession of the certificate until such time as all applicable restrictions lapse.</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u w:val="single" w:color="auto"/>
          <w:color w:val="auto"/>
        </w:rPr>
        <w:t>Section 6.2 Restricted Stock Units</w:t>
      </w:r>
      <w:r>
        <w:rPr>
          <w:rFonts w:ascii="Arial" w:cs="Arial" w:eastAsia="Arial" w:hAnsi="Arial"/>
          <w:sz w:val="19"/>
          <w:szCs w:val="19"/>
          <w:color w:val="auto"/>
        </w:rPr>
        <w:t>. The Administrator is authorized to make Awards of Restricted Stock Units to any Service Provider selected by the Administrator in such amounts and subject to such terms and conditions as determined by the Administrator. At the time of grant, the Administrator shall specify the date or dates on which the Restricted Stock Units shall become fully vested and nonforfeitable, and may specify such conditions to vesting as it deems appropriate. At the time of grant, the Administrator shall specify the maturity date applicable to each grant of Restricted Stock Units which shall be no earlier than the vesting date or dates of the Award and may be determined at the election of the grantee. On the maturity date, the Company shall, subject to the terms of this Plan, transfer to the Participant one Share for each Restricted Stock Unit scheduled to be paid out on such date and not previously forfeited. The Administrator shall specify the purchase price, if any, to be paid by the grantee to the Company for such Shares.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u w:val="single" w:color="auto"/>
          <w:color w:val="auto"/>
        </w:rPr>
        <w:t>Section 6.3 Rights as a Stockholder</w:t>
      </w:r>
      <w:r>
        <w:rPr>
          <w:rFonts w:ascii="Arial" w:cs="Arial" w:eastAsia="Arial" w:hAnsi="Arial"/>
          <w:sz w:val="19"/>
          <w:szCs w:val="19"/>
          <w:color w:val="auto"/>
        </w:rPr>
        <w:t>. A Participant shall not have any rights as a stockholder in respect of Restricted Stock Units awarded pursuant to the Plan (including but not limited to the right to vote on any matter submitted to the Company’s stockholders) until such time as the Shares attributable to such Restricted Stock Units have been issued to such Participant or his or her beneficiary.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PERFORMANCE SHARES AND PERFORMANCE UNITS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7.1</w:t>
      </w:r>
    </w:p>
    <w:p>
      <w:pPr>
        <w:spacing w:after="0" w:line="229" w:lineRule="exact"/>
        <w:rPr>
          <w:sz w:val="20"/>
          <w:szCs w:val="20"/>
          <w:color w:val="auto"/>
        </w:rPr>
      </w:pPr>
    </w:p>
    <w:p>
      <w:pPr>
        <w:jc w:val="both"/>
        <w:ind w:right="20" w:firstLine="1305"/>
        <w:spacing w:after="0" w:line="299" w:lineRule="auto"/>
        <w:tabs>
          <w:tab w:leader="none" w:pos="2164"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Grant of Performance Awards</w:t>
      </w:r>
      <w:r>
        <w:rPr>
          <w:rFonts w:ascii="Arial" w:cs="Arial" w:eastAsia="Arial" w:hAnsi="Arial"/>
          <w:sz w:val="19"/>
          <w:szCs w:val="19"/>
          <w:color w:val="auto"/>
        </w:rPr>
        <w:t>. The Administrator is authorized to make Awards of Performance Shares and Performance Units to any Participant selected by the Administrator in such amounts and subject to such terms and conditions as determined by the Administrator. All Performance Shares and Performance Units shall be evidenced by an Award Agreement.</w:t>
      </w:r>
    </w:p>
    <w:p>
      <w:pPr>
        <w:spacing w:after="0" w:line="169" w:lineRule="exact"/>
        <w:rPr>
          <w:rFonts w:ascii="Arial" w:cs="Arial" w:eastAsia="Arial" w:hAnsi="Arial"/>
          <w:sz w:val="19"/>
          <w:szCs w:val="19"/>
          <w:color w:val="auto"/>
        </w:rPr>
      </w:pPr>
    </w:p>
    <w:p>
      <w:pPr>
        <w:jc w:val="both"/>
        <w:ind w:firstLine="1305"/>
        <w:spacing w:after="0" w:line="302" w:lineRule="auto"/>
        <w:tabs>
          <w:tab w:leader="none" w:pos="217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Issuance and Restrictions</w:t>
      </w:r>
      <w:r>
        <w:rPr>
          <w:rFonts w:ascii="Arial" w:cs="Arial" w:eastAsia="Arial" w:hAnsi="Arial"/>
          <w:sz w:val="18"/>
          <w:szCs w:val="18"/>
          <w:color w:val="auto"/>
        </w:rPr>
        <w:t>. The Administrator shall have the authority to determine the Participants who shall receive Performance Shares and Performance Units, the number of Performance Shares and the number and value of Performance Units each Participant receives for any Performance Cycle, and the Performance Goals applicable in respect of such Performance Shares and Performance Units for each Performance Cycle. Any adjustments to such Performance Goals shall be approved by the Administrator. The Administrator shall determine the duration of each Performance Cycle (the duration of Performance Cycles may differ from one another), and there may be more than one Performance Cycle in existence at any one time. Unless otherwise determined by the Administrator, the Performance Cycle for Performance Shares and Performance Units shall be three (3) years. An Award Agreement evidencing the grant of Performance Shares or Performance Units shall specify the number of Performance Shares and the number and value of Performance Units awarded to the Participant, the Performance Goals applicable thereto, and such other terms and conditions not inconsistent with the Plan as the Administrator shall determine. No Company Common Stock will be issued at the time an Award of Performance Shares is made, and the Company shall not be required to set aside a fund for the payment of Performance Shares or Performance Units.</w:t>
      </w:r>
    </w:p>
    <w:p>
      <w:pPr>
        <w:spacing w:after="0" w:line="16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u w:val="single" w:color="auto"/>
          <w:color w:val="auto"/>
        </w:rPr>
        <w:t>Section 7.2 Earned Performance Shares and Performance Units</w:t>
      </w:r>
      <w:r>
        <w:rPr>
          <w:rFonts w:ascii="Arial" w:cs="Arial" w:eastAsia="Arial" w:hAnsi="Arial"/>
          <w:sz w:val="18"/>
          <w:szCs w:val="18"/>
          <w:color w:val="auto"/>
        </w:rPr>
        <w:t>. Performance Shares and Performance Units shall become earned, in whole or in part, based upon the attainment of specified Performance Goals or the occurrence of any event or events, including a Corporate Event, as the Administrator shall determine, either at or after the grant date. In addition to the achievement of the specified Performance Goals, the Administrator may, at the grant date, condition payment of Performance Shares and Performance Units on such conditions as the Administrator shall specify. The Administrator may also require the completion of a minimum period of service (in addition to the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36" w:right="239" w:bottom="1440" w:gutter="0" w:footer="0" w:header="0"/>
        </w:sectPr>
      </w:pPr>
    </w:p>
    <w:bookmarkStart w:id="59" w:name="page60"/>
    <w:bookmarkEnd w:id="59"/>
    <w:p>
      <w:pPr>
        <w:spacing w:after="0"/>
        <w:rPr>
          <w:sz w:val="20"/>
          <w:szCs w:val="20"/>
          <w:color w:val="auto"/>
        </w:rPr>
      </w:pPr>
      <w:r>
        <w:rPr>
          <w:rFonts w:ascii="Arial" w:cs="Arial" w:eastAsia="Arial" w:hAnsi="Arial"/>
          <w:sz w:val="19"/>
          <w:szCs w:val="19"/>
          <w:color w:val="auto"/>
        </w:rPr>
        <w:t>achievement of any applicable Performance Goals) as a condition to the vesting of any Performance Share or Performance Unit Award.</w:t>
      </w:r>
    </w:p>
    <w:p>
      <w:pPr>
        <w:spacing w:after="0" w:line="2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7.3 Rights as a Stockholder</w:t>
      </w:r>
      <w:r>
        <w:rPr>
          <w:rFonts w:ascii="Arial" w:cs="Arial" w:eastAsia="Arial" w:hAnsi="Arial"/>
          <w:sz w:val="20"/>
          <w:szCs w:val="20"/>
          <w:color w:val="auto"/>
        </w:rPr>
        <w:t>. A Participant shall not have any rights as a stockholder in respect of Performance Shares or Performance Units awarded pursuant to the Plan (including but not limited to the right to vote on any matter submitted to the Company’s stockholders) until such time as the Shares attributable to such Performance Shares or Performance Units have been issued to such Participant or his or her beneficiary.</w:t>
      </w:r>
    </w:p>
    <w:p>
      <w:pPr>
        <w:spacing w:after="0" w:line="19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u w:val="single" w:color="auto"/>
          <w:color w:val="auto"/>
        </w:rPr>
        <w:t>Section 7.4 Performance Goals</w:t>
      </w:r>
      <w:r>
        <w:rPr>
          <w:rFonts w:ascii="Arial" w:cs="Arial" w:eastAsia="Arial" w:hAnsi="Arial"/>
          <w:sz w:val="18"/>
          <w:szCs w:val="18"/>
          <w:color w:val="auto"/>
        </w:rPr>
        <w:t>. The Administrator shall establish the Performance Goals that must be satisfied in order for a Participant to receive an Award for a Performance Period or for an Award of Performance Shares or Performance Units to be earned or vested. At the discretion of the Administrator, the Performance Goals may be based upon the total return to the Company’s shareholders, inclusive of dividends paid, during the applicable Performance Cycle (determined either in absolute terms or relative to the performance of one or more similarly situated companies or a published index covering the performance of a number of companies), or upon the relative or comparative attainment of one or more of the following criteria, whether in absolute terms or relative to the performance of one or more similarly situated companies or a published index covering the performance of a number of companies and whether gross or net, before or after taxes and/or before or after any other adjustments: earnings before interest, taxes, depreciation and amortization, with or without adjustments for stock-option based and other equity-based compensation expenses, and/or management, transaction and/or similar fees paid to the principal stockholders or their affiliates, , operating earnings, net earnings, income, earnings before interest and taxes, total shareholder return, return on the Company’s assets, increase in the Company’s earnings or earnings per share (basic or diluted), revenue growth, share price performance, return on invested capital, operating income, pre- or post-tax, income, net income, economic value added, profit margins, cash flow, improvement in or attainment of expense or capital expenditure levels, improvement in or attainment of working capital levels, return on equity, debt reduction, gross profit, market share, cost reductions, workforce satisfaction and diversity goals, workplace health and safety goals, employee retention, completion of key projects and strategic plan development and/or implementation, job profit or performance against a multiplier; or, in the case of persons who are not Covered Employees, such other criteria as may be determined by the Administrator. Performance Goals may be established on a Company-wide basis or with respect to one or more business units, divisions, Subsidiaries, or products. When establishing Performance Goals for a Performance Cycle, the Administrator may exclude any or all “extraordinary items” as determined under U.S. generally accepted accounting principles and as identified in the financial statements, notes to the financial statements or management’s discussion and analysis in the annual report, including, without limitation, the charges or costs associated with restructurings of the Company, discontinued operations, extraordinary items, capital gains and losses, dividends, Share repurchase, other unusual or non-recurring items, and the cumulative effects of accounting changes. Except in the case of Awards to Covered Employees intended to be performance-based compensation under Section 162(m) of the Code, the Administrator may also adjust the Performance Goals for any Performance Cycle as it deems equitable in recognition of unusual or non-recurring events affecting the Company, changes in applicable tax laws or accounting principles, or such other factors as the Administrator may determine (including, without limitation, any adjustments that would result in the Company paying non-deductible compensation to a Participant).</w:t>
      </w:r>
    </w:p>
    <w:p>
      <w:pPr>
        <w:spacing w:after="0" w:line="17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u w:val="single" w:color="auto"/>
          <w:color w:val="auto"/>
        </w:rPr>
        <w:t>Section 7.5 Special Rule for Performance Goals</w:t>
      </w:r>
      <w:r>
        <w:rPr>
          <w:rFonts w:ascii="Arial" w:cs="Arial" w:eastAsia="Arial" w:hAnsi="Arial"/>
          <w:sz w:val="20"/>
          <w:szCs w:val="20"/>
          <w:color w:val="auto"/>
        </w:rPr>
        <w:t>. If, at the time of grant, the Administrator intends a Performance Share Award, Performance Unit or other Performance Award to qualify as performance-based compensation within the meaning of Section 162(m) of the Code, the Administrator must establish Performance Goals for the applicable Performance Cycle prior to the 91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day of the Performance Cycle (or by such other date as may be required under Section 162(m) of the Code) but not later than the date on which 25% of the Performance Cycle has lapsed.</w:t>
      </w:r>
    </w:p>
    <w:p>
      <w:pPr>
        <w:spacing w:after="0" w:line="19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u w:val="single" w:color="auto"/>
          <w:color w:val="auto"/>
        </w:rPr>
        <w:t>Section 7.6 Negative Discretion</w:t>
      </w:r>
      <w:r>
        <w:rPr>
          <w:rFonts w:ascii="Arial" w:cs="Arial" w:eastAsia="Arial" w:hAnsi="Arial"/>
          <w:sz w:val="20"/>
          <w:szCs w:val="20"/>
          <w:color w:val="auto"/>
        </w:rPr>
        <w:t>. Notwithstanding anything in this Article VII to the contrary, the Administrator shall have the right, in its absolute discretion, (</w:t>
      </w:r>
      <w:r>
        <w:rPr>
          <w:rFonts w:ascii="Arial" w:cs="Arial" w:eastAsia="Arial" w:hAnsi="Arial"/>
          <w:sz w:val="20"/>
          <w:szCs w:val="20"/>
          <w:u w:val="single" w:color="auto"/>
          <w:color w:val="auto"/>
        </w:rPr>
        <w:t>i</w:t>
      </w:r>
      <w:r>
        <w:rPr>
          <w:rFonts w:ascii="Arial" w:cs="Arial" w:eastAsia="Arial" w:hAnsi="Arial"/>
          <w:sz w:val="20"/>
          <w:szCs w:val="20"/>
          <w:color w:val="auto"/>
        </w:rPr>
        <w:t>) to reduce or eliminate the amount otherwise payable to any Participant under Section 7.9 based on individual performance or any other factors that the Administrator, in its discretion, shall deem appropriate and (</w:t>
      </w:r>
      <w:r>
        <w:rPr>
          <w:rFonts w:ascii="Arial" w:cs="Arial" w:eastAsia="Arial" w:hAnsi="Arial"/>
          <w:sz w:val="20"/>
          <w:szCs w:val="20"/>
          <w:u w:val="single" w:color="auto"/>
          <w:color w:val="auto"/>
        </w:rPr>
        <w:t>ii</w:t>
      </w:r>
      <w:r>
        <w:rPr>
          <w:rFonts w:ascii="Arial" w:cs="Arial" w:eastAsia="Arial" w:hAnsi="Arial"/>
          <w:sz w:val="20"/>
          <w:szCs w:val="20"/>
          <w:color w:val="auto"/>
        </w:rPr>
        <w:t>) to establish rules or procedures that have the effect of limiting the amount payable to each Participant to an amount that is less than the maximum amount otherwise authorized under the Award Agreement or under the Plan.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22" w:right="239" w:bottom="1440" w:gutter="0" w:footer="0" w:header="0"/>
        </w:sectPr>
      </w:pPr>
    </w:p>
    <w:bookmarkStart w:id="60" w:name="page61"/>
    <w:bookmarkEnd w:id="60"/>
    <w:p>
      <w:pPr>
        <w:jc w:val="both"/>
        <w:ind w:firstLine="648"/>
        <w:spacing w:after="0" w:line="257" w:lineRule="auto"/>
        <w:rPr>
          <w:sz w:val="20"/>
          <w:szCs w:val="20"/>
          <w:color w:val="auto"/>
        </w:rPr>
      </w:pPr>
      <w:r>
        <w:rPr>
          <w:rFonts w:ascii="Arial" w:cs="Arial" w:eastAsia="Arial" w:hAnsi="Arial"/>
          <w:sz w:val="19"/>
          <w:szCs w:val="19"/>
          <w:u w:val="single" w:color="auto"/>
          <w:color w:val="auto"/>
        </w:rPr>
        <w:t>Section 7.7 Affirmative Discretion</w:t>
      </w:r>
      <w:r>
        <w:rPr>
          <w:rFonts w:ascii="Arial" w:cs="Arial" w:eastAsia="Arial" w:hAnsi="Arial"/>
          <w:sz w:val="19"/>
          <w:szCs w:val="19"/>
          <w:color w:val="auto"/>
        </w:rPr>
        <w:t>. Notwithstanding any other provision in the Plan to the contrary, but subject to the maximum number of Shares available for issuance under Section 2.1 of the Plan, (</w:t>
      </w:r>
      <w:r>
        <w:rPr>
          <w:rFonts w:ascii="Arial" w:cs="Arial" w:eastAsia="Arial" w:hAnsi="Arial"/>
          <w:sz w:val="19"/>
          <w:szCs w:val="19"/>
          <w:u w:val="single" w:color="auto"/>
          <w:color w:val="auto"/>
        </w:rPr>
        <w:t>i</w:t>
      </w:r>
      <w:r>
        <w:rPr>
          <w:rFonts w:ascii="Arial" w:cs="Arial" w:eastAsia="Arial" w:hAnsi="Arial"/>
          <w:sz w:val="19"/>
          <w:szCs w:val="19"/>
          <w:color w:val="auto"/>
        </w:rPr>
        <w:t>) the Administrator shall have the right, in its discretion, to grant an Award in cash, Shares or other Awards, or in any combination thereof, to any Participant (except for a Participant who is a Covered Employee, to the extent Section 162(m) of the Code is applicable to the Company and the Plan for the year in which the amount paid would ordinarily be deductible by the Company for federal income tax purposes in an amount up to the maximum Award payable), based on individual performance or any other criteria that the Administrator deems appropriate and (</w:t>
      </w:r>
      <w:r>
        <w:rPr>
          <w:rFonts w:ascii="Arial" w:cs="Arial" w:eastAsia="Arial" w:hAnsi="Arial"/>
          <w:sz w:val="19"/>
          <w:szCs w:val="19"/>
          <w:u w:val="single" w:color="auto"/>
          <w:color w:val="auto"/>
        </w:rPr>
        <w:t>ii</w:t>
      </w:r>
      <w:r>
        <w:rPr>
          <w:rFonts w:ascii="Arial" w:cs="Arial" w:eastAsia="Arial" w:hAnsi="Arial"/>
          <w:sz w:val="19"/>
          <w:szCs w:val="19"/>
          <w:color w:val="auto"/>
        </w:rPr>
        <w:t>) in connection with the hiring of any person who is or becomes a Covered Employee, the Administrator may provide for a minimum bonus amount or Award payment in any Performance Cycle, regardless of whether the performance objectives are attained.</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7.8 Certification of Attainment of Performance Goals</w:t>
      </w:r>
      <w:r>
        <w:rPr>
          <w:rFonts w:ascii="Arial" w:cs="Arial" w:eastAsia="Arial" w:hAnsi="Arial"/>
          <w:sz w:val="20"/>
          <w:szCs w:val="20"/>
          <w:color w:val="auto"/>
        </w:rPr>
        <w:t>. As soon as practicable after the end of a Performance Cycle and prior to any payment or vesting in respect of such Performance Cycle, the Administrator shall certify in writing the number of Performance Shares or other Performance Awards and the number and value of Performance Units that have been earned or vested on the basis of performance in relation to the established Performance Goals.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u w:val="single" w:color="auto"/>
          <w:color w:val="auto"/>
        </w:rPr>
        <w:t>Section 7.9 Payment of Awards</w:t>
      </w:r>
      <w:r>
        <w:rPr>
          <w:rFonts w:ascii="Arial" w:cs="Arial" w:eastAsia="Arial" w:hAnsi="Arial"/>
          <w:sz w:val="19"/>
          <w:szCs w:val="19"/>
          <w:color w:val="auto"/>
        </w:rPr>
        <w:t>. Payment or delivery of Company Common Stock with respect to earned Performance Shares and earned Performance Units shall be distributed to the Participant or, if the Participant has died, to the Participant’s Eligible Representative, as soon as practicable after the expiration of the Performance Cycle and the Administrator’s certification under Section 7.8 above (unless an Award Agreement sets forth one or more other dates) and in any event no later than the earlier of (</w:t>
      </w:r>
      <w:r>
        <w:rPr>
          <w:rFonts w:ascii="Arial" w:cs="Arial" w:eastAsia="Arial" w:hAnsi="Arial"/>
          <w:sz w:val="19"/>
          <w:szCs w:val="19"/>
          <w:u w:val="single" w:color="auto"/>
          <w:color w:val="auto"/>
        </w:rPr>
        <w:t>i</w:t>
      </w:r>
      <w:r>
        <w:rPr>
          <w:rFonts w:ascii="Arial" w:cs="Arial" w:eastAsia="Arial" w:hAnsi="Arial"/>
          <w:sz w:val="19"/>
          <w:szCs w:val="19"/>
          <w:color w:val="auto"/>
        </w:rPr>
        <w:t>) 2 ½ months after the end of the fiscal year in which the Performance Cycle expires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ninety (90) days after the expiration of the Performance Cycle,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payment or delivery of Company Common Stock with respect to earned Performance Shares and earned Performance Units shall not be distributed to a Participant until any other conditions on payment of such Awards established by the Administrator have been satisfied. The Administrator shall determine whether earned Performance Shares and the value of earned Performance Units are to be distributed in the form of cash, Shares or in a combination thereof, with the value or number of Shares payable to be determined based on the Fair Market Value of the Company Common Stock on the date of the Administrator’s certification under Section 7.8 above. The Administrator shall have the right to impose whatever conditions it deems appropriate with respect to the award or delivery of Shares, including conditioning the vesting of such Shares on the performance of additional service.</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u w:val="single" w:color="auto"/>
          <w:color w:val="auto"/>
        </w:rPr>
        <w:t>Section 7.10 Newly Eligible Participants</w:t>
      </w:r>
      <w:r>
        <w:rPr>
          <w:rFonts w:ascii="Arial" w:cs="Arial" w:eastAsia="Arial" w:hAnsi="Arial"/>
          <w:sz w:val="18"/>
          <w:szCs w:val="18"/>
          <w:color w:val="auto"/>
        </w:rPr>
        <w:t>. Notwithstanding anything in this Article VII to the contrary, the Administrator shall be entitled to make such rules, determinations and adjustments as it deems appropriate with respect to any Participant who becomes eligible to receive Performance Shares, Performance Units or other Performance Awards after the commencement of a Performance Cycle.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DEFERRED SHARE UNITS</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u w:val="single" w:color="auto"/>
          <w:color w:val="auto"/>
        </w:rPr>
        <w:t>Section 8.1 Grant</w:t>
      </w:r>
      <w:r>
        <w:rPr>
          <w:rFonts w:ascii="Arial" w:cs="Arial" w:eastAsia="Arial" w:hAnsi="Arial"/>
          <w:sz w:val="18"/>
          <w:szCs w:val="18"/>
          <w:color w:val="auto"/>
        </w:rPr>
        <w:t>. Subject to Article XII, the Administrator is authorized to make awards of Deferred Share Units to any Participant selected by the Administrator at such time or times as shall be determined by the Administrator without regard to any election by the Participant to defer receipt of any compensation or bonus amount payable to him. The grant date of any freestanding Deferred Share Unit under the Plan will be the date on which such freestanding Deferred Share Unit is awarded by the Administrator or on such other future date as the Administrator shall determine in its sole discretion. In addition, subject to Article XII, on fixed dates established by the Administrator and subject to such terms and conditions as the Administrator shall determine, the Administrator may permit a Participant to elect to defer receipt of all or a portion of his annual compensation and/or annual incentive bonus (“</w:t>
      </w:r>
      <w:r>
        <w:rPr>
          <w:rFonts w:ascii="Arial" w:cs="Arial" w:eastAsia="Arial" w:hAnsi="Arial"/>
          <w:sz w:val="18"/>
          <w:szCs w:val="18"/>
          <w:u w:val="single" w:color="auto"/>
          <w:color w:val="auto"/>
        </w:rPr>
        <w:t>Deferred Annual Amount</w:t>
      </w:r>
      <w:r>
        <w:rPr>
          <w:rFonts w:ascii="Arial" w:cs="Arial" w:eastAsia="Arial" w:hAnsi="Arial"/>
          <w:sz w:val="18"/>
          <w:szCs w:val="18"/>
          <w:color w:val="auto"/>
        </w:rPr>
        <w:t>”) payable by the Company or a Subsidiary and receive in lieu thereof an Award of elective Deferred Share Units (“</w:t>
      </w:r>
      <w:r>
        <w:rPr>
          <w:rFonts w:ascii="Arial" w:cs="Arial" w:eastAsia="Arial" w:hAnsi="Arial"/>
          <w:sz w:val="18"/>
          <w:szCs w:val="18"/>
          <w:u w:val="single" w:color="auto"/>
          <w:color w:val="auto"/>
        </w:rPr>
        <w:t>Elective Deferred Share Units</w:t>
      </w:r>
      <w:r>
        <w:rPr>
          <w:rFonts w:ascii="Arial" w:cs="Arial" w:eastAsia="Arial" w:hAnsi="Arial"/>
          <w:sz w:val="18"/>
          <w:szCs w:val="18"/>
          <w:color w:val="auto"/>
        </w:rPr>
        <w:t>”) equal to the greatest whole number that may be obtained by dividing (</w:t>
      </w:r>
      <w:r>
        <w:rPr>
          <w:rFonts w:ascii="Arial" w:cs="Arial" w:eastAsia="Arial" w:hAnsi="Arial"/>
          <w:sz w:val="18"/>
          <w:szCs w:val="18"/>
          <w:u w:val="single" w:color="auto"/>
          <w:color w:val="auto"/>
        </w:rPr>
        <w:t>i</w:t>
      </w:r>
      <w:r>
        <w:rPr>
          <w:rFonts w:ascii="Arial" w:cs="Arial" w:eastAsia="Arial" w:hAnsi="Arial"/>
          <w:sz w:val="18"/>
          <w:szCs w:val="18"/>
          <w:color w:val="auto"/>
        </w:rPr>
        <w:t>) the amount of the Deferred Annual Amount, by (</w:t>
      </w:r>
      <w:r>
        <w:rPr>
          <w:rFonts w:ascii="Arial" w:cs="Arial" w:eastAsia="Arial" w:hAnsi="Arial"/>
          <w:sz w:val="18"/>
          <w:szCs w:val="18"/>
          <w:u w:val="single" w:color="auto"/>
          <w:color w:val="auto"/>
        </w:rPr>
        <w:t>ii</w:t>
      </w:r>
      <w:r>
        <w:rPr>
          <w:rFonts w:ascii="Arial" w:cs="Arial" w:eastAsia="Arial" w:hAnsi="Arial"/>
          <w:sz w:val="18"/>
          <w:szCs w:val="18"/>
          <w:color w:val="auto"/>
        </w:rPr>
        <w:t>) the Fair Market Value of one Share on the date of payment of such compensation and/or annual bonus. Each Award of Deferred Share Units shall be evidenced by an Award Agreement that shall specify (</w:t>
      </w:r>
      <w:r>
        <w:rPr>
          <w:rFonts w:ascii="Arial" w:cs="Arial" w:eastAsia="Arial" w:hAnsi="Arial"/>
          <w:sz w:val="18"/>
          <w:szCs w:val="18"/>
          <w:u w:val="single" w:color="auto"/>
          <w:color w:val="auto"/>
        </w:rPr>
        <w:t>x</w:t>
      </w:r>
      <w:r>
        <w:rPr>
          <w:rFonts w:ascii="Arial" w:cs="Arial" w:eastAsia="Arial" w:hAnsi="Arial"/>
          <w:sz w:val="18"/>
          <w:szCs w:val="18"/>
          <w:color w:val="auto"/>
        </w:rPr>
        <w:t>) the number of Shares to which the Deferred Share Units pertain, (</w:t>
      </w:r>
      <w:r>
        <w:rPr>
          <w:rFonts w:ascii="Arial" w:cs="Arial" w:eastAsia="Arial" w:hAnsi="Arial"/>
          <w:sz w:val="18"/>
          <w:szCs w:val="18"/>
          <w:u w:val="single" w:color="auto"/>
          <w:color w:val="auto"/>
        </w:rPr>
        <w:t>y</w:t>
      </w:r>
      <w:r>
        <w:rPr>
          <w:rFonts w:ascii="Arial" w:cs="Arial" w:eastAsia="Arial" w:hAnsi="Arial"/>
          <w:sz w:val="18"/>
          <w:szCs w:val="18"/>
          <w:color w:val="auto"/>
        </w:rPr>
        <w:t>) the time and form of payment of the Deferred Share Units and (</w:t>
      </w:r>
      <w:r>
        <w:rPr>
          <w:rFonts w:ascii="Arial" w:cs="Arial" w:eastAsia="Arial" w:hAnsi="Arial"/>
          <w:sz w:val="18"/>
          <w:szCs w:val="18"/>
          <w:u w:val="single" w:color="auto"/>
          <w:color w:val="auto"/>
        </w:rPr>
        <w:t>z</w:t>
      </w:r>
      <w:r>
        <w:rPr>
          <w:rFonts w:ascii="Arial" w:cs="Arial" w:eastAsia="Arial" w:hAnsi="Arial"/>
          <w:sz w:val="18"/>
          <w:szCs w:val="18"/>
          <w:color w:val="auto"/>
        </w:rPr>
        <w:t>) such terms and conditions not inconsistent with the Plan as the Administrator shall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22" w:right="239" w:bottom="1440" w:gutter="0" w:footer="0" w:header="0"/>
        </w:sectPr>
      </w:pPr>
    </w:p>
    <w:bookmarkStart w:id="61" w:name="page62"/>
    <w:bookmarkEnd w:id="61"/>
    <w:p>
      <w:pPr>
        <w:jc w:val="both"/>
        <w:spacing w:after="0" w:line="243" w:lineRule="auto"/>
        <w:rPr>
          <w:sz w:val="20"/>
          <w:szCs w:val="20"/>
          <w:color w:val="auto"/>
        </w:rPr>
      </w:pPr>
      <w:r>
        <w:rPr>
          <w:rFonts w:ascii="Arial" w:cs="Arial" w:eastAsia="Arial" w:hAnsi="Arial"/>
          <w:sz w:val="20"/>
          <w:szCs w:val="20"/>
          <w:color w:val="auto"/>
        </w:rPr>
        <w:t>determine, including customary representations, warranties and covenants with respect to securities law matters and such provisions as may be required pursuant to Section 409A of the Code. Upon the grant of Deferred Share Units pursuant to the Plan, the Company shall establish a notional account for the Participant and will record in such account the number of Deferred Share Units awarded to the Participant. No Shares will be issued to the Participant at the time an award of Deferred Share Units is granted. Subject to Article XII, Deferred Share Units may become payable on a Corporate Event, termination of employment or on a specified date or dates set forth in the Award Agreement evidencing such Deferred Share Units.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u w:val="single" w:color="auto"/>
          <w:color w:val="auto"/>
        </w:rPr>
        <w:t>Section 8.2 Rights as a Stockholder</w:t>
      </w:r>
      <w:r>
        <w:rPr>
          <w:rFonts w:ascii="Arial" w:cs="Arial" w:eastAsia="Arial" w:hAnsi="Arial"/>
          <w:sz w:val="19"/>
          <w:szCs w:val="19"/>
          <w:color w:val="auto"/>
        </w:rPr>
        <w:t>. A Participant shall not have any rights as a stockholder in respect of Deferred Share Units awarded pursuant to the Plan (including but not limited to the right to vote on any matter submitted to the Company’s stockholders) until such time as the Shares attributable to such Deferred Share Units have been issued to such Participant or his or her beneficiary.</w:t>
      </w:r>
    </w:p>
    <w:p>
      <w:pPr>
        <w:spacing w:after="0" w:line="170"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u w:val="single" w:color="auto"/>
          <w:color w:val="auto"/>
        </w:rPr>
        <w:t>Section 8.3 Vesting</w:t>
      </w:r>
      <w:r>
        <w:rPr>
          <w:rFonts w:ascii="Arial" w:cs="Arial" w:eastAsia="Arial" w:hAnsi="Arial"/>
          <w:sz w:val="18"/>
          <w:szCs w:val="18"/>
          <w:color w:val="auto"/>
        </w:rPr>
        <w:t xml:space="preserve">. Unless the Administrator provides otherwise at or after the grant date, the portion of each Award of Deferred Share Units that consists of freestanding Deferred Share Units, together with any dividend equivalents credited with respect thereto, will be subject to a restriction period of such length and subject to such terms and conditions as determined by the Administrator. In its discretion, the Administrator may establish performance-based vesting conditions with respect to Awards of Deferred Share Units (in lieu of, or in addition to, time-based vesting) based on one or more of the Performance Goals listed in Section 7.4;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Award of Deferred Share Units made to any Covered Employee that is intended to qualify as performance-based compensation under Section 162(m) of the Code shall be subject to the same restrictions and limitations applicable to Awards of Performance Shares and Performance Units under Section 7.5 and Section 7.8. Except as otherwise provided in the applicable Award Agreement or as provided in Section 11.4, the portion of each Award of Deferred Share Units that consists of Elective Deferred Share Units, together with any dividend equivalents credited with respect thereto, shall not be subject to any restriction period and shall be non</w:t>
      </w:r>
      <w:r>
        <w:rPr>
          <w:rFonts w:ascii="MS PGothic" w:cs="MS PGothic" w:eastAsia="MS PGothic" w:hAnsi="MS PGothic"/>
          <w:sz w:val="18"/>
          <w:szCs w:val="18"/>
          <w:color w:val="auto"/>
        </w:rPr>
        <w:t>‑</w:t>
      </w:r>
      <w:r>
        <w:rPr>
          <w:rFonts w:ascii="Arial" w:cs="Arial" w:eastAsia="Arial" w:hAnsi="Arial"/>
          <w:sz w:val="18"/>
          <w:szCs w:val="18"/>
          <w:color w:val="auto"/>
        </w:rPr>
        <w:t>forfeitable at all times.</w:t>
      </w:r>
    </w:p>
    <w:p>
      <w:pPr>
        <w:spacing w:after="0" w:line="20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u w:val="single" w:color="auto"/>
          <w:color w:val="auto"/>
        </w:rPr>
        <w:t>Section 8.4 Further Deferral Elections</w:t>
      </w:r>
      <w:r>
        <w:rPr>
          <w:rFonts w:ascii="Arial" w:cs="Arial" w:eastAsia="Arial" w:hAnsi="Arial"/>
          <w:sz w:val="20"/>
          <w:szCs w:val="20"/>
          <w:color w:val="auto"/>
        </w:rPr>
        <w:t>. A Participant may elect to further defer receipt of Shares issuable in respect of Deferred Share Units (or an installment of an Award) for a specified period or until a specified event, subject in each case to the Administrator’s approval and to such terms as are determined by the Administrator, all in its sole discretion. Subject to any exceptions adopted by the Administrator, such election must generally be made at least twelve (12) months prior to the prior settlement date of such Deferred Share Units (or any such installment thereof) and must defer settlement for at least five (5) years after such prior settlement date. A further deferral opportunity does not have to be made available to all Participants, and different terms and conditions may apply with respect to the further deferral opportunities made available to different Participants.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u w:val="single" w:color="auto"/>
          <w:color w:val="auto"/>
        </w:rPr>
        <w:t>Section 8.5 Settlement</w:t>
      </w:r>
      <w:r>
        <w:rPr>
          <w:rFonts w:ascii="Arial" w:cs="Arial" w:eastAsia="Arial" w:hAnsi="Arial"/>
          <w:sz w:val="19"/>
          <w:szCs w:val="19"/>
          <w:color w:val="auto"/>
        </w:rPr>
        <w:t>. Subject to this Article VIII, upon the date specified in the Award Agreement evidencing the Deferred Share Units, for each such Deferred Share Unit the Participant shall receive, in the Administrator’s discretion, (</w:t>
      </w:r>
      <w:r>
        <w:rPr>
          <w:rFonts w:ascii="Arial" w:cs="Arial" w:eastAsia="Arial" w:hAnsi="Arial"/>
          <w:sz w:val="19"/>
          <w:szCs w:val="19"/>
          <w:u w:val="single" w:color="auto"/>
          <w:color w:val="auto"/>
        </w:rPr>
        <w:t>i</w:t>
      </w:r>
      <w:r>
        <w:rPr>
          <w:rFonts w:ascii="Arial" w:cs="Arial" w:eastAsia="Arial" w:hAnsi="Arial"/>
          <w:sz w:val="19"/>
          <w:szCs w:val="19"/>
          <w:color w:val="auto"/>
        </w:rPr>
        <w:t>) a cash payment equal to the Fair Market Value of one (1) Share as of such payment date, (</w:t>
      </w:r>
      <w:r>
        <w:rPr>
          <w:rFonts w:ascii="Arial" w:cs="Arial" w:eastAsia="Arial" w:hAnsi="Arial"/>
          <w:sz w:val="19"/>
          <w:szCs w:val="19"/>
          <w:u w:val="single" w:color="auto"/>
          <w:color w:val="auto"/>
        </w:rPr>
        <w:t>ii</w:t>
      </w:r>
      <w:r>
        <w:rPr>
          <w:rFonts w:ascii="Arial" w:cs="Arial" w:eastAsia="Arial" w:hAnsi="Arial"/>
          <w:sz w:val="19"/>
          <w:szCs w:val="19"/>
          <w:color w:val="auto"/>
        </w:rPr>
        <w:t>) one (1) Share or (</w:t>
      </w:r>
      <w:r>
        <w:rPr>
          <w:rFonts w:ascii="Arial" w:cs="Arial" w:eastAsia="Arial" w:hAnsi="Arial"/>
          <w:sz w:val="19"/>
          <w:szCs w:val="19"/>
          <w:u w:val="single" w:color="auto"/>
          <w:color w:val="auto"/>
        </w:rPr>
        <w:t>iii</w:t>
      </w:r>
      <w:r>
        <w:rPr>
          <w:rFonts w:ascii="Arial" w:cs="Arial" w:eastAsia="Arial" w:hAnsi="Arial"/>
          <w:sz w:val="19"/>
          <w:szCs w:val="19"/>
          <w:color w:val="auto"/>
        </w:rPr>
        <w:t>) any combination of cash and Shares.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OTHER STOCK-BASED AWARDS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u w:val="single" w:color="auto"/>
          <w:color w:val="auto"/>
        </w:rPr>
        <w:t>Section 9.1 Grant of Stock-Based Awards</w:t>
      </w:r>
      <w:r>
        <w:rPr>
          <w:rFonts w:ascii="Arial" w:cs="Arial" w:eastAsia="Arial" w:hAnsi="Arial"/>
          <w:sz w:val="19"/>
          <w:szCs w:val="19"/>
          <w:color w:val="auto"/>
        </w:rPr>
        <w:t>. The Administrator is authorized to make Awards of other types of equity-based or equity-related awards (“</w:t>
      </w:r>
      <w:r>
        <w:rPr>
          <w:rFonts w:ascii="Arial" w:cs="Arial" w:eastAsia="Arial" w:hAnsi="Arial"/>
          <w:sz w:val="19"/>
          <w:szCs w:val="19"/>
          <w:u w:val="single" w:color="auto"/>
          <w:color w:val="auto"/>
        </w:rPr>
        <w:t>Stock-Based Awards</w:t>
      </w:r>
      <w:r>
        <w:rPr>
          <w:rFonts w:ascii="Arial" w:cs="Arial" w:eastAsia="Arial" w:hAnsi="Arial"/>
          <w:sz w:val="19"/>
          <w:szCs w:val="19"/>
          <w:color w:val="auto"/>
        </w:rPr>
        <w:t>”) not otherwise described by the terms of the Plan in such amounts and subject to such terms and conditions as the Administrator shall determine. All Stock-Based Awards shall be evidenced by an Award Agreement. Such Stock-Based Awards may be granted as an inducement to enter the employ of the Company or any Subsidiary or in satisfaction of any obligation of the Company or any Subsidiary to an officer or other key employee, whether pursuant to this Plan or otherwise, that would otherwise have been payable in cash or in respect of any other obligation of the Company. Such Stock-Based Awards may entail the transfer of actual Shares, or payment in cash or otherwise of amounts based on the value of Shares and may include, without limitation, Awards designed to comply with or take advantage of the applicable local laws of jurisdictions other than the United States.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22"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20"/>
          <w:szCs w:val="20"/>
          <w:b w:val="1"/>
          <w:bCs w:val="1"/>
          <w:color w:val="auto"/>
        </w:rPr>
        <w:t>ARTICLE 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DIVIDEND EQUIVALENTS</w:t>
      </w:r>
    </w:p>
    <w:p>
      <w:pPr>
        <w:spacing w:after="0" w:line="22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u w:val="single" w:color="auto"/>
          <w:color w:val="auto"/>
        </w:rPr>
        <w:t>Section 10.1 Generally</w:t>
      </w:r>
      <w:r>
        <w:rPr>
          <w:rFonts w:ascii="Arial" w:cs="Arial" w:eastAsia="Arial" w:hAnsi="Arial"/>
          <w:sz w:val="18"/>
          <w:szCs w:val="18"/>
          <w:color w:val="auto"/>
        </w:rPr>
        <w:t xml:space="preserve">. Dividend Equivalents may be granted to Participants at such time or times as shall be determined by the Administrator. Dividend Equivalents may be granted in tandem with other Awards, in addition to other Awards, or freestanding and unrelated to other Awards. The grant date of any Dividend Equivalents under the Plan will be the date on which the Dividend Equivalent is awarded by the Administrator, or such other date as the Administrator shall determine in its sole discretion. Dividend Equivalents shall be evidenced in writing, whether as part of the Award Agreement governing the terms of the Award, if any, to which such Dividend Equivalent relates, or pursuant to a separate Award Agreement with respect to freestanding Dividend Equivalents, in each case, containing such provisions not inconsistent with the Plan as the Administrator shall determine, including customary representations, warranties and covenants with respect to securities law matters;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Dividend Equivalent shall vest or be payable based on the exercise of an Option or SAR.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TERMINATION AND FORFEITURE</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u w:val="single" w:color="auto"/>
          <w:color w:val="auto"/>
        </w:rPr>
        <w:t>Section 11.1 Termination for Cause</w:t>
      </w:r>
      <w:r>
        <w:rPr>
          <w:rFonts w:ascii="Arial" w:cs="Arial" w:eastAsia="Arial" w:hAnsi="Arial"/>
          <w:sz w:val="18"/>
          <w:szCs w:val="18"/>
          <w:color w:val="auto"/>
        </w:rPr>
        <w:t>. Unless otherwise determined by the Administrator at or after the grant date and set forth in the Award Agreement covering the Award or otherwise in writing, if a Participant’s employment or service terminates for Cause, all Options and SARs, whether vested or unvested, and all other Awards that are unvested or unexercisable or otherwise unpaid (or were unvested or unexercisable or unpaid at the time of occurrence of Cause) shall be immediately forfeited and canceled, effective as of the date of the Participant’s termination of service. Notwithstanding the foregoing, unless otherwise determined by the Administrator at or after the grant date and set forth in the Award Agreement covering the Award or otherwise in writing, any Award that vested or was paid to the Participant or otherwise settled during the twelve months prior to or any time after the Participant engaged in the conduct that gave rise to the termination for Cause shall upon demand by the Administrator be immediately forfeited and disgorged or paid to the Company together with all gains earned or accrued due to the exercise of such Awards or sale of Company Common Stock issued pursuant to such Awards.</w:t>
      </w:r>
    </w:p>
    <w:p>
      <w:pPr>
        <w:spacing w:after="0" w:line="17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11.2 Termination for Any Other Reason</w:t>
      </w:r>
      <w:r>
        <w:rPr>
          <w:rFonts w:ascii="Arial" w:cs="Arial" w:eastAsia="Arial" w:hAnsi="Arial"/>
          <w:sz w:val="20"/>
          <w:szCs w:val="20"/>
          <w:color w:val="auto"/>
        </w:rPr>
        <w:t>. Unless otherwise determined by the Administrator at or after the grant date and set forth in the Award Agreement covering the Award or otherwise in writing, if a Participant’s employment or service terminates for any reason other than Cause:</w:t>
      </w:r>
    </w:p>
    <w:p>
      <w:pPr>
        <w:spacing w:after="0" w:line="200" w:lineRule="exact"/>
        <w:rPr>
          <w:sz w:val="20"/>
          <w:szCs w:val="20"/>
          <w:color w:val="auto"/>
        </w:rPr>
      </w:pPr>
    </w:p>
    <w:p>
      <w:pPr>
        <w:ind w:firstLine="1305"/>
        <w:spacing w:after="0" w:line="289" w:lineRule="auto"/>
        <w:tabs>
          <w:tab w:leader="none" w:pos="2164" w:val="left"/>
        </w:tabs>
        <w:numPr>
          <w:ilvl w:val="0"/>
          <w:numId w:val="57"/>
        </w:numPr>
        <w:rPr>
          <w:rFonts w:ascii="Arial" w:cs="Arial" w:eastAsia="Arial" w:hAnsi="Arial"/>
          <w:sz w:val="20"/>
          <w:szCs w:val="20"/>
          <w:color w:val="auto"/>
        </w:rPr>
      </w:pPr>
      <w:r>
        <w:rPr>
          <w:rFonts w:ascii="Arial" w:cs="Arial" w:eastAsia="Arial" w:hAnsi="Arial"/>
          <w:sz w:val="20"/>
          <w:szCs w:val="20"/>
          <w:color w:val="auto"/>
        </w:rPr>
        <w:t>All Awards that are unvested or unexercisable shall be immediately forfeited and canceled, effective as of the date of the Participant’s termination of service.</w:t>
      </w:r>
    </w:p>
    <w:p>
      <w:pPr>
        <w:spacing w:after="0" w:line="175" w:lineRule="exact"/>
        <w:rPr>
          <w:rFonts w:ascii="Arial" w:cs="Arial" w:eastAsia="Arial" w:hAnsi="Arial"/>
          <w:sz w:val="20"/>
          <w:szCs w:val="20"/>
          <w:color w:val="auto"/>
        </w:rPr>
      </w:pPr>
    </w:p>
    <w:p>
      <w:pPr>
        <w:jc w:val="both"/>
        <w:ind w:firstLine="1305"/>
        <w:spacing w:after="0" w:line="253" w:lineRule="auto"/>
        <w:tabs>
          <w:tab w:leader="none" w:pos="2175" w:val="left"/>
        </w:tabs>
        <w:numPr>
          <w:ilvl w:val="0"/>
          <w:numId w:val="57"/>
        </w:numPr>
        <w:rPr>
          <w:rFonts w:ascii="Arial" w:cs="Arial" w:eastAsia="Arial" w:hAnsi="Arial"/>
          <w:sz w:val="20"/>
          <w:szCs w:val="20"/>
          <w:color w:val="auto"/>
        </w:rPr>
      </w:pPr>
      <w:r>
        <w:rPr>
          <w:rFonts w:ascii="Arial" w:cs="Arial" w:eastAsia="Arial" w:hAnsi="Arial"/>
          <w:sz w:val="20"/>
          <w:szCs w:val="20"/>
          <w:color w:val="auto"/>
        </w:rPr>
        <w:t>All Options and SARs that are vested shall remain outstanding until (</w:t>
      </w:r>
      <w:r>
        <w:rPr>
          <w:rFonts w:ascii="Arial" w:cs="Arial" w:eastAsia="Arial" w:hAnsi="Arial"/>
          <w:sz w:val="20"/>
          <w:szCs w:val="20"/>
          <w:u w:val="single" w:color="auto"/>
          <w:color w:val="auto"/>
        </w:rPr>
        <w:t>x</w:t>
      </w:r>
      <w:r>
        <w:rPr>
          <w:rFonts w:ascii="Arial" w:cs="Arial" w:eastAsia="Arial" w:hAnsi="Arial"/>
          <w:sz w:val="20"/>
          <w:szCs w:val="20"/>
          <w:color w:val="auto"/>
        </w:rPr>
        <w:t>) in the case of termination for death or Disability, the first anniversary of the date of the Participant’s death, (</w:t>
      </w:r>
      <w:r>
        <w:rPr>
          <w:rFonts w:ascii="Arial" w:cs="Arial" w:eastAsia="Arial" w:hAnsi="Arial"/>
          <w:sz w:val="20"/>
          <w:szCs w:val="20"/>
          <w:u w:val="single" w:color="auto"/>
          <w:color w:val="auto"/>
        </w:rPr>
        <w:t>y</w:t>
      </w:r>
      <w:r>
        <w:rPr>
          <w:rFonts w:ascii="Arial" w:cs="Arial" w:eastAsia="Arial" w:hAnsi="Arial"/>
          <w:sz w:val="20"/>
          <w:szCs w:val="20"/>
          <w:color w:val="auto"/>
        </w:rPr>
        <w:t>) the 60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after the date of termination for any reason other than death or Disability or (</w:t>
      </w:r>
      <w:r>
        <w:rPr>
          <w:rFonts w:ascii="Arial" w:cs="Arial" w:eastAsia="Arial" w:hAnsi="Arial"/>
          <w:sz w:val="20"/>
          <w:szCs w:val="20"/>
          <w:u w:val="single" w:color="auto"/>
          <w:color w:val="auto"/>
        </w:rPr>
        <w:t>z</w:t>
      </w:r>
      <w:r>
        <w:rPr>
          <w:rFonts w:ascii="Arial" w:cs="Arial" w:eastAsia="Arial" w:hAnsi="Arial"/>
          <w:sz w:val="20"/>
          <w:szCs w:val="20"/>
          <w:color w:val="auto"/>
        </w:rPr>
        <w:t>) the Award’s normal expiration date, whichever is earlier, after which any unexercised Options and SARs shall immediately terminate.</w:t>
      </w:r>
    </w:p>
    <w:p>
      <w:pPr>
        <w:spacing w:after="0" w:line="1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11.3 Post-Termination Informational Requirements</w:t>
      </w:r>
      <w:r>
        <w:rPr>
          <w:rFonts w:ascii="Arial" w:cs="Arial" w:eastAsia="Arial" w:hAnsi="Arial"/>
          <w:sz w:val="20"/>
          <w:szCs w:val="20"/>
          <w:color w:val="auto"/>
        </w:rPr>
        <w:t>. Before the settlement of any Award following termination of employment or service, the Administrator may require the Participant (or the Participant’s Eligible Representative, if applicable) to make such representations and provide such documents as the Administrator deems necessary or advisable to effect compliance with Applicable Law and determine whether the provisions of Section 11.1 or Section 11.4 may apply to such Award.</w:t>
      </w:r>
    </w:p>
    <w:p>
      <w:pPr>
        <w:spacing w:after="0" w:line="19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11.4</w:t>
      </w:r>
      <w:r>
        <w:rPr>
          <w:sz w:val="20"/>
          <w:szCs w:val="20"/>
          <w:color w:val="auto"/>
        </w:rPr>
        <w:tab/>
      </w:r>
      <w:r>
        <w:rPr>
          <w:rFonts w:ascii="Arial" w:cs="Arial" w:eastAsia="Arial" w:hAnsi="Arial"/>
          <w:sz w:val="18"/>
          <w:szCs w:val="18"/>
          <w:u w:val="single" w:color="auto"/>
          <w:color w:val="auto"/>
        </w:rPr>
        <w:t>Forfeiture of Awards</w:t>
      </w:r>
      <w:r>
        <w:rPr>
          <w:rFonts w:ascii="Arial" w:cs="Arial" w:eastAsia="Arial" w:hAnsi="Arial"/>
          <w:sz w:val="18"/>
          <w:szCs w:val="18"/>
          <w:color w:val="auto"/>
        </w:rPr>
        <w:t>.</w:t>
      </w:r>
    </w:p>
    <w:p>
      <w:pPr>
        <w:spacing w:after="0" w:line="229" w:lineRule="exact"/>
        <w:rPr>
          <w:sz w:val="20"/>
          <w:szCs w:val="20"/>
          <w:color w:val="auto"/>
        </w:rPr>
      </w:pPr>
    </w:p>
    <w:p>
      <w:pPr>
        <w:jc w:val="both"/>
        <w:ind w:firstLine="1305"/>
        <w:spacing w:after="0" w:line="278" w:lineRule="auto"/>
        <w:tabs>
          <w:tab w:leader="none" w:pos="2164"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Forfeiture for Financial Reporting Misconduct</w:t>
      </w:r>
      <w:r>
        <w:rPr>
          <w:rFonts w:ascii="Arial" w:cs="Arial" w:eastAsia="Arial" w:hAnsi="Arial"/>
          <w:sz w:val="20"/>
          <w:szCs w:val="20"/>
          <w:color w:val="auto"/>
        </w:rPr>
        <w:t>. If the Company is required to prepare an accounting restatement due to material noncompliance by the Company with any financial reporting requirement under the securities laws, (</w:t>
      </w:r>
      <w:r>
        <w:rPr>
          <w:rFonts w:ascii="Arial" w:cs="Arial" w:eastAsia="Arial" w:hAnsi="Arial"/>
          <w:sz w:val="20"/>
          <w:szCs w:val="20"/>
          <w:u w:val="single" w:color="auto"/>
          <w:color w:val="auto"/>
        </w:rPr>
        <w:t>x</w:t>
      </w:r>
      <w:r>
        <w:rPr>
          <w:rFonts w:ascii="Arial" w:cs="Arial" w:eastAsia="Arial" w:hAnsi="Arial"/>
          <w:sz w:val="20"/>
          <w:szCs w:val="20"/>
          <w:color w:val="auto"/>
        </w:rPr>
        <w:t>) with respect to any Participant who either knowingly or grossly negligently engaged in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16" w:right="239" w:bottom="1440" w:gutter="0" w:footer="0" w:header="0"/>
        </w:sectPr>
      </w:pPr>
    </w:p>
    <w:bookmarkStart w:id="63" w:name="page64"/>
    <w:bookmarkEnd w:id="63"/>
    <w:p>
      <w:pPr>
        <w:jc w:val="both"/>
        <w:spacing w:after="0" w:line="270" w:lineRule="auto"/>
        <w:rPr>
          <w:sz w:val="20"/>
          <w:szCs w:val="20"/>
          <w:color w:val="auto"/>
        </w:rPr>
      </w:pPr>
      <w:r>
        <w:rPr>
          <w:rFonts w:ascii="Arial" w:cs="Arial" w:eastAsia="Arial" w:hAnsi="Arial"/>
          <w:sz w:val="20"/>
          <w:szCs w:val="20"/>
          <w:color w:val="auto"/>
        </w:rPr>
        <w:t>misconduct or knowingly or grossly negligently failed to prevent the misconduct as determined by the Administrator or is one of the individuals subject to automatic forfeiture under Section 304 of the Sarbanes-Oxley Act of 2002, such Participant shall forfeit and disgorge to the Company (</w:t>
      </w:r>
      <w:r>
        <w:rPr>
          <w:rFonts w:ascii="Arial" w:cs="Arial" w:eastAsia="Arial" w:hAnsi="Arial"/>
          <w:sz w:val="20"/>
          <w:szCs w:val="20"/>
          <w:u w:val="single" w:color="auto"/>
          <w:color w:val="auto"/>
        </w:rPr>
        <w:t>i</w:t>
      </w:r>
      <w:r>
        <w:rPr>
          <w:rFonts w:ascii="Arial" w:cs="Arial" w:eastAsia="Arial" w:hAnsi="Arial"/>
          <w:sz w:val="20"/>
          <w:szCs w:val="20"/>
          <w:color w:val="auto"/>
        </w:rPr>
        <w:t>) any Awards granted or vested and all gains earned or accrued due to the exercise of Options or SARS or sale of any Company Common Stock during the twelve (12)-month period following the filing of the financial document embodying such financial reporting requirement and (</w:t>
      </w:r>
      <w:r>
        <w:rPr>
          <w:rFonts w:ascii="Arial" w:cs="Arial" w:eastAsia="Arial" w:hAnsi="Arial"/>
          <w:sz w:val="20"/>
          <w:szCs w:val="20"/>
          <w:u w:val="single" w:color="auto"/>
          <w:color w:val="auto"/>
        </w:rPr>
        <w:t>ii</w:t>
      </w:r>
      <w:r>
        <w:rPr>
          <w:rFonts w:ascii="Arial" w:cs="Arial" w:eastAsia="Arial" w:hAnsi="Arial"/>
          <w:sz w:val="20"/>
          <w:szCs w:val="20"/>
          <w:color w:val="auto"/>
        </w:rPr>
        <w:t>) any other Awards that vested based on the materially non-complying financial reporting and (</w:t>
      </w:r>
      <w:r>
        <w:rPr>
          <w:rFonts w:ascii="Arial" w:cs="Arial" w:eastAsia="Arial" w:hAnsi="Arial"/>
          <w:sz w:val="20"/>
          <w:szCs w:val="20"/>
          <w:u w:val="single" w:color="auto"/>
          <w:color w:val="auto"/>
        </w:rPr>
        <w:t>y</w:t>
      </w:r>
      <w:r>
        <w:rPr>
          <w:rFonts w:ascii="Arial" w:cs="Arial" w:eastAsia="Arial" w:hAnsi="Arial"/>
          <w:sz w:val="20"/>
          <w:szCs w:val="20"/>
          <w:color w:val="auto"/>
        </w:rPr>
        <w:t>) with respect to any Participant who is a current or former member of the Leadership Team or other executive officer of the Company (as defined under the Securities Exchange Act of 1934) who received incentive compensation under the Plan during the three-year period preceding the date on which the Company is required to prepare such accounting restatement, based on erroneous data, in excess of what would have been awarded or paid to such Participant under such accounting restatement, such Participant shall forfeit and disgorge to the Company such excess incentive compensation.</w:t>
      </w:r>
    </w:p>
    <w:p>
      <w:pPr>
        <w:spacing w:after="0" w:line="195" w:lineRule="exact"/>
        <w:rPr>
          <w:sz w:val="20"/>
          <w:szCs w:val="20"/>
          <w:color w:val="auto"/>
        </w:rPr>
      </w:pPr>
    </w:p>
    <w:p>
      <w:pPr>
        <w:jc w:val="both"/>
        <w:ind w:firstLine="1305"/>
        <w:spacing w:after="0" w:line="272" w:lineRule="auto"/>
        <w:tabs>
          <w:tab w:leader="none" w:pos="2175"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Forfeiture under Applicable Laws or Regulations</w:t>
      </w:r>
      <w:r>
        <w:rPr>
          <w:rFonts w:ascii="Arial" w:cs="Arial" w:eastAsia="Arial" w:hAnsi="Arial"/>
          <w:sz w:val="20"/>
          <w:szCs w:val="20"/>
          <w:color w:val="auto"/>
        </w:rPr>
        <w:t>. In addition to forfeiture for reasons specified in Section 11.4(a), the Company may cancel or reduce or require the Participant to forfeit and disgorge to the Company any Awards granted or vested and any gains earned or accrued due to the exercise of Options or SARS or sale of any Company Common Stock to the extent permitted or required by Applicable Law or regulations in effect on or after the Effective Date. For the avoidance of doubt, the Administrator shall have full authority to implement any policies and procedures necessary to comply with Section 10D of the Securities Exchange Act of 1934, as amended, and any rules promulgated thereunder.</w:t>
      </w:r>
    </w:p>
    <w:p>
      <w:pPr>
        <w:spacing w:after="0" w:line="191" w:lineRule="exact"/>
        <w:rPr>
          <w:rFonts w:ascii="Arial" w:cs="Arial" w:eastAsia="Arial" w:hAnsi="Arial"/>
          <w:sz w:val="20"/>
          <w:szCs w:val="20"/>
          <w:color w:val="auto"/>
        </w:rPr>
      </w:pPr>
    </w:p>
    <w:p>
      <w:pPr>
        <w:jc w:val="both"/>
        <w:ind w:firstLine="1305"/>
        <w:spacing w:after="0" w:line="285" w:lineRule="auto"/>
        <w:tabs>
          <w:tab w:leader="none" w:pos="2164"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Forfeiture for Competitive Activity</w:t>
      </w:r>
      <w:r>
        <w:rPr>
          <w:rFonts w:ascii="Arial" w:cs="Arial" w:eastAsia="Arial" w:hAnsi="Arial"/>
          <w:sz w:val="19"/>
          <w:szCs w:val="19"/>
          <w:color w:val="auto"/>
        </w:rPr>
        <w:t>. Unless otherwise determined by the Administrator at or after the grant date and set forth in the Award Agreement covering the Award or otherwise in writing, if during or following a Participant’s termination of employment or service with the Company or any of its Subsidiaries the Participant engages in Competitive Activity, all Options and SARs, whether vested or unvested, and all other Awards that are unvested or unexercisable or otherwise unpaid shall be immediately forfeited and canceled, effective as of the date of the Participant’s termination of service. Notwithstanding the foregoing, any Award that vested or was paid to the Participant or otherwise settled more than twelve (12) months prior to the date the Participant engaged in Competitive Activity, as determined by the Administrator in its sole discretion, shall not be recovered from the Participant. Any Award vested, paid or otherwise settled in the twelve (12) months prior to the date that the Participant engaged in Competitive Activity or at any time thereafter shall upon demand by the Administrator be immediately forfeited and disgorged or paid to the Company together with all gains earned or accrued due to the exercise of such Awards or sale of any Company Common Stock issued pursuant to such Awards.</w:t>
      </w:r>
    </w:p>
    <w:p>
      <w:pPr>
        <w:spacing w:after="0" w:line="187" w:lineRule="exact"/>
        <w:rPr>
          <w:rFonts w:ascii="Arial" w:cs="Arial" w:eastAsia="Arial" w:hAnsi="Arial"/>
          <w:sz w:val="19"/>
          <w:szCs w:val="19"/>
          <w:color w:val="auto"/>
        </w:rPr>
      </w:pPr>
    </w:p>
    <w:p>
      <w:pPr>
        <w:jc w:val="both"/>
        <w:ind w:firstLine="1305"/>
        <w:spacing w:after="0" w:line="302" w:lineRule="auto"/>
        <w:tabs>
          <w:tab w:leader="none" w:pos="217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Forfeiture for Other Misconduct</w:t>
      </w:r>
      <w:r>
        <w:rPr>
          <w:rFonts w:ascii="Arial" w:cs="Arial" w:eastAsia="Arial" w:hAnsi="Arial"/>
          <w:sz w:val="18"/>
          <w:szCs w:val="18"/>
          <w:color w:val="auto"/>
        </w:rPr>
        <w:t>. Unless otherwise determined by the Administrator, if (</w:t>
      </w:r>
      <w:r>
        <w:rPr>
          <w:rFonts w:ascii="Arial" w:cs="Arial" w:eastAsia="Arial" w:hAnsi="Arial"/>
          <w:sz w:val="18"/>
          <w:szCs w:val="18"/>
          <w:u w:val="single" w:color="auto"/>
          <w:color w:val="auto"/>
        </w:rPr>
        <w:t>i</w:t>
      </w:r>
      <w:r>
        <w:rPr>
          <w:rFonts w:ascii="Arial" w:cs="Arial" w:eastAsia="Arial" w:hAnsi="Arial"/>
          <w:sz w:val="18"/>
          <w:szCs w:val="18"/>
          <w:color w:val="auto"/>
        </w:rPr>
        <w:t>) the Participant’s performance is deemed to contribute substantially to the Company or a Subsidiary incurring significant financial losses; (</w:t>
      </w:r>
      <w:r>
        <w:rPr>
          <w:rFonts w:ascii="Arial" w:cs="Arial" w:eastAsia="Arial" w:hAnsi="Arial"/>
          <w:sz w:val="18"/>
          <w:szCs w:val="18"/>
          <w:u w:val="single" w:color="auto"/>
          <w:color w:val="auto"/>
        </w:rPr>
        <w:t>ii</w:t>
      </w:r>
      <w:r>
        <w:rPr>
          <w:rFonts w:ascii="Arial" w:cs="Arial" w:eastAsia="Arial" w:hAnsi="Arial"/>
          <w:sz w:val="18"/>
          <w:szCs w:val="18"/>
          <w:color w:val="auto"/>
        </w:rPr>
        <w:t>) the Participant’s performance is deemed to contribute substantially to a significant downward restatement of any published results of the Company or a Subsidiary; (</w:t>
      </w:r>
      <w:r>
        <w:rPr>
          <w:rFonts w:ascii="Arial" w:cs="Arial" w:eastAsia="Arial" w:hAnsi="Arial"/>
          <w:sz w:val="18"/>
          <w:szCs w:val="18"/>
          <w:u w:val="single" w:color="auto"/>
          <w:color w:val="auto"/>
        </w:rPr>
        <w:t>iii</w:t>
      </w:r>
      <w:r>
        <w:rPr>
          <w:rFonts w:ascii="Arial" w:cs="Arial" w:eastAsia="Arial" w:hAnsi="Arial"/>
          <w:sz w:val="18"/>
          <w:szCs w:val="18"/>
          <w:color w:val="auto"/>
        </w:rPr>
        <w:t>) the Participant engages in conduct that results in or contributes substantially to significant reputational harm to the Company; (</w:t>
      </w:r>
      <w:r>
        <w:rPr>
          <w:rFonts w:ascii="Arial" w:cs="Arial" w:eastAsia="Arial" w:hAnsi="Arial"/>
          <w:sz w:val="18"/>
          <w:szCs w:val="18"/>
          <w:u w:val="single" w:color="auto"/>
          <w:color w:val="auto"/>
        </w:rPr>
        <w:t>iv</w:t>
      </w:r>
      <w:r>
        <w:rPr>
          <w:rFonts w:ascii="Arial" w:cs="Arial" w:eastAsia="Arial" w:hAnsi="Arial"/>
          <w:sz w:val="18"/>
          <w:szCs w:val="18"/>
          <w:color w:val="auto"/>
        </w:rPr>
        <w:t>) the Participant materially breaches or contributes substantially to a material breach of applicable legal and/or regulatory requirements; (</w:t>
      </w:r>
      <w:r>
        <w:rPr>
          <w:rFonts w:ascii="Arial" w:cs="Arial" w:eastAsia="Arial" w:hAnsi="Arial"/>
          <w:sz w:val="18"/>
          <w:szCs w:val="18"/>
          <w:u w:val="single" w:color="auto"/>
          <w:color w:val="auto"/>
        </w:rPr>
        <w:t>v</w:t>
      </w:r>
      <w:r>
        <w:rPr>
          <w:rFonts w:ascii="Arial" w:cs="Arial" w:eastAsia="Arial" w:hAnsi="Arial"/>
          <w:sz w:val="18"/>
          <w:szCs w:val="18"/>
          <w:color w:val="auto"/>
        </w:rPr>
        <w:t>) the Participant engages in conduct that constitutes Cause or (</w:t>
      </w:r>
      <w:r>
        <w:rPr>
          <w:rFonts w:ascii="Arial" w:cs="Arial" w:eastAsia="Arial" w:hAnsi="Arial"/>
          <w:sz w:val="18"/>
          <w:szCs w:val="18"/>
          <w:u w:val="single" w:color="auto"/>
          <w:color w:val="auto"/>
        </w:rPr>
        <w:t>vi</w:t>
      </w:r>
      <w:r>
        <w:rPr>
          <w:rFonts w:ascii="Arial" w:cs="Arial" w:eastAsia="Arial" w:hAnsi="Arial"/>
          <w:sz w:val="18"/>
          <w:szCs w:val="18"/>
          <w:color w:val="auto"/>
        </w:rPr>
        <w:t>) the Participant engages in conduct that results in or contributes substantially to a material breach of the Company’s applicable internal policies and procedures, including without limitation those policies in respect of risk management, compliance, disciplinary and any applicable supervisory practices, the Administrator in its sole discretion may suspend the vesting of any Awards granted (or a portion thereof) and/or require the forfeiture and disgorgement to the Company of any Awards (or a portion thereof) granted or vested during the twelve months prior to or any time after the Participant engaged in such misconduct and all gains earned or accrued due to the exercise of such Awards or sale of any Company Common Stock issued pursuant to such Awards.</w:t>
      </w:r>
    </w:p>
    <w:p>
      <w:pPr>
        <w:spacing w:after="0" w:line="173" w:lineRule="exact"/>
        <w:rPr>
          <w:rFonts w:ascii="Arial" w:cs="Arial" w:eastAsia="Arial" w:hAnsi="Arial"/>
          <w:sz w:val="18"/>
          <w:szCs w:val="18"/>
          <w:color w:val="auto"/>
        </w:rPr>
      </w:pPr>
    </w:p>
    <w:p>
      <w:pPr>
        <w:jc w:val="both"/>
        <w:ind w:firstLine="1305"/>
        <w:spacing w:after="0" w:line="310" w:lineRule="auto"/>
        <w:tabs>
          <w:tab w:leader="none" w:pos="216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Other Recoupment Policies.</w:t>
      </w:r>
      <w:r>
        <w:rPr>
          <w:rFonts w:ascii="Arial" w:cs="Arial" w:eastAsia="Arial" w:hAnsi="Arial"/>
          <w:sz w:val="18"/>
          <w:szCs w:val="18"/>
          <w:color w:val="auto"/>
        </w:rPr>
        <w:t xml:space="preserve"> Awards granted under this Plan (and gains earned or accrued in connection with Awards) shall also be subject to such generally applicable policies as to forfeiture, disgorgement and recoupment (including, without limitation, upon the occurrence of material financial or accounting errors, financial or other misconduct) as may be adopted by the Administrator or the Board from time to time and communicated to Participants. Any such policies may (in the discretion of the Administrator or the Board) be applied to outstanding Awards at the time of adoption of such policies, or on a prospective basis only. The implementation of policies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36" w:right="239" w:bottom="1440" w:gutter="0" w:footer="0" w:header="0"/>
        </w:sectPr>
      </w:pPr>
    </w:p>
    <w:bookmarkStart w:id="64" w:name="page65"/>
    <w:bookmarkEnd w:id="64"/>
    <w:p>
      <w:pPr>
        <w:jc w:val="both"/>
        <w:ind w:right="20"/>
        <w:spacing w:after="0" w:line="289" w:lineRule="auto"/>
        <w:rPr>
          <w:sz w:val="20"/>
          <w:szCs w:val="20"/>
          <w:color w:val="auto"/>
        </w:rPr>
      </w:pPr>
      <w:r>
        <w:rPr>
          <w:rFonts w:ascii="Arial" w:cs="Arial" w:eastAsia="Arial" w:hAnsi="Arial"/>
          <w:sz w:val="20"/>
          <w:szCs w:val="20"/>
          <w:color w:val="auto"/>
        </w:rPr>
        <w:t>procedures pursuant to this Section 11.4 and any modification of the same shall not be subject to any restrictions on amendment or modification of Awards.</w:t>
      </w:r>
    </w:p>
    <w:p>
      <w:pPr>
        <w:spacing w:after="0" w:line="16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u w:val="single" w:color="auto"/>
          <w:color w:val="auto"/>
        </w:rPr>
        <w:t>Section 11.5 Pre-Public Offering Awards</w:t>
      </w:r>
      <w:r>
        <w:rPr>
          <w:rFonts w:ascii="Arial" w:cs="Arial" w:eastAsia="Arial" w:hAnsi="Arial"/>
          <w:sz w:val="18"/>
          <w:szCs w:val="18"/>
          <w:color w:val="auto"/>
        </w:rPr>
        <w:t>. The provisions of this Article XI (other than the provisions of Section 11.4(a) and Section 11.4(b)) shall not apply to any Awards granted prior to a Public Offering unless expressly provided otherwise in the Award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ADMINISTRATION</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12.1 Administrator</w:t>
      </w:r>
      <w:r>
        <w:rPr>
          <w:rFonts w:ascii="Arial" w:cs="Arial" w:eastAsia="Arial" w:hAnsi="Arial"/>
          <w:sz w:val="20"/>
          <w:szCs w:val="20"/>
          <w:color w:val="auto"/>
        </w:rPr>
        <w:t>. The Plan shall be administered by the Board or an Administrator appointed by the Board, which Administrator shall be constituted to comply with Applicable Laws.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12.2 Powers of the Administrator</w:t>
      </w:r>
      <w:r>
        <w:rPr>
          <w:rFonts w:ascii="Arial" w:cs="Arial" w:eastAsia="Arial" w:hAnsi="Arial"/>
          <w:sz w:val="20"/>
          <w:szCs w:val="20"/>
          <w:color w:val="auto"/>
        </w:rPr>
        <w:t>. Subject to the provisions of the Plan and, in the case of a committee, the specific duties delegated by the Board to such Administrator, and subject to the approval of any relevant authorities, the Administrator shall have the authority in its discretion to:</w:t>
      </w:r>
    </w:p>
    <w:p>
      <w:pPr>
        <w:spacing w:after="0" w:line="200" w:lineRule="exact"/>
        <w:rPr>
          <w:sz w:val="20"/>
          <w:szCs w:val="20"/>
          <w:color w:val="auto"/>
        </w:rPr>
      </w:pPr>
    </w:p>
    <w:p>
      <w:pPr>
        <w:ind w:left="2180" w:hanging="875"/>
        <w:spacing w:after="0"/>
        <w:tabs>
          <w:tab w:leader="none" w:pos="21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determine the Fair Market Value;</w:t>
      </w:r>
    </w:p>
    <w:p>
      <w:pPr>
        <w:spacing w:after="0" w:line="242" w:lineRule="exact"/>
        <w:rPr>
          <w:rFonts w:ascii="Arial" w:cs="Arial" w:eastAsia="Arial" w:hAnsi="Arial"/>
          <w:sz w:val="20"/>
          <w:szCs w:val="20"/>
          <w:color w:val="auto"/>
        </w:rPr>
      </w:pPr>
    </w:p>
    <w:p>
      <w:pPr>
        <w:ind w:left="2180" w:hanging="875"/>
        <w:spacing w:after="0"/>
        <w:tabs>
          <w:tab w:leader="none" w:pos="21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determine the type or types of Awards to be granted to each Participant;</w:t>
      </w:r>
    </w:p>
    <w:p>
      <w:pPr>
        <w:spacing w:after="0" w:line="242" w:lineRule="exact"/>
        <w:rPr>
          <w:rFonts w:ascii="Arial" w:cs="Arial" w:eastAsia="Arial" w:hAnsi="Arial"/>
          <w:sz w:val="20"/>
          <w:szCs w:val="20"/>
          <w:color w:val="auto"/>
        </w:rPr>
      </w:pPr>
    </w:p>
    <w:p>
      <w:pPr>
        <w:ind w:left="2180" w:hanging="875"/>
        <w:spacing w:after="0"/>
        <w:tabs>
          <w:tab w:leader="none" w:pos="21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select the Service Providers to whom Awards may from time to time be granted hereunder;</w:t>
      </w:r>
    </w:p>
    <w:p>
      <w:pPr>
        <w:spacing w:after="0" w:line="242" w:lineRule="exact"/>
        <w:rPr>
          <w:rFonts w:ascii="Arial" w:cs="Arial" w:eastAsia="Arial" w:hAnsi="Arial"/>
          <w:sz w:val="20"/>
          <w:szCs w:val="20"/>
          <w:color w:val="auto"/>
        </w:rPr>
      </w:pPr>
    </w:p>
    <w:p>
      <w:pPr>
        <w:jc w:val="both"/>
        <w:ind w:firstLine="1305"/>
        <w:spacing w:after="0" w:line="270" w:lineRule="auto"/>
        <w:tabs>
          <w:tab w:leader="none" w:pos="2175" w:val="left"/>
        </w:tabs>
        <w:numPr>
          <w:ilvl w:val="0"/>
          <w:numId w:val="60"/>
        </w:numPr>
        <w:rPr>
          <w:rFonts w:ascii="Arial" w:cs="Arial" w:eastAsia="Arial" w:hAnsi="Arial"/>
          <w:sz w:val="20"/>
          <w:szCs w:val="20"/>
          <w:color w:val="auto"/>
        </w:rPr>
      </w:pPr>
      <w:r>
        <w:rPr>
          <w:rFonts w:ascii="Arial" w:cs="Arial" w:eastAsia="Arial" w:hAnsi="Arial"/>
          <w:sz w:val="20"/>
          <w:szCs w:val="20"/>
          <w:color w:val="auto"/>
        </w:rPr>
        <w:t>determine all matters and questions related to the termination of service of a Service Provider with respect to any Award granted to him or her hereunder, including, but not by way of limitation of, all questions of whether a particular Service Provider has taken a leave of absence, all questions of whether a leave of absence taken by a particular Service Provider constitutes a termination of service, and all questions of whether a termination of service of a particular Service Provider resulted from discharge for Cause. For the purpose of clarification, for such purpose the Board shall be the Administrator of any Award granted to a Director who is not an Employee of the Company or any of its Subsidiaries hereunder, and the Board will therefore determine all matters and questions related to the termination of a Director who is not an Employee of the Company or any of its Subsidiaries as a Service Provider with respect to any Award granted to him or her hereunder;</w:t>
      </w:r>
    </w:p>
    <w:p>
      <w:pPr>
        <w:spacing w:after="0" w:line="199" w:lineRule="exact"/>
        <w:rPr>
          <w:rFonts w:ascii="Arial" w:cs="Arial" w:eastAsia="Arial" w:hAnsi="Arial"/>
          <w:sz w:val="20"/>
          <w:szCs w:val="20"/>
          <w:color w:val="auto"/>
        </w:rPr>
      </w:pPr>
    </w:p>
    <w:p>
      <w:pPr>
        <w:ind w:left="2180" w:hanging="875"/>
        <w:spacing w:after="0"/>
        <w:tabs>
          <w:tab w:leader="none" w:pos="21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determine the number of Awards to be granted and the number of Shares to which an Award will relate;</w:t>
      </w:r>
    </w:p>
    <w:p>
      <w:pPr>
        <w:spacing w:after="0" w:line="242" w:lineRule="exact"/>
        <w:rPr>
          <w:rFonts w:ascii="Arial" w:cs="Arial" w:eastAsia="Arial" w:hAnsi="Arial"/>
          <w:sz w:val="20"/>
          <w:szCs w:val="20"/>
          <w:color w:val="auto"/>
        </w:rPr>
      </w:pPr>
    </w:p>
    <w:p>
      <w:pPr>
        <w:ind w:left="2160" w:hanging="855"/>
        <w:spacing w:after="0"/>
        <w:tabs>
          <w:tab w:leader="none" w:pos="21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approve forms of agreement for use under the Plan, which need not be identical for each Service Provider;</w:t>
      </w:r>
    </w:p>
    <w:p>
      <w:pPr>
        <w:spacing w:after="0" w:line="254" w:lineRule="exact"/>
        <w:rPr>
          <w:rFonts w:ascii="Arial" w:cs="Arial" w:eastAsia="Arial" w:hAnsi="Arial"/>
          <w:sz w:val="19"/>
          <w:szCs w:val="19"/>
          <w:color w:val="auto"/>
        </w:rPr>
      </w:pPr>
    </w:p>
    <w:p>
      <w:pPr>
        <w:jc w:val="both"/>
        <w:ind w:firstLine="1305"/>
        <w:spacing w:after="0" w:line="274" w:lineRule="auto"/>
        <w:tabs>
          <w:tab w:leader="none" w:pos="2175" w:val="left"/>
        </w:tabs>
        <w:numPr>
          <w:ilvl w:val="0"/>
          <w:numId w:val="60"/>
        </w:numPr>
        <w:rPr>
          <w:rFonts w:ascii="Arial" w:cs="Arial" w:eastAsia="Arial" w:hAnsi="Arial"/>
          <w:sz w:val="20"/>
          <w:szCs w:val="20"/>
          <w:color w:val="auto"/>
        </w:rPr>
      </w:pPr>
      <w:r>
        <w:rPr>
          <w:rFonts w:ascii="Arial" w:cs="Arial" w:eastAsia="Arial" w:hAnsi="Arial"/>
          <w:sz w:val="20"/>
          <w:szCs w:val="20"/>
          <w:color w:val="auto"/>
        </w:rPr>
        <w:t>determine the terms and conditions of any Awards granted hereunder (including, but not limited to, the exercise price, the time or times when Awards may be exercised (which may be based on performance criteria), any vesting acceleration or waiver of forfeiture restrictions and any restriction or limitation regarding any Awards or the Company Common Stock relating thereto) based in each case on such factors as the Administrator, in its sole discretion, shall determine;</w:t>
      </w:r>
    </w:p>
    <w:p>
      <w:pPr>
        <w:spacing w:after="0" w:line="192" w:lineRule="exact"/>
        <w:rPr>
          <w:rFonts w:ascii="Arial" w:cs="Arial" w:eastAsia="Arial" w:hAnsi="Arial"/>
          <w:sz w:val="20"/>
          <w:szCs w:val="20"/>
          <w:color w:val="auto"/>
        </w:rPr>
      </w:pPr>
    </w:p>
    <w:p>
      <w:pPr>
        <w:ind w:firstLine="1305"/>
        <w:spacing w:after="0" w:line="289" w:lineRule="auto"/>
        <w:tabs>
          <w:tab w:leader="none" w:pos="2175" w:val="left"/>
        </w:tabs>
        <w:numPr>
          <w:ilvl w:val="0"/>
          <w:numId w:val="60"/>
        </w:numPr>
        <w:rPr>
          <w:rFonts w:ascii="Arial" w:cs="Arial" w:eastAsia="Arial" w:hAnsi="Arial"/>
          <w:sz w:val="20"/>
          <w:szCs w:val="20"/>
          <w:color w:val="auto"/>
        </w:rPr>
      </w:pPr>
      <w:r>
        <w:rPr>
          <w:rFonts w:ascii="Arial" w:cs="Arial" w:eastAsia="Arial" w:hAnsi="Arial"/>
          <w:sz w:val="20"/>
          <w:szCs w:val="20"/>
          <w:color w:val="auto"/>
        </w:rPr>
        <w:t>prescribe, amend and rescind rules and regulations relating to the Plan, including rules and regulations relating to Subplans established for the purpose of satisfying applicable foreign laws;</w:t>
      </w:r>
    </w:p>
    <w:p>
      <w:pPr>
        <w:spacing w:after="0" w:line="175" w:lineRule="exact"/>
        <w:rPr>
          <w:rFonts w:ascii="Arial" w:cs="Arial" w:eastAsia="Arial" w:hAnsi="Arial"/>
          <w:sz w:val="20"/>
          <w:szCs w:val="20"/>
          <w:color w:val="auto"/>
        </w:rPr>
      </w:pPr>
    </w:p>
    <w:p>
      <w:pPr>
        <w:jc w:val="both"/>
        <w:ind w:firstLine="1305"/>
        <w:spacing w:after="0" w:line="278" w:lineRule="auto"/>
        <w:tabs>
          <w:tab w:leader="none" w:pos="2132" w:val="left"/>
        </w:tabs>
        <w:numPr>
          <w:ilvl w:val="0"/>
          <w:numId w:val="60"/>
        </w:numPr>
        <w:rPr>
          <w:rFonts w:ascii="Arial" w:cs="Arial" w:eastAsia="Arial" w:hAnsi="Arial"/>
          <w:sz w:val="20"/>
          <w:szCs w:val="20"/>
          <w:color w:val="auto"/>
        </w:rPr>
      </w:pPr>
      <w:r>
        <w:rPr>
          <w:rFonts w:ascii="Arial" w:cs="Arial" w:eastAsia="Arial" w:hAnsi="Arial"/>
          <w:sz w:val="20"/>
          <w:szCs w:val="20"/>
          <w:color w:val="auto"/>
        </w:rPr>
        <w:t>determine whether, to what extent, and pursuant to what circumstances an Award may be settled in, or the exercise or purchase price of an Award may be paid in, cash, Company Common Stock, other Awards, or other property, or an Award may be canceled, forfeited or surrendered;</w:t>
      </w:r>
    </w:p>
    <w:p>
      <w:pPr>
        <w:spacing w:after="0" w:line="186" w:lineRule="exact"/>
        <w:rPr>
          <w:rFonts w:ascii="Arial" w:cs="Arial" w:eastAsia="Arial" w:hAnsi="Arial"/>
          <w:sz w:val="20"/>
          <w:szCs w:val="20"/>
          <w:color w:val="auto"/>
        </w:rPr>
      </w:pPr>
    </w:p>
    <w:p>
      <w:pPr>
        <w:ind w:left="2140" w:hanging="835"/>
        <w:spacing w:after="0"/>
        <w:tabs>
          <w:tab w:leader="none" w:pos="21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suspend or accelerate the vesting of any Award granted under the Plan;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36" w:right="239" w:bottom="1440" w:gutter="0" w:footer="0" w:header="0"/>
        </w:sectPr>
      </w:pPr>
    </w:p>
    <w:bookmarkStart w:id="65" w:name="page66"/>
    <w:bookmarkEnd w:id="65"/>
    <w:p>
      <w:pPr>
        <w:ind w:left="2180" w:hanging="875"/>
        <w:spacing w:after="0"/>
        <w:tabs>
          <w:tab w:leader="none" w:pos="21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construe and interpret the terms of the Plan and Awards granted pursuant to the Plan and</w:t>
      </w:r>
    </w:p>
    <w:p>
      <w:pPr>
        <w:spacing w:after="0" w:line="242" w:lineRule="exact"/>
        <w:rPr>
          <w:rFonts w:ascii="Arial" w:cs="Arial" w:eastAsia="Arial" w:hAnsi="Arial"/>
          <w:sz w:val="20"/>
          <w:szCs w:val="20"/>
          <w:color w:val="auto"/>
        </w:rPr>
      </w:pPr>
    </w:p>
    <w:p>
      <w:pPr>
        <w:ind w:firstLine="1305"/>
        <w:spacing w:after="0" w:line="289" w:lineRule="auto"/>
        <w:tabs>
          <w:tab w:leader="none" w:pos="2132" w:val="left"/>
        </w:tabs>
        <w:numPr>
          <w:ilvl w:val="0"/>
          <w:numId w:val="61"/>
        </w:numPr>
        <w:rPr>
          <w:rFonts w:ascii="Arial" w:cs="Arial" w:eastAsia="Arial" w:hAnsi="Arial"/>
          <w:sz w:val="20"/>
          <w:szCs w:val="20"/>
          <w:color w:val="auto"/>
        </w:rPr>
      </w:pPr>
      <w:r>
        <w:rPr>
          <w:rFonts w:ascii="Arial" w:cs="Arial" w:eastAsia="Arial" w:hAnsi="Arial"/>
          <w:sz w:val="20"/>
          <w:szCs w:val="20"/>
          <w:color w:val="auto"/>
        </w:rPr>
        <w:t>make all other decisions and determinations that may be required pursuant to the Plan or as the Administrator deems necessary or advisable to administer the Plan.</w:t>
      </w:r>
    </w:p>
    <w:p>
      <w:pPr>
        <w:spacing w:after="0" w:line="1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u w:val="single" w:color="auto"/>
          <w:color w:val="auto"/>
        </w:rPr>
        <w:t>Section 12.3 Compensation, Professional Assistance, Good Faith Actions</w:t>
      </w:r>
      <w:r>
        <w:rPr>
          <w:rFonts w:ascii="Arial" w:cs="Arial" w:eastAsia="Arial" w:hAnsi="Arial"/>
          <w:sz w:val="19"/>
          <w:szCs w:val="19"/>
          <w:color w:val="auto"/>
        </w:rPr>
        <w:t>. The Administrator may receive such compensation for its services hereunder as may be determined by the Board. All expenses and liabilities incurred by the Administrator in connection with the administration of the Plan shall be borne by the Company. The Administrator may employ attorneys, consultants, accountants, appraisers, brokers or other persons. The Administrator, the Company and its officers and Directors shall be entitled to rely upon the advice, opinions or valuations of any such persons. All actions taken and all interpretations, decisions and determinations made by the Administrator, in good faith shall be final and binding upon all Participants, the Company and all other interested persons. The Administrator shall not be personally liable for any action, determination or interpretation made with respect to the Plan or the Awards, and the Administrator shall be fully protected by the Company with respect to any such action, determination or interpretation.</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u w:val="single" w:color="auto"/>
          <w:color w:val="auto"/>
        </w:rPr>
        <w:t>Section 12.4 Participants Based Outside the United States</w:t>
      </w:r>
      <w:r>
        <w:rPr>
          <w:rFonts w:ascii="Arial" w:cs="Arial" w:eastAsia="Arial" w:hAnsi="Arial"/>
          <w:sz w:val="18"/>
          <w:szCs w:val="18"/>
          <w:color w:val="auto"/>
        </w:rPr>
        <w:t>. To conform with the provisions of local laws and regulations, or with local compensation practices and policies, in foreign countries in which the Company or any of its Subsidiaries or Affiliates operate, but subject to the limitations set forth herein regarding the maximum number of shares issuable hereunder and the maximum award to any single Participant, the Administrator may (</w:t>
      </w:r>
      <w:r>
        <w:rPr>
          <w:rFonts w:ascii="Arial" w:cs="Arial" w:eastAsia="Arial" w:hAnsi="Arial"/>
          <w:sz w:val="18"/>
          <w:szCs w:val="18"/>
          <w:u w:val="single" w:color="auto"/>
          <w:color w:val="auto"/>
        </w:rPr>
        <w:t>i</w:t>
      </w:r>
      <w:r>
        <w:rPr>
          <w:rFonts w:ascii="Arial" w:cs="Arial" w:eastAsia="Arial" w:hAnsi="Arial"/>
          <w:sz w:val="18"/>
          <w:szCs w:val="18"/>
          <w:color w:val="auto"/>
        </w:rPr>
        <w:t>) modify the terms and conditions of Awards granted to Participants employed outside the United States (“</w:t>
      </w:r>
      <w:r>
        <w:rPr>
          <w:rFonts w:ascii="Arial" w:cs="Arial" w:eastAsia="Arial" w:hAnsi="Arial"/>
          <w:sz w:val="18"/>
          <w:szCs w:val="18"/>
          <w:u w:val="single" w:color="auto"/>
          <w:color w:val="auto"/>
        </w:rPr>
        <w:t>Non-U.S.</w:t>
      </w:r>
      <w:r>
        <w:rPr>
          <w:rFonts w:ascii="Arial" w:cs="Arial" w:eastAsia="Arial" w:hAnsi="Arial"/>
          <w:sz w:val="18"/>
          <w:szCs w:val="18"/>
          <w:color w:val="auto"/>
        </w:rPr>
        <w:t xml:space="preserve"> </w:t>
      </w:r>
      <w:r>
        <w:rPr>
          <w:rFonts w:ascii="Arial" w:cs="Arial" w:eastAsia="Arial" w:hAnsi="Arial"/>
          <w:sz w:val="18"/>
          <w:szCs w:val="18"/>
          <w:u w:val="single" w:color="auto"/>
          <w:color w:val="auto"/>
        </w:rPr>
        <w:t>Awards</w:t>
      </w:r>
      <w:r>
        <w:rPr>
          <w:rFonts w:ascii="Arial" w:cs="Arial" w:eastAsia="Arial" w:hAnsi="Arial"/>
          <w:sz w:val="18"/>
          <w:szCs w:val="18"/>
          <w:color w:val="auto"/>
        </w:rPr>
        <w:t>”), (</w:t>
      </w:r>
      <w:r>
        <w:rPr>
          <w:rFonts w:ascii="Arial" w:cs="Arial" w:eastAsia="Arial" w:hAnsi="Arial"/>
          <w:sz w:val="18"/>
          <w:szCs w:val="18"/>
          <w:u w:val="single" w:color="auto"/>
          <w:color w:val="auto"/>
        </w:rPr>
        <w:t>ii</w:t>
      </w:r>
      <w:r>
        <w:rPr>
          <w:rFonts w:ascii="Arial" w:cs="Arial" w:eastAsia="Arial" w:hAnsi="Arial"/>
          <w:sz w:val="18"/>
          <w:szCs w:val="18"/>
          <w:color w:val="auto"/>
        </w:rPr>
        <w:t>) establish subplans with such modifications as may be necessary or advisable under the circumstances (“</w:t>
      </w:r>
      <w:r>
        <w:rPr>
          <w:rFonts w:ascii="Arial" w:cs="Arial" w:eastAsia="Arial" w:hAnsi="Arial"/>
          <w:sz w:val="18"/>
          <w:szCs w:val="18"/>
          <w:u w:val="single" w:color="auto"/>
          <w:color w:val="auto"/>
        </w:rPr>
        <w:t>Subplans</w:t>
      </w:r>
      <w:r>
        <w:rPr>
          <w:rFonts w:ascii="Arial" w:cs="Arial" w:eastAsia="Arial" w:hAnsi="Arial"/>
          <w:sz w:val="18"/>
          <w:szCs w:val="18"/>
          <w:color w:val="auto"/>
        </w:rPr>
        <w:t>”) and (</w:t>
      </w:r>
      <w:r>
        <w:rPr>
          <w:rFonts w:ascii="Arial" w:cs="Arial" w:eastAsia="Arial" w:hAnsi="Arial"/>
          <w:sz w:val="18"/>
          <w:szCs w:val="18"/>
          <w:u w:val="single" w:color="auto"/>
          <w:color w:val="auto"/>
        </w:rPr>
        <w:t>iii</w:t>
      </w:r>
      <w:r>
        <w:rPr>
          <w:rFonts w:ascii="Arial" w:cs="Arial" w:eastAsia="Arial" w:hAnsi="Arial"/>
          <w:sz w:val="18"/>
          <w:szCs w:val="18"/>
          <w:color w:val="auto"/>
        </w:rPr>
        <w:t>) take any action which it deems advisable to obtain, comply with or otherwise reflect any necessary governmental regulatory procedures, exemptions or approvals with respect to the Plan. The Administrator’s decision to grant Non-U.S. Awards or to establish Subplans is entirely voluntary, and at the complete discretion of the Administrator. The Administrator may amend, modify or terminate any Subplans at any time, and such amendment, modification or termination may be made without prior notice to the Participants. The Company, Subsidiaries, Affiliates and members of the Administrator shall not incur any liability of any kind to any Participant as a result of any change, amendment or termination of any Subplan at any time. The benefits and rights provided under any Subplan or by any Non-U.S. Award (</w:t>
      </w:r>
      <w:r>
        <w:rPr>
          <w:rFonts w:ascii="Arial" w:cs="Arial" w:eastAsia="Arial" w:hAnsi="Arial"/>
          <w:sz w:val="18"/>
          <w:szCs w:val="18"/>
          <w:u w:val="single" w:color="auto"/>
          <w:color w:val="auto"/>
        </w:rPr>
        <w:t>x</w:t>
      </w:r>
      <w:r>
        <w:rPr>
          <w:rFonts w:ascii="Arial" w:cs="Arial" w:eastAsia="Arial" w:hAnsi="Arial"/>
          <w:sz w:val="18"/>
          <w:szCs w:val="18"/>
          <w:color w:val="auto"/>
        </w:rPr>
        <w:t>) are wholly discretionary and, although provided by either the Company, a Subsidiary or Affiliate, do not constitute regular or periodic payments and (</w:t>
      </w:r>
      <w:r>
        <w:rPr>
          <w:rFonts w:ascii="Arial" w:cs="Arial" w:eastAsia="Arial" w:hAnsi="Arial"/>
          <w:sz w:val="18"/>
          <w:szCs w:val="18"/>
          <w:u w:val="single" w:color="auto"/>
          <w:color w:val="auto"/>
        </w:rPr>
        <w:t>y</w:t>
      </w:r>
      <w:r>
        <w:rPr>
          <w:rFonts w:ascii="Arial" w:cs="Arial" w:eastAsia="Arial" w:hAnsi="Arial"/>
          <w:sz w:val="18"/>
          <w:szCs w:val="18"/>
          <w:color w:val="auto"/>
        </w:rPr>
        <w:t>) are not to be considered part of the Participant’s salary or compensation under the Participant’s employment with the Participant’s local employer for purposes of calculating any severance, resignation, redundancy or other end of service payments, vacation, bonuses, long-term service awards, indemnification, pension or retirement benefits, or any other payments, benefits or rights of any kind. If a Subplan is terminated, the Administrator may direct the payment of Non-U.S. Awards (or direct the deferral of payments whose amount shall be determined) prior to the dates on which payments would otherwise have been made, and, in the Administrator’s discretion, such payments may be made in a lump sum or in installments.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CHANGE IN CONTROL</w:t>
      </w:r>
    </w:p>
    <w:p>
      <w:pPr>
        <w:spacing w:after="0" w:line="22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13.1</w:t>
      </w:r>
      <w:r>
        <w:rPr>
          <w:sz w:val="20"/>
          <w:szCs w:val="20"/>
          <w:color w:val="auto"/>
        </w:rPr>
        <w:tab/>
      </w:r>
      <w:r>
        <w:rPr>
          <w:rFonts w:ascii="Arial" w:cs="Arial" w:eastAsia="Arial" w:hAnsi="Arial"/>
          <w:sz w:val="16"/>
          <w:szCs w:val="16"/>
          <w:u w:val="single" w:color="auto"/>
          <w:color w:val="auto"/>
        </w:rPr>
        <w:t>Accelerated Vesting and Payment</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85" w:lineRule="auto"/>
        <w:tabs>
          <w:tab w:leader="none" w:pos="2164"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Accelerated Vesting</w:t>
      </w:r>
      <w:r>
        <w:rPr>
          <w:rFonts w:ascii="Arial" w:cs="Arial" w:eastAsia="Arial" w:hAnsi="Arial"/>
          <w:sz w:val="19"/>
          <w:szCs w:val="19"/>
          <w:color w:val="auto"/>
        </w:rPr>
        <w:t>. Unless the Administrator otherwise determines in the manner set forth in Section 13.1(b) or as otherwise provided in an Award Agreement, upon the occurrence of a Change in Control, (</w:t>
      </w:r>
      <w:r>
        <w:rPr>
          <w:rFonts w:ascii="Arial" w:cs="Arial" w:eastAsia="Arial" w:hAnsi="Arial"/>
          <w:sz w:val="19"/>
          <w:szCs w:val="19"/>
          <w:u w:val="single" w:color="auto"/>
          <w:color w:val="auto"/>
        </w:rPr>
        <w:t>i</w:t>
      </w:r>
      <w:r>
        <w:rPr>
          <w:rFonts w:ascii="Arial" w:cs="Arial" w:eastAsia="Arial" w:hAnsi="Arial"/>
          <w:sz w:val="19"/>
          <w:szCs w:val="19"/>
          <w:color w:val="auto"/>
        </w:rPr>
        <w:t>) all Service Awards shall become immediately vested or exercisable and be settled in shares of Company Common Stock, (</w:t>
      </w:r>
      <w:r>
        <w:rPr>
          <w:rFonts w:ascii="Arial" w:cs="Arial" w:eastAsia="Arial" w:hAnsi="Arial"/>
          <w:sz w:val="19"/>
          <w:szCs w:val="19"/>
          <w:u w:val="single" w:color="auto"/>
          <w:color w:val="auto"/>
        </w:rPr>
        <w:t>ii</w:t>
      </w:r>
      <w:r>
        <w:rPr>
          <w:rFonts w:ascii="Arial" w:cs="Arial" w:eastAsia="Arial" w:hAnsi="Arial"/>
          <w:sz w:val="19"/>
          <w:szCs w:val="19"/>
          <w:color w:val="auto"/>
        </w:rPr>
        <w:t>) each outstanding Performance Award with a Performance Cycle in progress at the time of the Change in Control shall be deemed to be earned and become vested and/or paid out in an amount equal to the product of (</w:t>
      </w:r>
      <w:r>
        <w:rPr>
          <w:rFonts w:ascii="Arial" w:cs="Arial" w:eastAsia="Arial" w:hAnsi="Arial"/>
          <w:sz w:val="19"/>
          <w:szCs w:val="19"/>
          <w:u w:val="single" w:color="auto"/>
          <w:color w:val="auto"/>
        </w:rPr>
        <w:t>A</w:t>
      </w:r>
      <w:r>
        <w:rPr>
          <w:rFonts w:ascii="Arial" w:cs="Arial" w:eastAsia="Arial" w:hAnsi="Arial"/>
          <w:sz w:val="19"/>
          <w:szCs w:val="19"/>
          <w:color w:val="auto"/>
        </w:rPr>
        <w:t>) such Participant’s target award opportunity with respect to such Performance Award for the Performance Cycle in question and (</w:t>
      </w:r>
      <w:r>
        <w:rPr>
          <w:rFonts w:ascii="Arial" w:cs="Arial" w:eastAsia="Arial" w:hAnsi="Arial"/>
          <w:sz w:val="19"/>
          <w:szCs w:val="19"/>
          <w:u w:val="single" w:color="auto"/>
          <w:color w:val="auto"/>
        </w:rPr>
        <w:t>B</w:t>
      </w:r>
      <w:r>
        <w:rPr>
          <w:rFonts w:ascii="Arial" w:cs="Arial" w:eastAsia="Arial" w:hAnsi="Arial"/>
          <w:sz w:val="19"/>
          <w:szCs w:val="19"/>
          <w:color w:val="auto"/>
        </w:rPr>
        <w:t>) the percentage of Performance Goals achieved as of the date of the Change in Control (which Performance Goals shall be pro-rated, if necessary or appropriate, to reflect the portion of the Performance Cycle that has been completed), and all other Performance Awards shall be canceled and forfeited upon consummation of the Change in Control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shares of Company Common Stock underlying all Awards that are vested (as provided in this Section 13.1(a) or otherwise) shall be issued or released to the Participant holding such Award;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at the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36" w:right="239" w:bottom="1440" w:gutter="0" w:footer="0" w:header="0"/>
        </w:sectPr>
      </w:pPr>
    </w:p>
    <w:bookmarkStart w:id="66" w:name="page67"/>
    <w:bookmarkEnd w:id="66"/>
    <w:p>
      <w:pPr>
        <w:jc w:val="both"/>
        <w:spacing w:after="0" w:line="286" w:lineRule="auto"/>
        <w:rPr>
          <w:sz w:val="20"/>
          <w:szCs w:val="20"/>
          <w:color w:val="auto"/>
        </w:rPr>
      </w:pPr>
      <w:r>
        <w:rPr>
          <w:rFonts w:ascii="Arial" w:cs="Arial" w:eastAsia="Arial" w:hAnsi="Arial"/>
          <w:sz w:val="19"/>
          <w:szCs w:val="19"/>
          <w:color w:val="auto"/>
        </w:rPr>
        <w:t>discretion of the Administrator (as constituted immediately prior to the Change in Control), each Service Award may be canceled in exchange for an amount equal to the product of (</w:t>
      </w:r>
      <w:r>
        <w:rPr>
          <w:rFonts w:ascii="Arial" w:cs="Arial" w:eastAsia="Arial" w:hAnsi="Arial"/>
          <w:sz w:val="19"/>
          <w:szCs w:val="19"/>
          <w:u w:val="single" w:color="auto"/>
          <w:color w:val="auto"/>
        </w:rPr>
        <w:t>A</w:t>
      </w:r>
      <w:r>
        <w:rPr>
          <w:rFonts w:ascii="Arial" w:cs="Arial" w:eastAsia="Arial" w:hAnsi="Arial"/>
          <w:sz w:val="19"/>
          <w:szCs w:val="19"/>
          <w:color w:val="auto"/>
        </w:rPr>
        <w:t>)(</w:t>
      </w:r>
      <w:r>
        <w:rPr>
          <w:rFonts w:ascii="Arial" w:cs="Arial" w:eastAsia="Arial" w:hAnsi="Arial"/>
          <w:sz w:val="19"/>
          <w:szCs w:val="19"/>
          <w:u w:val="single" w:color="auto"/>
          <w:color w:val="auto"/>
        </w:rPr>
        <w:t>I</w:t>
      </w:r>
      <w:r>
        <w:rPr>
          <w:rFonts w:ascii="Arial" w:cs="Arial" w:eastAsia="Arial" w:hAnsi="Arial"/>
          <w:sz w:val="19"/>
          <w:szCs w:val="19"/>
          <w:color w:val="auto"/>
        </w:rPr>
        <w:t>) in the case of Options and Stock Appreciation Rights, the excess, if any, of the product of the Change in Control Price over the exercise price for such Award and (</w:t>
      </w:r>
      <w:r>
        <w:rPr>
          <w:rFonts w:ascii="Arial" w:cs="Arial" w:eastAsia="Arial" w:hAnsi="Arial"/>
          <w:sz w:val="19"/>
          <w:szCs w:val="19"/>
          <w:u w:val="single" w:color="auto"/>
          <w:color w:val="auto"/>
        </w:rPr>
        <w:t>II</w:t>
      </w:r>
      <w:r>
        <w:rPr>
          <w:rFonts w:ascii="Arial" w:cs="Arial" w:eastAsia="Arial" w:hAnsi="Arial"/>
          <w:sz w:val="19"/>
          <w:szCs w:val="19"/>
          <w:color w:val="auto"/>
        </w:rPr>
        <w:t>) in the case of other such Awards, the Change in Control Price, multiplied by (</w:t>
      </w:r>
      <w:r>
        <w:rPr>
          <w:rFonts w:ascii="Arial" w:cs="Arial" w:eastAsia="Arial" w:hAnsi="Arial"/>
          <w:sz w:val="19"/>
          <w:szCs w:val="19"/>
          <w:u w:val="single" w:color="auto"/>
          <w:color w:val="auto"/>
        </w:rPr>
        <w:t>B</w:t>
      </w:r>
      <w:r>
        <w:rPr>
          <w:rFonts w:ascii="Arial" w:cs="Arial" w:eastAsia="Arial" w:hAnsi="Arial"/>
          <w:sz w:val="19"/>
          <w:szCs w:val="19"/>
          <w:color w:val="auto"/>
        </w:rPr>
        <w:t>) the aggregate number of shares of Company Common Stock covered by such Award. Notwithstanding the foregoing, the Administrator may, in its discretion, instead terminate any outstanding Options or Stock Appreciation Rights if either (</w:t>
      </w:r>
      <w:r>
        <w:rPr>
          <w:rFonts w:ascii="Arial" w:cs="Arial" w:eastAsia="Arial" w:hAnsi="Arial"/>
          <w:sz w:val="19"/>
          <w:szCs w:val="19"/>
          <w:u w:val="single" w:color="auto"/>
          <w:color w:val="auto"/>
        </w:rPr>
        <w:t>x</w:t>
      </w:r>
      <w:r>
        <w:rPr>
          <w:rFonts w:ascii="Arial" w:cs="Arial" w:eastAsia="Arial" w:hAnsi="Arial"/>
          <w:sz w:val="19"/>
          <w:szCs w:val="19"/>
          <w:color w:val="auto"/>
        </w:rPr>
        <w:t>) the Company provides holders of such Options and Stock Appreciation Rights with reasonable advance notice to exercise their outstanding and unexercised Options and Stock Appreciation Rights, or (</w:t>
      </w:r>
      <w:r>
        <w:rPr>
          <w:rFonts w:ascii="Arial" w:cs="Arial" w:eastAsia="Arial" w:hAnsi="Arial"/>
          <w:sz w:val="19"/>
          <w:szCs w:val="19"/>
          <w:u w:val="single" w:color="auto"/>
          <w:color w:val="auto"/>
        </w:rPr>
        <w:t>y</w:t>
      </w:r>
      <w:r>
        <w:rPr>
          <w:rFonts w:ascii="Arial" w:cs="Arial" w:eastAsia="Arial" w:hAnsi="Arial"/>
          <w:sz w:val="19"/>
          <w:szCs w:val="19"/>
          <w:color w:val="auto"/>
        </w:rPr>
        <w:t>) the Administrator reasonably determines that the Change in Control Price is equal to or less than the exercise price for such Options or Stock Appreciation Rights.</w:t>
      </w:r>
    </w:p>
    <w:p>
      <w:pPr>
        <w:spacing w:after="0" w:line="186" w:lineRule="exact"/>
        <w:rPr>
          <w:sz w:val="20"/>
          <w:szCs w:val="20"/>
          <w:color w:val="auto"/>
        </w:rPr>
      </w:pPr>
    </w:p>
    <w:p>
      <w:pPr>
        <w:jc w:val="both"/>
        <w:ind w:firstLine="1305"/>
        <w:spacing w:after="0" w:line="272" w:lineRule="auto"/>
        <w:tabs>
          <w:tab w:leader="none" w:pos="2175"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Timing of Payments</w:t>
      </w:r>
      <w:r>
        <w:rPr>
          <w:rFonts w:ascii="Arial" w:cs="Arial" w:eastAsia="Arial" w:hAnsi="Arial"/>
          <w:sz w:val="20"/>
          <w:szCs w:val="20"/>
          <w:color w:val="auto"/>
        </w:rPr>
        <w:t>. Payment of any amounts calculated in accordance with Section 13.1(a) shall be made in cash or, if determined by the Administrator (as constituted immediately prior to the Change in Control), in shares of common stock of the new employer having an aggregate fair market value equal to such amount and shall be payable in full, as soon as reasonably practicable, but in no event later than 30 days, following the Change in Control. For purposes hereof, the fair market value of one share of common stock of the new employer shall be determined by the Administrator (as constituted immediately prior to the consummation of the transaction constituting the Change in Control), in good faith.</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u w:val="single" w:color="auto"/>
          <w:color w:val="auto"/>
        </w:rPr>
        <w:t>Section 13.2 Alternative Awards</w:t>
      </w:r>
      <w:r>
        <w:rPr>
          <w:rFonts w:ascii="Arial" w:cs="Arial" w:eastAsia="Arial" w:hAnsi="Arial"/>
          <w:sz w:val="18"/>
          <w:szCs w:val="18"/>
          <w:color w:val="auto"/>
        </w:rPr>
        <w:t>. Notwithstanding Section 13.1, except as otherwise provided in an Award Agreement, no cancellation, termination, acceleration of exercisability or vesting, lapse of any restrictions or settlement or other payment shall occur with respect to any outstanding Award, if the Administrator (as constituted immediately prior to the consummation of the transaction constituting the Change in Control) reasonably determines, in good faith, with the approval of a majority of the members of the Leadership Team, prior to the Change in Control, that such outstanding Awards shall be honored or assumed, or new rights substituted therefor (such honored, assumed or substituted Award being hereinafter referred to as an “</w:t>
      </w:r>
      <w:r>
        <w:rPr>
          <w:rFonts w:ascii="Arial" w:cs="Arial" w:eastAsia="Arial" w:hAnsi="Arial"/>
          <w:sz w:val="18"/>
          <w:szCs w:val="18"/>
          <w:u w:val="single" w:color="auto"/>
          <w:color w:val="auto"/>
        </w:rPr>
        <w:t>Alternative Award</w:t>
      </w:r>
      <w:r>
        <w:rPr>
          <w:rFonts w:ascii="Arial" w:cs="Arial" w:eastAsia="Arial" w:hAnsi="Arial"/>
          <w:sz w:val="18"/>
          <w:szCs w:val="18"/>
          <w:color w:val="auto"/>
        </w:rPr>
        <w:t xml:space="preserve">”) by the new employer, </w:t>
      </w:r>
      <w:r>
        <w:rPr>
          <w:rFonts w:ascii="Arial" w:cs="Arial" w:eastAsia="Arial" w:hAnsi="Arial"/>
          <w:sz w:val="18"/>
          <w:szCs w:val="18"/>
          <w:u w:val="single" w:color="auto"/>
          <w:color w:val="auto"/>
        </w:rPr>
        <w:t>provided</w:t>
      </w:r>
      <w:r>
        <w:rPr>
          <w:rFonts w:ascii="Arial" w:cs="Arial" w:eastAsia="Arial" w:hAnsi="Arial"/>
          <w:sz w:val="18"/>
          <w:szCs w:val="18"/>
          <w:color w:val="auto"/>
        </w:rPr>
        <w:t>, that any Alternative Award must:</w:t>
      </w:r>
    </w:p>
    <w:p>
      <w:pPr>
        <w:spacing w:after="0" w:line="179" w:lineRule="exact"/>
        <w:rPr>
          <w:sz w:val="20"/>
          <w:szCs w:val="20"/>
          <w:color w:val="auto"/>
        </w:rPr>
      </w:pPr>
    </w:p>
    <w:p>
      <w:pPr>
        <w:jc w:val="both"/>
        <w:ind w:firstLine="1305"/>
        <w:spacing w:after="0" w:line="278" w:lineRule="auto"/>
        <w:tabs>
          <w:tab w:leader="none" w:pos="2164" w:val="left"/>
        </w:tabs>
        <w:numPr>
          <w:ilvl w:val="0"/>
          <w:numId w:val="64"/>
        </w:numPr>
        <w:rPr>
          <w:rFonts w:ascii="Arial" w:cs="Arial" w:eastAsia="Arial" w:hAnsi="Arial"/>
          <w:sz w:val="20"/>
          <w:szCs w:val="20"/>
          <w:color w:val="auto"/>
        </w:rPr>
      </w:pPr>
      <w:r>
        <w:rPr>
          <w:rFonts w:ascii="Arial" w:cs="Arial" w:eastAsia="Arial" w:hAnsi="Arial"/>
          <w:sz w:val="20"/>
          <w:szCs w:val="20"/>
          <w:color w:val="auto"/>
        </w:rPr>
        <w:t>provide the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186" w:lineRule="exact"/>
        <w:rPr>
          <w:rFonts w:ascii="Arial" w:cs="Arial" w:eastAsia="Arial" w:hAnsi="Arial"/>
          <w:sz w:val="20"/>
          <w:szCs w:val="20"/>
          <w:color w:val="auto"/>
        </w:rPr>
      </w:pPr>
    </w:p>
    <w:p>
      <w:pPr>
        <w:ind w:left="2180" w:hanging="875"/>
        <w:spacing w:after="0"/>
        <w:tabs>
          <w:tab w:leader="none" w:pos="2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have substantially equivalent economic value to such Award (determined at the time of the Change in Control) and</w:t>
      </w:r>
    </w:p>
    <w:p>
      <w:pPr>
        <w:spacing w:after="0" w:line="265" w:lineRule="exact"/>
        <w:rPr>
          <w:rFonts w:ascii="Arial" w:cs="Arial" w:eastAsia="Arial" w:hAnsi="Arial"/>
          <w:sz w:val="18"/>
          <w:szCs w:val="18"/>
          <w:color w:val="auto"/>
        </w:rPr>
      </w:pPr>
    </w:p>
    <w:p>
      <w:pPr>
        <w:ind w:firstLine="1305"/>
        <w:spacing w:after="0" w:line="289" w:lineRule="auto"/>
        <w:tabs>
          <w:tab w:leader="none" w:pos="2164" w:val="left"/>
        </w:tabs>
        <w:numPr>
          <w:ilvl w:val="0"/>
          <w:numId w:val="64"/>
        </w:numPr>
        <w:rPr>
          <w:rFonts w:ascii="Arial" w:cs="Arial" w:eastAsia="Arial" w:hAnsi="Arial"/>
          <w:sz w:val="20"/>
          <w:szCs w:val="20"/>
          <w:color w:val="auto"/>
        </w:rPr>
      </w:pPr>
      <w:r>
        <w:rPr>
          <w:rFonts w:ascii="Arial" w:cs="Arial" w:eastAsia="Arial" w:hAnsi="Arial"/>
          <w:sz w:val="20"/>
          <w:szCs w:val="20"/>
          <w:color w:val="auto"/>
        </w:rPr>
        <w:t>have terms and conditions which provide that in the event that the Participant suffers an involuntary termination without Cause within two years following the Change in Control,</w:t>
      </w:r>
    </w:p>
    <w:p>
      <w:pPr>
        <w:spacing w:after="0" w:line="175" w:lineRule="exact"/>
        <w:rPr>
          <w:rFonts w:ascii="Arial" w:cs="Arial" w:eastAsia="Arial" w:hAnsi="Arial"/>
          <w:sz w:val="20"/>
          <w:szCs w:val="20"/>
          <w:color w:val="auto"/>
        </w:rPr>
      </w:pPr>
    </w:p>
    <w:p>
      <w:pPr>
        <w:ind w:firstLine="1953"/>
        <w:spacing w:after="0" w:line="289" w:lineRule="auto"/>
        <w:tabs>
          <w:tab w:leader="none" w:pos="2780" w:val="left"/>
        </w:tabs>
        <w:numPr>
          <w:ilvl w:val="1"/>
          <w:numId w:val="64"/>
        </w:numPr>
        <w:rPr>
          <w:rFonts w:ascii="Arial" w:cs="Arial" w:eastAsia="Arial" w:hAnsi="Arial"/>
          <w:sz w:val="20"/>
          <w:szCs w:val="20"/>
          <w:color w:val="auto"/>
        </w:rPr>
      </w:pPr>
      <w:r>
        <w:rPr>
          <w:rFonts w:ascii="Arial" w:cs="Arial" w:eastAsia="Arial" w:hAnsi="Arial"/>
          <w:sz w:val="20"/>
          <w:szCs w:val="20"/>
          <w:color w:val="auto"/>
        </w:rPr>
        <w:t>all outstanding Service Awards held by a terminated Participant shall become vested and exercisable and any restrictions on such outstanding Service Awards shall lapse and</w:t>
      </w:r>
    </w:p>
    <w:p>
      <w:pPr>
        <w:spacing w:after="0" w:line="175" w:lineRule="exact"/>
        <w:rPr>
          <w:rFonts w:ascii="Arial" w:cs="Arial" w:eastAsia="Arial" w:hAnsi="Arial"/>
          <w:sz w:val="20"/>
          <w:szCs w:val="20"/>
          <w:color w:val="auto"/>
        </w:rPr>
      </w:pPr>
    </w:p>
    <w:p>
      <w:pPr>
        <w:jc w:val="both"/>
        <w:ind w:firstLine="1953"/>
        <w:spacing w:after="0" w:line="349" w:lineRule="auto"/>
        <w:tabs>
          <w:tab w:leader="none" w:pos="2835" w:val="left"/>
        </w:tabs>
        <w:numPr>
          <w:ilvl w:val="1"/>
          <w:numId w:val="64"/>
        </w:numPr>
        <w:rPr>
          <w:rFonts w:ascii="Arial" w:cs="Arial" w:eastAsia="Arial" w:hAnsi="Arial"/>
          <w:sz w:val="16"/>
          <w:szCs w:val="16"/>
          <w:color w:val="auto"/>
        </w:rPr>
      </w:pPr>
      <w:r>
        <w:rPr>
          <w:rFonts w:ascii="Arial" w:cs="Arial" w:eastAsia="Arial" w:hAnsi="Arial"/>
          <w:sz w:val="16"/>
          <w:szCs w:val="16"/>
          <w:color w:val="auto"/>
        </w:rPr>
        <w:t>each outstanding Performance Award held by a terminated Participant with a Performance Cycle in progress at the time of both the Change in Control and the termination of employment shall be deemed to be earned and become vested and/or paid out in an amount equal to the product of (</w:t>
      </w:r>
      <w:r>
        <w:rPr>
          <w:rFonts w:ascii="Arial" w:cs="Arial" w:eastAsia="Arial" w:hAnsi="Arial"/>
          <w:sz w:val="16"/>
          <w:szCs w:val="16"/>
          <w:u w:val="single" w:color="auto"/>
          <w:color w:val="auto"/>
        </w:rPr>
        <w:t>x</w:t>
      </w:r>
      <w:r>
        <w:rPr>
          <w:rFonts w:ascii="Arial" w:cs="Arial" w:eastAsia="Arial" w:hAnsi="Arial"/>
          <w:sz w:val="16"/>
          <w:szCs w:val="16"/>
          <w:color w:val="auto"/>
        </w:rPr>
        <w:t>) such Participant’s target award opportunity with respect to such Award for the Performance Cycle in question and (</w:t>
      </w:r>
      <w:r>
        <w:rPr>
          <w:rFonts w:ascii="Arial" w:cs="Arial" w:eastAsia="Arial" w:hAnsi="Arial"/>
          <w:sz w:val="16"/>
          <w:szCs w:val="16"/>
          <w:u w:val="single" w:color="auto"/>
          <w:color w:val="auto"/>
        </w:rPr>
        <w:t>y</w:t>
      </w:r>
      <w:r>
        <w:rPr>
          <w:rFonts w:ascii="Arial" w:cs="Arial" w:eastAsia="Arial" w:hAnsi="Arial"/>
          <w:sz w:val="16"/>
          <w:szCs w:val="16"/>
          <w:color w:val="auto"/>
        </w:rPr>
        <w:t>) the greater of the percentage of Performance Goals (which Performance Goals shall be pro-rated, if necessary or appropriate, to reflect the portion of the Performance Cycle that has been completed) achieved as of the date of the Change in Control and as of the last day of the fiscal quarter ended on or immediately prior to the date of Termination of Service. The portion of any Performance Award that does not vest in accordance with the preceding sentence shall immediately be forfeited and canceled without any payment therefor.</w:t>
      </w:r>
    </w:p>
    <w:p>
      <w:pPr>
        <w:spacing w:after="0" w:line="139" w:lineRule="exact"/>
        <w:rPr>
          <w:rFonts w:ascii="Arial" w:cs="Arial" w:eastAsia="Arial" w:hAnsi="Arial"/>
          <w:sz w:val="16"/>
          <w:szCs w:val="16"/>
          <w:color w:val="auto"/>
        </w:rPr>
      </w:pPr>
    </w:p>
    <w:p>
      <w:pPr>
        <w:ind w:firstLine="1953"/>
        <w:spacing w:after="0" w:line="347" w:lineRule="auto"/>
        <w:tabs>
          <w:tab w:leader="none" w:pos="289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To the extent permitted under Section 14.14, all amounts payable hereunder shall be payable in full, as soon as reasonably practicable, but in no event later than 10 business days, following the Participant’s termination of employment.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36" w:right="239" w:bottom="1440" w:gutter="0" w:footer="0" w:header="0"/>
        </w:sectPr>
      </w:pPr>
    </w:p>
    <w:bookmarkStart w:id="67" w:name="page68"/>
    <w:bookmarkEnd w:id="67"/>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13.3 Section 409A</w:t>
      </w:r>
      <w:r>
        <w:rPr>
          <w:rFonts w:ascii="Arial" w:cs="Arial" w:eastAsia="Arial" w:hAnsi="Arial"/>
          <w:sz w:val="20"/>
          <w:szCs w:val="20"/>
          <w:color w:val="auto"/>
        </w:rPr>
        <w:t>. Notwithstanding anything in Section 13.2, if any Award is subject to Section 409A of the Code and an Alternative Award would be deemed a non-compliant material modification (as defined in Section 409A of the Code) of such Award, then no Alternative Award shall be provided and such Award shall instead be treated as provided in Section 13.1.</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u w:val="single" w:color="auto"/>
          <w:color w:val="auto"/>
        </w:rPr>
        <w:t>Section 13.4 Pre-Public Offering Awards</w:t>
      </w:r>
      <w:r>
        <w:rPr>
          <w:rFonts w:ascii="Arial" w:cs="Arial" w:eastAsia="Arial" w:hAnsi="Arial"/>
          <w:sz w:val="20"/>
          <w:szCs w:val="20"/>
          <w:color w:val="auto"/>
        </w:rPr>
        <w:t>. The provisions of this Article XIII shall not apply to any Awards granted prior to a Public Offering unless expressly provided otherwise in the Award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OTHER PROVISIONS</w:t>
      </w:r>
    </w:p>
    <w:p>
      <w:pPr>
        <w:spacing w:after="0" w:line="22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14.1</w:t>
      </w:r>
      <w:r>
        <w:rPr>
          <w:sz w:val="20"/>
          <w:szCs w:val="20"/>
          <w:color w:val="auto"/>
        </w:rPr>
        <w:tab/>
      </w:r>
      <w:r>
        <w:rPr>
          <w:rFonts w:ascii="Arial" w:cs="Arial" w:eastAsia="Arial" w:hAnsi="Arial"/>
          <w:sz w:val="16"/>
          <w:szCs w:val="16"/>
          <w:u w:val="single" w:color="auto"/>
          <w:color w:val="auto"/>
        </w:rPr>
        <w:t>Changes in Company Common Stock; Disposition of Assets and Corporate Events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86" w:lineRule="auto"/>
        <w:tabs>
          <w:tab w:leader="none" w:pos="2164"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 the event of any recapitalization (including a leveraged recapitalization), reclassification, stock split, extraordinary dividend, reverse stock split, reorganization, merger, consolidation, acquisition, disposition, split-up, spin-off, combination, repurchase, liquidation, dissolution, or sale, transfer, exchange or any disposition of all or substantially all of the capital stock or assets of the Company (including, but not limited to, an Equity Restructuring), exchange of Company Common Stock or other securities of the Company, issuance of warrants or other rights to purchase Company Common Stock or other securities of the Company, the acquisition or disposition of any material assets or business or other similar corporate transaction or event that affects the Company Common Stock (each, a “</w:t>
      </w:r>
      <w:r>
        <w:rPr>
          <w:rFonts w:ascii="Arial" w:cs="Arial" w:eastAsia="Arial" w:hAnsi="Arial"/>
          <w:sz w:val="19"/>
          <w:szCs w:val="19"/>
          <w:u w:val="single" w:color="auto"/>
          <w:color w:val="auto"/>
        </w:rPr>
        <w:t>Corporate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Event</w:t>
      </w:r>
      <w:r>
        <w:rPr>
          <w:rFonts w:ascii="Arial" w:cs="Arial" w:eastAsia="Arial" w:hAnsi="Arial"/>
          <w:sz w:val="19"/>
          <w:szCs w:val="19"/>
          <w:color w:val="auto"/>
        </w:rPr>
        <w:t>”) such that an adjustment to the Awards or Plan is determined by the Administrator to be necessary in order to prevent dilution or enlargement of the benefits or potential benefits intended to be made available under the Plan or with respect to an Award, then the Administrator shall, in such manner as it may deem equitable, adjust any or all of:</w:t>
      </w:r>
    </w:p>
    <w:p>
      <w:pPr>
        <w:spacing w:after="0" w:line="182" w:lineRule="exact"/>
        <w:rPr>
          <w:rFonts w:ascii="Arial" w:cs="Arial" w:eastAsia="Arial" w:hAnsi="Arial"/>
          <w:sz w:val="19"/>
          <w:szCs w:val="19"/>
          <w:color w:val="auto"/>
        </w:rPr>
      </w:pPr>
    </w:p>
    <w:p>
      <w:pPr>
        <w:jc w:val="both"/>
        <w:ind w:firstLine="1953"/>
        <w:spacing w:after="0" w:line="278" w:lineRule="auto"/>
        <w:tabs>
          <w:tab w:leader="none" w:pos="2780" w:val="left"/>
        </w:tabs>
        <w:numPr>
          <w:ilvl w:val="1"/>
          <w:numId w:val="65"/>
        </w:numPr>
        <w:rPr>
          <w:rFonts w:ascii="Arial" w:cs="Arial" w:eastAsia="Arial" w:hAnsi="Arial"/>
          <w:sz w:val="20"/>
          <w:szCs w:val="20"/>
          <w:color w:val="auto"/>
        </w:rPr>
      </w:pPr>
      <w:r>
        <w:rPr>
          <w:rFonts w:ascii="Arial" w:cs="Arial" w:eastAsia="Arial" w:hAnsi="Arial"/>
          <w:sz w:val="20"/>
          <w:szCs w:val="20"/>
          <w:color w:val="auto"/>
        </w:rPr>
        <w:t>the number and kind of Shares (or other securities or property) with respect to which an Award may be granted under the Plan (including, but not limited to, adjustments of the limitations in Section 2.1 on the maximum number and kind of Shares which may be issued);</w:t>
      </w:r>
    </w:p>
    <w:p>
      <w:pPr>
        <w:spacing w:after="0" w:line="186" w:lineRule="exact"/>
        <w:rPr>
          <w:rFonts w:ascii="Arial" w:cs="Arial" w:eastAsia="Arial" w:hAnsi="Arial"/>
          <w:sz w:val="20"/>
          <w:szCs w:val="20"/>
          <w:color w:val="auto"/>
        </w:rPr>
      </w:pPr>
    </w:p>
    <w:p>
      <w:pPr>
        <w:ind w:left="2840" w:hanging="887"/>
        <w:spacing w:after="0"/>
        <w:tabs>
          <w:tab w:leader="none" w:pos="2840" w:val="left"/>
        </w:tabs>
        <w:numPr>
          <w:ilvl w:val="1"/>
          <w:numId w:val="65"/>
        </w:numPr>
        <w:rPr>
          <w:rFonts w:ascii="Arial" w:cs="Arial" w:eastAsia="Arial" w:hAnsi="Arial"/>
          <w:sz w:val="20"/>
          <w:szCs w:val="20"/>
          <w:color w:val="auto"/>
        </w:rPr>
      </w:pPr>
      <w:r>
        <w:rPr>
          <w:rFonts w:ascii="Arial" w:cs="Arial" w:eastAsia="Arial" w:hAnsi="Arial"/>
          <w:sz w:val="20"/>
          <w:szCs w:val="20"/>
          <w:color w:val="auto"/>
        </w:rPr>
        <w:t>the number and kind of Shares (or other securities or property) subject to outstanding Awards;</w:t>
      </w:r>
    </w:p>
    <w:p>
      <w:pPr>
        <w:spacing w:after="0" w:line="242" w:lineRule="exact"/>
        <w:rPr>
          <w:rFonts w:ascii="Arial" w:cs="Arial" w:eastAsia="Arial" w:hAnsi="Arial"/>
          <w:sz w:val="20"/>
          <w:szCs w:val="20"/>
          <w:color w:val="auto"/>
        </w:rPr>
      </w:pPr>
    </w:p>
    <w:p>
      <w:pPr>
        <w:ind w:left="2900" w:hanging="947"/>
        <w:spacing w:after="0"/>
        <w:tabs>
          <w:tab w:leader="none" w:pos="2900" w:val="left"/>
        </w:tabs>
        <w:numPr>
          <w:ilvl w:val="1"/>
          <w:numId w:val="65"/>
        </w:numPr>
        <w:rPr>
          <w:rFonts w:ascii="Arial" w:cs="Arial" w:eastAsia="Arial" w:hAnsi="Arial"/>
          <w:sz w:val="20"/>
          <w:szCs w:val="20"/>
          <w:color w:val="auto"/>
        </w:rPr>
      </w:pPr>
      <w:r>
        <w:rPr>
          <w:rFonts w:ascii="Arial" w:cs="Arial" w:eastAsia="Arial" w:hAnsi="Arial"/>
          <w:sz w:val="20"/>
          <w:szCs w:val="20"/>
          <w:color w:val="auto"/>
        </w:rPr>
        <w:t>the grant or exercise or base price per Share for any outstanding Awards under the Plan;</w:t>
      </w:r>
    </w:p>
    <w:p>
      <w:pPr>
        <w:spacing w:after="0" w:line="242" w:lineRule="exact"/>
        <w:rPr>
          <w:rFonts w:ascii="Arial" w:cs="Arial" w:eastAsia="Arial" w:hAnsi="Arial"/>
          <w:sz w:val="20"/>
          <w:szCs w:val="20"/>
          <w:color w:val="auto"/>
        </w:rPr>
      </w:pPr>
    </w:p>
    <w:p>
      <w:pPr>
        <w:ind w:left="2880" w:hanging="927"/>
        <w:spacing w:after="0"/>
        <w:tabs>
          <w:tab w:leader="none" w:pos="28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terms and conditions of any outstanding Awards (including, without limitation, any applicable financial</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 other Performance Goals) or</w:t>
      </w:r>
    </w:p>
    <w:p>
      <w:pPr>
        <w:spacing w:after="0" w:line="242" w:lineRule="exact"/>
        <w:rPr>
          <w:rFonts w:ascii="Arial" w:cs="Arial" w:eastAsia="Arial" w:hAnsi="Arial"/>
          <w:sz w:val="18"/>
          <w:szCs w:val="18"/>
          <w:color w:val="auto"/>
        </w:rPr>
      </w:pPr>
    </w:p>
    <w:p>
      <w:pPr>
        <w:ind w:right="20" w:firstLine="1953"/>
        <w:spacing w:after="0" w:line="289" w:lineRule="auto"/>
        <w:tabs>
          <w:tab w:leader="none" w:pos="2824" w:val="left"/>
        </w:tabs>
        <w:numPr>
          <w:ilvl w:val="1"/>
          <w:numId w:val="65"/>
        </w:numPr>
        <w:rPr>
          <w:rFonts w:ascii="Arial" w:cs="Arial" w:eastAsia="Arial" w:hAnsi="Arial"/>
          <w:sz w:val="20"/>
          <w:szCs w:val="20"/>
          <w:color w:val="auto"/>
        </w:rPr>
      </w:pPr>
      <w:r>
        <w:rPr>
          <w:rFonts w:ascii="Arial" w:cs="Arial" w:eastAsia="Arial" w:hAnsi="Arial"/>
          <w:sz w:val="20"/>
          <w:szCs w:val="20"/>
          <w:color w:val="auto"/>
        </w:rPr>
        <w:t>make such other provision with respect to the holder or holders of outstanding Awards (which may include, without limitation, provision for dividend equivalents or other compensation inside or outside of the Plan);</w:t>
      </w:r>
    </w:p>
    <w:p>
      <w:pPr>
        <w:spacing w:after="0" w:line="37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it being understood that any such adjustment or other provision shall be implemented in such manner as the Administrator determines is necessary to preserve the economic value represented by the Award immediately prior to such event (except that, for the avoidance of doubt, economic value of any Option or SAR need not reflect any value other than the spread value of such Award at such time) and not cause the Award to become subject to the provisions of or any additional taxes, interest or penalties imposed by Section 409A of the Code. All determinations and adjustments made by the Administrator in good faith pursuant to this Section 14.1(a) shall be final and binding on the affected Participants and the Company.</w:t>
      </w:r>
    </w:p>
    <w:p>
      <w:pPr>
        <w:spacing w:after="0" w:line="210" w:lineRule="exact"/>
        <w:rPr>
          <w:sz w:val="20"/>
          <w:szCs w:val="20"/>
          <w:color w:val="auto"/>
        </w:rPr>
      </w:pPr>
    </w:p>
    <w:p>
      <w:pPr>
        <w:jc w:val="both"/>
        <w:ind w:left="660" w:firstLine="1293"/>
        <w:spacing w:after="0" w:line="278" w:lineRule="auto"/>
        <w:tabs>
          <w:tab w:leader="none" w:pos="2835" w:val="left"/>
        </w:tabs>
        <w:numPr>
          <w:ilvl w:val="0"/>
          <w:numId w:val="66"/>
        </w:numPr>
        <w:rPr>
          <w:rFonts w:ascii="Arial" w:cs="Arial" w:eastAsia="Arial" w:hAnsi="Arial"/>
          <w:sz w:val="20"/>
          <w:szCs w:val="20"/>
          <w:color w:val="auto"/>
        </w:rPr>
      </w:pPr>
      <w:r>
        <w:rPr>
          <w:rFonts w:ascii="Arial" w:cs="Arial" w:eastAsia="Arial" w:hAnsi="Arial"/>
          <w:sz w:val="20"/>
          <w:szCs w:val="20"/>
          <w:color w:val="auto"/>
        </w:rPr>
        <w:t>Subject to Section 14.14, upon the occurrence of a Corporate Event, the Administrator is hereby authorized to take any one or more of the following actions whenever the Administrator determines that such action is necessary in order to (</w:t>
      </w:r>
      <w:r>
        <w:rPr>
          <w:rFonts w:ascii="Arial" w:cs="Arial" w:eastAsia="Arial" w:hAnsi="Arial"/>
          <w:sz w:val="20"/>
          <w:szCs w:val="20"/>
          <w:u w:val="single" w:color="auto"/>
          <w:color w:val="auto"/>
        </w:rPr>
        <w:t>x</w:t>
      </w:r>
      <w:r>
        <w:rPr>
          <w:rFonts w:ascii="Arial" w:cs="Arial" w:eastAsia="Arial" w:hAnsi="Arial"/>
          <w:sz w:val="20"/>
          <w:szCs w:val="20"/>
          <w:color w:val="auto"/>
        </w:rPr>
        <w:t>) prevent dilution or enlargement of the benefits or potential benefits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22" w:right="239" w:bottom="1440" w:gutter="0" w:footer="0" w:header="0"/>
        </w:sectPr>
      </w:pPr>
    </w:p>
    <w:bookmarkStart w:id="68" w:name="page69"/>
    <w:bookmarkEnd w:id="68"/>
    <w:p>
      <w:pPr>
        <w:ind w:left="660"/>
        <w:spacing w:after="0" w:line="289" w:lineRule="auto"/>
        <w:rPr>
          <w:sz w:val="20"/>
          <w:szCs w:val="20"/>
          <w:color w:val="auto"/>
        </w:rPr>
      </w:pPr>
      <w:r>
        <w:rPr>
          <w:rFonts w:ascii="Arial" w:cs="Arial" w:eastAsia="Arial" w:hAnsi="Arial"/>
          <w:sz w:val="20"/>
          <w:szCs w:val="20"/>
          <w:color w:val="auto"/>
        </w:rPr>
        <w:t>intended to be made available under the Plan or with respect to any Award under this Plan, (</w:t>
      </w:r>
      <w:r>
        <w:rPr>
          <w:rFonts w:ascii="Arial" w:cs="Arial" w:eastAsia="Arial" w:hAnsi="Arial"/>
          <w:sz w:val="20"/>
          <w:szCs w:val="20"/>
          <w:u w:val="single" w:color="auto"/>
          <w:color w:val="auto"/>
        </w:rPr>
        <w:t>y</w:t>
      </w:r>
      <w:r>
        <w:rPr>
          <w:rFonts w:ascii="Arial" w:cs="Arial" w:eastAsia="Arial" w:hAnsi="Arial"/>
          <w:sz w:val="20"/>
          <w:szCs w:val="20"/>
          <w:color w:val="auto"/>
        </w:rPr>
        <w:t>) facilitate such Corporate Event or (</w:t>
      </w:r>
      <w:r>
        <w:rPr>
          <w:rFonts w:ascii="Arial" w:cs="Arial" w:eastAsia="Arial" w:hAnsi="Arial"/>
          <w:sz w:val="20"/>
          <w:szCs w:val="20"/>
          <w:u w:val="single" w:color="auto"/>
          <w:color w:val="auto"/>
        </w:rPr>
        <w:t>z</w:t>
      </w:r>
      <w:r>
        <w:rPr>
          <w:rFonts w:ascii="Arial" w:cs="Arial" w:eastAsia="Arial" w:hAnsi="Arial"/>
          <w:sz w:val="20"/>
          <w:szCs w:val="20"/>
          <w:color w:val="auto"/>
        </w:rPr>
        <w:t>) give effect to such changes in laws, regulations or accounting principles:</w:t>
      </w:r>
    </w:p>
    <w:p>
      <w:pPr>
        <w:spacing w:after="0" w:line="162" w:lineRule="exact"/>
        <w:rPr>
          <w:sz w:val="20"/>
          <w:szCs w:val="20"/>
          <w:color w:val="auto"/>
        </w:rPr>
      </w:pPr>
    </w:p>
    <w:p>
      <w:pPr>
        <w:jc w:val="both"/>
        <w:ind w:firstLine="1953"/>
        <w:spacing w:after="0" w:line="276" w:lineRule="auto"/>
        <w:tabs>
          <w:tab w:leader="none" w:pos="2339"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Administrator may provide, on such terms and conditions as it deems appropriate, either by the terms of the applicable Award Agreement or by action taken prior to the occurrence of such Corporate Event, and either automatically or upon the Participant’s request, for either (</w:t>
      </w:r>
      <w:r>
        <w:rPr>
          <w:rFonts w:ascii="Arial" w:cs="Arial" w:eastAsia="Arial" w:hAnsi="Arial"/>
          <w:sz w:val="18"/>
          <w:szCs w:val="18"/>
          <w:u w:val="single" w:color="auto"/>
          <w:color w:val="auto"/>
        </w:rPr>
        <w:t>A</w:t>
      </w:r>
      <w:r>
        <w:rPr>
          <w:rFonts w:ascii="Arial" w:cs="Arial" w:eastAsia="Arial" w:hAnsi="Arial"/>
          <w:sz w:val="18"/>
          <w:szCs w:val="18"/>
          <w:color w:val="auto"/>
        </w:rPr>
        <w:t>) the purchase of any outstanding Award for an amount of cash, securities, or other property equal to the amount that could have been attained upon the exercise of the portion of such Award that was vested and exercisable (and such additional portion of the Award as the Administrator may determine) immediately prior to the occurrence of such Corporate Event or (</w:t>
      </w:r>
      <w:r>
        <w:rPr>
          <w:rFonts w:ascii="Arial" w:cs="Arial" w:eastAsia="Arial" w:hAnsi="Arial"/>
          <w:sz w:val="18"/>
          <w:szCs w:val="18"/>
          <w:u w:val="single" w:color="auto"/>
          <w:color w:val="auto"/>
        </w:rPr>
        <w:t>B</w:t>
      </w:r>
      <w:r>
        <w:rPr>
          <w:rFonts w:ascii="Arial" w:cs="Arial" w:eastAsia="Arial" w:hAnsi="Arial"/>
          <w:sz w:val="18"/>
          <w:szCs w:val="18"/>
          <w:color w:val="auto"/>
        </w:rPr>
        <w:t>) the replacement of such vested (and other) portion of such Award with other rights or property selected by the Administrator in its sole discretion;</w:t>
      </w:r>
    </w:p>
    <w:p>
      <w:pPr>
        <w:spacing w:after="0" w:line="165" w:lineRule="exact"/>
        <w:rPr>
          <w:rFonts w:ascii="Arial" w:cs="Arial" w:eastAsia="Arial" w:hAnsi="Arial"/>
          <w:sz w:val="18"/>
          <w:szCs w:val="18"/>
          <w:color w:val="auto"/>
        </w:rPr>
      </w:pPr>
    </w:p>
    <w:p>
      <w:pPr>
        <w:jc w:val="both"/>
        <w:ind w:firstLine="1953"/>
        <w:spacing w:after="0" w:line="244" w:lineRule="auto"/>
        <w:tabs>
          <w:tab w:leader="none" w:pos="2407" w:val="left"/>
        </w:tabs>
        <w:numPr>
          <w:ilvl w:val="1"/>
          <w:numId w:val="67"/>
        </w:numPr>
        <w:rPr>
          <w:rFonts w:ascii="Arial" w:cs="Arial" w:eastAsia="Arial" w:hAnsi="Arial"/>
          <w:sz w:val="20"/>
          <w:szCs w:val="20"/>
          <w:color w:val="auto"/>
        </w:rPr>
      </w:pPr>
      <w:r>
        <w:rPr>
          <w:rFonts w:ascii="Arial" w:cs="Arial" w:eastAsia="Arial" w:hAnsi="Arial"/>
          <w:sz w:val="20"/>
          <w:szCs w:val="20"/>
          <w:color w:val="auto"/>
        </w:rPr>
        <w:t>In its sole discretion, the Administrator may provide, either by the terms of the applicable Award Agreement or by action taken prior to the occurrence of such Corporate Event, that, if, as of the date of the occurrence of such Corporate Event, the Administrator determines in good faith that no amount would have been obtained upon the vesting or exercise of the Award, then the Award (or any portion thereof) will terminate upon the occurrence of such Corporate Event and cannot vest, be exercised or become payable after such Corporate Event;</w:t>
      </w:r>
    </w:p>
    <w:p>
      <w:pPr>
        <w:spacing w:after="0" w:line="194" w:lineRule="exact"/>
        <w:rPr>
          <w:rFonts w:ascii="Arial" w:cs="Arial" w:eastAsia="Arial" w:hAnsi="Arial"/>
          <w:sz w:val="20"/>
          <w:szCs w:val="20"/>
          <w:color w:val="auto"/>
        </w:rPr>
      </w:pPr>
    </w:p>
    <w:p>
      <w:pPr>
        <w:jc w:val="both"/>
        <w:ind w:firstLine="1953"/>
        <w:spacing w:after="0" w:line="263" w:lineRule="auto"/>
        <w:tabs>
          <w:tab w:leader="none" w:pos="2435" w:val="left"/>
        </w:tabs>
        <w:numPr>
          <w:ilvl w:val="1"/>
          <w:numId w:val="67"/>
        </w:numPr>
        <w:rPr>
          <w:rFonts w:ascii="Arial" w:cs="Arial" w:eastAsia="Arial" w:hAnsi="Arial"/>
          <w:sz w:val="19"/>
          <w:szCs w:val="19"/>
          <w:color w:val="auto"/>
        </w:rPr>
      </w:pPr>
      <w:r>
        <w:rPr>
          <w:rFonts w:ascii="Arial" w:cs="Arial" w:eastAsia="Arial" w:hAnsi="Arial"/>
          <w:sz w:val="19"/>
          <w:szCs w:val="19"/>
          <w:color w:val="auto"/>
        </w:rPr>
        <w:t>The Administrator may provide, on such terms and conditions as it deems appropriate, either by the terms of the applicable Award Agreement or by action taken prior to the occurrence of such Corporate Event, that for a specified period of time prior to such Corporate Event, such Award shall be exercisable as to all Shares covered thereby or a specified portion of such Shares, notwithstanding anything to the contrary in (</w:t>
      </w:r>
      <w:r>
        <w:rPr>
          <w:rFonts w:ascii="Arial" w:cs="Arial" w:eastAsia="Arial" w:hAnsi="Arial"/>
          <w:sz w:val="19"/>
          <w:szCs w:val="19"/>
          <w:u w:val="single" w:color="auto"/>
          <w:color w:val="auto"/>
        </w:rPr>
        <w:t>A</w:t>
      </w:r>
      <w:r>
        <w:rPr>
          <w:rFonts w:ascii="Arial" w:cs="Arial" w:eastAsia="Arial" w:hAnsi="Arial"/>
          <w:sz w:val="19"/>
          <w:szCs w:val="19"/>
          <w:color w:val="auto"/>
        </w:rPr>
        <w:t>) Section 4.2 or (</w:t>
      </w:r>
      <w:r>
        <w:rPr>
          <w:rFonts w:ascii="Arial" w:cs="Arial" w:eastAsia="Arial" w:hAnsi="Arial"/>
          <w:sz w:val="19"/>
          <w:szCs w:val="19"/>
          <w:u w:val="single" w:color="auto"/>
          <w:color w:val="auto"/>
        </w:rPr>
        <w:t>B</w:t>
      </w:r>
      <w:r>
        <w:rPr>
          <w:rFonts w:ascii="Arial" w:cs="Arial" w:eastAsia="Arial" w:hAnsi="Arial"/>
          <w:sz w:val="19"/>
          <w:szCs w:val="19"/>
          <w:color w:val="auto"/>
        </w:rPr>
        <w:t>) the provisions of the applicable Award Agreement;</w:t>
      </w:r>
    </w:p>
    <w:p>
      <w:pPr>
        <w:spacing w:after="0" w:line="176" w:lineRule="exact"/>
        <w:rPr>
          <w:rFonts w:ascii="Arial" w:cs="Arial" w:eastAsia="Arial" w:hAnsi="Arial"/>
          <w:sz w:val="19"/>
          <w:szCs w:val="19"/>
          <w:color w:val="auto"/>
        </w:rPr>
      </w:pPr>
    </w:p>
    <w:p>
      <w:pPr>
        <w:jc w:val="both"/>
        <w:ind w:firstLine="1953"/>
        <w:spacing w:after="0" w:line="260" w:lineRule="auto"/>
        <w:tabs>
          <w:tab w:leader="none" w:pos="2451" w:val="left"/>
        </w:tabs>
        <w:numPr>
          <w:ilvl w:val="1"/>
          <w:numId w:val="67"/>
        </w:numPr>
        <w:rPr>
          <w:rFonts w:ascii="Arial" w:cs="Arial" w:eastAsia="Arial" w:hAnsi="Arial"/>
          <w:sz w:val="19"/>
          <w:szCs w:val="19"/>
          <w:color w:val="auto"/>
        </w:rPr>
      </w:pPr>
      <w:r>
        <w:rPr>
          <w:rFonts w:ascii="Arial" w:cs="Arial" w:eastAsia="Arial" w:hAnsi="Arial"/>
          <w:sz w:val="19"/>
          <w:szCs w:val="19"/>
          <w:color w:val="auto"/>
        </w:rPr>
        <w:t>In its sole discretion and on such terms and conditions as it deems appropriate, the Administrator may provide, either by the terms of the applicable Award Agreement or by action taken prior to the occurrence of such Corporate Event, that upon such Corporate Event, such Award (or any portion thereof)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 and</w:t>
      </w:r>
    </w:p>
    <w:p>
      <w:pPr>
        <w:spacing w:after="0" w:line="180" w:lineRule="exact"/>
        <w:rPr>
          <w:rFonts w:ascii="Arial" w:cs="Arial" w:eastAsia="Arial" w:hAnsi="Arial"/>
          <w:sz w:val="19"/>
          <w:szCs w:val="19"/>
          <w:color w:val="auto"/>
        </w:rPr>
      </w:pPr>
    </w:p>
    <w:p>
      <w:pPr>
        <w:jc w:val="both"/>
        <w:ind w:firstLine="1953"/>
        <w:spacing w:after="0" w:line="250" w:lineRule="auto"/>
        <w:tabs>
          <w:tab w:leader="none" w:pos="2450"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Administrator may make adjustments in the number and type of Shares (or other securities or property) subject to the Plan and outstanding Awards (or any portion thereof) and/or in the terms and conditions of (including the exercise price), and the criteria included in, outstanding Awards and Awards which may be granted in the future.</w:t>
      </w:r>
    </w:p>
    <w:p>
      <w:pPr>
        <w:spacing w:after="0" w:line="199" w:lineRule="exact"/>
        <w:rPr>
          <w:rFonts w:ascii="Arial" w:cs="Arial" w:eastAsia="Arial" w:hAnsi="Arial"/>
          <w:sz w:val="20"/>
          <w:szCs w:val="20"/>
          <w:color w:val="auto"/>
        </w:rPr>
      </w:pPr>
    </w:p>
    <w:p>
      <w:pPr>
        <w:jc w:val="both"/>
        <w:ind w:firstLine="1305"/>
        <w:spacing w:after="0" w:line="287" w:lineRule="auto"/>
        <w:tabs>
          <w:tab w:leader="none" w:pos="2164"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With respect to Awards granted prior to a Public Offering, in connection with the occurrence of any Equity Restructuring, and notwithstanding anything to the contrary in Section 14.1(a) and Section 14.1(b), the Administrator will equitably adjust each outstanding Award, which adjustments may include adjustments to the number and type of securities subject to each outstanding Award and/or the exercise price or grant price thereof, if applicable, the grant of new Awards to Participants, and/or the making of a cash payment to Participants, as the Administrator deems necessary to reflect such Equity Restructuring. The adjustments provided under this Section 14.1(c) shall be nondiscretionary and shall be final and binding on the affected Participant and the Company;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whether an adjustment is equitable shall be determined in the discretion of the Administrator.</w:t>
      </w:r>
    </w:p>
    <w:p>
      <w:pPr>
        <w:spacing w:after="0" w:line="183" w:lineRule="exact"/>
        <w:rPr>
          <w:rFonts w:ascii="Arial" w:cs="Arial" w:eastAsia="Arial" w:hAnsi="Arial"/>
          <w:sz w:val="19"/>
          <w:szCs w:val="19"/>
          <w:color w:val="auto"/>
        </w:rPr>
      </w:pPr>
    </w:p>
    <w:p>
      <w:pPr>
        <w:ind w:left="2180" w:hanging="875"/>
        <w:spacing w:after="0"/>
        <w:tabs>
          <w:tab w:leader="none" w:pos="2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adjustment of an Award pursuant to Section 14.1 shall be effected in compliance with Section 409A of the</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Code.</w:t>
      </w:r>
    </w:p>
    <w:p>
      <w:pPr>
        <w:spacing w:after="0" w:line="242" w:lineRule="exact"/>
        <w:rPr>
          <w:rFonts w:ascii="Arial" w:cs="Arial" w:eastAsia="Arial" w:hAnsi="Arial"/>
          <w:sz w:val="18"/>
          <w:szCs w:val="18"/>
          <w:color w:val="auto"/>
        </w:rPr>
      </w:pPr>
    </w:p>
    <w:p>
      <w:pPr>
        <w:ind w:firstLine="1305"/>
        <w:spacing w:after="0" w:line="289" w:lineRule="auto"/>
        <w:tabs>
          <w:tab w:leader="none" w:pos="2164"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Administrator may include such further provisions and limitations in any Award Agreement or Stockholders Agreement as it may deem equitable and in the best interests of the Company and its Subsidiaries.</w:t>
      </w:r>
    </w:p>
    <w:p>
      <w:pPr>
        <w:spacing w:after="0" w:line="175" w:lineRule="exact"/>
        <w:rPr>
          <w:rFonts w:ascii="Arial" w:cs="Arial" w:eastAsia="Arial" w:hAnsi="Arial"/>
          <w:sz w:val="20"/>
          <w:szCs w:val="20"/>
          <w:color w:val="auto"/>
        </w:rPr>
      </w:pPr>
    </w:p>
    <w:p>
      <w:pPr>
        <w:ind w:left="2160" w:hanging="855"/>
        <w:spacing w:after="0"/>
        <w:tabs>
          <w:tab w:leader="none" w:pos="2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the extent required by the terms of an Award Agreement, the Company shall notify the Participant prior to the</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date of a Corporate Event.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36" w:right="239" w:bottom="1440" w:gutter="0" w:footer="0" w:header="0"/>
        </w:sectPr>
      </w:pPr>
    </w:p>
    <w:bookmarkStart w:id="69" w:name="page70"/>
    <w:bookmarkEnd w:id="69"/>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14.2</w:t>
      </w:r>
      <w:r>
        <w:rPr>
          <w:sz w:val="20"/>
          <w:szCs w:val="20"/>
          <w:color w:val="auto"/>
        </w:rPr>
        <w:tab/>
      </w: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229" w:lineRule="exact"/>
        <w:rPr>
          <w:sz w:val="20"/>
          <w:szCs w:val="20"/>
          <w:color w:val="auto"/>
        </w:rPr>
      </w:pPr>
    </w:p>
    <w:p>
      <w:pPr>
        <w:jc w:val="both"/>
        <w:ind w:firstLine="1305"/>
        <w:spacing w:after="0" w:line="288" w:lineRule="auto"/>
        <w:tabs>
          <w:tab w:leader="none" w:pos="2164"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Awards Not Transferable</w:t>
      </w:r>
      <w:r>
        <w:rPr>
          <w:rFonts w:ascii="Arial" w:cs="Arial" w:eastAsia="Arial" w:hAnsi="Arial"/>
          <w:sz w:val="19"/>
          <w:szCs w:val="19"/>
          <w:color w:val="auto"/>
        </w:rPr>
        <w:t>. Unless otherwise agreed to in writing by the Administrator, no Award or interest or right therein or part thereof shall be liable for the debts, contracts or engagements of the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nothing in this Section 14.2 shall prevent transfers by will or by the applicable laws of descent and distribution.</w:t>
      </w:r>
    </w:p>
    <w:p>
      <w:pPr>
        <w:spacing w:after="0" w:line="182" w:lineRule="exact"/>
        <w:rPr>
          <w:rFonts w:ascii="Arial" w:cs="Arial" w:eastAsia="Arial" w:hAnsi="Arial"/>
          <w:sz w:val="19"/>
          <w:szCs w:val="19"/>
          <w:color w:val="auto"/>
        </w:rPr>
      </w:pPr>
    </w:p>
    <w:p>
      <w:pPr>
        <w:jc w:val="both"/>
        <w:ind w:firstLine="1305"/>
        <w:spacing w:after="0" w:line="285" w:lineRule="auto"/>
        <w:tabs>
          <w:tab w:leader="none" w:pos="2175"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Transferability of Shares</w:t>
      </w:r>
      <w:r>
        <w:rPr>
          <w:rFonts w:ascii="Arial" w:cs="Arial" w:eastAsia="Arial" w:hAnsi="Arial"/>
          <w:sz w:val="19"/>
          <w:szCs w:val="19"/>
          <w:color w:val="auto"/>
        </w:rPr>
        <w:t>. Prior to the day that is one hundred eighty (180) days (or such shorter or longer period as determined by the managing underwriters to be appropriate in order to avoid a material adverse impact on marketability or price) after the consummation of a Public Offering, no Participant shall without the prior consent of the Administrator transfer any Shares issued pursuant to an Award except for (</w:t>
      </w:r>
      <w:r>
        <w:rPr>
          <w:rFonts w:ascii="Arial" w:cs="Arial" w:eastAsia="Arial" w:hAnsi="Arial"/>
          <w:sz w:val="19"/>
          <w:szCs w:val="19"/>
          <w:u w:val="single" w:color="auto"/>
          <w:color w:val="auto"/>
        </w:rPr>
        <w:t>i</w:t>
      </w:r>
      <w:r>
        <w:rPr>
          <w:rFonts w:ascii="Arial" w:cs="Arial" w:eastAsia="Arial" w:hAnsi="Arial"/>
          <w:sz w:val="19"/>
          <w:szCs w:val="19"/>
          <w:color w:val="auto"/>
        </w:rPr>
        <w:t>) transfers to the Company, (</w:t>
      </w:r>
      <w:r>
        <w:rPr>
          <w:rFonts w:ascii="Arial" w:cs="Arial" w:eastAsia="Arial" w:hAnsi="Arial"/>
          <w:sz w:val="19"/>
          <w:szCs w:val="19"/>
          <w:u w:val="single" w:color="auto"/>
          <w:color w:val="auto"/>
        </w:rPr>
        <w:t>ii</w:t>
      </w:r>
      <w:r>
        <w:rPr>
          <w:rFonts w:ascii="Arial" w:cs="Arial" w:eastAsia="Arial" w:hAnsi="Arial"/>
          <w:sz w:val="19"/>
          <w:szCs w:val="19"/>
          <w:color w:val="auto"/>
        </w:rPr>
        <w:t>) transfers (</w:t>
      </w:r>
      <w:r>
        <w:rPr>
          <w:rFonts w:ascii="Arial" w:cs="Arial" w:eastAsia="Arial" w:hAnsi="Arial"/>
          <w:sz w:val="19"/>
          <w:szCs w:val="19"/>
          <w:u w:val="single" w:color="auto"/>
          <w:color w:val="auto"/>
        </w:rPr>
        <w:t>A</w:t>
      </w:r>
      <w:r>
        <w:rPr>
          <w:rFonts w:ascii="Arial" w:cs="Arial" w:eastAsia="Arial" w:hAnsi="Arial"/>
          <w:sz w:val="19"/>
          <w:szCs w:val="19"/>
          <w:color w:val="auto"/>
        </w:rPr>
        <w:t>) by gift to, or for the benefit of, any member or members of a Participant’s immediate family (which shall include any spouse, or any lineal ancestor or descendant, niece, nephew, adopted child or sibling of him or her or such spouse, niece, nephew or adopted child), (</w:t>
      </w:r>
      <w:r>
        <w:rPr>
          <w:rFonts w:ascii="Arial" w:cs="Arial" w:eastAsia="Arial" w:hAnsi="Arial"/>
          <w:sz w:val="19"/>
          <w:szCs w:val="19"/>
          <w:u w:val="single" w:color="auto"/>
          <w:color w:val="auto"/>
        </w:rPr>
        <w:t>B</w:t>
      </w:r>
      <w:r>
        <w:rPr>
          <w:rFonts w:ascii="Arial" w:cs="Arial" w:eastAsia="Arial" w:hAnsi="Arial"/>
          <w:sz w:val="19"/>
          <w:szCs w:val="19"/>
          <w:color w:val="auto"/>
        </w:rPr>
        <w:t>) to a trust under which the distribution of the Shares may be made only by such Participant and/or such Participant’s immediate family or (</w:t>
      </w:r>
      <w:r>
        <w:rPr>
          <w:rFonts w:ascii="Arial" w:cs="Arial" w:eastAsia="Arial" w:hAnsi="Arial"/>
          <w:sz w:val="19"/>
          <w:szCs w:val="19"/>
          <w:u w:val="single" w:color="auto"/>
          <w:color w:val="auto"/>
        </w:rPr>
        <w:t>C</w:t>
      </w:r>
      <w:r>
        <w:rPr>
          <w:rFonts w:ascii="Arial" w:cs="Arial" w:eastAsia="Arial" w:hAnsi="Arial"/>
          <w:sz w:val="19"/>
          <w:szCs w:val="19"/>
          <w:color w:val="auto"/>
        </w:rPr>
        <w:t>) to a partnership or limited liability company for the benefit of the immediate family of such Participant and the partners or members of which are only such Participant and such Participant’s immediate family or (</w:t>
      </w:r>
      <w:r>
        <w:rPr>
          <w:rFonts w:ascii="Arial" w:cs="Arial" w:eastAsia="Arial" w:hAnsi="Arial"/>
          <w:sz w:val="19"/>
          <w:szCs w:val="19"/>
          <w:u w:val="single" w:color="auto"/>
          <w:color w:val="auto"/>
        </w:rPr>
        <w:t>iii</w:t>
      </w:r>
      <w:r>
        <w:rPr>
          <w:rFonts w:ascii="Arial" w:cs="Arial" w:eastAsia="Arial" w:hAnsi="Arial"/>
          <w:sz w:val="19"/>
          <w:szCs w:val="19"/>
          <w:color w:val="auto"/>
        </w:rPr>
        <w:t>) any transfer of such Shares by a Participant to his or her heirs, executors or legatees by operation of law or court order upon the death or incapacity of such Participant (each such transfer, a “</w:t>
      </w:r>
      <w:r>
        <w:rPr>
          <w:rFonts w:ascii="Arial" w:cs="Arial" w:eastAsia="Arial" w:hAnsi="Arial"/>
          <w:sz w:val="19"/>
          <w:szCs w:val="19"/>
          <w:u w:val="single" w:color="auto"/>
          <w:color w:val="auto"/>
        </w:rPr>
        <w:t>Permitted Transfer</w:t>
      </w:r>
      <w:r>
        <w:rPr>
          <w:rFonts w:ascii="Arial" w:cs="Arial" w:eastAsia="Arial" w:hAnsi="Arial"/>
          <w:sz w:val="19"/>
          <w:szCs w:val="19"/>
          <w:color w:val="auto"/>
        </w:rPr>
        <w:t>”).</w:t>
      </w:r>
    </w:p>
    <w:p>
      <w:pPr>
        <w:spacing w:after="0" w:line="17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u w:val="single" w:color="auto"/>
          <w:color w:val="auto"/>
        </w:rPr>
        <w:t>Section 14.3</w:t>
      </w:r>
      <w:r>
        <w:rPr>
          <w:sz w:val="20"/>
          <w:szCs w:val="20"/>
          <w:color w:val="auto"/>
        </w:rPr>
        <w:tab/>
      </w:r>
      <w:r>
        <w:rPr>
          <w:rFonts w:ascii="Arial" w:cs="Arial" w:eastAsia="Arial" w:hAnsi="Arial"/>
          <w:sz w:val="16"/>
          <w:szCs w:val="16"/>
          <w:u w:val="single" w:color="auto"/>
          <w:color w:val="auto"/>
        </w:rPr>
        <w:t>Amendment, Suspension or Termination of the Plan or Award Agreements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72" w:lineRule="auto"/>
        <w:tabs>
          <w:tab w:leader="none" w:pos="2164"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The Plan may be wholly or partially amended or otherwise modified, suspended or terminated at any time or from time to time by the Administrator;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without the approval by a majority of the shares entitled to vote at a duly constituted meeting of shareholders of the Company, no amendment or modification to the Plan may (</w:t>
      </w:r>
      <w:r>
        <w:rPr>
          <w:rFonts w:ascii="Arial" w:cs="Arial" w:eastAsia="Arial" w:hAnsi="Arial"/>
          <w:sz w:val="20"/>
          <w:szCs w:val="20"/>
          <w:u w:val="single" w:color="auto"/>
          <w:color w:val="auto"/>
        </w:rPr>
        <w:t>i</w:t>
      </w:r>
      <w:r>
        <w:rPr>
          <w:rFonts w:ascii="Arial" w:cs="Arial" w:eastAsia="Arial" w:hAnsi="Arial"/>
          <w:sz w:val="20"/>
          <w:szCs w:val="20"/>
          <w:color w:val="auto"/>
        </w:rPr>
        <w:t>) except as otherwise expressly provided in Section 14.1, increase the number of shares of Stock subject to the Plan or the individual Award limitations specified in Section 2.2; (</w:t>
      </w:r>
      <w:r>
        <w:rPr>
          <w:rFonts w:ascii="Arial" w:cs="Arial" w:eastAsia="Arial" w:hAnsi="Arial"/>
          <w:sz w:val="20"/>
          <w:szCs w:val="20"/>
          <w:u w:val="single" w:color="auto"/>
          <w:color w:val="auto"/>
        </w:rPr>
        <w:t>ii</w:t>
      </w:r>
      <w:r>
        <w:rPr>
          <w:rFonts w:ascii="Arial" w:cs="Arial" w:eastAsia="Arial" w:hAnsi="Arial"/>
          <w:sz w:val="20"/>
          <w:szCs w:val="20"/>
          <w:color w:val="auto"/>
        </w:rPr>
        <w:t>) modify the class of persons eligible for participation in the Plan or (</w:t>
      </w:r>
      <w:r>
        <w:rPr>
          <w:rFonts w:ascii="Arial" w:cs="Arial" w:eastAsia="Arial" w:hAnsi="Arial"/>
          <w:sz w:val="20"/>
          <w:szCs w:val="20"/>
          <w:u w:val="single" w:color="auto"/>
          <w:color w:val="auto"/>
        </w:rPr>
        <w:t>iii</w:t>
      </w:r>
      <w:r>
        <w:rPr>
          <w:rFonts w:ascii="Arial" w:cs="Arial" w:eastAsia="Arial" w:hAnsi="Arial"/>
          <w:sz w:val="20"/>
          <w:szCs w:val="20"/>
          <w:color w:val="auto"/>
        </w:rPr>
        <w:t>) materially modify the Plan in any other way that would require shareholder approval under Applicable Law.</w:t>
      </w:r>
    </w:p>
    <w:p>
      <w:pPr>
        <w:spacing w:after="0" w:line="191" w:lineRule="exact"/>
        <w:rPr>
          <w:rFonts w:ascii="Arial" w:cs="Arial" w:eastAsia="Arial" w:hAnsi="Arial"/>
          <w:sz w:val="20"/>
          <w:szCs w:val="20"/>
          <w:color w:val="auto"/>
        </w:rPr>
      </w:pPr>
    </w:p>
    <w:p>
      <w:pPr>
        <w:jc w:val="both"/>
        <w:ind w:firstLine="1305"/>
        <w:spacing w:after="0" w:line="288" w:lineRule="auto"/>
        <w:tabs>
          <w:tab w:leader="none" w:pos="2175"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Except as provided by Section 14.1, neither the amendment, suspension nor termination of the Plan shall, without the consent of the holder of the Award, adversely alter or impair any rights or obligations under any Award theretofore granted. Except as provided by Section 14.1, notwithstanding the foregoing, the Administrator at any time, and from time to time, may amend the terms of any one or more existing Award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rights of a Participant under an Award Agreement shall not be adversely impaired without the Participant’s written consent. The Company shall provide a Participant with notice of any amendment made to such Participant’s existing Award Agreement in accordance with the terms of this Section 14.3(b).</w:t>
      </w:r>
    </w:p>
    <w:p>
      <w:pPr>
        <w:spacing w:after="0" w:line="182" w:lineRule="exact"/>
        <w:rPr>
          <w:rFonts w:ascii="Arial" w:cs="Arial" w:eastAsia="Arial" w:hAnsi="Arial"/>
          <w:sz w:val="19"/>
          <w:szCs w:val="19"/>
          <w:color w:val="auto"/>
        </w:rPr>
      </w:pPr>
    </w:p>
    <w:p>
      <w:pPr>
        <w:ind w:firstLine="1305"/>
        <w:spacing w:after="0" w:line="289" w:lineRule="auto"/>
        <w:tabs>
          <w:tab w:leader="none" w:pos="2164" w:val="left"/>
        </w:tabs>
        <w:numPr>
          <w:ilvl w:val="0"/>
          <w:numId w:val="70"/>
        </w:numPr>
        <w:rPr>
          <w:rFonts w:ascii="Arial" w:cs="Arial" w:eastAsia="Arial" w:hAnsi="Arial"/>
          <w:sz w:val="20"/>
          <w:szCs w:val="20"/>
          <w:color w:val="auto"/>
        </w:rPr>
      </w:pPr>
      <w:r>
        <w:rPr>
          <w:rFonts w:ascii="Arial" w:cs="Arial" w:eastAsia="Arial" w:hAnsi="Arial"/>
          <w:sz w:val="20"/>
          <w:szCs w:val="20"/>
          <w:color w:val="auto"/>
        </w:rPr>
        <w:t>No Award may be granted during any period of suspension nor after termination of the Plan, and in no event may any Award be granted under this Plan after the expiration of ten (10) years from the Effective Date.</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14.4 Application of Certain Provisions of the Stockholders Agreement to the Awards</w:t>
      </w:r>
      <w:r>
        <w:rPr>
          <w:rFonts w:ascii="Arial" w:cs="Arial" w:eastAsia="Arial" w:hAnsi="Arial"/>
          <w:sz w:val="20"/>
          <w:szCs w:val="20"/>
          <w:color w:val="auto"/>
        </w:rPr>
        <w:t>. The provisions of Section 12 of the Stockholders Agreement shall apply to all Awards granted pursuant to this Plan prior to a Public Offering, regardless of whether the Participant is a party to such agreement or whether any Shares have been issued.</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14.5 Effect of Plan upon Other Award and Compensation Plans</w:t>
      </w:r>
      <w:r>
        <w:rPr>
          <w:rFonts w:ascii="Arial" w:cs="Arial" w:eastAsia="Arial" w:hAnsi="Arial"/>
          <w:sz w:val="20"/>
          <w:szCs w:val="20"/>
          <w:color w:val="auto"/>
        </w:rPr>
        <w:t>. The adoption of this Plan shall not affect any other compensation or incentive plans in effect for the Company or any of its Subsidiaries. Nothing in this Plan shall be construed to limit the right of the Company or any of its Subsidiaries (</w:t>
      </w:r>
      <w:r>
        <w:rPr>
          <w:rFonts w:ascii="Arial" w:cs="Arial" w:eastAsia="Arial" w:hAnsi="Arial"/>
          <w:sz w:val="20"/>
          <w:szCs w:val="20"/>
          <w:u w:val="single" w:color="auto"/>
          <w:color w:val="auto"/>
        </w:rPr>
        <w:t>a</w:t>
      </w:r>
      <w:r>
        <w:rPr>
          <w:rFonts w:ascii="Arial" w:cs="Arial" w:eastAsia="Arial" w:hAnsi="Arial"/>
          <w:sz w:val="20"/>
          <w:szCs w:val="20"/>
          <w:color w:val="auto"/>
        </w:rPr>
        <w:t>) to establish any other forms of incentives or compensation for Service Providers or (</w:t>
      </w:r>
      <w:r>
        <w:rPr>
          <w:rFonts w:ascii="Arial" w:cs="Arial" w:eastAsia="Arial" w:hAnsi="Arial"/>
          <w:sz w:val="20"/>
          <w:szCs w:val="20"/>
          <w:u w:val="single" w:color="auto"/>
          <w:color w:val="auto"/>
        </w:rPr>
        <w:t>b</w:t>
      </w:r>
      <w:r>
        <w:rPr>
          <w:rFonts w:ascii="Arial" w:cs="Arial" w:eastAsia="Arial" w:hAnsi="Arial"/>
          <w:sz w:val="20"/>
          <w:szCs w:val="20"/>
          <w:color w:val="auto"/>
        </w:rPr>
        <w:t>) to grant or assume options or restricted stock other than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22" w:right="239" w:bottom="1440" w:gutter="0" w:footer="0" w:header="0"/>
        </w:sectPr>
      </w:pPr>
    </w:p>
    <w:bookmarkStart w:id="70" w:name="page71"/>
    <w:bookmarkEnd w:id="70"/>
    <w:p>
      <w:pPr>
        <w:jc w:val="both"/>
        <w:spacing w:after="0" w:line="250" w:lineRule="auto"/>
        <w:rPr>
          <w:sz w:val="20"/>
          <w:szCs w:val="20"/>
          <w:color w:val="auto"/>
        </w:rPr>
      </w:pPr>
      <w:r>
        <w:rPr>
          <w:rFonts w:ascii="Arial" w:cs="Arial" w:eastAsia="Arial" w:hAnsi="Arial"/>
          <w:sz w:val="20"/>
          <w:szCs w:val="20"/>
          <w:color w:val="auto"/>
        </w:rPr>
        <w:t>under this Plan in connection with any proper corporate purpose, including, but not by way of limitation, the grant or assumption of options or restricted stock in connection with the acquisition by purchase, lease, merger, consolidation or otherwise, of the business, stock or assets of any corporation, firm or association.</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u w:val="single" w:color="auto"/>
          <w:color w:val="auto"/>
        </w:rPr>
        <w:t>Section 14.6 At-Will Employment</w:t>
      </w:r>
      <w:r>
        <w:rPr>
          <w:rFonts w:ascii="Arial" w:cs="Arial" w:eastAsia="Arial" w:hAnsi="Arial"/>
          <w:sz w:val="20"/>
          <w:szCs w:val="20"/>
          <w:color w:val="auto"/>
        </w:rPr>
        <w:t>. Nothing in the Plan, the Stockholders Agreement or any Award Agreement hereunder shall confer upon the Participant any right to continue as a Service Provider of the Company or any of its Subsidiaries or shall interfere with or restrict in any way the rights of the Company and any of its Subsidiaries, which are hereby expressly reserved, to discharge any Participant at any time for any reason whatsoever, with or without Cause, except to the extent expressly provided otherwise in a written employment or other agreement between the Participant and the Company or any of its Subsidiaries.</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auto"/>
        </w:rPr>
        <w:t>Section 14.7 Titles</w:t>
      </w:r>
      <w:r>
        <w:rPr>
          <w:rFonts w:ascii="Arial" w:cs="Arial" w:eastAsia="Arial" w:hAnsi="Arial"/>
          <w:sz w:val="20"/>
          <w:szCs w:val="20"/>
          <w:color w:val="auto"/>
        </w:rPr>
        <w:t>. Titles are provided herein for convenience only and are not to serve as a basis for interpretation or construction of the Plan.</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u w:val="single" w:color="auto"/>
          <w:color w:val="auto"/>
        </w:rPr>
        <w:t>Section 14.8 Conformity to Securities Laws</w:t>
      </w:r>
      <w:r>
        <w:rPr>
          <w:rFonts w:ascii="Arial" w:cs="Arial" w:eastAsia="Arial" w:hAnsi="Arial"/>
          <w:sz w:val="20"/>
          <w:szCs w:val="20"/>
          <w:color w:val="auto"/>
        </w:rPr>
        <w:t>. The Plan is intended to conform to the extent necessary with all provisions of the Securities Act and the Exchange Act and any and all regulations and rules promulgated under any of the foregoing, to the extent the Company, any of its Subsidiaries or any Participant is subject to the provisions thereof. Notwithstanding anything herein to the contrary, the Plan shall be administered, and Awards shall be granted and may be exercised, only in such a manner as to conform to such laws, rules and regulations. To the extent permitted by applicable law, the Plan and Awards granted hereunder shall be deemed amended to the extent necessary to conform to such laws, rules and regulations.</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14.9 Term of Plan.</w:t>
      </w:r>
      <w:r>
        <w:rPr>
          <w:rFonts w:ascii="Arial" w:cs="Arial" w:eastAsia="Arial" w:hAnsi="Arial"/>
          <w:sz w:val="20"/>
          <w:szCs w:val="20"/>
          <w:color w:val="auto"/>
        </w:rPr>
        <w:t xml:space="preserve"> The Plan originally became effective on November 19, 2008. The Plan, as amended and restated, shall become effective on the date that it is approved by the Board (the “</w:t>
      </w:r>
      <w:r>
        <w:rPr>
          <w:rFonts w:ascii="Arial" w:cs="Arial" w:eastAsia="Arial" w:hAnsi="Arial"/>
          <w:sz w:val="20"/>
          <w:szCs w:val="20"/>
          <w:u w:val="single" w:color="auto"/>
          <w:color w:val="auto"/>
        </w:rPr>
        <w:t>Effective Date</w:t>
      </w:r>
      <w:r>
        <w:rPr>
          <w:rFonts w:ascii="Arial" w:cs="Arial" w:eastAsia="Arial" w:hAnsi="Arial"/>
          <w:sz w:val="20"/>
          <w:szCs w:val="20"/>
          <w:color w:val="auto"/>
        </w:rPr>
        <w:t>”) and shall continue in effect, unless sooner terminated pursuant to Section 14.3, until the tenth anniversary of the Effective Date. The provisions of the Plan shall continue thereafter to govern all outstanding Awards.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14.10 Governing Law</w:t>
      </w:r>
      <w:r>
        <w:rPr>
          <w:rFonts w:ascii="Arial" w:cs="Arial" w:eastAsia="Arial" w:hAnsi="Arial"/>
          <w:sz w:val="20"/>
          <w:szCs w:val="20"/>
          <w:color w:val="auto"/>
        </w:rPr>
        <w:t>. To the extent not preempted by federal law, the Plan shall be construed in accordance with and governed by the laws of the State of Delaware regardless of the application of rules of conflict of law that would apply the laws of any other jurisdiction.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u w:val="single" w:color="auto"/>
          <w:color w:val="auto"/>
        </w:rPr>
        <w:t>Section 14.11 Severability</w:t>
      </w:r>
      <w:r>
        <w:rPr>
          <w:rFonts w:ascii="Arial" w:cs="Arial" w:eastAsia="Arial" w:hAnsi="Arial"/>
          <w:sz w:val="20"/>
          <w:szCs w:val="20"/>
          <w:color w:val="auto"/>
        </w:rPr>
        <w:t>. In the event any portion of the Plan or any action taken pursuant thereto shall be held illegal or invalid for any reason, the illegality or invalidity shall not affect the remaining parts of the Plan, and the Plan shall be construed and enforced as if the illegal or invalid provisions had not been included, and the illegal or invalid action shall be null and void.</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Section 14.12 Governing Documents</w:t>
      </w:r>
      <w:r>
        <w:rPr>
          <w:rFonts w:ascii="Arial" w:cs="Arial" w:eastAsia="Arial" w:hAnsi="Arial"/>
          <w:sz w:val="20"/>
          <w:szCs w:val="20"/>
          <w:color w:val="auto"/>
        </w:rPr>
        <w:t>. In the event of any contradiction between the Plan and any Award Agreement or any other written agreement between a Participant and the Company or any Subsidiary of the Company that has been approved by the Administrator, the terms of the Plan shall govern, unless it is expressly specified in such Award Agreement or other written document that a specific provision of the Plan shall not apply.</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u w:val="single" w:color="auto"/>
          <w:color w:val="auto"/>
        </w:rPr>
        <w:t>Section 14.13 Withholding Taxes</w:t>
      </w:r>
      <w:r>
        <w:rPr>
          <w:rFonts w:ascii="Arial" w:cs="Arial" w:eastAsia="Arial" w:hAnsi="Arial"/>
          <w:sz w:val="18"/>
          <w:szCs w:val="18"/>
          <w:color w:val="auto"/>
        </w:rPr>
        <w:t xml:space="preserve">. In addition to any rights or obligations with respect to Withholding Taxes under the Plan or any applicable Award Agreement, the Company or any Subsidiary employing a Service Provider shall have the right to withhold from the Service Provider, or otherwise require the Service Provider or an assignee to pay, any Withholding Taxes arising as a result of grant, exercise, vesting or settlement of any Award or any other taxable event occurring pursuant to the Plan or any Award Agreement, including, but not limited to, to the extent permitted by law, the right to deduct any such Withholding Taxes from any payment of any kind otherwise due to the Service Provider or to take such other actions (including, but not limited to, withholding any Shares or cash deliverable pursuant to the Plan or any Award) as may be necessary to satisfy such Withholding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that the Company withholds Shares issued or issuable to the Participant to satisfy the Withholding Taxes, the Company shall withhold a number of whole Shares having a Fair Market Value, determined as of the date of withholding, not in excess of the minimum of tax required to be withheld by law (or such lower amount as may be necessary to avoid liability award accounting);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with respect to any Award subject to Section 409A of the Code, in no event shall Shares be withheld pursuant to this Section 14.13 (other than upon or immediately prior to settlement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22" w:right="239" w:bottom="1440" w:gutter="0" w:footer="0" w:header="0"/>
        </w:sectPr>
      </w:pPr>
    </w:p>
    <w:bookmarkStart w:id="71" w:name="page72"/>
    <w:bookmarkEnd w:id="71"/>
    <w:p>
      <w:pPr>
        <w:jc w:val="both"/>
        <w:spacing w:after="0" w:line="244" w:lineRule="auto"/>
        <w:rPr>
          <w:sz w:val="20"/>
          <w:szCs w:val="20"/>
          <w:color w:val="auto"/>
        </w:rPr>
      </w:pPr>
      <w:r>
        <w:rPr>
          <w:rFonts w:ascii="Arial" w:cs="Arial" w:eastAsia="Arial" w:hAnsi="Arial"/>
          <w:sz w:val="20"/>
          <w:szCs w:val="20"/>
          <w:color w:val="auto"/>
        </w:rPr>
        <w:t>in accordance with the Plan and the applicable Award Agreement) other than to pay taxes imposed under the U.S. Federal Insurance Contributions Act (FICA) and any associated U.S. federal withholding tax imposed under Section 3401 of the Code and in no event shall the value of such Shares (other than upon immediately prior to settlement) exceed the amount of the tax imposed under FICA and any associated U.S. federal withholding tax imposed under Section 3401 of the Code. The Participant shall be responsible for all Withholding Taxes and other tax consequences of any Award granted under this Plan.</w:t>
      </w:r>
    </w:p>
    <w:p>
      <w:pPr>
        <w:spacing w:after="0" w:line="195" w:lineRule="exact"/>
        <w:rPr>
          <w:sz w:val="20"/>
          <w:szCs w:val="20"/>
          <w:color w:val="auto"/>
        </w:rPr>
      </w:pPr>
    </w:p>
    <w:p>
      <w:pPr>
        <w:jc w:val="both"/>
        <w:ind w:firstLine="648"/>
        <w:spacing w:after="0" w:line="231" w:lineRule="exact"/>
        <w:rPr>
          <w:sz w:val="20"/>
          <w:szCs w:val="20"/>
          <w:color w:val="auto"/>
        </w:rPr>
      </w:pPr>
      <w:r>
        <w:rPr>
          <w:rFonts w:ascii="Arial" w:cs="Arial" w:eastAsia="Arial" w:hAnsi="Arial"/>
          <w:sz w:val="18"/>
          <w:szCs w:val="18"/>
          <w:u w:val="single" w:color="auto"/>
          <w:color w:val="auto"/>
        </w:rPr>
        <w:t>Section 14.14 Section 409A</w:t>
      </w:r>
      <w:r>
        <w:rPr>
          <w:rFonts w:ascii="Arial" w:cs="Arial" w:eastAsia="Arial" w:hAnsi="Arial"/>
          <w:sz w:val="18"/>
          <w:szCs w:val="18"/>
          <w:color w:val="auto"/>
        </w:rPr>
        <w:t>. To the extent that the Administrator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Department of Treasury regulations and other interpretive guidance issued thereunder, including without limitation any such regulations or other guidance that may be issued after the adoption of the Plan. In the case of any “nonqualified deferred compensation” (within the meaning of Section 409A) that may be treated as payable in the form of “a series of installment payments,” as defined in Treasury Regulation Section 1.409A-2(b)(2)(iii), a Participant’s or designated beneficiary’s right to receive such payments shall be treated as a right to receive a series of separate payments for purposes of such Treasury Regulation. Notwithstanding any provision of the Plan to the contrary, in the event that following the adoption of the Plan, the Administrator determines that any Award may be subject to Section 409A of the Code and related regulations and Department of Treasury guidance (including such Department of Treasury guidance as may be issued after the adoption of the Plan), the Administrator may adopt such amendments to the Plan and the applicable Award Agreement or adopt other policies and procedures (including amendments, policies and procedures with retroactive effect), or take any other actions, that the Administrator determines are necessary or appropriate to (</w:t>
      </w:r>
      <w:r>
        <w:rPr>
          <w:rFonts w:ascii="Arial" w:cs="Arial" w:eastAsia="Arial" w:hAnsi="Arial"/>
          <w:sz w:val="18"/>
          <w:szCs w:val="18"/>
          <w:u w:val="single" w:color="auto"/>
          <w:color w:val="auto"/>
        </w:rPr>
        <w:t>a</w:t>
      </w:r>
      <w:r>
        <w:rPr>
          <w:rFonts w:ascii="Arial" w:cs="Arial" w:eastAsia="Arial" w:hAnsi="Arial"/>
          <w:sz w:val="18"/>
          <w:szCs w:val="18"/>
          <w:color w:val="auto"/>
        </w:rPr>
        <w:t>) exempt the Award from Section 409A of the Code and/or preserve the intended tax treatment of the benefits provided with respect to the Award, (</w:t>
      </w:r>
      <w:r>
        <w:rPr>
          <w:rFonts w:ascii="Arial" w:cs="Arial" w:eastAsia="Arial" w:hAnsi="Arial"/>
          <w:sz w:val="18"/>
          <w:szCs w:val="18"/>
          <w:u w:val="single" w:color="auto"/>
          <w:color w:val="auto"/>
        </w:rPr>
        <w:t>b</w:t>
      </w:r>
      <w:r>
        <w:rPr>
          <w:rFonts w:ascii="Arial" w:cs="Arial" w:eastAsia="Arial" w:hAnsi="Arial"/>
          <w:sz w:val="18"/>
          <w:szCs w:val="18"/>
          <w:color w:val="auto"/>
        </w:rPr>
        <w:t>) comply with the requirements of Section 409A of the Code and related Department of Treasury guidance or (</w:t>
      </w:r>
      <w:r>
        <w:rPr>
          <w:rFonts w:ascii="Arial" w:cs="Arial" w:eastAsia="Arial" w:hAnsi="Arial"/>
          <w:sz w:val="18"/>
          <w:szCs w:val="18"/>
          <w:u w:val="single" w:color="auto"/>
          <w:color w:val="auto"/>
        </w:rPr>
        <w:t>c</w:t>
      </w:r>
      <w:r>
        <w:rPr>
          <w:rFonts w:ascii="Arial" w:cs="Arial" w:eastAsia="Arial" w:hAnsi="Arial"/>
          <w:sz w:val="18"/>
          <w:szCs w:val="18"/>
          <w:color w:val="auto"/>
        </w:rPr>
        <w:t>) comply with any correction procedures available with respect to Section 409A of the Code. Notwithstanding anything else contained in this Plan, any Award Agreement or the Stockholder’s Agreement to the contrary, if a Service Provider is a Specified Employee (under any Company Specified Employee policy in effect at the time of the Service Provider’s Separation from Service (as defined below) or, if no such policy is in effect, as defined in Section 409A of the Code) any payment required to be made to a Service Provider hereunder upon or following his or her Separation from Service (as such term is defined in Section 409A of the Code) shall be delayed until after the six</w:t>
      </w:r>
      <w:r>
        <w:rPr>
          <w:rFonts w:ascii="MS PGothic" w:cs="MS PGothic" w:eastAsia="MS PGothic" w:hAnsi="MS PGothic"/>
          <w:sz w:val="18"/>
          <w:szCs w:val="18"/>
          <w:color w:val="auto"/>
        </w:rPr>
        <w:t>‑</w:t>
      </w:r>
      <w:r>
        <w:rPr>
          <w:rFonts w:ascii="Arial" w:cs="Arial" w:eastAsia="Arial" w:hAnsi="Arial"/>
          <w:sz w:val="18"/>
          <w:szCs w:val="18"/>
          <w:color w:val="auto"/>
        </w:rPr>
        <w:t>month anniversary of the Service Provider’s Separation from Service to the extent necessary to comply with, and avoid imposition on such Service Provider of any tax penalty imposed under, Section 409A of the Code. Should payments be delayed in accordance with the preceding sentence, the accumulated payment that would have been made but for the period of the delay shall be paid in a single lump sum during the ten-day period following the six-month anniversary of the Separation from Service. Notwithstanding the foregoing, neither the Company nor the Administrator, nor any of the Company’s directors, officers or employees shall have any liability to any person in the event Section 409A applies to any payment or right under this Plan in a manner that results in adverse tax consequences for the Participant or any of his beneficiaries or transferees.</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u w:val="single" w:color="auto"/>
          <w:color w:val="auto"/>
        </w:rPr>
        <w:t>Section 14.15 Notices</w:t>
      </w:r>
      <w:r>
        <w:rPr>
          <w:rFonts w:ascii="Arial" w:cs="Arial" w:eastAsia="Arial" w:hAnsi="Arial"/>
          <w:sz w:val="19"/>
          <w:szCs w:val="19"/>
          <w:color w:val="auto"/>
        </w:rPr>
        <w:t>. Except as provided otherwise in an Award Agreement, all notices and other communications required or permitted to be given under this Plan or any Award Agreement shall be in writing and shall be deemed to have been given if delivered personally, sent by email or any other form of electronic transfer approved by the Administrator, sent by certified or express mail, return receipt requested, postage prepaid, or by any recognized international equivalent of such delivery, (</w:t>
      </w:r>
      <w:r>
        <w:rPr>
          <w:rFonts w:ascii="Arial" w:cs="Arial" w:eastAsia="Arial" w:hAnsi="Arial"/>
          <w:sz w:val="19"/>
          <w:szCs w:val="19"/>
          <w:u w:val="single" w:color="auto"/>
          <w:color w:val="auto"/>
        </w:rPr>
        <w:t>i</w:t>
      </w:r>
      <w:r>
        <w:rPr>
          <w:rFonts w:ascii="Arial" w:cs="Arial" w:eastAsia="Arial" w:hAnsi="Arial"/>
          <w:sz w:val="19"/>
          <w:szCs w:val="19"/>
          <w:color w:val="auto"/>
        </w:rPr>
        <w:t>) in the case of notices and communications to the Company, to 8283 Greensboro Drive, McLean, VA 22102 to the attention of the Law Department or (</w:t>
      </w:r>
      <w:r>
        <w:rPr>
          <w:rFonts w:ascii="Arial" w:cs="Arial" w:eastAsia="Arial" w:hAnsi="Arial"/>
          <w:sz w:val="19"/>
          <w:szCs w:val="19"/>
          <w:u w:val="single" w:color="auto"/>
          <w:color w:val="auto"/>
        </w:rPr>
        <w:t>ii</w:t>
      </w:r>
      <w:r>
        <w:rPr>
          <w:rFonts w:ascii="Arial" w:cs="Arial" w:eastAsia="Arial" w:hAnsi="Arial"/>
          <w:sz w:val="19"/>
          <w:szCs w:val="19"/>
          <w:color w:val="auto"/>
        </w:rPr>
        <w:t>) in the case of a Participant, to the last known address, or email address or, where the individual is an employee of the Company or one of its subsidiaries, to the individual’s workplace address or email address or by other means of electronic transfer acceptable to the Administrator. All such notices and communications shall be deemed to have been received on the date of delivery, if sent by email or any other form of electronic transfer, at the time of dispatch or on the third business day after the mailing thereof.</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22"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BOOZ ALLEN HAMILTON HOLDING CORPORATION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ANNUAL INCENTIVE PLAN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(Effective as of October 1, 2010 and amended and restated as of July 31, 2014)</w:t>
      </w:r>
    </w:p>
    <w:p>
      <w:pPr>
        <w:spacing w:after="0" w:line="283" w:lineRule="exact"/>
        <w:rPr>
          <w:sz w:val="20"/>
          <w:szCs w:val="20"/>
          <w:color w:val="auto"/>
        </w:rPr>
      </w:pPr>
    </w:p>
    <w:p>
      <w:pPr>
        <w:ind w:left="3240"/>
        <w:spacing w:after="0"/>
        <w:tabs>
          <w:tab w:leader="none" w:pos="690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6"/>
          <w:szCs w:val="16"/>
          <w:color w:val="auto"/>
        </w:rPr>
        <w:t>PURPOSE</w:t>
      </w:r>
    </w:p>
    <w:p>
      <w:pPr>
        <w:spacing w:after="0" w:line="283"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0"/>
          <w:szCs w:val="20"/>
          <w:color w:val="auto"/>
        </w:rPr>
        <w:t>The purposes of the Plan are to enable the Company and its Subsidiaries to attract, retain, motivate and reward the best qualified executive officers and key employees by providing them with the opportunity to earn competitive compensation directly linked to the Company’s performance.</w:t>
      </w:r>
    </w:p>
    <w:p>
      <w:pPr>
        <w:spacing w:after="0" w:line="201" w:lineRule="exact"/>
        <w:rPr>
          <w:sz w:val="20"/>
          <w:szCs w:val="20"/>
          <w:color w:val="auto"/>
        </w:rPr>
      </w:pPr>
    </w:p>
    <w:p>
      <w:pPr>
        <w:ind w:left="3240"/>
        <w:spacing w:after="0"/>
        <w:tabs>
          <w:tab w:leader="none" w:pos="690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9"/>
          <w:szCs w:val="19"/>
          <w:color w:val="auto"/>
        </w:rPr>
        <w:t>DEFINITIONS</w:t>
      </w:r>
    </w:p>
    <w:p>
      <w:pPr>
        <w:spacing w:after="0" w:line="283"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color w:val="auto"/>
        </w:rPr>
        <w:t>Unless the context requires otherwise, the following words as used in the Plan shall have the meanings ascribed to each below, it being understood that masculine, feminine and neuter pronouns are used interchangeably and that each comprehends the others.</w:t>
      </w:r>
    </w:p>
    <w:p>
      <w:pPr>
        <w:spacing w:after="0" w:line="167" w:lineRule="exact"/>
        <w:rPr>
          <w:sz w:val="20"/>
          <w:szCs w:val="20"/>
          <w:color w:val="auto"/>
        </w:rPr>
      </w:pPr>
    </w:p>
    <w:p>
      <w:pPr>
        <w:ind w:left="2180" w:hanging="875"/>
        <w:spacing w:after="0"/>
        <w:tabs>
          <w:tab w:leader="none" w:pos="21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means the Securities Exchange Act of 1934, as amended.</w:t>
      </w:r>
    </w:p>
    <w:p>
      <w:pPr>
        <w:spacing w:after="0" w:line="188" w:lineRule="exact"/>
        <w:rPr>
          <w:rFonts w:ascii="Arial" w:cs="Arial" w:eastAsia="Arial" w:hAnsi="Arial"/>
          <w:sz w:val="20"/>
          <w:szCs w:val="20"/>
          <w:color w:val="auto"/>
        </w:rPr>
      </w:pPr>
    </w:p>
    <w:p>
      <w:pPr>
        <w:ind w:left="2180" w:hanging="875"/>
        <w:spacing w:after="0"/>
        <w:tabs>
          <w:tab w:leader="none" w:pos="21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the Company.</w:t>
      </w:r>
    </w:p>
    <w:p>
      <w:pPr>
        <w:spacing w:after="0" w:line="188" w:lineRule="exact"/>
        <w:rPr>
          <w:rFonts w:ascii="Arial" w:cs="Arial" w:eastAsia="Arial" w:hAnsi="Arial"/>
          <w:sz w:val="20"/>
          <w:szCs w:val="20"/>
          <w:color w:val="auto"/>
        </w:rPr>
      </w:pPr>
    </w:p>
    <w:p>
      <w:pPr>
        <w:jc w:val="both"/>
        <w:ind w:left="660" w:firstLine="645"/>
        <w:spacing w:after="0" w:line="329" w:lineRule="auto"/>
        <w:tabs>
          <w:tab w:leader="none" w:pos="2176"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the Compensation Committee of the Board or such other committee or subcommittee of the Board or the Compensation Committee as the Board or Compensation Committee shall designate from time to time. To the extent Section 162(m) is applicable to the Company and the Plan, and for those awards intended to qualify as performance-based compensation under Section 162(m), the Committee shall consist of two or more members, each of whom is an “outside director” within the meaning of Section 162(m).</w:t>
      </w:r>
    </w:p>
    <w:p>
      <w:pPr>
        <w:spacing w:after="0" w:line="84" w:lineRule="exact"/>
        <w:rPr>
          <w:rFonts w:ascii="Arial" w:cs="Arial" w:eastAsia="Arial" w:hAnsi="Arial"/>
          <w:sz w:val="20"/>
          <w:szCs w:val="20"/>
          <w:color w:val="auto"/>
        </w:rPr>
      </w:pPr>
    </w:p>
    <w:p>
      <w:pPr>
        <w:ind w:left="660" w:firstLine="645"/>
        <w:spacing w:after="0" w:line="345" w:lineRule="auto"/>
        <w:tabs>
          <w:tab w:leader="none" w:pos="2187"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w:t>
      </w:r>
      <w:r>
        <w:rPr>
          <w:rFonts w:ascii="Arial" w:cs="Arial" w:eastAsia="Arial" w:hAnsi="Arial"/>
          <w:sz w:val="20"/>
          <w:szCs w:val="20"/>
          <w:color w:val="auto"/>
        </w:rPr>
        <w:t>” means the class A common stock of the Company, par value $0.01 per share, and such other class of stock into which such common stock is hereafter converted or exchanged.</w:t>
      </w:r>
    </w:p>
    <w:p>
      <w:pPr>
        <w:spacing w:after="0" w:line="68" w:lineRule="exact"/>
        <w:rPr>
          <w:rFonts w:ascii="Arial" w:cs="Arial" w:eastAsia="Arial" w:hAnsi="Arial"/>
          <w:sz w:val="20"/>
          <w:szCs w:val="20"/>
          <w:color w:val="auto"/>
        </w:rPr>
      </w:pPr>
    </w:p>
    <w:p>
      <w:pPr>
        <w:ind w:left="2180" w:hanging="875"/>
        <w:spacing w:after="0"/>
        <w:tabs>
          <w:tab w:leader="none" w:pos="21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means Booz Allen Hamilton Holding Corporation.</w:t>
      </w:r>
    </w:p>
    <w:p>
      <w:pPr>
        <w:spacing w:after="0" w:line="188" w:lineRule="exact"/>
        <w:rPr>
          <w:rFonts w:ascii="Arial" w:cs="Arial" w:eastAsia="Arial" w:hAnsi="Arial"/>
          <w:sz w:val="20"/>
          <w:szCs w:val="20"/>
          <w:color w:val="auto"/>
        </w:rPr>
      </w:pPr>
    </w:p>
    <w:p>
      <w:pPr>
        <w:jc w:val="both"/>
        <w:ind w:left="660" w:firstLine="645"/>
        <w:spacing w:after="0" w:line="358" w:lineRule="auto"/>
        <w:tabs>
          <w:tab w:leader="none" w:pos="2154" w:val="left"/>
        </w:tabs>
        <w:numPr>
          <w:ilvl w:val="0"/>
          <w:numId w:val="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Approved Departure</w:t>
      </w:r>
      <w:r>
        <w:rPr>
          <w:rFonts w:ascii="Arial" w:cs="Arial" w:eastAsia="Arial" w:hAnsi="Arial"/>
          <w:sz w:val="19"/>
          <w:szCs w:val="19"/>
          <w:color w:val="auto"/>
        </w:rPr>
        <w:t>” means a termination of employment that the Company (through the members of its senior management), in its sole discretion, determines to be in the best interest of the Company and the Company’s approval of such termination as a Company Approved Departure is approved or ratified by the Board or the Committee.</w:t>
      </w:r>
    </w:p>
    <w:p>
      <w:pPr>
        <w:spacing w:after="0" w:line="62" w:lineRule="exact"/>
        <w:rPr>
          <w:rFonts w:ascii="Arial" w:cs="Arial" w:eastAsia="Arial" w:hAnsi="Arial"/>
          <w:sz w:val="19"/>
          <w:szCs w:val="19"/>
          <w:color w:val="auto"/>
        </w:rPr>
      </w:pPr>
    </w:p>
    <w:p>
      <w:pPr>
        <w:ind w:left="2180" w:hanging="875"/>
        <w:spacing w:after="0"/>
        <w:tabs>
          <w:tab w:leader="none" w:pos="21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Employee</w:t>
      </w:r>
      <w:r>
        <w:rPr>
          <w:rFonts w:ascii="Arial" w:cs="Arial" w:eastAsia="Arial" w:hAnsi="Arial"/>
          <w:sz w:val="20"/>
          <w:szCs w:val="20"/>
          <w:color w:val="auto"/>
        </w:rPr>
        <w:t>” shall have the meaning set forth in Section 162(m).</w:t>
      </w:r>
    </w:p>
    <w:p>
      <w:pPr>
        <w:spacing w:after="0" w:line="188" w:lineRule="exact"/>
        <w:rPr>
          <w:rFonts w:ascii="Arial" w:cs="Arial" w:eastAsia="Arial" w:hAnsi="Arial"/>
          <w:sz w:val="20"/>
          <w:szCs w:val="20"/>
          <w:color w:val="auto"/>
        </w:rPr>
      </w:pPr>
    </w:p>
    <w:p>
      <w:pPr>
        <w:ind w:left="660" w:firstLine="645"/>
        <w:spacing w:after="0" w:line="345" w:lineRule="auto"/>
        <w:tabs>
          <w:tab w:leader="none" w:pos="2187"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“disability,” as such term is defined in Section 22(e)(3) of the Internal Revenue Code of 1986, as amended, and the rules and regulations promulgated thereunder.</w:t>
      </w:r>
    </w:p>
    <w:p>
      <w:pPr>
        <w:spacing w:after="0" w:line="68" w:lineRule="exact"/>
        <w:rPr>
          <w:rFonts w:ascii="Arial" w:cs="Arial" w:eastAsia="Arial" w:hAnsi="Arial"/>
          <w:sz w:val="20"/>
          <w:szCs w:val="20"/>
          <w:color w:val="auto"/>
        </w:rPr>
      </w:pPr>
    </w:p>
    <w:p>
      <w:pPr>
        <w:ind w:left="660" w:right="20" w:firstLine="645"/>
        <w:spacing w:after="0" w:line="345" w:lineRule="auto"/>
        <w:tabs>
          <w:tab w:leader="none" w:pos="2143"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Incentive Plan</w:t>
      </w:r>
      <w:r>
        <w:rPr>
          <w:rFonts w:ascii="Arial" w:cs="Arial" w:eastAsia="Arial" w:hAnsi="Arial"/>
          <w:sz w:val="20"/>
          <w:szCs w:val="20"/>
          <w:color w:val="auto"/>
        </w:rPr>
        <w:t>” means the Amended and Restated Equity Incentive Plan of Booz Allen Hamilton Holding Corporation, as amended from time to time.</w:t>
      </w:r>
    </w:p>
    <w:p>
      <w:pPr>
        <w:spacing w:after="0" w:line="68" w:lineRule="exact"/>
        <w:rPr>
          <w:rFonts w:ascii="Arial" w:cs="Arial" w:eastAsia="Arial" w:hAnsi="Arial"/>
          <w:sz w:val="20"/>
          <w:szCs w:val="20"/>
          <w:color w:val="auto"/>
        </w:rPr>
      </w:pPr>
    </w:p>
    <w:p>
      <w:pPr>
        <w:ind w:left="660" w:right="20" w:firstLine="645"/>
        <w:spacing w:after="0" w:line="345" w:lineRule="auto"/>
        <w:tabs>
          <w:tab w:leader="none" w:pos="2143"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means (</w:t>
      </w:r>
      <w:r>
        <w:rPr>
          <w:rFonts w:ascii="Arial" w:cs="Arial" w:eastAsia="Arial" w:hAnsi="Arial"/>
          <w:sz w:val="20"/>
          <w:szCs w:val="20"/>
          <w:u w:val="single" w:color="auto"/>
          <w:color w:val="auto"/>
        </w:rPr>
        <w:t>i</w:t>
      </w:r>
      <w:r>
        <w:rPr>
          <w:rFonts w:ascii="Arial" w:cs="Arial" w:eastAsia="Arial" w:hAnsi="Arial"/>
          <w:sz w:val="20"/>
          <w:szCs w:val="20"/>
          <w:color w:val="auto"/>
        </w:rPr>
        <w:t>) each executive officer of the Company and (</w:t>
      </w:r>
      <w:r>
        <w:rPr>
          <w:rFonts w:ascii="Arial" w:cs="Arial" w:eastAsia="Arial" w:hAnsi="Arial"/>
          <w:sz w:val="20"/>
          <w:szCs w:val="20"/>
          <w:u w:val="single" w:color="auto"/>
          <w:color w:val="auto"/>
        </w:rPr>
        <w:t>ii</w:t>
      </w:r>
      <w:r>
        <w:rPr>
          <w:rFonts w:ascii="Arial" w:cs="Arial" w:eastAsia="Arial" w:hAnsi="Arial"/>
          <w:sz w:val="20"/>
          <w:szCs w:val="20"/>
          <w:color w:val="auto"/>
        </w:rPr>
        <w:t>) each other employee of the Company or a Subsidiary whom the Committee designates as a participant under the Plan.</w:t>
      </w:r>
    </w:p>
    <w:p>
      <w:pPr>
        <w:spacing w:after="0" w:line="68" w:lineRule="exact"/>
        <w:rPr>
          <w:rFonts w:ascii="Arial" w:cs="Arial" w:eastAsia="Arial" w:hAnsi="Arial"/>
          <w:sz w:val="20"/>
          <w:szCs w:val="20"/>
          <w:color w:val="auto"/>
        </w:rPr>
      </w:pPr>
    </w:p>
    <w:p>
      <w:pPr>
        <w:ind w:left="660" w:firstLine="645"/>
        <w:spacing w:after="0" w:line="345" w:lineRule="auto"/>
        <w:tabs>
          <w:tab w:leader="none" w:pos="2187"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Period</w:t>
      </w:r>
      <w:r>
        <w:rPr>
          <w:rFonts w:ascii="Arial" w:cs="Arial" w:eastAsia="Arial" w:hAnsi="Arial"/>
          <w:sz w:val="20"/>
          <w:szCs w:val="20"/>
          <w:color w:val="auto"/>
        </w:rPr>
        <w:t>” means each fiscal year or another period as designated by the Committee, so long as such period does not exceed one year.</w:t>
      </w:r>
    </w:p>
    <w:p>
      <w:pPr>
        <w:spacing w:after="0" w:line="68" w:lineRule="exact"/>
        <w:rPr>
          <w:rFonts w:ascii="Arial" w:cs="Arial" w:eastAsia="Arial" w:hAnsi="Arial"/>
          <w:sz w:val="20"/>
          <w:szCs w:val="20"/>
          <w:color w:val="auto"/>
        </w:rPr>
      </w:pPr>
    </w:p>
    <w:p>
      <w:pPr>
        <w:ind w:left="660" w:right="20" w:firstLine="645"/>
        <w:spacing w:after="0" w:line="345" w:lineRule="auto"/>
        <w:tabs>
          <w:tab w:leader="none" w:pos="2143"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this Booz Allen Hamilton Holding Corporation Annual Incentive Plan, as set forth herein and as may hereafter be amended from time to time.</w:t>
      </w:r>
    </w:p>
    <w:p>
      <w:pPr>
        <w:spacing w:after="0" w:line="68" w:lineRule="exact"/>
        <w:rPr>
          <w:rFonts w:ascii="Arial" w:cs="Arial" w:eastAsia="Arial" w:hAnsi="Arial"/>
          <w:sz w:val="20"/>
          <w:szCs w:val="20"/>
          <w:color w:val="auto"/>
        </w:rPr>
      </w:pPr>
    </w:p>
    <w:p>
      <w:pPr>
        <w:ind w:left="660" w:firstLine="645"/>
        <w:spacing w:after="0" w:line="345" w:lineRule="auto"/>
        <w:tabs>
          <w:tab w:leader="none" w:pos="2242" w:val="left"/>
        </w:tabs>
        <w:numPr>
          <w:ilvl w:val="0"/>
          <w:numId w:val="7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162(m)</w:t>
      </w:r>
      <w:r>
        <w:rPr>
          <w:rFonts w:ascii="Arial" w:cs="Arial" w:eastAsia="Arial" w:hAnsi="Arial"/>
          <w:sz w:val="20"/>
          <w:szCs w:val="20"/>
          <w:color w:val="auto"/>
        </w:rPr>
        <w:t>” means Section 162(m) of the Internal Revenue Code of 1986, as amended from time to time, and the rules and regulations promulgated thereunder.</w:t>
      </w:r>
    </w:p>
    <w:p>
      <w:pPr>
        <w:spacing w:after="0" w:line="68" w:lineRule="exact"/>
        <w:rPr>
          <w:rFonts w:ascii="Arial" w:cs="Arial" w:eastAsia="Arial" w:hAnsi="Arial"/>
          <w:sz w:val="20"/>
          <w:szCs w:val="20"/>
          <w:color w:val="auto"/>
        </w:rPr>
      </w:pPr>
    </w:p>
    <w:p>
      <w:pPr>
        <w:jc w:val="both"/>
        <w:ind w:left="660" w:firstLine="645"/>
        <w:spacing w:after="0" w:line="358" w:lineRule="auto"/>
        <w:tabs>
          <w:tab w:leader="none" w:pos="2187" w:val="left"/>
        </w:tabs>
        <w:numPr>
          <w:ilvl w:val="0"/>
          <w:numId w:val="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any business entity in which the Company owns, directly or indirectly, fifty percent (50%) or more of the total combined voting power of all classes of stock entitled to vote, and any other business organization, regardless of form, in which the Company possesses, directly or indirectly, 50% or more of the total combined equity interests.</w:t>
      </w:r>
    </w:p>
    <w:p>
      <w:pPr>
        <w:spacing w:after="0" w:line="62" w:lineRule="exact"/>
        <w:rPr>
          <w:sz w:val="20"/>
          <w:szCs w:val="20"/>
          <w:color w:val="auto"/>
        </w:rPr>
      </w:pPr>
    </w:p>
    <w:p>
      <w:pPr>
        <w:ind w:left="3240"/>
        <w:spacing w:after="0"/>
        <w:tabs>
          <w:tab w:leader="none" w:pos="690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8"/>
          <w:szCs w:val="18"/>
          <w:color w:val="auto"/>
        </w:rPr>
        <w:t>AWARDS</w:t>
      </w:r>
    </w:p>
    <w:p>
      <w:pPr>
        <w:sectPr>
          <w:pgSz w:w="11900" w:h="16838" w:orient="portrait"/>
          <w:cols w:equalWidth="0" w:num="1">
            <w:col w:w="11420"/>
          </w:cols>
          <w:pgMar w:left="240" w:top="927" w:right="239" w:bottom="106" w:gutter="0" w:footer="0" w:header="0"/>
        </w:sectPr>
      </w:pPr>
    </w:p>
    <w:bookmarkStart w:id="73" w:name="page74"/>
    <w:bookmarkEnd w:id="73"/>
    <w:p>
      <w:pPr>
        <w:spacing w:after="0" w:line="61" w:lineRule="exact"/>
        <w:rPr>
          <w:sz w:val="20"/>
          <w:szCs w:val="20"/>
          <w:color w:val="auto"/>
        </w:rPr>
      </w:pPr>
    </w:p>
    <w:p>
      <w:pPr>
        <w:jc w:val="both"/>
        <w:ind w:firstLine="645"/>
        <w:spacing w:after="0" w:line="311" w:lineRule="auto"/>
        <w:tabs>
          <w:tab w:leader="none" w:pos="1129"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Performance Criteria</w:t>
      </w:r>
      <w:r>
        <w:rPr>
          <w:rFonts w:ascii="Arial" w:cs="Arial" w:eastAsia="Arial" w:hAnsi="Arial"/>
          <w:sz w:val="19"/>
          <w:szCs w:val="19"/>
          <w:color w:val="auto"/>
        </w:rPr>
        <w:t xml:space="preserve">. The Committee shall establish the performance objective or objectives that must be satisfied in order for a Participant to receive an award for a Performance Period;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for those awards intended to qualify as</w:t>
      </w:r>
    </w:p>
    <w:p>
      <w:pPr>
        <w:jc w:val="both"/>
        <w:spacing w:after="0" w:line="326" w:lineRule="auto"/>
        <w:rPr>
          <w:rFonts w:ascii="Arial" w:cs="Arial" w:eastAsia="Arial" w:hAnsi="Arial"/>
          <w:sz w:val="19"/>
          <w:szCs w:val="19"/>
          <w:color w:val="auto"/>
        </w:rPr>
      </w:pPr>
      <w:r>
        <w:rPr>
          <w:rFonts w:ascii="Arial" w:cs="Arial" w:eastAsia="Arial" w:hAnsi="Arial"/>
          <w:sz w:val="18"/>
          <w:szCs w:val="18"/>
          <w:color w:val="auto"/>
        </w:rPr>
        <w:t>performance-based compensation under Section 162(m), the Committee shall establish the objective or objectives that must be satisfied in order for a Participant to receive an award for a Performance Period prior to the 91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of the Performance Period (or such other date as may be required or permitted under Section 162(m)) but not later than the date on which 25% of the performance period has lapsed. Unless the Committee determines at the time of grant not to qualify the award as performance-based compensation under Section 162(m), any such performance objectives will be based upon the relative or comparative achievement of one or more of the following criteria, whether in absolute terms or relative to the performance of one or more similarly situated companies or a published index covering the performance of a number of companies and whether gross or net, before or after taxes and/or before or after other adjustments, as determined by the Committee for the Performance Period: earnings before interest, taxes, depreciation and amortization, with or without adjustments for stock-option based and other equity-based compensation expenses, and/or management, transaction and/or similar fees paid to the principal stockholders or their affiliates; operating earnings; net earnings; income; earnings before interest and taxes; total shareholder return; return on the Company’s assets; increase in the Company’s earnings or earnings per share (basic or diluted); revenue growth; share price performance; return on invested capital; operating income; pre- or post-tax income; net income; economic value added; profit margins; cash flow; improvement in or attainment of expense or capital expenditure levels; improvement in or attainment of working capital levels; return on equity; debt reduction; gross profit; market share; cost reductions; workforce satisfaction and diversity goals; workplace health and safety goals; employee retention; completion of key projects and strategic plan development and/or implementation; job profit or performance against a multiplier; or, in the case of persons who are not Covered Employees, such other criteria as may be determined by the Committee. Performance objectives may be established on a Company-wide basis or with respect to one or more business units, divisions, Subsidiaries, or products; and in either absolute terms or relative to the performance of one or more comparable companies or an index covering multiple companies.</w:t>
      </w:r>
    </w:p>
    <w:p>
      <w:pPr>
        <w:spacing w:after="0" w:line="185" w:lineRule="exact"/>
        <w:rPr>
          <w:sz w:val="20"/>
          <w:szCs w:val="20"/>
          <w:color w:val="auto"/>
        </w:rPr>
      </w:pPr>
    </w:p>
    <w:p>
      <w:pPr>
        <w:jc w:val="both"/>
        <w:spacing w:after="0" w:line="335" w:lineRule="auto"/>
        <w:rPr>
          <w:sz w:val="20"/>
          <w:szCs w:val="20"/>
          <w:color w:val="auto"/>
        </w:rPr>
      </w:pPr>
      <w:r>
        <w:rPr>
          <w:rFonts w:ascii="Arial" w:cs="Arial" w:eastAsia="Arial" w:hAnsi="Arial"/>
          <w:sz w:val="18"/>
          <w:szCs w:val="18"/>
          <w:color w:val="auto"/>
        </w:rPr>
        <w:t>When establishing performance objectives for a Performance Period, the Committee may exclude any or all “extraordinary items” as determined under U.S. generally accepted accounting principles and as identified in the financial statements, notes to the financial statements or management’s discussion and analysis in the annual report, including, without limitation, the charges or costs associated with restructurings of the Company or any Subsidiary, discontinued operations, extraordinary items, capital gains and losses, dividends, share repurchase, other unusual or non-recurring items, and the cumulative effects of accounting changes. Except in the case of awards intended to qualify as performance-based compensation under Section 162(m), the Committee may also adjust the performance objectives for any Performance Period as it deems equitable in recognition of unusual or non-recurring events affecting the Company, changes in applicable tax laws or accounting principles, or such other factors as the Committee may determine (including, without limitation, any adjustments that would result in the Company paying non-deductible compensation to a Participant).</w:t>
      </w:r>
    </w:p>
    <w:p>
      <w:pPr>
        <w:spacing w:after="0" w:line="168" w:lineRule="exact"/>
        <w:rPr>
          <w:sz w:val="20"/>
          <w:szCs w:val="20"/>
          <w:color w:val="auto"/>
        </w:rPr>
      </w:pPr>
    </w:p>
    <w:p>
      <w:pPr>
        <w:jc w:val="both"/>
        <w:ind w:firstLine="645"/>
        <w:spacing w:after="0" w:line="335" w:lineRule="auto"/>
        <w:tabs>
          <w:tab w:leader="none" w:pos="115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Maximum Amount Payable</w:t>
      </w:r>
      <w:r>
        <w:rPr>
          <w:rFonts w:ascii="Arial" w:cs="Arial" w:eastAsia="Arial" w:hAnsi="Arial"/>
          <w:sz w:val="18"/>
          <w:szCs w:val="18"/>
          <w:color w:val="auto"/>
        </w:rPr>
        <w:t>. If the Committee certifies in writing that the performance objectives established for the relevant Performance Period under Section 3(a) have been satisfied, each Participant who is employed by the Company or one of its Subsidiaries on the last day of the Performance Period for which the award is payable shall be entitled to receive an annual award in an amount not to exceed US $5,000,000. If a Participant’s employment terminates for any reason other than for cause (including, without limitation, his death, disability, retirement under the terms of any retirement plan maintained by the Company or a Subsidiary or Company Approved Departure) prior to the last day of the Performance Period for which the award is payable, the maximum award payable to such Participant under the preceding sentence shall be multiplied by a fraction, the numerator of which is the number of days that have elapsed during the Performance Period in which the termination occurs prior to and including the date of the Participant’s termination of employment and the denominator of which is the total number of days in the Performance Period.</w:t>
      </w:r>
    </w:p>
    <w:p>
      <w:pPr>
        <w:spacing w:after="0" w:line="60" w:lineRule="exact"/>
        <w:rPr>
          <w:rFonts w:ascii="Arial" w:cs="Arial" w:eastAsia="Arial" w:hAnsi="Arial"/>
          <w:sz w:val="18"/>
          <w:szCs w:val="18"/>
          <w:color w:val="auto"/>
        </w:rPr>
      </w:pPr>
    </w:p>
    <w:p>
      <w:pPr>
        <w:jc w:val="both"/>
        <w:ind w:firstLine="645"/>
        <w:spacing w:after="0" w:line="335" w:lineRule="auto"/>
        <w:tabs>
          <w:tab w:leader="none" w:pos="119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xml:space="preserve">. Unless otherwise determined by the Committee in its sole discretion at the time the performance criteria are selected for a particular Performance Period in accordance with Section 3(a), if a Participant’s employment terminates for any reason prior to the date on which the award is paid hereunder, except as otherwise provided in a Participant’s employment or other similar agreement, such Participants shall forfeit all rights to any and all awards that have not yet been paid under the Plan;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a Participant’s employment terminates as a result of death, Disability or Company Approved Departure, the Committee shall give consideration at its sole discretion to the payment of a partial award with regard to the portion of the Performance Period worked. Notwithstanding the foregoing, if a Participant’s employment terminates for any reason prior to the date on which the award is paid hereunder, the Committee, in its discretion, may waive any forfeiture pursuant to this Section 3 in whole or in part but, may not waive satisfaction of the performance objectives with respect to any Covered Employee.</w:t>
      </w:r>
    </w:p>
    <w:p>
      <w:pPr>
        <w:spacing w:after="0" w:line="60" w:lineRule="exact"/>
        <w:rPr>
          <w:rFonts w:ascii="Arial" w:cs="Arial" w:eastAsia="Arial" w:hAnsi="Arial"/>
          <w:sz w:val="18"/>
          <w:szCs w:val="18"/>
          <w:color w:val="auto"/>
        </w:rPr>
      </w:pPr>
    </w:p>
    <w:p>
      <w:pPr>
        <w:jc w:val="both"/>
        <w:ind w:firstLine="645"/>
        <w:spacing w:after="0" w:line="301" w:lineRule="auto"/>
        <w:tabs>
          <w:tab w:leader="none" w:pos="1100"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Negative Discretion</w:t>
      </w:r>
      <w:r>
        <w:rPr>
          <w:rFonts w:ascii="Arial" w:cs="Arial" w:eastAsia="Arial" w:hAnsi="Arial"/>
          <w:sz w:val="20"/>
          <w:szCs w:val="20"/>
          <w:color w:val="auto"/>
        </w:rPr>
        <w:t>. Notwithstanding anything else contained in Section 3(b) to the contrary, the Committee shall have the right, in its absolute discretion, (</w:t>
      </w:r>
      <w:r>
        <w:rPr>
          <w:rFonts w:ascii="Arial" w:cs="Arial" w:eastAsia="Arial" w:hAnsi="Arial"/>
          <w:sz w:val="20"/>
          <w:szCs w:val="20"/>
          <w:u w:val="single" w:color="auto"/>
          <w:color w:val="auto"/>
        </w:rPr>
        <w:t>i</w:t>
      </w:r>
      <w:r>
        <w:rPr>
          <w:rFonts w:ascii="Arial" w:cs="Arial" w:eastAsia="Arial" w:hAnsi="Arial"/>
          <w:sz w:val="20"/>
          <w:szCs w:val="20"/>
          <w:color w:val="auto"/>
        </w:rPr>
        <w:t>) to reduce or eliminate the amount otherwise payable to any Participant under Section 3(b) based on individual performance or conduct or any other factors that the Committee, in its discretion, shall deem appropriate and (</w:t>
      </w:r>
      <w:r>
        <w:rPr>
          <w:rFonts w:ascii="Arial" w:cs="Arial" w:eastAsia="Arial" w:hAnsi="Arial"/>
          <w:sz w:val="20"/>
          <w:szCs w:val="20"/>
          <w:u w:val="single" w:color="auto"/>
          <w:color w:val="auto"/>
        </w:rPr>
        <w:t>ii</w:t>
      </w:r>
      <w:r>
        <w:rPr>
          <w:rFonts w:ascii="Arial" w:cs="Arial" w:eastAsia="Arial" w:hAnsi="Arial"/>
          <w:sz w:val="20"/>
          <w:szCs w:val="20"/>
          <w:color w:val="auto"/>
        </w:rPr>
        <w:t>) to establish rules or procedures that have the effect of limiting the amount payable to each Participant to an amount that is less than the maximum amount otherwise authorized under Section 3(b).</w:t>
      </w:r>
    </w:p>
    <w:p>
      <w:pPr>
        <w:spacing w:after="0" w:line="83" w:lineRule="exact"/>
        <w:rPr>
          <w:rFonts w:ascii="Arial" w:cs="Arial" w:eastAsia="Arial" w:hAnsi="Arial"/>
          <w:sz w:val="20"/>
          <w:szCs w:val="20"/>
          <w:color w:val="auto"/>
        </w:rPr>
      </w:pPr>
    </w:p>
    <w:p>
      <w:pPr>
        <w:jc w:val="both"/>
        <w:ind w:firstLine="645"/>
        <w:spacing w:after="0" w:line="379" w:lineRule="auto"/>
        <w:tabs>
          <w:tab w:leader="none" w:pos="106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Affirmative Discretion</w:t>
      </w:r>
      <w:r>
        <w:rPr>
          <w:rFonts w:ascii="Arial" w:cs="Arial" w:eastAsia="Arial" w:hAnsi="Arial"/>
          <w:sz w:val="18"/>
          <w:szCs w:val="18"/>
          <w:color w:val="auto"/>
        </w:rPr>
        <w:t>. Notwithstanding any other provision in the Plan to the contrary (including, without limitation, the maximum amounts payable under Section 3(b)), but subject in the case of awards paid in shares of the Company’s Common Stock or</w:t>
      </w:r>
    </w:p>
    <w:p>
      <w:pPr>
        <w:sectPr>
          <w:pgSz w:w="11900" w:h="16900" w:orient="portrait"/>
          <w:cols w:equalWidth="0" w:num="1">
            <w:col w:w="10760"/>
          </w:cols>
          <w:pgMar w:left="900" w:top="258" w:right="239" w:bottom="0" w:gutter="0" w:footer="0" w:header="0"/>
        </w:sectPr>
      </w:pPr>
    </w:p>
    <w:bookmarkStart w:id="74" w:name="page75"/>
    <w:bookmarkEnd w:id="74"/>
    <w:p>
      <w:pPr>
        <w:jc w:val="both"/>
        <w:ind w:left="660"/>
        <w:spacing w:after="0" w:line="336" w:lineRule="auto"/>
        <w:rPr>
          <w:sz w:val="20"/>
          <w:szCs w:val="20"/>
          <w:color w:val="auto"/>
        </w:rPr>
      </w:pPr>
      <w:r>
        <w:rPr>
          <w:rFonts w:ascii="Arial" w:cs="Arial" w:eastAsia="Arial" w:hAnsi="Arial"/>
          <w:sz w:val="18"/>
          <w:szCs w:val="18"/>
          <w:color w:val="auto"/>
        </w:rPr>
        <w:t>other awards under the Equity Incentive Plan to the maximum number of shares available for issuance under the Equity Incentive Plan, (</w:t>
      </w:r>
      <w:r>
        <w:rPr>
          <w:rFonts w:ascii="Arial" w:cs="Arial" w:eastAsia="Arial" w:hAnsi="Arial"/>
          <w:sz w:val="18"/>
          <w:szCs w:val="18"/>
          <w:u w:val="single" w:color="auto"/>
          <w:color w:val="auto"/>
        </w:rPr>
        <w:t>i</w:t>
      </w:r>
      <w:r>
        <w:rPr>
          <w:rFonts w:ascii="Arial" w:cs="Arial" w:eastAsia="Arial" w:hAnsi="Arial"/>
          <w:sz w:val="18"/>
          <w:szCs w:val="18"/>
          <w:color w:val="auto"/>
        </w:rPr>
        <w:t>) the Committee shall have the right, in its discretion, to grant any annual award in cash, in shares of the Company’s Common Stock, in other awards under the Equity Incentive Plan or in any combination thereof, to any Participant (except for a Participant who is a Covered Employee, to the extent Section 162(m) is applicable to the Company and the Plan for the year in which the amount paid would ordinarily be deductible by the Company for federal income tax purposes in an amount up to the maximum award payable under Section 3(b)), based on individual performance or any other criteria that the Committee deems appropriate and (</w:t>
      </w:r>
      <w:r>
        <w:rPr>
          <w:rFonts w:ascii="Arial" w:cs="Arial" w:eastAsia="Arial" w:hAnsi="Arial"/>
          <w:sz w:val="18"/>
          <w:szCs w:val="18"/>
          <w:u w:val="single" w:color="auto"/>
          <w:color w:val="auto"/>
        </w:rPr>
        <w:t>ii</w:t>
      </w:r>
      <w:r>
        <w:rPr>
          <w:rFonts w:ascii="Arial" w:cs="Arial" w:eastAsia="Arial" w:hAnsi="Arial"/>
          <w:sz w:val="18"/>
          <w:szCs w:val="18"/>
          <w:color w:val="auto"/>
        </w:rPr>
        <w:t>) in connection with the hiring of any person who is or becomes a Covered Employee, the Committee may provide for a minimum award amount in any Performance Period, regardless of whether performance objectives are attained.</w:t>
      </w:r>
    </w:p>
    <w:p>
      <w:pPr>
        <w:spacing w:after="0" w:line="72" w:lineRule="exact"/>
        <w:rPr>
          <w:sz w:val="20"/>
          <w:szCs w:val="20"/>
          <w:color w:val="auto"/>
        </w:rPr>
      </w:pPr>
    </w:p>
    <w:p>
      <w:pPr>
        <w:ind w:left="3240"/>
        <w:spacing w:after="0"/>
        <w:tabs>
          <w:tab w:leader="none" w:pos="690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9"/>
          <w:szCs w:val="19"/>
          <w:color w:val="auto"/>
        </w:rPr>
        <w:t>PAYMENT</w:t>
      </w:r>
    </w:p>
    <w:p>
      <w:pPr>
        <w:spacing w:after="0" w:line="283"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8"/>
          <w:szCs w:val="18"/>
          <w:color w:val="auto"/>
        </w:rPr>
        <w:t>Except as otherwise provided hereunder, payment of any award amount determined under Section 3 shall be made to each Participant as soon as practicable after the Committee certifies that one or more of the applicable performance objectives have been attained (or, in the case of any award payable under the provisions of Section 3(d), after the Committee determines the amount of any such award) and in any event no later than two and a half months after the end of the fiscal year in which the Performance Period ends. The Committee shall determine whether any bonus payable under the Plan is payable in cash, in shares of Common Stock (including, but not limited to, restricted common stock or restricted stock units) or other awards under the Equity Incentive Plan, or in any combination thereof. The Committee shall have the right to impose whatever conditions it deems appropriate with respect to the award of shares of Common Stock or other awards, including conditioning the vesting of such shares or other awards on the performance of additional service.</w:t>
      </w:r>
    </w:p>
    <w:p>
      <w:pPr>
        <w:spacing w:after="0" w:line="180" w:lineRule="exact"/>
        <w:rPr>
          <w:sz w:val="20"/>
          <w:szCs w:val="20"/>
          <w:color w:val="auto"/>
        </w:rPr>
      </w:pPr>
    </w:p>
    <w:p>
      <w:pPr>
        <w:ind w:left="3240"/>
        <w:spacing w:after="0"/>
        <w:tabs>
          <w:tab w:leader="none" w:pos="690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8"/>
          <w:szCs w:val="18"/>
          <w:color w:val="auto"/>
        </w:rPr>
        <w:t>GENERAL PROVISIONS</w:t>
      </w:r>
    </w:p>
    <w:p>
      <w:pPr>
        <w:spacing w:after="0" w:line="175" w:lineRule="exact"/>
        <w:rPr>
          <w:sz w:val="20"/>
          <w:szCs w:val="20"/>
          <w:color w:val="auto"/>
        </w:rPr>
      </w:pPr>
    </w:p>
    <w:p>
      <w:pPr>
        <w:jc w:val="both"/>
        <w:ind w:left="660" w:firstLine="645"/>
        <w:spacing w:after="0" w:line="336" w:lineRule="auto"/>
        <w:tabs>
          <w:tab w:leader="none" w:pos="170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xml:space="preserve">. The Committee shall be responsible for the administration of the Plan; </w:t>
      </w:r>
      <w:r>
        <w:rPr>
          <w:rFonts w:ascii="Arial" w:cs="Arial" w:eastAsia="Arial" w:hAnsi="Arial"/>
          <w:sz w:val="18"/>
          <w:szCs w:val="18"/>
          <w:u w:val="single" w:color="auto"/>
          <w:color w:val="auto"/>
        </w:rPr>
        <w:t>provided that</w:t>
      </w:r>
      <w:r>
        <w:rPr>
          <w:rFonts w:ascii="Arial" w:cs="Arial" w:eastAsia="Arial" w:hAnsi="Arial"/>
          <w:sz w:val="18"/>
          <w:szCs w:val="18"/>
          <w:color w:val="auto"/>
        </w:rPr>
        <w:t>, in no event shall the Plan be interpreted in a manner that would cause any award intended to be qualified as performance-based compensation under Section 162(m) to fail to so qualify. The Committee shall establish the performance objectives for any fiscal year or other Performance Period determined by the Committee in accordance with Section 3 and certify whether such performance objectives have been obtained. The Committee may prescribe, amend and rescind rules and regulations relating to the administration of the Plan and make all other determinations necessary or advisable for the administration and interpretation of the Plan. Any authority exercised by the Committee under the Plan shall be exercised by the Committee in its sole discretion. Determinations, interpretations or other actions made or taken by the Committee under the Plan shall be final, binding and conclusive for all purposes and upon all persons.</w:t>
      </w:r>
    </w:p>
    <w:p>
      <w:pPr>
        <w:spacing w:after="0" w:line="58" w:lineRule="exact"/>
        <w:rPr>
          <w:rFonts w:ascii="Arial" w:cs="Arial" w:eastAsia="Arial" w:hAnsi="Arial"/>
          <w:sz w:val="18"/>
          <w:szCs w:val="18"/>
          <w:color w:val="auto"/>
        </w:rPr>
      </w:pPr>
    </w:p>
    <w:p>
      <w:pPr>
        <w:jc w:val="both"/>
        <w:ind w:left="660" w:firstLine="645"/>
        <w:spacing w:after="0" w:line="300" w:lineRule="auto"/>
        <w:tabs>
          <w:tab w:leader="none" w:pos="1746"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Delegation by the Committee</w:t>
      </w:r>
      <w:r>
        <w:rPr>
          <w:rFonts w:ascii="Arial" w:cs="Arial" w:eastAsia="Arial" w:hAnsi="Arial"/>
          <w:sz w:val="20"/>
          <w:szCs w:val="20"/>
          <w:color w:val="auto"/>
        </w:rPr>
        <w:t xml:space="preserve">. All of the powers, duties and responsibilities of the Committee specified in this Plan may be exercised and performed by the Committee or any duly constituted committee thereof to the extent authorized by the Committee to exercise and perform such powers, duties and responsibilities, and any determination, interpretation or other action taken by such committee shall have the same effect hereunder as if made or taken by the Committee; </w:t>
      </w:r>
      <w:r>
        <w:rPr>
          <w:rFonts w:ascii="Arial" w:cs="Arial" w:eastAsia="Arial" w:hAnsi="Arial"/>
          <w:sz w:val="20"/>
          <w:szCs w:val="20"/>
          <w:u w:val="single" w:color="auto"/>
          <w:color w:val="auto"/>
        </w:rPr>
        <w:t>provided that</w:t>
      </w:r>
      <w:r>
        <w:rPr>
          <w:rFonts w:ascii="Arial" w:cs="Arial" w:eastAsia="Arial" w:hAnsi="Arial"/>
          <w:sz w:val="20"/>
          <w:szCs w:val="20"/>
          <w:color w:val="auto"/>
        </w:rPr>
        <w:t>, to the extent Section 162(m) is applicable to the Company and the Plan, the Committee shall in no event delegate its authority with respect to the compensation of any Covered Employee.</w:t>
      </w:r>
    </w:p>
    <w:p>
      <w:pPr>
        <w:spacing w:after="0" w:line="84" w:lineRule="exact"/>
        <w:rPr>
          <w:rFonts w:ascii="Arial" w:cs="Arial" w:eastAsia="Arial" w:hAnsi="Arial"/>
          <w:sz w:val="20"/>
          <w:szCs w:val="20"/>
          <w:color w:val="auto"/>
        </w:rPr>
      </w:pPr>
    </w:p>
    <w:p>
      <w:pPr>
        <w:jc w:val="both"/>
        <w:ind w:left="660" w:firstLine="645"/>
        <w:spacing w:after="0" w:line="306" w:lineRule="auto"/>
        <w:tabs>
          <w:tab w:leader="none" w:pos="1735"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The Company shall have the power to withhold, or to require the Participant to remit to the Company, an amount in cash sufficient to satisfy all U.S. federal, state, local and any non-U.S. withholding tax or other governmental tax, charge or fee requirements in respect of any payment under the Plan.</w:t>
      </w:r>
    </w:p>
    <w:p>
      <w:pPr>
        <w:spacing w:after="0" w:line="79" w:lineRule="exact"/>
        <w:rPr>
          <w:rFonts w:ascii="Arial" w:cs="Arial" w:eastAsia="Arial" w:hAnsi="Arial"/>
          <w:sz w:val="20"/>
          <w:szCs w:val="20"/>
          <w:color w:val="auto"/>
        </w:rPr>
      </w:pPr>
    </w:p>
    <w:p>
      <w:pPr>
        <w:jc w:val="both"/>
        <w:ind w:left="660" w:firstLine="645"/>
        <w:spacing w:after="0" w:line="306" w:lineRule="auto"/>
        <w:tabs>
          <w:tab w:leader="none" w:pos="176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No Guarantee of Employment</w:t>
      </w:r>
      <w:r>
        <w:rPr>
          <w:rFonts w:ascii="Arial" w:cs="Arial" w:eastAsia="Arial" w:hAnsi="Arial"/>
          <w:sz w:val="20"/>
          <w:szCs w:val="20"/>
          <w:color w:val="auto"/>
        </w:rPr>
        <w:t>. Nothing in the Plan shall interfere with or limit in any way the right of the Company to terminate any Participant’s employment at any time, or confer upon any Participant any right to continue in the employ or retention of the Company.</w:t>
      </w:r>
    </w:p>
    <w:p>
      <w:pPr>
        <w:spacing w:after="0" w:line="79" w:lineRule="exact"/>
        <w:rPr>
          <w:rFonts w:ascii="Arial" w:cs="Arial" w:eastAsia="Arial" w:hAnsi="Arial"/>
          <w:sz w:val="20"/>
          <w:szCs w:val="20"/>
          <w:color w:val="auto"/>
        </w:rPr>
      </w:pPr>
    </w:p>
    <w:p>
      <w:pPr>
        <w:jc w:val="both"/>
        <w:ind w:left="660" w:firstLine="645"/>
        <w:spacing w:after="0" w:line="306" w:lineRule="auto"/>
        <w:tabs>
          <w:tab w:leader="none" w:pos="1816"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Unfunded Plan; Plan Not Subject to ERISA</w:t>
      </w:r>
      <w:r>
        <w:rPr>
          <w:rFonts w:ascii="Arial" w:cs="Arial" w:eastAsia="Arial" w:hAnsi="Arial"/>
          <w:sz w:val="20"/>
          <w:szCs w:val="20"/>
          <w:color w:val="auto"/>
        </w:rPr>
        <w:t>. The Plan is an unfunded plan and Participants shall have the status of unsecured creditors of the Company. The Plan is not intended to be subject to the Employee Retirement Income and Security Act of 1974, as amended.</w:t>
      </w:r>
    </w:p>
    <w:p>
      <w:pPr>
        <w:spacing w:after="0" w:line="79" w:lineRule="exact"/>
        <w:rPr>
          <w:rFonts w:ascii="Arial" w:cs="Arial" w:eastAsia="Arial" w:hAnsi="Arial"/>
          <w:sz w:val="20"/>
          <w:szCs w:val="20"/>
          <w:color w:val="auto"/>
        </w:rPr>
      </w:pPr>
    </w:p>
    <w:p>
      <w:pPr>
        <w:jc w:val="both"/>
        <w:ind w:left="660" w:firstLine="645"/>
        <w:spacing w:after="0" w:line="301" w:lineRule="auto"/>
        <w:tabs>
          <w:tab w:leader="none" w:pos="1727"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Freedom of Action</w:t>
      </w:r>
      <w:r>
        <w:rPr>
          <w:rFonts w:ascii="Arial" w:cs="Arial" w:eastAsia="Arial" w:hAnsi="Arial"/>
          <w:sz w:val="20"/>
          <w:szCs w:val="20"/>
          <w:color w:val="auto"/>
        </w:rPr>
        <w:t>. Nothing in the Plan shall be construed as limiting or preventing the Company or any of its affiliates from taking any action that it deems appropriate or in its best interest (as determined in its sole and absolute discretion) and no Participant (or person claiming by or through a Participant) shall have any right relating to the diminishment in the value of any award or any associated return as a result of any such action. The foregoing shall not constitute a waiver by a Participant of the terms and provisions of the Plan.</w:t>
      </w:r>
    </w:p>
    <w:p>
      <w:pPr>
        <w:spacing w:after="0" w:line="83" w:lineRule="exact"/>
        <w:rPr>
          <w:rFonts w:ascii="Arial" w:cs="Arial" w:eastAsia="Arial" w:hAnsi="Arial"/>
          <w:sz w:val="20"/>
          <w:szCs w:val="20"/>
          <w:color w:val="auto"/>
        </w:rPr>
      </w:pPr>
    </w:p>
    <w:p>
      <w:pPr>
        <w:ind w:left="1720" w:hanging="415"/>
        <w:spacing w:after="0"/>
        <w:tabs>
          <w:tab w:leader="none" w:pos="172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Forfeiture of Award Amounts</w:t>
      </w:r>
      <w:r>
        <w:rPr>
          <w:rFonts w:ascii="Arial" w:cs="Arial" w:eastAsia="Arial" w:hAnsi="Arial"/>
          <w:sz w:val="20"/>
          <w:szCs w:val="20"/>
          <w:color w:val="auto"/>
        </w:rPr>
        <w:t>.</w:t>
      </w:r>
    </w:p>
    <w:p>
      <w:pPr>
        <w:spacing w:after="0" w:line="175" w:lineRule="exact"/>
        <w:rPr>
          <w:sz w:val="20"/>
          <w:szCs w:val="20"/>
          <w:color w:val="auto"/>
        </w:rPr>
      </w:pPr>
    </w:p>
    <w:p>
      <w:pPr>
        <w:jc w:val="both"/>
        <w:ind w:left="1960"/>
        <w:spacing w:after="0" w:line="372"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Forfeiture for Financial Reporting Misconduct</w:t>
      </w:r>
      <w:r>
        <w:rPr>
          <w:rFonts w:ascii="Arial" w:cs="Arial" w:eastAsia="Arial" w:hAnsi="Arial"/>
          <w:sz w:val="18"/>
          <w:szCs w:val="18"/>
          <w:color w:val="auto"/>
        </w:rPr>
        <w:t>. If the Company is required to prepare an accounting restatement due to material noncompliance by the Company with any financial reporting requirement under the securities laws, (</w:t>
      </w:r>
      <w:r>
        <w:rPr>
          <w:rFonts w:ascii="Arial" w:cs="Arial" w:eastAsia="Arial" w:hAnsi="Arial"/>
          <w:sz w:val="18"/>
          <w:szCs w:val="18"/>
          <w:u w:val="single" w:color="auto"/>
          <w:color w:val="auto"/>
        </w:rPr>
        <w:t>x</w:t>
      </w:r>
      <w:r>
        <w:rPr>
          <w:rFonts w:ascii="Arial" w:cs="Arial" w:eastAsia="Arial" w:hAnsi="Arial"/>
          <w:sz w:val="18"/>
          <w:szCs w:val="18"/>
          <w:color w:val="auto"/>
        </w:rPr>
        <w:t>) with respect to any Participant who either knowingly or grossly negligently engaged in the misconduct or knowingly or grossly negligently failed to prevent the misconduct as determined by the Committee or is one of the individuals subject to automatic forfeiture under Section 304 of the Sarbanes-Oxley Act of 2002, such Participant shall forfeit and</w:t>
      </w:r>
    </w:p>
    <w:p>
      <w:pPr>
        <w:sectPr>
          <w:pgSz w:w="11900" w:h="16838" w:orient="portrait"/>
          <w:cols w:equalWidth="0" w:num="1">
            <w:col w:w="11420"/>
          </w:cols>
          <w:pgMar w:left="240" w:top="150" w:right="239" w:bottom="0" w:gutter="0" w:footer="0" w:header="0"/>
        </w:sectPr>
      </w:pPr>
    </w:p>
    <w:bookmarkStart w:id="75" w:name="page76"/>
    <w:bookmarkEnd w:id="75"/>
    <w:p>
      <w:pPr>
        <w:spacing w:after="0" w:line="40" w:lineRule="exact"/>
        <w:rPr>
          <w:sz w:val="20"/>
          <w:szCs w:val="20"/>
          <w:color w:val="auto"/>
        </w:rPr>
      </w:pPr>
    </w:p>
    <w:p>
      <w:pPr>
        <w:jc w:val="both"/>
        <w:ind w:left="760"/>
        <w:spacing w:after="0" w:line="327" w:lineRule="auto"/>
        <w:rPr>
          <w:sz w:val="20"/>
          <w:szCs w:val="20"/>
          <w:color w:val="auto"/>
        </w:rPr>
      </w:pPr>
      <w:r>
        <w:rPr>
          <w:rFonts w:ascii="Arial" w:cs="Arial" w:eastAsia="Arial" w:hAnsi="Arial"/>
          <w:sz w:val="20"/>
          <w:szCs w:val="20"/>
          <w:color w:val="auto"/>
        </w:rPr>
        <w:t>disgorge to the Company any award amounts (</w:t>
      </w:r>
      <w:r>
        <w:rPr>
          <w:rFonts w:ascii="Arial" w:cs="Arial" w:eastAsia="Arial" w:hAnsi="Arial"/>
          <w:sz w:val="20"/>
          <w:szCs w:val="20"/>
          <w:u w:val="single" w:color="auto"/>
          <w:color w:val="auto"/>
        </w:rPr>
        <w:t>A</w:t>
      </w:r>
      <w:r>
        <w:rPr>
          <w:rFonts w:ascii="Arial" w:cs="Arial" w:eastAsia="Arial" w:hAnsi="Arial"/>
          <w:sz w:val="20"/>
          <w:szCs w:val="20"/>
          <w:color w:val="auto"/>
        </w:rPr>
        <w:t>) received during the twelve (12)-month period following the filing of the financial document embodying such financial reporting requirement or (</w:t>
      </w:r>
      <w:r>
        <w:rPr>
          <w:rFonts w:ascii="Arial" w:cs="Arial" w:eastAsia="Arial" w:hAnsi="Arial"/>
          <w:sz w:val="20"/>
          <w:szCs w:val="20"/>
          <w:u w:val="single" w:color="auto"/>
          <w:color w:val="auto"/>
        </w:rPr>
        <w:t>B</w:t>
      </w:r>
      <w:r>
        <w:rPr>
          <w:rFonts w:ascii="Arial" w:cs="Arial" w:eastAsia="Arial" w:hAnsi="Arial"/>
          <w:sz w:val="20"/>
          <w:szCs w:val="20"/>
          <w:color w:val="auto"/>
        </w:rPr>
        <w:t>) earned based on the materially non-complying financial reporting, and (</w:t>
      </w:r>
      <w:r>
        <w:rPr>
          <w:rFonts w:ascii="Arial" w:cs="Arial" w:eastAsia="Arial" w:hAnsi="Arial"/>
          <w:sz w:val="20"/>
          <w:szCs w:val="20"/>
          <w:u w:val="single" w:color="auto"/>
          <w:color w:val="auto"/>
        </w:rPr>
        <w:t>y</w:t>
      </w:r>
      <w:r>
        <w:rPr>
          <w:rFonts w:ascii="Arial" w:cs="Arial" w:eastAsia="Arial" w:hAnsi="Arial"/>
          <w:sz w:val="20"/>
          <w:szCs w:val="20"/>
          <w:color w:val="auto"/>
        </w:rPr>
        <w:t>) with respect to any Participant who is a current or former executive officer of the Company (as defined under the Securities Exchange Act of 1934) who received incentive compensation under the Plan during the three-year period preceding the date on which the Company is required to prepare such accounting restatement, based on erroneous data, in excess of what would have been awarded or paid to such Participant under such accounting restatement, such Participant shall forfeit and disgorge to the Company such excess incentive compensation.</w:t>
      </w:r>
    </w:p>
    <w:p>
      <w:pPr>
        <w:spacing w:after="0" w:line="86" w:lineRule="exact"/>
        <w:rPr>
          <w:sz w:val="20"/>
          <w:szCs w:val="20"/>
          <w:color w:val="auto"/>
        </w:rPr>
      </w:pPr>
    </w:p>
    <w:p>
      <w:pPr>
        <w:jc w:val="both"/>
        <w:ind w:left="760"/>
        <w:spacing w:after="0" w:line="368"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Forfeiture under Applicable Laws or Regulations</w:t>
      </w:r>
      <w:r>
        <w:rPr>
          <w:rFonts w:ascii="Arial" w:cs="Arial" w:eastAsia="Arial" w:hAnsi="Arial"/>
          <w:sz w:val="18"/>
          <w:szCs w:val="18"/>
          <w:color w:val="auto"/>
        </w:rPr>
        <w:t>. In addition to forfeiture for the reasons specified in subsection (i) of this Section 5(g), the Company may cancel or reduce or require the Participant to forfeit and disgorge to the Company any award amounts and any gains earned or accrued with respect to any equity award or common stock granted or received pursuant to an Award under the Plan to the extent permitted or required by applicable law, regulation, or stock exchange rule in effect on or after the effective date of the Plan. For the avoidance of doubt, the Committee shall have full authority to implement any policies and procedures necessary to comply with Section 10D of the Securities Exchange Act of 1934, as amended, and any rules promulgated thereunder.</w:t>
      </w:r>
    </w:p>
    <w:p>
      <w:pPr>
        <w:spacing w:after="0" w:line="61" w:lineRule="exact"/>
        <w:rPr>
          <w:sz w:val="20"/>
          <w:szCs w:val="20"/>
          <w:color w:val="auto"/>
        </w:rPr>
      </w:pPr>
    </w:p>
    <w:p>
      <w:pPr>
        <w:jc w:val="both"/>
        <w:ind w:left="760"/>
        <w:spacing w:after="0" w:line="364"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Forfeiture for Other Misconduct</w:t>
      </w:r>
      <w:r>
        <w:rPr>
          <w:rFonts w:ascii="Arial" w:cs="Arial" w:eastAsia="Arial" w:hAnsi="Arial"/>
          <w:sz w:val="18"/>
          <w:szCs w:val="18"/>
          <w:color w:val="auto"/>
        </w:rPr>
        <w:t>. Unless otherwise determined by the Committee, if (</w:t>
      </w:r>
      <w:r>
        <w:rPr>
          <w:rFonts w:ascii="Arial" w:cs="Arial" w:eastAsia="Arial" w:hAnsi="Arial"/>
          <w:sz w:val="18"/>
          <w:szCs w:val="18"/>
          <w:u w:val="single" w:color="auto"/>
          <w:color w:val="auto"/>
        </w:rPr>
        <w:t>i</w:t>
      </w:r>
      <w:r>
        <w:rPr>
          <w:rFonts w:ascii="Arial" w:cs="Arial" w:eastAsia="Arial" w:hAnsi="Arial"/>
          <w:sz w:val="18"/>
          <w:szCs w:val="18"/>
          <w:color w:val="auto"/>
        </w:rPr>
        <w:t>) the Participant’s performance is deemed to contribute substantially to the Company or a subsidiary incurring significant financial losses; (</w:t>
      </w:r>
      <w:r>
        <w:rPr>
          <w:rFonts w:ascii="Arial" w:cs="Arial" w:eastAsia="Arial" w:hAnsi="Arial"/>
          <w:sz w:val="18"/>
          <w:szCs w:val="18"/>
          <w:u w:val="single" w:color="auto"/>
          <w:color w:val="auto"/>
        </w:rPr>
        <w:t>ii</w:t>
      </w:r>
      <w:r>
        <w:rPr>
          <w:rFonts w:ascii="Arial" w:cs="Arial" w:eastAsia="Arial" w:hAnsi="Arial"/>
          <w:sz w:val="18"/>
          <w:szCs w:val="18"/>
          <w:color w:val="auto"/>
        </w:rPr>
        <w:t>) the Participant’s performance is deemed to contribute substantially to a significant downward restatement of any published results of the Company or a subsidiary; (</w:t>
      </w:r>
      <w:r>
        <w:rPr>
          <w:rFonts w:ascii="Arial" w:cs="Arial" w:eastAsia="Arial" w:hAnsi="Arial"/>
          <w:sz w:val="18"/>
          <w:szCs w:val="18"/>
          <w:u w:val="single" w:color="auto"/>
          <w:color w:val="auto"/>
        </w:rPr>
        <w:t>iii</w:t>
      </w:r>
      <w:r>
        <w:rPr>
          <w:rFonts w:ascii="Arial" w:cs="Arial" w:eastAsia="Arial" w:hAnsi="Arial"/>
          <w:sz w:val="18"/>
          <w:szCs w:val="18"/>
          <w:color w:val="auto"/>
        </w:rPr>
        <w:t>) the Participant engages in conduct that results in or contributes substantially to significant reputational harm to the Company; (</w:t>
      </w:r>
      <w:r>
        <w:rPr>
          <w:rFonts w:ascii="Arial" w:cs="Arial" w:eastAsia="Arial" w:hAnsi="Arial"/>
          <w:sz w:val="18"/>
          <w:szCs w:val="18"/>
          <w:u w:val="single" w:color="auto"/>
          <w:color w:val="auto"/>
        </w:rPr>
        <w:t>iv</w:t>
      </w:r>
      <w:r>
        <w:rPr>
          <w:rFonts w:ascii="Arial" w:cs="Arial" w:eastAsia="Arial" w:hAnsi="Arial"/>
          <w:sz w:val="18"/>
          <w:szCs w:val="18"/>
          <w:color w:val="auto"/>
        </w:rPr>
        <w:t>) the Participant materially breaches or contributes substantially to a material breach of applicable legal and/or regulatory requirements; (</w:t>
      </w:r>
      <w:r>
        <w:rPr>
          <w:rFonts w:ascii="Arial" w:cs="Arial" w:eastAsia="Arial" w:hAnsi="Arial"/>
          <w:sz w:val="18"/>
          <w:szCs w:val="18"/>
          <w:u w:val="single" w:color="auto"/>
          <w:color w:val="auto"/>
        </w:rPr>
        <w:t>v</w:t>
      </w:r>
      <w:r>
        <w:rPr>
          <w:rFonts w:ascii="Arial" w:cs="Arial" w:eastAsia="Arial" w:hAnsi="Arial"/>
          <w:sz w:val="18"/>
          <w:szCs w:val="18"/>
          <w:color w:val="auto"/>
        </w:rPr>
        <w:t>) the Participant engages in conduct that constitutes “cause” under any plan or agreement that the Participant is subject to or (</w:t>
      </w:r>
      <w:r>
        <w:rPr>
          <w:rFonts w:ascii="Arial" w:cs="Arial" w:eastAsia="Arial" w:hAnsi="Arial"/>
          <w:sz w:val="18"/>
          <w:szCs w:val="18"/>
          <w:u w:val="single" w:color="auto"/>
          <w:color w:val="auto"/>
        </w:rPr>
        <w:t>vi</w:t>
      </w:r>
      <w:r>
        <w:rPr>
          <w:rFonts w:ascii="Arial" w:cs="Arial" w:eastAsia="Arial" w:hAnsi="Arial"/>
          <w:sz w:val="18"/>
          <w:szCs w:val="18"/>
          <w:color w:val="auto"/>
        </w:rPr>
        <w:t>) the Participant engages in conduct that results in or contributes substantially to a material breach of the Company’s applicable internal policies and procedures, including without limitation those policies in respect of risk management, compliance, disciplinary and any applicable supervisory practices, the Committee in its sole discretion may suspend the payment of any Awards granted (or a portion thereof) and/or require the forfeiture and disgorgement to the Company of any Awards (or a portion thereof) granted or paid during the twelve months prior to or any time after the Participant engaged in such misconduct and all gains earned or accrued due to the exercise of such Awards or sale of any common stock issued pursuant to such Awards.</w:t>
      </w:r>
    </w:p>
    <w:p>
      <w:pPr>
        <w:spacing w:after="0" w:line="62" w:lineRule="exact"/>
        <w:rPr>
          <w:sz w:val="20"/>
          <w:szCs w:val="20"/>
          <w:color w:val="auto"/>
        </w:rPr>
      </w:pPr>
    </w:p>
    <w:p>
      <w:pPr>
        <w:jc w:val="both"/>
        <w:ind w:left="760"/>
        <w:spacing w:after="0" w:line="348" w:lineRule="auto"/>
        <w:rPr>
          <w:sz w:val="20"/>
          <w:szCs w:val="20"/>
          <w:color w:val="auto"/>
        </w:rPr>
      </w:pPr>
      <w:r>
        <w:rPr>
          <w:rFonts w:ascii="Arial" w:cs="Arial" w:eastAsia="Arial" w:hAnsi="Arial"/>
          <w:sz w:val="19"/>
          <w:szCs w:val="19"/>
          <w:color w:val="auto"/>
        </w:rPr>
        <w:t>(iv)</w:t>
      </w:r>
      <w:r>
        <w:rPr>
          <w:rFonts w:ascii="Arial" w:cs="Arial" w:eastAsia="Arial" w:hAnsi="Arial"/>
          <w:sz w:val="19"/>
          <w:szCs w:val="19"/>
          <w:u w:val="single" w:color="auto"/>
          <w:color w:val="auto"/>
        </w:rPr>
        <w:t>Other Recoupment Policies.</w:t>
      </w:r>
      <w:r>
        <w:rPr>
          <w:rFonts w:ascii="Arial" w:cs="Arial" w:eastAsia="Arial" w:hAnsi="Arial"/>
          <w:sz w:val="19"/>
          <w:szCs w:val="19"/>
          <w:color w:val="auto"/>
        </w:rPr>
        <w:t xml:space="preserve"> Awards granted under this Plan shall also be subject to such generally applicable policies as to forfeiture, disgorgement and recoupment as may be adopted by the Board or the Committee from time to time and communicated to Participants. Any such policies may (in the discretion of the Board or the Committee) be applied to outstanding awards at the time of adoption of such policies, or on a prospective basis only. The implementation of policies and procedures pursuant to this Section 5(g) and any modification of the same shall not be subject to any restrictions on amendment or modification of awards.</w:t>
      </w:r>
    </w:p>
    <w:p>
      <w:pPr>
        <w:spacing w:after="0" w:line="57" w:lineRule="exact"/>
        <w:rPr>
          <w:sz w:val="20"/>
          <w:szCs w:val="20"/>
          <w:color w:val="auto"/>
        </w:rPr>
      </w:pPr>
    </w:p>
    <w:p>
      <w:pPr>
        <w:jc w:val="both"/>
        <w:ind w:left="-540" w:firstLine="645"/>
        <w:spacing w:after="0" w:line="391" w:lineRule="auto"/>
        <w:tabs>
          <w:tab w:leader="none" w:pos="56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xml:space="preserve">. The Plan shall be effective with respect to fiscal periods beginning on or after October 1, 2010;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unless otherwise determined by the Board, it is intended that the material terms of the performance objectives under this Plan and the maximum amount of compensation payable to a Covered Employee will be disclosed to and reapproved by the Company’s shareholders at the Company’s annual meeting of shareholders at such timesas required by Section 162(m) to the extent necessary to continue to qualify the amounts payable hereunder to Covered Employees as performance-based compensation under Section 162(m).</w:t>
      </w:r>
    </w:p>
    <w:p>
      <w:pPr>
        <w:spacing w:after="0" w:line="27" w:lineRule="exact"/>
        <w:rPr>
          <w:rFonts w:ascii="Arial" w:cs="Arial" w:eastAsia="Arial" w:hAnsi="Arial"/>
          <w:sz w:val="16"/>
          <w:szCs w:val="16"/>
          <w:color w:val="auto"/>
        </w:rPr>
      </w:pPr>
    </w:p>
    <w:p>
      <w:pPr>
        <w:jc w:val="both"/>
        <w:ind w:left="-540" w:firstLine="645"/>
        <w:spacing w:after="0" w:line="303" w:lineRule="auto"/>
        <w:tabs>
          <w:tab w:leader="none" w:pos="529"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Amendment or Alteration</w:t>
      </w:r>
      <w:r>
        <w:rPr>
          <w:rFonts w:ascii="Arial" w:cs="Arial" w:eastAsia="Arial" w:hAnsi="Arial"/>
          <w:sz w:val="20"/>
          <w:szCs w:val="20"/>
          <w:color w:val="auto"/>
        </w:rPr>
        <w:t xml:space="preserve">. Notwithstanding Section 5(a), the Board or the Committee may at any time amend, suspend, discontinue or terminate the Plan;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no such action shall be effective without approval by the shareholders of the Company to the extent necessary to continue to qualify the amounts payable hereunder to Covered Employees as performance-based compensation under Section 162(m).</w:t>
      </w:r>
    </w:p>
    <w:p>
      <w:pPr>
        <w:spacing w:after="0" w:line="81" w:lineRule="exact"/>
        <w:rPr>
          <w:rFonts w:ascii="Arial" w:cs="Arial" w:eastAsia="Arial" w:hAnsi="Arial"/>
          <w:sz w:val="20"/>
          <w:szCs w:val="20"/>
          <w:color w:val="auto"/>
        </w:rPr>
      </w:pPr>
    </w:p>
    <w:p>
      <w:pPr>
        <w:ind w:left="-540" w:firstLine="645"/>
        <w:spacing w:after="0" w:line="317" w:lineRule="auto"/>
        <w:tabs>
          <w:tab w:leader="none" w:pos="556"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holding of any provision of this Plan to be illegal, invalid or unenforceable by a court of competent jurisdiction shall not affect any other provision of this Plan, which shall remain in full force and effect.</w:t>
      </w:r>
    </w:p>
    <w:p>
      <w:pPr>
        <w:spacing w:after="0" w:line="67" w:lineRule="exact"/>
        <w:rPr>
          <w:rFonts w:ascii="Arial" w:cs="Arial" w:eastAsia="Arial" w:hAnsi="Arial"/>
          <w:sz w:val="20"/>
          <w:szCs w:val="20"/>
          <w:color w:val="auto"/>
        </w:rPr>
      </w:pPr>
    </w:p>
    <w:p>
      <w:pPr>
        <w:jc w:val="both"/>
        <w:ind w:left="-540" w:firstLine="645"/>
        <w:spacing w:after="0" w:line="387" w:lineRule="auto"/>
        <w:tabs>
          <w:tab w:leader="none" w:pos="532"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Except as otherwise provided in this Section 5(k), this Plan shall inure to the benefit of and be binding upon the parties hereto and their respective heirs, representatives, successors and assigns. Neither this Plan nor any right or interest hereunder shall be assignable by the Participant, his beneficiaries, or legal representatives;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nothing in this Section 5(k) shall preclude the Participant from designating a beneficiary to receive any benefit payable hereunder upon his death, or the executors, administrators or other legal representatives of the Participant or his estate from assigning any rights hereunder to the person or persons entitled thereunto. This Plan shall be assignable by the Company to a Subsidiary or Affiliate of the Company; to any corporation,</w:t>
      </w:r>
    </w:p>
    <w:p>
      <w:pPr>
        <w:sectPr>
          <w:pgSz w:w="11900" w:h="16878" w:orient="portrait"/>
          <w:cols w:equalWidth="0" w:num="1">
            <w:col w:w="10220"/>
          </w:cols>
          <w:pgMar w:left="1440" w:top="163" w:right="239" w:bottom="0" w:gutter="0" w:footer="0" w:header="0"/>
        </w:sectPr>
      </w:pPr>
    </w:p>
    <w:bookmarkStart w:id="76" w:name="page77"/>
    <w:bookmarkEnd w:id="76"/>
    <w:p>
      <w:pPr>
        <w:jc w:val="both"/>
        <w:spacing w:after="0" w:line="301" w:lineRule="auto"/>
        <w:rPr>
          <w:sz w:val="20"/>
          <w:szCs w:val="20"/>
          <w:color w:val="auto"/>
        </w:rPr>
      </w:pPr>
      <w:r>
        <w:rPr>
          <w:rFonts w:ascii="Arial" w:cs="Arial" w:eastAsia="Arial" w:hAnsi="Arial"/>
          <w:sz w:val="20"/>
          <w:szCs w:val="20"/>
          <w:color w:val="auto"/>
        </w:rPr>
        <w:t>partnership or other entity that may be organized by the Company, its general partners or its Participants as a separate business unit in connection with the business activities of the Company or Participants; or to any corporation, partnership or other entity resulting from the reorganization, merger or consolidation of the Company with any other corporation, partnership or other entity, or any corporation, partnership, or other entity to or with which all or any portion of the Company’s business or assets may be sold, exchanged or transferred.</w:t>
      </w:r>
    </w:p>
    <w:p>
      <w:pPr>
        <w:spacing w:after="0" w:line="84" w:lineRule="exact"/>
        <w:rPr>
          <w:sz w:val="20"/>
          <w:szCs w:val="20"/>
          <w:color w:val="auto"/>
        </w:rPr>
      </w:pPr>
    </w:p>
    <w:p>
      <w:pPr>
        <w:jc w:val="both"/>
        <w:ind w:firstLine="645"/>
        <w:spacing w:after="0" w:line="314" w:lineRule="auto"/>
        <w:tabs>
          <w:tab w:leader="none" w:pos="1029"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409A Compliance</w:t>
      </w:r>
      <w:r>
        <w:rPr>
          <w:rFonts w:ascii="Arial" w:cs="Arial" w:eastAsia="Arial" w:hAnsi="Arial"/>
          <w:sz w:val="19"/>
          <w:szCs w:val="19"/>
          <w:color w:val="auto"/>
        </w:rPr>
        <w:t>. This Plan is intended to provide for payments that are exempt from the provisions of Section 409A the Internal Revenue Code of 1986, as amended from time to time, and the rules and regulations promulgated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to the maximum extent possible and otherwise to be administered in a manner consistent with the requirements, where applicable, of Section 409A. Where reasonably possible and practicable, the Plan shall be administered in a manner to avoid the imposition on Participants of immediate tax recognition and additional taxes pursuant to Section 409A. In the case of any “nonqualified deferred compensation” (within the meaning of Section 409A) that may be treated as payable in the form of “a series of installment payments,” as defined in Treasury Regulation Section 1.409A-2(b)(2)(iii), a Participant’s or designated beneficiary’s right to receive such payments shall be treated as a right to receive a series of separate payments for purposes of such Treasury Regulation. Notwithstanding the foregoing, neither the Company nor the Committee, nor any of the Company’s directors, officers or employees shall have any liability to any person in the event Section 409A applies to any payment or right under this Plan in a manner that results in adverse tax consequences for the Participant or any of his or her beneficiaries or transferees. Notwithstanding any provision of this Plan to the contrary, the Board or the Committee may unilaterally amend, modify or terminate the Plan or any right hereunder if the Board or Committee determines, in its sole discretion, that such amendment, modification or termination is necessary or advisable to comply with applicable U.S. law, as a result of changes in law or regulation or to avoid the imposition of an additional tax, interest or penalty under Section 409A.</w:t>
      </w:r>
    </w:p>
    <w:p>
      <w:pPr>
        <w:spacing w:after="0" w:line="182"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Notwithstanding the terms of this Plan to the contrary, if at the time of the Participant’s “separation from service” within the meaning of Section 409A, he or she is a “specified employee” within the meaning of Section 409A, any payment of any “nonqualified deferred compensation” amounts (within the meaning of Section 409A and after taking into account all exclusions applicable to such payments under Section 409A) required to be made to the Participant upon or as a result of the separation from service (as defined in Section 409A) shall be delayed until after the six-month anniversary of the termination from service to the extent necessary to comply with and avoid the imposition of taxes, interest and penalties under Section 409A. Any such payments to which he or she would otherwise be entitled during the first six months following his or her termination from service will be accumulated and paid without interest on the first payroll date after the six-month anniversary of the separation from service (unless another Section 409A-compliant payment date applies) or within thirty days thereafter. These provisions will only apply if and to the extent required to avoid the imposition of taxes, interest and penalties under Section 409A.</w:t>
      </w:r>
    </w:p>
    <w:p>
      <w:pPr>
        <w:spacing w:after="0" w:line="185" w:lineRule="exact"/>
        <w:rPr>
          <w:sz w:val="20"/>
          <w:szCs w:val="20"/>
          <w:color w:val="auto"/>
        </w:rPr>
      </w:pPr>
    </w:p>
    <w:p>
      <w:pPr>
        <w:jc w:val="both"/>
        <w:ind w:firstLine="645"/>
        <w:spacing w:after="0" w:line="303" w:lineRule="auto"/>
        <w:tabs>
          <w:tab w:leader="none" w:pos="1141"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No Attachment</w:t>
      </w:r>
      <w:r>
        <w:rPr>
          <w:rFonts w:ascii="Arial" w:cs="Arial" w:eastAsia="Arial" w:hAnsi="Arial"/>
          <w:sz w:val="20"/>
          <w:szCs w:val="20"/>
          <w:color w:val="auto"/>
        </w:rPr>
        <w:t>. Except as required by law, no right to receive payments under this Plan shall be subject to anticipation, commutation, alienation, sale, assignment, encumbrance, charge, pledge or hypothecation, or to execution, attachment, levy or similar process or assignment by operation of law, and any attempt, voluntary or involuntary, to effect any such action shall be null, void and of no effect.</w:t>
      </w:r>
    </w:p>
    <w:p>
      <w:pPr>
        <w:spacing w:after="0" w:line="81" w:lineRule="exact"/>
        <w:rPr>
          <w:rFonts w:ascii="Arial" w:cs="Arial" w:eastAsia="Arial" w:hAnsi="Arial"/>
          <w:sz w:val="20"/>
          <w:szCs w:val="20"/>
          <w:color w:val="auto"/>
        </w:rPr>
      </w:pPr>
    </w:p>
    <w:p>
      <w:pPr>
        <w:ind w:firstLine="645"/>
        <w:spacing w:after="0" w:line="317" w:lineRule="auto"/>
        <w:tabs>
          <w:tab w:leader="none" w:pos="1167"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Section headings appearing in this Plan are used for convenience of reference only and shall not be considered a part of this Plan or in any way modify, amend, or affect the meaning of any of its provisions.</w:t>
      </w:r>
    </w:p>
    <w:p>
      <w:pPr>
        <w:spacing w:after="0" w:line="67" w:lineRule="exact"/>
        <w:rPr>
          <w:rFonts w:ascii="Arial" w:cs="Arial" w:eastAsia="Arial" w:hAnsi="Arial"/>
          <w:sz w:val="20"/>
          <w:szCs w:val="20"/>
          <w:color w:val="auto"/>
        </w:rPr>
      </w:pPr>
    </w:p>
    <w:p>
      <w:pPr>
        <w:jc w:val="both"/>
        <w:ind w:firstLine="645"/>
        <w:spacing w:after="0" w:line="329" w:lineRule="auto"/>
        <w:tabs>
          <w:tab w:leader="none" w:pos="108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Rules of Construction</w:t>
      </w:r>
      <w:r>
        <w:rPr>
          <w:rFonts w:ascii="Arial" w:cs="Arial" w:eastAsia="Arial" w:hAnsi="Arial"/>
          <w:sz w:val="19"/>
          <w:szCs w:val="19"/>
          <w:color w:val="auto"/>
        </w:rPr>
        <w:t>. Whenever the context so requires, the use of the masculine gender shall be deemed to include the feminine and vice versa, and the use of the singular shall be deemed to include the plural and vice versa. That this Plan was drafted by the Company shall not be taken into account in interpreting or construing any provision of this Plan.</w:t>
      </w:r>
    </w:p>
    <w:p>
      <w:pPr>
        <w:spacing w:after="0" w:line="60" w:lineRule="exact"/>
        <w:rPr>
          <w:rFonts w:ascii="Arial" w:cs="Arial" w:eastAsia="Arial" w:hAnsi="Arial"/>
          <w:sz w:val="19"/>
          <w:szCs w:val="19"/>
          <w:color w:val="auto"/>
        </w:rPr>
      </w:pPr>
    </w:p>
    <w:p>
      <w:pPr>
        <w:jc w:val="both"/>
        <w:ind w:firstLine="645"/>
        <w:spacing w:after="0" w:line="306" w:lineRule="auto"/>
        <w:tabs>
          <w:tab w:leader="none" w:pos="110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Plan and its enforcement shall be governed by, and construed in accordance with, the laws of the State of Delaware, excluding any conflicts or choice of law rule or principle that might otherwise refer construction or interpretation of this Plan to the substantive law of another jurisdiction.</w:t>
      </w:r>
    </w:p>
    <w:p>
      <w:pPr>
        <w:sectPr>
          <w:pgSz w:w="11900" w:h="16838" w:orient="portrait"/>
          <w:cols w:equalWidth="0" w:num="1">
            <w:col w:w="10760"/>
          </w:cols>
          <w:pgMar w:left="900" w:top="150"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760"/>
          </w:cols>
          <w:pgMar w:left="900" w:top="150" w:right="239"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Ralph W. Shrader, certify that:</w:t>
      </w:r>
    </w:p>
    <w:p>
      <w:pPr>
        <w:spacing w:after="0" w:line="171" w:lineRule="exact"/>
        <w:rPr>
          <w:sz w:val="20"/>
          <w:szCs w:val="20"/>
          <w:color w:val="auto"/>
        </w:rPr>
      </w:pPr>
    </w:p>
    <w:p>
      <w:pPr>
        <w:ind w:left="180" w:hanging="172"/>
        <w:spacing w:after="0"/>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October 29,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Kevin L. Cook, certify that:</w:t>
      </w:r>
    </w:p>
    <w:p>
      <w:pPr>
        <w:spacing w:after="0" w:line="171"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October 29,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September 30, 2014, as filed with the Securities and Exchange Commission on the date hereof (the “Report”), the undersigned Chairman of the Board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540" w:val="left"/>
        </w:tabs>
        <w:rPr>
          <w:sz w:val="20"/>
          <w:szCs w:val="20"/>
          <w:color w:val="auto"/>
        </w:rPr>
      </w:pPr>
      <w:r>
        <w:rPr>
          <w:rFonts w:ascii="Arial" w:cs="Arial" w:eastAsia="Arial" w:hAnsi="Arial"/>
          <w:sz w:val="18"/>
          <w:szCs w:val="18"/>
          <w:color w:val="auto"/>
        </w:rPr>
        <w:t>Date: October 29, 2014</w:t>
      </w:r>
      <w:r>
        <w:rPr>
          <w:sz w:val="20"/>
          <w:szCs w:val="20"/>
          <w:color w:val="auto"/>
        </w:rPr>
        <w:tab/>
      </w:r>
      <w:r>
        <w:rPr>
          <w:rFonts w:ascii="Arial" w:cs="Arial" w:eastAsia="Arial" w:hAnsi="Arial"/>
          <w:sz w:val="16"/>
          <w:szCs w:val="16"/>
          <w:color w:val="auto"/>
        </w:rPr>
        <w:t>By: /s/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connection with the report on Form 10-QK of Booz Allen Hamilton Holding Corporation (the “Company”) for the fiscal quarter ended September 30, 2014, as filed with the Securities and Exchange Commission on the date hereof (the “Report”), the undersigned Senior Vice President and Chief Financial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October 29, 2014</w:t>
      </w:r>
      <w:r>
        <w:rPr>
          <w:sz w:val="20"/>
          <w:szCs w:val="20"/>
          <w:color w:val="auto"/>
        </w:rPr>
        <w:tab/>
      </w:r>
      <w:r>
        <w:rPr>
          <w:rFonts w:ascii="Arial" w:cs="Arial" w:eastAsia="Arial" w:hAnsi="Arial"/>
          <w:sz w:val="17"/>
          <w:szCs w:val="17"/>
          <w:color w:val="auto"/>
        </w:rPr>
        <w:t>By: /s/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1."/>
      <w:numFmt w:val="decimal"/>
      <w:start w:val="1"/>
    </w:lvl>
  </w:abstractNum>
  <w:abstractNum w:abstractNumId="3">
    <w:nsid w:val="7A6D8D3C"/>
    <w:multiLevelType w:val="hybridMultilevel"/>
    <w:lvl w:ilvl="0">
      <w:lvlJc w:val="left"/>
      <w:lvlText w:val="(%1)"/>
      <w:numFmt w:val="decimal"/>
      <w:start w:val="1"/>
    </w:lvl>
  </w:abstractNum>
  <w:abstractNum w:abstractNumId="4">
    <w:nsid w:val="4B588F54"/>
    <w:multiLevelType w:val="hybridMultilevel"/>
    <w:lvl w:ilvl="0">
      <w:lvlJc w:val="left"/>
      <w:lvlText w:val="%1."/>
      <w:numFmt w:val="decimal"/>
      <w:start w:val="5"/>
    </w:lvl>
  </w:abstractNum>
  <w:abstractNum w:abstractNumId="5">
    <w:nsid w:val="542289EC"/>
    <w:multiLevelType w:val="hybridMultilevel"/>
    <w:lvl w:ilvl="0">
      <w:lvlJc w:val="left"/>
      <w:lvlText w:val="%1."/>
      <w:numFmt w:val="decimal"/>
      <w:start w:val="12"/>
    </w:lvl>
  </w:abstractNum>
  <w:abstractNum w:abstractNumId="6">
    <w:nsid w:val="6DE91B18"/>
    <w:multiLevelType w:val="hybridMultilevel"/>
    <w:lvl w:ilvl="0">
      <w:lvlJc w:val="left"/>
      <w:lvlText w:val="(%1)"/>
      <w:numFmt w:val="decimal"/>
      <w:start w:val="1"/>
    </w:lvl>
  </w:abstractNum>
  <w:abstractNum w:abstractNumId="7">
    <w:nsid w:val="38437FDB"/>
    <w:multiLevelType w:val="hybridMultilevel"/>
    <w:lvl w:ilvl="0">
      <w:lvlJc w:val="left"/>
      <w:lvlText w:val="(%1)"/>
      <w:numFmt w:val="decimal"/>
      <w:start w:val="3"/>
    </w:lvl>
  </w:abstractNum>
  <w:abstractNum w:abstractNumId="8">
    <w:nsid w:val="7644A45C"/>
    <w:multiLevelType w:val="hybridMultilevel"/>
    <w:lvl w:ilvl="0">
      <w:lvlJc w:val="left"/>
      <w:lvlText w:val="(%1)"/>
      <w:numFmt w:val="decimal"/>
      <w:start w:val="1"/>
    </w:lvl>
  </w:abstractNum>
  <w:abstractNum w:abstractNumId="9">
    <w:nsid w:val="32FFF902"/>
    <w:multiLevelType w:val="hybridMultilevel"/>
    <w:lvl w:ilvl="0">
      <w:lvlJc w:val="left"/>
      <w:lvlText w:val="(%1)"/>
      <w:numFmt w:val="decimal"/>
      <w:start w:val="1"/>
    </w:lvl>
  </w:abstractNum>
  <w:abstractNum w:abstractNumId="10">
    <w:nsid w:val="684A481A"/>
    <w:multiLevelType w:val="hybridMultilevel"/>
    <w:lvl w:ilvl="0">
      <w:lvlJc w:val="left"/>
      <w:lvlText w:val="(%1)"/>
      <w:numFmt w:val="lowerRoman"/>
      <w:start w:val="1"/>
    </w:lvl>
    <w:lvl w:ilvl="1">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1)"/>
      <w:numFmt w:val="lowerLetter"/>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1)"/>
      <w:numFmt w:val="decimal"/>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1)"/>
      <w:numFmt w:val="decimal"/>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1)"/>
      <w:numFmt w:val="decimal"/>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1"/>
      <w:numFmt w:val="decimal"/>
      <w:start w:val="10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1."/>
      <w:numFmt w:val="decimal"/>
      <w:start w:val="1"/>
    </w:lvl>
  </w:abstractNum>
  <w:abstractNum w:abstractNumId="28">
    <w:nsid w:val="235BA861"/>
    <w:multiLevelType w:val="hybridMultilevel"/>
    <w:lvl w:ilvl="0">
      <w:lvlJc w:val="left"/>
      <w:lvlText w:val="(%1)"/>
      <w:numFmt w:val="lowerLetter"/>
      <w:start w:val="1"/>
    </w:lvl>
  </w:abstractNum>
  <w:abstractNum w:abstractNumId="29">
    <w:nsid w:val="47398C89"/>
    <w:multiLevelType w:val="hybridMultilevel"/>
    <w:lvl w:ilvl="0">
      <w:lvlJc w:val="left"/>
      <w:lvlText w:val="(%1)"/>
      <w:numFmt w:val="lowerLetter"/>
      <w:start w:val="1"/>
    </w:lvl>
  </w:abstractNum>
  <w:abstractNum w:abstractNumId="30">
    <w:nsid w:val="354FE9F9"/>
    <w:multiLevelType w:val="hybridMultilevel"/>
    <w:lvl w:ilvl="0">
      <w:lvlJc w:val="left"/>
      <w:lvlText w:val="(%1)"/>
      <w:numFmt w:val="lowerLetter"/>
      <w:start w:val="2"/>
    </w:lvl>
    <w:lvl w:ilvl="1">
      <w:lvlJc w:val="left"/>
      <w:lvlText w:val="(%2)"/>
      <w:numFmt w:val="lowerRoman"/>
      <w:start w:val="1"/>
    </w:lvl>
  </w:abstractNum>
  <w:abstractNum w:abstractNumId="31">
    <w:nsid w:val="15B5AF5C"/>
    <w:multiLevelType w:val="hybridMultilevel"/>
    <w:lvl w:ilvl="0">
      <w:lvlJc w:val="left"/>
      <w:lvlText w:val="(%1)"/>
      <w:numFmt w:val="lowerLetter"/>
      <w:start w:val="5"/>
    </w:lvl>
    <w:lvl w:ilvl="1">
      <w:lvlJc w:val="left"/>
      <w:lvlText w:val="(%2)"/>
      <w:numFmt w:val="lowerRoman"/>
      <w:start w:val="1"/>
    </w:lvl>
  </w:abstractNum>
  <w:abstractNum w:abstractNumId="32">
    <w:nsid w:val="741226BB"/>
    <w:multiLevelType w:val="hybridMultilevel"/>
    <w:lvl w:ilvl="0">
      <w:lvlJc w:val="left"/>
      <w:lvlText w:val="(%1)"/>
      <w:numFmt w:val="lowerLetter"/>
      <w:start w:val="1"/>
    </w:lvl>
  </w:abstractNum>
  <w:abstractNum w:abstractNumId="33">
    <w:nsid w:val="D34B6A8"/>
    <w:multiLevelType w:val="hybridMultilevel"/>
    <w:lvl w:ilvl="0">
      <w:lvlJc w:val="left"/>
      <w:lvlText w:val="(%1)"/>
      <w:numFmt w:val="lowerLetter"/>
      <w:start w:val="2"/>
    </w:lvl>
  </w:abstractNum>
  <w:abstractNum w:abstractNumId="34">
    <w:nsid w:val="10233C99"/>
    <w:multiLevelType w:val="hybridMultilevel"/>
    <w:lvl w:ilvl="0">
      <w:lvlJc w:val="left"/>
      <w:lvlText w:val="(%1)"/>
      <w:numFmt w:val="lowerRoman"/>
      <w:start w:val="1"/>
    </w:lvl>
  </w:abstractNum>
  <w:abstractNum w:abstractNumId="35">
    <w:nsid w:val="3F6AB60F"/>
    <w:multiLevelType w:val="hybridMultilevel"/>
    <w:lvl w:ilvl="0">
      <w:lvlJc w:val="left"/>
      <w:lvlText w:val="(%1)"/>
      <w:numFmt w:val="decimal"/>
      <w:start w:val="1"/>
    </w:lvl>
  </w:abstractNum>
  <w:abstractNum w:abstractNumId="36">
    <w:nsid w:val="61574095"/>
    <w:multiLevelType w:val="hybridMultilevel"/>
    <w:lvl w:ilvl="0">
      <w:lvlJc w:val="left"/>
      <w:lvlText w:val="(%1)"/>
      <w:numFmt w:val="lowerLetter"/>
      <w:start w:val="1"/>
    </w:lvl>
  </w:abstractNum>
  <w:abstractNum w:abstractNumId="37">
    <w:nsid w:val="7E0C57B1"/>
    <w:multiLevelType w:val="hybridMultilevel"/>
    <w:lvl w:ilvl="0">
      <w:lvlJc w:val="left"/>
      <w:lvlText w:val="(%1)"/>
      <w:numFmt w:val="lowerLetter"/>
      <w:start w:val="2"/>
    </w:lvl>
  </w:abstractNum>
  <w:abstractNum w:abstractNumId="38">
    <w:nsid w:val="77AE35EB"/>
    <w:multiLevelType w:val="hybridMultilevel"/>
    <w:lvl w:ilvl="0">
      <w:lvlJc w:val="left"/>
      <w:lvlText w:val="(%1)"/>
      <w:numFmt w:val="lowerLetter"/>
      <w:start w:val="1"/>
    </w:lvl>
  </w:abstractNum>
  <w:abstractNum w:abstractNumId="39">
    <w:nsid w:val="579BE4F1"/>
    <w:multiLevelType w:val="hybridMultilevel"/>
    <w:lvl w:ilvl="0">
      <w:lvlJc w:val="left"/>
      <w:lvlText w:val="(%1)"/>
      <w:numFmt w:val="lowerLetter"/>
      <w:start w:val="1"/>
    </w:lvl>
  </w:abstractNum>
  <w:abstractNum w:abstractNumId="40">
    <w:nsid w:val="310C50B3"/>
    <w:multiLevelType w:val="hybridMultilevel"/>
    <w:lvl w:ilvl="0">
      <w:lvlJc w:val="left"/>
      <w:lvlText w:val="(%1)"/>
      <w:numFmt w:val="lowerLetter"/>
      <w:start w:val="1"/>
    </w:lvl>
  </w:abstractNum>
  <w:abstractNum w:abstractNumId="41">
    <w:nsid w:val="5FF87E05"/>
    <w:multiLevelType w:val="hybridMultilevel"/>
    <w:lvl w:ilvl="0">
      <w:lvlJc w:val="left"/>
      <w:lvlText w:val="(%1)"/>
      <w:numFmt w:val="lowerLetter"/>
      <w:start w:val="1"/>
    </w:lvl>
    <w:lvl w:ilvl="1">
      <w:lvlJc w:val="left"/>
      <w:lvlText w:val="(%2)"/>
      <w:numFmt w:val="lowerRoman"/>
      <w:start w:val="1"/>
    </w:lvl>
  </w:abstractNum>
  <w:abstractNum w:abstractNumId="42">
    <w:nsid w:val="2F305DEF"/>
    <w:multiLevelType w:val="hybridMultilevel"/>
    <w:lvl w:ilvl="0">
      <w:lvlJc w:val="left"/>
      <w:lvlText w:val="(%1)"/>
      <w:numFmt w:val="lowerLetter"/>
      <w:start w:val="2"/>
    </w:lvl>
  </w:abstractNum>
  <w:abstractNum w:abstractNumId="43">
    <w:nsid w:val="25A70BF7"/>
    <w:multiLevelType w:val="hybridMultilevel"/>
    <w:lvl w:ilvl="0">
      <w:lvlJc w:val="left"/>
      <w:lvlText w:val="(%1)"/>
      <w:numFmt w:val="lowerLetter"/>
      <w:start w:val="1"/>
    </w:lvl>
  </w:abstractNum>
  <w:abstractNum w:abstractNumId="44">
    <w:nsid w:val="1DBABF00"/>
    <w:multiLevelType w:val="hybridMultilevel"/>
    <w:lvl w:ilvl="0">
      <w:lvlJc w:val="left"/>
      <w:lvlText w:val="(%1)"/>
      <w:numFmt w:val="lowerLetter"/>
      <w:start w:val="1"/>
    </w:lvl>
  </w:abstractNum>
  <w:abstractNum w:abstractNumId="45">
    <w:nsid w:val="4AD084E9"/>
    <w:multiLevelType w:val="hybridMultilevel"/>
    <w:lvl w:ilvl="0">
      <w:lvlJc w:val="left"/>
      <w:lvlText w:val="(%1)"/>
      <w:numFmt w:val="lowerLetter"/>
      <w:start w:val="2"/>
    </w:lvl>
  </w:abstractNum>
  <w:abstractNum w:abstractNumId="46">
    <w:nsid w:val="1F48EAA1"/>
    <w:multiLevelType w:val="hybridMultilevel"/>
    <w:lvl w:ilvl="0">
      <w:lvlJc w:val="left"/>
      <w:lvlText w:val="(%1)"/>
      <w:numFmt w:val="lowerLetter"/>
      <w:start w:val="1"/>
    </w:lvl>
  </w:abstractNum>
  <w:abstractNum w:abstractNumId="47">
    <w:nsid w:val="1381823A"/>
    <w:multiLevelType w:val="hybridMultilevel"/>
    <w:lvl w:ilvl="0">
      <w:lvlJc w:val="left"/>
      <w:lvlText w:val="(%1)"/>
      <w:numFmt w:val="lowerLetter"/>
      <w:start w:val="1"/>
    </w:lvl>
  </w:abstractNum>
  <w:abstractNum w:abstractNumId="48">
    <w:nsid w:val="5DB70AE5"/>
    <w:multiLevelType w:val="hybridMultilevel"/>
    <w:lvl w:ilvl="0">
      <w:lvlJc w:val="left"/>
      <w:lvlText w:val="(%1)"/>
      <w:numFmt w:val="lowerLetter"/>
      <w:start w:val="2"/>
    </w:lvl>
    <w:lvl w:ilvl="1">
      <w:lvlJc w:val="left"/>
      <w:lvlText w:val="(%2)"/>
      <w:numFmt w:val="lowerRoman"/>
      <w:start w:val="2"/>
    </w:lvl>
  </w:abstractNum>
  <w:abstractNum w:abstractNumId="49">
    <w:nsid w:val="100F8FCA"/>
    <w:multiLevelType w:val="hybridMultilevel"/>
    <w:lvl w:ilvl="0">
      <w:lvlJc w:val="left"/>
      <w:lvlText w:val="%1"/>
      <w:numFmt w:val="lowerLetter"/>
      <w:start w:val="1"/>
    </w:lvl>
    <w:lvl w:ilvl="1">
      <w:lvlJc w:val="left"/>
      <w:lvlText w:val="(%2)"/>
      <w:numFmt w:val="lowerLetter"/>
      <w:start w:val="4"/>
    </w:lvl>
  </w:abstractNum>
  <w:abstractNum w:abstractNumId="50">
    <w:nsid w:val="6590700B"/>
    <w:multiLevelType w:val="hybridMultilevel"/>
    <w:lvl w:ilvl="0">
      <w:lvlJc w:val="left"/>
      <w:lvlText w:val="(%1)"/>
      <w:numFmt w:val="lowerLetter"/>
      <w:start w:val="5"/>
    </w:lvl>
    <w:lvl w:ilvl="1">
      <w:lvlJc w:val="left"/>
      <w:lvlText w:val="%2"/>
      <w:numFmt w:val="lowerLetter"/>
      <w:start w:val="1"/>
    </w:lvl>
  </w:abstractNum>
  <w:abstractNum w:abstractNumId="51">
    <w:nsid w:val="15014ACB"/>
    <w:multiLevelType w:val="hybridMultilevel"/>
    <w:lvl w:ilvl="0">
      <w:lvlJc w:val="left"/>
      <w:lvlText w:val="(%1)"/>
      <w:numFmt w:val="lowerLetter"/>
      <w:start w:val="1"/>
    </w:lvl>
  </w:abstractNum>
  <w:abstractNum w:abstractNumId="52">
    <w:nsid w:val="5F5E7FD0"/>
    <w:multiLevelType w:val="hybridMultilevel"/>
    <w:lvl w:ilvl="0">
      <w:lvlJc w:val="left"/>
      <w:lvlText w:val="(%1)"/>
      <w:numFmt w:val="lowerLetter"/>
      <w:start w:val="1"/>
    </w:lvl>
  </w:abstractNum>
  <w:abstractNum w:abstractNumId="53">
    <w:nsid w:val="98A3148"/>
    <w:multiLevelType w:val="hybridMultilevel"/>
    <w:lvl w:ilvl="0">
      <w:lvlJc w:val="left"/>
      <w:lvlText w:val="(%1)"/>
      <w:numFmt w:val="lowerLetter"/>
      <w:start w:val="1"/>
    </w:lvl>
  </w:abstractNum>
  <w:abstractNum w:abstractNumId="54">
    <w:nsid w:val="799D0247"/>
    <w:multiLevelType w:val="hybridMultilevel"/>
    <w:lvl w:ilvl="0">
      <w:lvlJc w:val="left"/>
      <w:lvlText w:val="(%1)"/>
      <w:numFmt w:val="lowerLetter"/>
      <w:start w:val="3"/>
    </w:lvl>
  </w:abstractNum>
  <w:abstractNum w:abstractNumId="55">
    <w:nsid w:val="6B94764"/>
    <w:multiLevelType w:val="hybridMultilevel"/>
    <w:lvl w:ilvl="0">
      <w:lvlJc w:val="left"/>
      <w:lvlText w:val="(%1)"/>
      <w:numFmt w:val="lowerLetter"/>
      <w:start w:val="1"/>
    </w:lvl>
  </w:abstractNum>
  <w:abstractNum w:abstractNumId="56">
    <w:nsid w:val="42C296BD"/>
    <w:multiLevelType w:val="hybridMultilevel"/>
    <w:lvl w:ilvl="0">
      <w:lvlJc w:val="left"/>
      <w:lvlText w:val="(%1)"/>
      <w:numFmt w:val="lowerLetter"/>
      <w:start w:val="1"/>
    </w:lvl>
  </w:abstractNum>
  <w:abstractNum w:abstractNumId="57">
    <w:nsid w:val="168E121F"/>
    <w:multiLevelType w:val="hybridMultilevel"/>
    <w:lvl w:ilvl="0">
      <w:lvlJc w:val="left"/>
      <w:lvlText w:val="(%1)"/>
      <w:numFmt w:val="lowerLetter"/>
      <w:start w:val="1"/>
    </w:lvl>
  </w:abstractNum>
  <w:abstractNum w:abstractNumId="58">
    <w:nsid w:val="1EBA5D23"/>
    <w:multiLevelType w:val="hybridMultilevel"/>
    <w:lvl w:ilvl="0">
      <w:lvlJc w:val="left"/>
      <w:lvlText w:val="(%1)"/>
      <w:numFmt w:val="lowerLetter"/>
      <w:start w:val="2"/>
    </w:lvl>
  </w:abstractNum>
  <w:abstractNum w:abstractNumId="59">
    <w:nsid w:val="661E3F1E"/>
    <w:multiLevelType w:val="hybridMultilevel"/>
    <w:lvl w:ilvl="0">
      <w:lvlJc w:val="left"/>
      <w:lvlText w:val="(%1)"/>
      <w:numFmt w:val="lowerLetter"/>
      <w:start w:val="1"/>
    </w:lvl>
  </w:abstractNum>
  <w:abstractNum w:abstractNumId="60">
    <w:nsid w:val="5DC79EA8"/>
    <w:multiLevelType w:val="hybridMultilevel"/>
    <w:lvl w:ilvl="0">
      <w:lvlJc w:val="left"/>
      <w:lvlText w:val="(%1)"/>
      <w:numFmt w:val="lowerLetter"/>
      <w:start w:val="11"/>
    </w:lvl>
  </w:abstractNum>
  <w:abstractNum w:abstractNumId="61">
    <w:nsid w:val="540A471C"/>
    <w:multiLevelType w:val="hybridMultilevel"/>
    <w:lvl w:ilvl="0">
      <w:lvlJc w:val="left"/>
      <w:lvlText w:val="(%1)"/>
      <w:numFmt w:val="lowerLetter"/>
      <w:start w:val="1"/>
    </w:lvl>
  </w:abstractNum>
  <w:abstractNum w:abstractNumId="62">
    <w:nsid w:val="7BD3EE7B"/>
    <w:multiLevelType w:val="hybridMultilevel"/>
    <w:lvl w:ilvl="0">
      <w:lvlJc w:val="left"/>
      <w:lvlText w:val="(%1)"/>
      <w:numFmt w:val="lowerLetter"/>
      <w:start w:val="2"/>
    </w:lvl>
  </w:abstractNum>
  <w:abstractNum w:abstractNumId="63">
    <w:nsid w:val="51D9C564"/>
    <w:multiLevelType w:val="hybridMultilevel"/>
    <w:lvl w:ilvl="0">
      <w:lvlJc w:val="left"/>
      <w:lvlText w:val="(%1)"/>
      <w:numFmt w:val="lowerLetter"/>
      <w:start w:val="1"/>
    </w:lvl>
    <w:lvl w:ilvl="1">
      <w:lvlJc w:val="left"/>
      <w:lvlText w:val="(%2)"/>
      <w:numFmt w:val="lowerRoman"/>
      <w:start w:val="1"/>
    </w:lvl>
  </w:abstractNum>
  <w:abstractNum w:abstractNumId="64">
    <w:nsid w:val="613EFDC5"/>
    <w:multiLevelType w:val="hybridMultilevel"/>
    <w:lvl w:ilvl="0">
      <w:lvlJc w:val="left"/>
      <w:lvlText w:val="(%1)"/>
      <w:numFmt w:val="lowerLetter"/>
      <w:start w:val="1"/>
    </w:lvl>
    <w:lvl w:ilvl="1">
      <w:lvlJc w:val="left"/>
      <w:lvlText w:val="(%2)"/>
      <w:numFmt w:val="lowerRoman"/>
      <w:start w:val="1"/>
    </w:lvl>
  </w:abstractNum>
  <w:abstractNum w:abstractNumId="65">
    <w:nsid w:val="BF72B14"/>
    <w:multiLevelType w:val="hybridMultilevel"/>
    <w:lvl w:ilvl="0">
      <w:lvlJc w:val="left"/>
      <w:lvlText w:val="(%1)"/>
      <w:numFmt w:val="lowerLetter"/>
      <w:start w:val="2"/>
    </w:lvl>
  </w:abstractNum>
  <w:abstractNum w:abstractNumId="66">
    <w:nsid w:val="11447B73"/>
    <w:multiLevelType w:val="hybridMultilevel"/>
    <w:lvl w:ilvl="0">
      <w:lvlJc w:val="left"/>
      <w:lvlText w:val="%1"/>
      <w:numFmt w:val="lowerLetter"/>
      <w:start w:val="1"/>
    </w:lvl>
    <w:lvl w:ilvl="1">
      <w:lvlJc w:val="left"/>
      <w:lvlText w:val="(%2)"/>
      <w:numFmt w:val="lowerRoman"/>
      <w:start w:val="1"/>
    </w:lvl>
  </w:abstractNum>
  <w:abstractNum w:abstractNumId="67">
    <w:nsid w:val="42963E5A"/>
    <w:multiLevelType w:val="hybridMultilevel"/>
    <w:lvl w:ilvl="0">
      <w:lvlJc w:val="left"/>
      <w:lvlText w:val="(%1)"/>
      <w:numFmt w:val="lowerLetter"/>
      <w:start w:val="3"/>
    </w:lvl>
    <w:lvl w:ilvl="1">
      <w:lvlJc w:val="left"/>
      <w:lvlText w:val="%2"/>
      <w:numFmt w:val="lowerRoman"/>
      <w:start w:val="1"/>
    </w:lvl>
  </w:abstractNum>
  <w:abstractNum w:abstractNumId="68">
    <w:nsid w:val="A0382C5"/>
    <w:multiLevelType w:val="hybridMultilevel"/>
    <w:lvl w:ilvl="0">
      <w:lvlJc w:val="left"/>
      <w:lvlText w:val="(%1)"/>
      <w:numFmt w:val="lowerLetter"/>
      <w:start w:val="1"/>
    </w:lvl>
  </w:abstractNum>
  <w:abstractNum w:abstractNumId="69">
    <w:nsid w:val="8F2B15E"/>
    <w:multiLevelType w:val="hybridMultilevel"/>
    <w:lvl w:ilvl="0">
      <w:lvlJc w:val="left"/>
      <w:lvlText w:val="(%1)"/>
      <w:numFmt w:val="lowerLetter"/>
      <w:start w:val="1"/>
    </w:lvl>
  </w:abstractNum>
  <w:abstractNum w:abstractNumId="70">
    <w:nsid w:val="1A32234B"/>
    <w:multiLevelType w:val="hybridMultilevel"/>
    <w:lvl w:ilvl="0">
      <w:lvlJc w:val="left"/>
      <w:lvlText w:val="(%1)"/>
      <w:numFmt w:val="lowerLetter"/>
      <w:start w:val="1"/>
    </w:lvl>
  </w:abstractNum>
  <w:abstractNum w:abstractNumId="71">
    <w:nsid w:val="3B0FD379"/>
    <w:multiLevelType w:val="hybridMultilevel"/>
    <w:lvl w:ilvl="0">
      <w:lvlJc w:val="left"/>
      <w:lvlText w:val="(%1)"/>
      <w:numFmt w:val="lowerLetter"/>
      <w:start w:val="1"/>
    </w:lvl>
  </w:abstractNum>
  <w:abstractNum w:abstractNumId="72">
    <w:nsid w:val="68EB2F63"/>
    <w:multiLevelType w:val="hybridMultilevel"/>
    <w:lvl w:ilvl="0">
      <w:lvlJc w:val="left"/>
      <w:lvlText w:val="(%1)"/>
      <w:numFmt w:val="lowerLetter"/>
      <w:start w:val="2"/>
    </w:lvl>
  </w:abstractNum>
  <w:abstractNum w:abstractNumId="73">
    <w:nsid w:val="4962813B"/>
    <w:multiLevelType w:val="hybridMultilevel"/>
    <w:lvl w:ilvl="0">
      <w:lvlJc w:val="left"/>
      <w:lvlText w:val="(%1)"/>
      <w:numFmt w:val="lowerLetter"/>
      <w:start w:val="1"/>
    </w:lvl>
  </w:abstractNum>
  <w:abstractNum w:abstractNumId="74">
    <w:nsid w:val="60B6DF70"/>
    <w:multiLevelType w:val="hybridMultilevel"/>
    <w:lvl w:ilvl="0">
      <w:lvlJc w:val="left"/>
      <w:lvlText w:val="(%1)"/>
      <w:numFmt w:val="lowerLetter"/>
      <w:start w:val="8"/>
    </w:lvl>
  </w:abstractNum>
  <w:abstractNum w:abstractNumId="75">
    <w:nsid w:val="6A5EE64"/>
    <w:multiLevelType w:val="hybridMultilevel"/>
    <w:lvl w:ilvl="0">
      <w:lvlJc w:val="left"/>
      <w:lvlText w:val="(%1)"/>
      <w:numFmt w:val="lowerLetter"/>
      <w:start w:val="12"/>
    </w:lvl>
  </w:abstractNum>
  <w:abstractNum w:abstractNumId="76">
    <w:nsid w:val="14330624"/>
    <w:multiLevelType w:val="hybridMultilevel"/>
    <w:lvl w:ilvl="0">
      <w:lvlJc w:val="left"/>
      <w:lvlText w:val="(%1)"/>
      <w:numFmt w:val="lowerLetter"/>
      <w:start w:val="13"/>
    </w:lvl>
  </w:abstractNum>
  <w:abstractNum w:abstractNumId="77">
    <w:nsid w:val="7FFFCA11"/>
    <w:multiLevelType w:val="hybridMultilevel"/>
    <w:lvl w:ilvl="0">
      <w:lvlJc w:val="left"/>
      <w:lvlText w:val="%1."/>
      <w:numFmt w:val="decimal"/>
      <w:start w:val="1"/>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decimal"/>
      <w:start w:val="5"/>
    </w:lvl>
  </w:abstractNum>
  <w:abstractNum w:abstractNumId="80">
    <w:nsid w:val="100F59DC"/>
    <w:multiLevelType w:val="hybridMultilevel"/>
    <w:lvl w:ilvl="0">
      <w:lvlJc w:val="left"/>
      <w:lvlText w:val="(%1)"/>
      <w:numFmt w:val="lowerLetter"/>
      <w:start w:val="1"/>
    </w:lvl>
  </w:abstractNum>
  <w:abstractNum w:abstractNumId="81">
    <w:nsid w:val="7FB7E0AA"/>
    <w:multiLevelType w:val="hybridMultilevel"/>
    <w:lvl w:ilvl="0">
      <w:lvlJc w:val="left"/>
      <w:lvlText w:val="%1."/>
      <w:numFmt w:val="decimal"/>
      <w:start w:val="1"/>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decimal"/>
      <w:start w:val="5"/>
    </w:lvl>
  </w:abstractNum>
  <w:abstractNum w:abstractNumId="84">
    <w:nsid w:val="94211F2"/>
    <w:multiLevelType w:val="hybridMultilevel"/>
    <w:lvl w:ilvl="0">
      <w:lvlJc w:val="left"/>
      <w:lvlText w:val="(%1)"/>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2019-12-07T20:18:19Z</dcterms:created>
  <dcterms:modified xsi:type="dcterms:W3CDTF">2019-12-07T20:18:19Z</dcterms:modified>
</cp:coreProperties>
</file>