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312420</wp:posOffset>
            </wp:positionH>
            <wp:positionV relativeFrom="page">
              <wp:posOffset>681355</wp:posOffset>
            </wp:positionV>
            <wp:extent cx="6931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1660" cy="8255"/>
                    </a:xfrm>
                    <a:prstGeom prst="rect">
                      <a:avLst/>
                    </a:prstGeom>
                    <a:noFill/>
                  </pic:spPr>
                </pic:pic>
              </a:graphicData>
            </a:graphic>
          </wp:anchor>
        </w:drawing>
        <w:drawing>
          <wp:anchor simplePos="0" relativeHeight="251657728" behindDoc="1" locked="0" layoutInCell="0" allowOverlap="1">
            <wp:simplePos x="0" y="0"/>
            <wp:positionH relativeFrom="page">
              <wp:posOffset>312420</wp:posOffset>
            </wp:positionH>
            <wp:positionV relativeFrom="page">
              <wp:posOffset>706120</wp:posOffset>
            </wp:positionV>
            <wp:extent cx="69316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166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5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ectPr>
          <w:pgSz w:w="11900" w:h="16838" w:orient="portrait"/>
          <w:cols w:equalWidth="0" w:num="1">
            <w:col w:w="11240"/>
          </w:cols>
          <w:pgMar w:left="320" w:top="1182" w:right="339" w:bottom="1440" w:gutter="0" w:footer="0" w:header="0"/>
        </w:sectPr>
      </w:pPr>
    </w:p>
    <w:p>
      <w:pPr>
        <w:spacing w:after="0" w:line="200" w:lineRule="exact"/>
        <w:rPr>
          <w:sz w:val="24"/>
          <w:szCs w:val="24"/>
          <w:color w:val="auto"/>
        </w:rPr>
      </w:pPr>
    </w:p>
    <w:p>
      <w:pPr>
        <w:spacing w:after="0" w:line="239"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right="260"/>
        <w:spacing w:after="0" w:line="239" w:lineRule="auto"/>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26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2025</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w:t>
      </w:r>
    </w:p>
    <w:p>
      <w:pPr>
        <w:spacing w:after="0" w:line="5" w:lineRule="exact"/>
        <w:rPr>
          <w:sz w:val="24"/>
          <w:szCs w:val="24"/>
          <w:color w:val="auto"/>
        </w:rPr>
      </w:pPr>
    </w:p>
    <w:p>
      <w:pPr>
        <w:sectPr>
          <w:pgSz w:w="11900" w:h="16838" w:orient="portrait"/>
          <w:cols w:equalWidth="0" w:num="2">
            <w:col w:w="180" w:space="680"/>
            <w:col w:w="10380"/>
          </w:cols>
          <w:pgMar w:left="320" w:top="1182" w:right="339" w:bottom="1440" w:gutter="0" w:footer="0" w:header="0"/>
          <w:type w:val="continuous"/>
        </w:sectPr>
      </w:pPr>
    </w:p>
    <w:p>
      <w:pPr>
        <w:ind w:left="860" w:hanging="839"/>
        <w:spacing w:after="0"/>
        <w:tabs>
          <w:tab w:leader="none" w:pos="8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1934</w:t>
      </w:r>
    </w:p>
    <w:p>
      <w:pPr>
        <w:spacing w:after="0" w:line="66" w:lineRule="exact"/>
        <w:rPr>
          <w:sz w:val="24"/>
          <w:szCs w:val="24"/>
          <w:color w:val="auto"/>
        </w:rPr>
      </w:pPr>
    </w:p>
    <w:p>
      <w:pPr>
        <w:jc w:val="right"/>
        <w:ind w:right="4420"/>
        <w:spacing w:after="0"/>
        <w:tabs>
          <w:tab w:leader="none" w:pos="4560" w:val="left"/>
        </w:tabs>
        <w:rPr>
          <w:sz w:val="20"/>
          <w:szCs w:val="20"/>
          <w:color w:val="auto"/>
        </w:rPr>
      </w:pPr>
      <w:r>
        <w:rPr>
          <w:rFonts w:ascii="Times New Roman" w:cs="Times New Roman" w:eastAsia="Times New Roman" w:hAnsi="Times New Roman"/>
          <w:sz w:val="17"/>
          <w:szCs w:val="17"/>
          <w:b w:val="1"/>
          <w:bCs w:val="1"/>
          <w:color w:val="auto"/>
        </w:rPr>
        <w:t>For the transition period from</w:t>
        <w:tab/>
        <w:t>to</w:t>
      </w:r>
    </w:p>
    <w:p>
      <w:pPr>
        <w:spacing w:after="0" w:line="33" w:lineRule="exact"/>
        <w:rPr>
          <w:sz w:val="24"/>
          <w:szCs w:val="24"/>
          <w:color w:val="auto"/>
        </w:rPr>
      </w:pPr>
    </w:p>
    <w:p>
      <w:pPr>
        <w:jc w:val="right"/>
        <w:ind w:right="4460"/>
        <w:spacing w:after="0"/>
        <w:rPr>
          <w:sz w:val="20"/>
          <w:szCs w:val="20"/>
          <w:color w:val="auto"/>
        </w:rPr>
      </w:pPr>
      <w:r>
        <w:rPr>
          <w:rFonts w:ascii="Times New Roman" w:cs="Times New Roman" w:eastAsia="Times New Roman" w:hAnsi="Times New Roman"/>
          <w:sz w:val="17"/>
          <w:szCs w:val="17"/>
          <w:b w:val="1"/>
          <w:bCs w:val="1"/>
          <w:color w:val="auto"/>
        </w:rPr>
        <w:t>Commission File No. 001-34972</w:t>
      </w:r>
    </w:p>
    <w:p>
      <w:pPr>
        <w:spacing w:after="0" w:line="1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Booz Allen Hamilton Holding Corporation</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9"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___________________________________________________________</w:t>
      </w:r>
    </w:p>
    <w:p>
      <w:pPr>
        <w:spacing w:after="0" w:line="113"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3200" w:type="dxa"/>
            <w:vAlign w:val="bottom"/>
            <w:gridSpan w:val="3"/>
          </w:tcPr>
          <w:p>
            <w:pPr>
              <w:jc w:val="center"/>
              <w:ind w:left="38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26-2634160</w:t>
            </w:r>
          </w:p>
        </w:tc>
        <w:tc>
          <w:tcPr>
            <w:tcW w:w="80" w:type="dxa"/>
            <w:vAlign w:val="bottom"/>
          </w:tcPr>
          <w:p>
            <w:pPr>
              <w:spacing w:after="0"/>
              <w:rPr>
                <w:sz w:val="18"/>
                <w:szCs w:val="18"/>
                <w:color w:val="auto"/>
              </w:rPr>
            </w:pPr>
          </w:p>
        </w:tc>
      </w:tr>
      <w:tr>
        <w:trPr>
          <w:trHeight w:val="143"/>
        </w:trPr>
        <w:tc>
          <w:tcPr>
            <w:tcW w:w="3200" w:type="dxa"/>
            <w:vAlign w:val="bottom"/>
            <w:gridSpan w:val="3"/>
          </w:tcPr>
          <w:p>
            <w:pPr>
              <w:jc w:val="center"/>
              <w:ind w:left="402"/>
              <w:spacing w:after="0" w:line="143"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1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0" w:type="dxa"/>
            <w:vAlign w:val="bottom"/>
            <w:gridSpan w:val="2"/>
          </w:tcPr>
          <w:p>
            <w:pPr>
              <w:jc w:val="center"/>
              <w:ind w:left="1643"/>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271"/>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8283 Greensboro Drive,</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7"/>
                <w:szCs w:val="17"/>
                <w:b w:val="1"/>
                <w:bCs w:val="1"/>
                <w:color w:val="auto"/>
              </w:rPr>
              <w:t>McLean,</w:t>
            </w:r>
          </w:p>
        </w:tc>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Virginia</w:t>
            </w:r>
          </w:p>
        </w:tc>
        <w:tc>
          <w:tcPr>
            <w:tcW w:w="2720" w:type="dxa"/>
            <w:vAlign w:val="bottom"/>
          </w:tcPr>
          <w:p>
            <w:pPr>
              <w:jc w:val="right"/>
              <w:ind w:right="163"/>
              <w:spacing w:after="0"/>
              <w:rPr>
                <w:sz w:val="20"/>
                <w:szCs w:val="20"/>
                <w:color w:val="auto"/>
              </w:rPr>
            </w:pPr>
            <w:r>
              <w:rPr>
                <w:rFonts w:ascii="Times New Roman" w:cs="Times New Roman" w:eastAsia="Times New Roman" w:hAnsi="Times New Roman"/>
                <w:sz w:val="17"/>
                <w:szCs w:val="17"/>
                <w:b w:val="1"/>
                <w:bCs w:val="1"/>
                <w:color w:val="auto"/>
              </w:rPr>
              <w:t>22102</w:t>
            </w:r>
          </w:p>
        </w:tc>
        <w:tc>
          <w:tcPr>
            <w:tcW w:w="80" w:type="dxa"/>
            <w:vAlign w:val="bottom"/>
          </w:tcPr>
          <w:p>
            <w:pPr>
              <w:spacing w:after="0"/>
              <w:rPr>
                <w:sz w:val="23"/>
                <w:szCs w:val="23"/>
                <w:color w:val="auto"/>
              </w:rPr>
            </w:pPr>
          </w:p>
        </w:tc>
      </w:tr>
      <w:tr>
        <w:trPr>
          <w:trHeight w:val="183"/>
        </w:trPr>
        <w:tc>
          <w:tcPr>
            <w:tcW w:w="3200" w:type="dxa"/>
            <w:vAlign w:val="bottom"/>
            <w:gridSpan w:val="3"/>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0" w:type="dxa"/>
            <w:vAlign w:val="bottom"/>
            <w:gridSpan w:val="2"/>
          </w:tcPr>
          <w:p>
            <w:pPr>
              <w:jc w:val="center"/>
              <w:ind w:left="1643"/>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297"/>
        </w:trPr>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7"/>
                <w:szCs w:val="17"/>
                <w:b w:val="1"/>
                <w:bCs w:val="1"/>
                <w:color w:val="auto"/>
              </w:rPr>
              <w:t>(703) 902-5000</w:t>
            </w: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20" w:type="dxa"/>
            <w:vAlign w:val="bottom"/>
            <w:gridSpan w:val="5"/>
          </w:tcPr>
          <w:p>
            <w:pPr>
              <w:jc w:val="center"/>
              <w:ind w:right="2160"/>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w:t>
            </w:r>
          </w:p>
        </w:tc>
      </w:tr>
      <w:tr>
        <w:trPr>
          <w:trHeight w:val="179"/>
        </w:trPr>
        <w:tc>
          <w:tcPr>
            <w:tcW w:w="1800" w:type="dxa"/>
            <w:vAlign w:val="bottom"/>
          </w:tcPr>
          <w:p>
            <w:pPr>
              <w:spacing w:after="0"/>
              <w:rPr>
                <w:sz w:val="15"/>
                <w:szCs w:val="15"/>
                <w:color w:val="auto"/>
              </w:rPr>
            </w:pPr>
          </w:p>
        </w:tc>
        <w:tc>
          <w:tcPr>
            <w:tcW w:w="7820" w:type="dxa"/>
            <w:vAlign w:val="bottom"/>
            <w:gridSpan w:val="7"/>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(Former name, former address, and former fiscal year if changed since last report.)</w:t>
            </w:r>
          </w:p>
        </w:tc>
      </w:tr>
      <w:tr>
        <w:trPr>
          <w:trHeight w:val="134"/>
        </w:trPr>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20" w:type="dxa"/>
            <w:vAlign w:val="bottom"/>
            <w:gridSpan w:val="3"/>
          </w:tcPr>
          <w:p>
            <w:pPr>
              <w:jc w:val="center"/>
              <w:ind w:left="546"/>
              <w:spacing w:after="0"/>
              <w:rPr>
                <w:sz w:val="20"/>
                <w:szCs w:val="20"/>
                <w:color w:val="auto"/>
              </w:rPr>
            </w:pPr>
            <w:r>
              <w:rPr>
                <w:rFonts w:ascii="Times New Roman" w:cs="Times New Roman" w:eastAsia="Times New Roman" w:hAnsi="Times New Roman"/>
                <w:sz w:val="10"/>
                <w:szCs w:val="10"/>
                <w:color w:val="auto"/>
              </w:rPr>
              <w:t>__________________________________________________________</w:t>
            </w:r>
          </w:p>
        </w:tc>
        <w:tc>
          <w:tcPr>
            <w:tcW w:w="27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6"/>
        </w:trPr>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20" w:type="dxa"/>
            <w:vAlign w:val="bottom"/>
            <w:gridSpan w:val="5"/>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w w:val="96"/>
              </w:rPr>
              <w:t>Securities registered pursuant to Section 12(b) of the Act:</w:t>
            </w:r>
          </w:p>
        </w:tc>
      </w:tr>
      <w:tr>
        <w:trPr>
          <w:trHeight w:val="226"/>
        </w:trPr>
        <w:tc>
          <w:tcPr>
            <w:tcW w:w="180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Title of Each Class</w:t>
            </w:r>
          </w:p>
        </w:tc>
        <w:tc>
          <w:tcPr>
            <w:tcW w:w="1540" w:type="dxa"/>
            <w:vAlign w:val="bottom"/>
          </w:tcPr>
          <w:p>
            <w:pPr>
              <w:spacing w:after="0"/>
              <w:rPr>
                <w:sz w:val="19"/>
                <w:szCs w:val="19"/>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2"/>
        </w:trPr>
        <w:tc>
          <w:tcPr>
            <w:tcW w:w="3200" w:type="dxa"/>
            <w:vAlign w:val="bottom"/>
            <w:gridSpan w:val="3"/>
          </w:tcPr>
          <w:p>
            <w:pPr>
              <w:jc w:val="center"/>
              <w:ind w:left="1422"/>
              <w:spacing w:after="0"/>
              <w:rPr>
                <w:sz w:val="20"/>
                <w:szCs w:val="20"/>
                <w:color w:val="auto"/>
              </w:rPr>
            </w:pPr>
            <w:r>
              <w:rPr>
                <w:rFonts w:ascii="Times New Roman" w:cs="Times New Roman" w:eastAsia="Times New Roman" w:hAnsi="Times New Roman"/>
                <w:sz w:val="17"/>
                <w:szCs w:val="17"/>
                <w:color w:val="auto"/>
              </w:rPr>
              <w:t>Class A Common Stock</w:t>
            </w:r>
          </w:p>
        </w:tc>
        <w:tc>
          <w:tcPr>
            <w:tcW w:w="1540" w:type="dxa"/>
            <w:vAlign w:val="bottom"/>
          </w:tcPr>
          <w:p>
            <w:pPr>
              <w:spacing w:after="0"/>
              <w:rPr>
                <w:sz w:val="21"/>
                <w:szCs w:val="21"/>
                <w:color w:val="auto"/>
              </w:rPr>
            </w:pPr>
          </w:p>
        </w:tc>
        <w:tc>
          <w:tcPr>
            <w:tcW w:w="2080" w:type="dxa"/>
            <w:vAlign w:val="bottom"/>
            <w:gridSpan w:val="2"/>
          </w:tcPr>
          <w:p>
            <w:pPr>
              <w:jc w:val="center"/>
              <w:ind w:right="1120"/>
              <w:spacing w:after="0"/>
              <w:rPr>
                <w:sz w:val="20"/>
                <w:szCs w:val="20"/>
                <w:color w:val="auto"/>
              </w:rPr>
            </w:pPr>
            <w:r>
              <w:rPr>
                <w:rFonts w:ascii="Times New Roman" w:cs="Times New Roman" w:eastAsia="Times New Roman" w:hAnsi="Times New Roman"/>
                <w:sz w:val="17"/>
                <w:szCs w:val="17"/>
                <w:color w:val="auto"/>
              </w:rPr>
              <w:t>BAH</w:t>
            </w:r>
          </w:p>
        </w:tc>
        <w:tc>
          <w:tcPr>
            <w:tcW w:w="28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85" w:lineRule="exact"/>
        <w:rPr>
          <w:sz w:val="24"/>
          <w:szCs w:val="24"/>
          <w:color w:val="auto"/>
        </w:rPr>
      </w:pPr>
    </w:p>
    <w:p>
      <w:pPr>
        <w:jc w:val="both"/>
        <w:ind w:right="2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80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0" w:lineRule="exact"/>
        <w:rPr>
          <w:sz w:val="24"/>
          <w:szCs w:val="24"/>
          <w:color w:val="auto"/>
        </w:rPr>
      </w:pPr>
    </w:p>
    <w:p>
      <w:pPr>
        <w:ind w:right="700"/>
        <w:spacing w:after="0" w:line="26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tbl>
      <w:tblPr>
        <w:tblLayout w:type="fixed"/>
        <w:tblInd w:w="20" w:type="dxa"/>
        <w:tblCellMar>
          <w:top w:w="0" w:type="dxa"/>
          <w:left w:w="0" w:type="dxa"/>
          <w:bottom w:w="0" w:type="dxa"/>
          <w:right w:w="0" w:type="dxa"/>
        </w:tblCellMar>
      </w:tblPr>
      <w:tr>
        <w:trPr>
          <w:trHeight w:val="350"/>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8"/>
        </w:trPr>
        <w:tc>
          <w:tcPr>
            <w:tcW w:w="21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0"/>
        </w:trPr>
        <w:tc>
          <w:tcPr>
            <w:tcW w:w="2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460"/>
              <w:spacing w:after="0"/>
              <w:rPr>
                <w:sz w:val="20"/>
                <w:szCs w:val="20"/>
                <w:color w:val="auto"/>
              </w:rPr>
            </w:pPr>
            <w:r>
              <w:rPr>
                <w:rFonts w:ascii="Times New Roman" w:cs="Times New Roman" w:eastAsia="Times New Roman" w:hAnsi="Times New Roman"/>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ind w:right="420"/>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2220"/>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Indicate the number of shares outstanding of each of the issuer’s classes of common stock, as of the latest practicable date.</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7"/>
                <w:szCs w:val="17"/>
                <w:color w:val="auto"/>
              </w:rPr>
            </w:pPr>
          </w:p>
        </w:tc>
        <w:tc>
          <w:tcPr>
            <w:tcW w:w="25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Shares Outstanding</w:t>
            </w:r>
          </w:p>
        </w:tc>
      </w:tr>
      <w:tr>
        <w:trPr>
          <w:trHeight w:val="228"/>
        </w:trPr>
        <w:tc>
          <w:tcPr>
            <w:tcW w:w="8700" w:type="dxa"/>
            <w:vAlign w:val="bottom"/>
          </w:tcPr>
          <w:p>
            <w:pPr>
              <w:spacing w:after="0"/>
              <w:rPr>
                <w:sz w:val="19"/>
                <w:szCs w:val="19"/>
                <w:color w:val="auto"/>
              </w:rPr>
            </w:pPr>
          </w:p>
        </w:tc>
        <w:tc>
          <w:tcPr>
            <w:tcW w:w="254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as of 7/21/2025</w:t>
            </w:r>
          </w:p>
        </w:tc>
      </w:tr>
      <w:tr>
        <w:trPr>
          <w:trHeight w:val="21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Common Stock</w:t>
            </w: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123,248,686</w:t>
            </w:r>
          </w:p>
        </w:tc>
        <w:tc>
          <w:tcPr>
            <w:tcW w:w="360" w:type="dxa"/>
            <w:vAlign w:val="bottom"/>
          </w:tcPr>
          <w:p>
            <w:pPr>
              <w:spacing w:after="0"/>
              <w:rPr>
                <w:sz w:val="18"/>
                <w:szCs w:val="18"/>
                <w:color w:val="auto"/>
              </w:rPr>
            </w:pPr>
          </w:p>
        </w:tc>
      </w:tr>
      <w:tr>
        <w:trPr>
          <w:trHeight w:val="745"/>
        </w:trPr>
        <w:tc>
          <w:tcPr>
            <w:tcW w:w="87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10500" w:type="dxa"/>
            <w:vAlign w:val="bottom"/>
            <w:gridSpan w:val="16"/>
          </w:tcPr>
          <w:p>
            <w:pPr>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25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980" w:type="dxa"/>
            <w:vAlign w:val="bottom"/>
            <w:gridSpan w:val="10"/>
            <w:vMerge w:val="restart"/>
          </w:tcPr>
          <w:p>
            <w:pPr>
              <w:spacing w:after="0"/>
              <w:rPr>
                <w:sz w:val="24"/>
                <w:szCs w:val="24"/>
                <w:color w:val="auto"/>
              </w:rPr>
            </w:pPr>
          </w:p>
        </w:tc>
        <w:tc>
          <w:tcPr>
            <w:tcW w:w="740" w:type="dxa"/>
            <w:vAlign w:val="bottom"/>
            <w:gridSpan w:val="5"/>
          </w:tcPr>
          <w:p>
            <w:pPr>
              <w:ind w:left="18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7980" w:type="dxa"/>
            <w:vAlign w:val="bottom"/>
            <w:gridSpan w:val="10"/>
            <w:vMerge w:val="continue"/>
          </w:tcPr>
          <w:p>
            <w:pPr>
              <w:spacing w:after="0"/>
              <w:rPr>
                <w:sz w:val="14"/>
                <w:szCs w:val="14"/>
                <w:color w:val="auto"/>
              </w:rPr>
            </w:pPr>
          </w:p>
        </w:tc>
        <w:tc>
          <w:tcPr>
            <w:tcW w:w="720" w:type="dxa"/>
            <w:vAlign w:val="bottom"/>
            <w:tcBorders>
              <w:top w:val="single" w:sz="8" w:color="auto"/>
            </w:tcBorders>
            <w:gridSpan w:val="4"/>
          </w:tcPr>
          <w:p>
            <w:pPr>
              <w:jc w:val="right"/>
              <w:ind w:right="20"/>
              <w:spacing w:after="0" w:line="149"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5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gridSpan w:val="2"/>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Financial Statements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Management's Discussion and Analysis of Financial Condition and Results of Operations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4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Quantitative and Qualitative Disclosures About Market Risk</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1840" w:type="dxa"/>
            <w:vAlign w:val="bottom"/>
            <w:gridSpan w:val="9"/>
          </w:tcPr>
          <w:p>
            <w:pPr>
              <w:spacing w:after="0"/>
              <w:rPr>
                <w:sz w:val="20"/>
                <w:szCs w:val="20"/>
                <w:color w:val="auto"/>
              </w:rPr>
            </w:pPr>
            <w:r>
              <w:rPr>
                <w:rFonts w:ascii="Times New Roman" w:cs="Times New Roman" w:eastAsia="Times New Roman" w:hAnsi="Times New Roman"/>
                <w:sz w:val="17"/>
                <w:szCs w:val="17"/>
                <w:b w:val="1"/>
                <w:bCs w:val="1"/>
                <w:color w:val="0000FF"/>
              </w:rPr>
              <w:t>Controls and Procedures</w:t>
            </w:r>
          </w:p>
        </w:tc>
        <w:tc>
          <w:tcPr>
            <w:tcW w:w="708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4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Legal Proceedings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0000FF"/>
                <w:w w:val="99"/>
              </w:rPr>
              <w:t>Risk Factors</w:t>
            </w:r>
          </w:p>
        </w:tc>
        <w:tc>
          <w:tcPr>
            <w:tcW w:w="400" w:type="dxa"/>
            <w:vAlign w:val="bottom"/>
          </w:tcPr>
          <w:p>
            <w:pPr>
              <w:spacing w:after="0"/>
              <w:rPr>
                <w:sz w:val="17"/>
                <w:szCs w:val="17"/>
                <w:color w:val="auto"/>
              </w:rPr>
            </w:pPr>
          </w:p>
        </w:tc>
        <w:tc>
          <w:tcPr>
            <w:tcW w:w="758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Unregistered Sales of Equity Securities and Use of Proceeds</w:t>
            </w:r>
          </w:p>
        </w:tc>
        <w:tc>
          <w:tcPr>
            <w:tcW w:w="72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380" w:type="dxa"/>
            <w:vAlign w:val="bottom"/>
            <w:gridSpan w:val="11"/>
          </w:tcPr>
          <w:p>
            <w:pPr>
              <w:spacing w:after="0"/>
              <w:rPr>
                <w:sz w:val="20"/>
                <w:szCs w:val="20"/>
                <w:color w:val="auto"/>
              </w:rPr>
            </w:pPr>
            <w:r>
              <w:rPr>
                <w:rFonts w:ascii="Times New Roman" w:cs="Times New Roman" w:eastAsia="Times New Roman" w:hAnsi="Times New Roman"/>
                <w:sz w:val="17"/>
                <w:szCs w:val="17"/>
                <w:b w:val="1"/>
                <w:bCs w:val="1"/>
                <w:color w:val="0000FF"/>
              </w:rPr>
              <w:t>Defaults Upon Senior Securities</w:t>
            </w:r>
          </w:p>
        </w:tc>
        <w:tc>
          <w:tcPr>
            <w:tcW w:w="454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160" w:type="dxa"/>
            <w:vAlign w:val="bottom"/>
            <w:gridSpan w:val="6"/>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Mine Safety Disclosures</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5</w:t>
            </w:r>
          </w:p>
        </w:tc>
        <w:tc>
          <w:tcPr>
            <w:tcW w:w="892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54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56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13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0000FF"/>
              </w:rPr>
              <w:t>Exhibits</w:t>
            </w:r>
          </w:p>
        </w:tc>
        <w:tc>
          <w:tcPr>
            <w:tcW w:w="7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0000FF"/>
                <w:w w:val="93"/>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79"/>
        </w:trPr>
        <w:tc>
          <w:tcPr>
            <w:tcW w:w="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9100" w:type="dxa"/>
            <w:vAlign w:val="bottom"/>
            <w:gridSpan w:val="2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525"/>
        </w:trPr>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80" w:type="dxa"/>
            <w:vAlign w:val="bottom"/>
            <w:gridSpan w:val="6"/>
          </w:tcPr>
          <w:p>
            <w:pPr>
              <w:ind w:left="14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910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auto"/>
              </w:rPr>
              <w:t>Item 1</w:t>
            </w:r>
            <w:r>
              <w:rPr>
                <w:rFonts w:ascii="Times New Roman" w:cs="Times New Roman" w:eastAsia="Times New Roman" w:hAnsi="Times New Roman"/>
                <w:sz w:val="17"/>
                <w:szCs w:val="17"/>
                <w:b w:val="1"/>
                <w:bCs w:val="1"/>
                <w:i w:val="1"/>
                <w:iCs w:val="1"/>
                <w:color w:val="auto"/>
              </w:rPr>
              <w:t>.</w:t>
            </w:r>
            <w:r>
              <w:rPr>
                <w:rFonts w:ascii="Times New Roman" w:cs="Times New Roman" w:eastAsia="Times New Roman" w:hAnsi="Times New Roman"/>
                <w:sz w:val="17"/>
                <w:szCs w:val="17"/>
                <w:b w:val="1"/>
                <w:bCs w:val="1"/>
                <w:color w:val="auto"/>
              </w:rPr>
              <w:t xml:space="preserve">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80" w:type="dxa"/>
            <w:vAlign w:val="bottom"/>
            <w:gridSpan w:val="17"/>
          </w:tcPr>
          <w:p>
            <w:pPr>
              <w:ind w:left="80"/>
              <w:spacing w:after="0"/>
              <w:rPr>
                <w:sz w:val="20"/>
                <w:szCs w:val="20"/>
                <w:color w:val="auto"/>
              </w:rPr>
            </w:pPr>
            <w:r>
              <w:rPr>
                <w:rFonts w:ascii="Times New Roman" w:cs="Times New Roman" w:eastAsia="Times New Roman" w:hAnsi="Times New Roman"/>
                <w:sz w:val="17"/>
                <w:szCs w:val="17"/>
                <w:b w:val="1"/>
                <w:bCs w:val="1"/>
                <w:color w:val="auto"/>
              </w:rPr>
              <w:t>INDEX TO THE UNAUDITED CONDENSED CONSOLIDATED FINANCIAL STATEMENTS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6"/>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140" w:type="dxa"/>
            <w:vAlign w:val="bottom"/>
            <w:gridSpan w:val="6"/>
          </w:tcPr>
          <w:p>
            <w:pPr>
              <w:ind w:left="44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74"/>
        </w:trPr>
        <w:tc>
          <w:tcPr>
            <w:tcW w:w="20" w:type="dxa"/>
            <w:vAlign w:val="bottom"/>
          </w:tcPr>
          <w:p>
            <w:pPr>
              <w:spacing w:after="0"/>
              <w:rPr>
                <w:sz w:val="15"/>
                <w:szCs w:val="15"/>
                <w:color w:val="auto"/>
              </w:rPr>
            </w:pPr>
          </w:p>
        </w:tc>
        <w:tc>
          <w:tcPr>
            <w:tcW w:w="2980" w:type="dxa"/>
            <w:vAlign w:val="bottom"/>
            <w:tcBorders>
              <w:bottom w:val="single" w:sz="8" w:color="0000FF"/>
            </w:tcBorders>
            <w:gridSpan w:val="12"/>
          </w:tcPr>
          <w:p>
            <w:pPr>
              <w:spacing w:after="0" w:line="175" w:lineRule="exact"/>
              <w:rPr>
                <w:sz w:val="20"/>
                <w:szCs w:val="20"/>
                <w:color w:val="auto"/>
              </w:rPr>
            </w:pPr>
            <w:r>
              <w:rPr>
                <w:rFonts w:ascii="Times New Roman" w:cs="Times New Roman" w:eastAsia="Times New Roman" w:hAnsi="Times New Roman"/>
                <w:sz w:val="17"/>
                <w:szCs w:val="17"/>
                <w:b w:val="1"/>
                <w:bCs w:val="1"/>
                <w:color w:val="0000FF"/>
              </w:rPr>
              <w:t>Condensed Consolidated Balance Sheets</w:t>
            </w:r>
          </w:p>
        </w:tc>
        <w:tc>
          <w:tcPr>
            <w:tcW w:w="6100" w:type="dxa"/>
            <w:vAlign w:val="bottom"/>
            <w:gridSpan w:val="11"/>
          </w:tcPr>
          <w:p>
            <w:pPr>
              <w:spacing w:after="0"/>
              <w:rPr>
                <w:sz w:val="15"/>
                <w:szCs w:val="15"/>
                <w:color w:val="auto"/>
              </w:rPr>
            </w:pPr>
          </w:p>
        </w:tc>
        <w:tc>
          <w:tcPr>
            <w:tcW w:w="560" w:type="dxa"/>
            <w:vAlign w:val="bottom"/>
            <w:tcBorders>
              <w:top w:val="single" w:sz="8" w:color="auto"/>
            </w:tcBorders>
            <w:gridSpan w:val="2"/>
          </w:tcPr>
          <w:p>
            <w:pPr>
              <w:spacing w:after="0"/>
              <w:rPr>
                <w:sz w:val="15"/>
                <w:szCs w:val="15"/>
                <w:color w:val="auto"/>
              </w:rPr>
            </w:pPr>
          </w:p>
        </w:tc>
        <w:tc>
          <w:tcPr>
            <w:tcW w:w="100" w:type="dxa"/>
            <w:vAlign w:val="bottom"/>
            <w:tcBorders>
              <w:top w:val="single" w:sz="8" w:color="auto"/>
              <w:bottom w:val="single" w:sz="8" w:color="0000FF"/>
            </w:tcBorders>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0000FF"/>
              </w:rPr>
              <w:t>1</w:t>
            </w:r>
          </w:p>
        </w:tc>
        <w:tc>
          <w:tcPr>
            <w:tcW w:w="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92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Operations</w:t>
            </w:r>
          </w:p>
        </w:tc>
        <w:tc>
          <w:tcPr>
            <w:tcW w:w="5320" w:type="dxa"/>
            <w:vAlign w:val="bottom"/>
            <w:gridSpan w:val="7"/>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Comprehensive Income</w:t>
            </w:r>
          </w:p>
        </w:tc>
        <w:tc>
          <w:tcPr>
            <w:tcW w:w="42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3</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Cash Flows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4</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Condensed Consolidated Statements of Stockholders' Equity</w:t>
            </w:r>
          </w:p>
        </w:tc>
        <w:tc>
          <w:tcPr>
            <w:tcW w:w="4600" w:type="dxa"/>
            <w:vAlign w:val="bottom"/>
            <w:gridSpan w:val="4"/>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5</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9080" w:type="dxa"/>
            <w:vAlign w:val="bottom"/>
            <w:gridSpan w:val="23"/>
          </w:tcPr>
          <w:p>
            <w:pPr>
              <w:spacing w:after="0"/>
              <w:rPr>
                <w:sz w:val="20"/>
                <w:szCs w:val="20"/>
                <w:color w:val="auto"/>
              </w:rPr>
            </w:pPr>
            <w:r>
              <w:rPr>
                <w:rFonts w:ascii="Times New Roman" w:cs="Times New Roman" w:eastAsia="Times New Roman" w:hAnsi="Times New Roman"/>
                <w:sz w:val="17"/>
                <w:szCs w:val="17"/>
                <w:b w:val="1"/>
                <w:bCs w:val="1"/>
                <w:color w:val="0000FF"/>
              </w:rPr>
              <w:t>Notes to Unaudited Condensed Consolidated Financial Statements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480" w:type="dxa"/>
            <w:vAlign w:val="bottom"/>
            <w:tcBorders>
              <w:top w:val="single" w:sz="8" w:color="0000FF"/>
            </w:tcBorders>
            <w:gridSpan w:val="2"/>
          </w:tcPr>
          <w:p>
            <w:pPr>
              <w:ind w:left="320"/>
              <w:spacing w:after="0"/>
              <w:rPr>
                <w:sz w:val="20"/>
                <w:szCs w:val="20"/>
                <w:color w:val="auto"/>
              </w:rPr>
            </w:pPr>
            <w:r>
              <w:rPr>
                <w:rFonts w:ascii="Times New Roman" w:cs="Times New Roman" w:eastAsia="Times New Roman" w:hAnsi="Times New Roman"/>
                <w:sz w:val="17"/>
                <w:szCs w:val="17"/>
                <w:b w:val="1"/>
                <w:bCs w:val="1"/>
                <w:color w:val="0000FF"/>
              </w:rPr>
              <w:t>1.</w:t>
            </w:r>
          </w:p>
        </w:tc>
        <w:tc>
          <w:tcPr>
            <w:tcW w:w="44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7"/>
                <w:szCs w:val="17"/>
                <w:b w:val="1"/>
                <w:bCs w:val="1"/>
                <w:color w:val="0000FF"/>
              </w:rPr>
              <w:t>Business Overview</w:t>
            </w:r>
          </w:p>
        </w:tc>
        <w:tc>
          <w:tcPr>
            <w:tcW w:w="4200" w:type="dxa"/>
            <w:vAlign w:val="bottom"/>
            <w:gridSpan w:val="2"/>
          </w:tcPr>
          <w:p>
            <w:pPr>
              <w:spacing w:after="0"/>
              <w:rPr>
                <w:sz w:val="17"/>
                <w:szCs w:val="17"/>
                <w:color w:val="auto"/>
              </w:rPr>
            </w:pPr>
          </w:p>
        </w:tc>
        <w:tc>
          <w:tcPr>
            <w:tcW w:w="560" w:type="dxa"/>
            <w:vAlign w:val="bottom"/>
            <w:gridSpan w:val="2"/>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7"/>
                <w:szCs w:val="17"/>
                <w:b w:val="1"/>
                <w:bCs w:val="1"/>
                <w:color w:val="0000FF"/>
              </w:rPr>
              <w:t>6</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2.</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Basis of Presentation</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6</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3.</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Revenue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7</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4.</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Earnings Per Share</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8</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5.</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Intangible Assets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9</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6.</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Accounts Payable and Other Accrued Expenses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9</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7.</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Accrued Compensation and Benefits</w:t>
            </w:r>
          </w:p>
        </w:tc>
        <w:tc>
          <w:tcPr>
            <w:tcW w:w="680" w:type="dxa"/>
            <w:vAlign w:val="bottom"/>
            <w:gridSpan w:val="4"/>
          </w:tcPr>
          <w:p>
            <w:pPr>
              <w:jc w:val="center"/>
              <w:ind w:left="454"/>
              <w:spacing w:after="0"/>
              <w:rPr>
                <w:sz w:val="20"/>
                <w:szCs w:val="20"/>
                <w:color w:val="auto"/>
              </w:rPr>
            </w:pPr>
            <w:r>
              <w:rPr>
                <w:rFonts w:ascii="Times New Roman" w:cs="Times New Roman" w:eastAsia="Times New Roman" w:hAnsi="Times New Roman"/>
                <w:sz w:val="17"/>
                <w:szCs w:val="17"/>
                <w:b w:val="1"/>
                <w:bCs w:val="1"/>
                <w:color w:val="0000FF"/>
              </w:rPr>
              <w:t>9</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000FF"/>
              </w:rPr>
              <w:t>8.</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Debt</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36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50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0E32E1"/>
              </w:rPr>
              <w:t>9.</w:t>
            </w:r>
          </w:p>
        </w:tc>
        <w:tc>
          <w:tcPr>
            <w:tcW w:w="86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Income Taxes</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10</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E32E1"/>
            </w:tcBorders>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10. Accumulated Other Comprehensive Income / (Loss)</w:t>
            </w:r>
          </w:p>
        </w:tc>
        <w:tc>
          <w:tcPr>
            <w:tcW w:w="3940" w:type="dxa"/>
            <w:vAlign w:val="bottom"/>
          </w:tcPr>
          <w:p>
            <w:pPr>
              <w:spacing w:after="0"/>
              <w:rPr>
                <w:sz w:val="17"/>
                <w:szCs w:val="17"/>
                <w:color w:val="auto"/>
              </w:rPr>
            </w:pP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120" w:type="dxa"/>
            <w:vAlign w:val="bottom"/>
            <w:gridSpan w:val="9"/>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4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0000FF"/>
                <w:w w:val="98"/>
              </w:rPr>
              <w:t>11. Fair Value Measurements</w:t>
            </w:r>
          </w:p>
        </w:tc>
        <w:tc>
          <w:tcPr>
            <w:tcW w:w="2660" w:type="dxa"/>
            <w:vAlign w:val="bottom"/>
            <w:gridSpan w:val="11"/>
          </w:tcPr>
          <w:p>
            <w:pPr>
              <w:spacing w:after="0"/>
              <w:rPr>
                <w:sz w:val="17"/>
                <w:szCs w:val="17"/>
                <w:color w:val="auto"/>
              </w:rPr>
            </w:pPr>
          </w:p>
        </w:tc>
        <w:tc>
          <w:tcPr>
            <w:tcW w:w="3940" w:type="dxa"/>
            <w:vAlign w:val="bottom"/>
          </w:tcPr>
          <w:p>
            <w:pPr>
              <w:spacing w:after="0"/>
              <w:rPr>
                <w:sz w:val="17"/>
                <w:szCs w:val="17"/>
                <w:color w:val="auto"/>
              </w:rPr>
            </w:pPr>
          </w:p>
        </w:tc>
        <w:tc>
          <w:tcPr>
            <w:tcW w:w="680" w:type="dxa"/>
            <w:vAlign w:val="bottom"/>
            <w:gridSpan w:val="4"/>
          </w:tcPr>
          <w:p>
            <w:pPr>
              <w:jc w:val="center"/>
              <w:ind w:left="434"/>
              <w:spacing w:after="0"/>
              <w:rPr>
                <w:sz w:val="20"/>
                <w:szCs w:val="20"/>
                <w:color w:val="auto"/>
              </w:rPr>
            </w:pPr>
            <w:r>
              <w:rPr>
                <w:rFonts w:ascii="Times New Roman" w:cs="Times New Roman" w:eastAsia="Times New Roman" w:hAnsi="Times New Roman"/>
                <w:sz w:val="17"/>
                <w:szCs w:val="17"/>
                <w:b w:val="1"/>
                <w:bCs w:val="1"/>
                <w:color w:val="0000FF"/>
                <w:w w:val="93"/>
              </w:rPr>
              <w:t>11</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40" w:type="dxa"/>
            <w:vAlign w:val="bottom"/>
            <w:gridSpan w:val="10"/>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7"/>
                <w:szCs w:val="17"/>
                <w:b w:val="1"/>
                <w:bCs w:val="1"/>
                <w:color w:val="0000FF"/>
              </w:rPr>
              <w:t>12. Commitments and Contingencies</w:t>
            </w:r>
          </w:p>
        </w:tc>
        <w:tc>
          <w:tcPr>
            <w:tcW w:w="3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0000FF"/>
                <w:w w:val="93"/>
              </w:rPr>
              <w:t>13</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04"/>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740" w:type="dxa"/>
            <w:vAlign w:val="bottom"/>
            <w:gridSpan w:val="22"/>
          </w:tcPr>
          <w:p>
            <w:pPr>
              <w:spacing w:after="0"/>
              <w:rPr>
                <w:sz w:val="20"/>
                <w:szCs w:val="20"/>
                <w:color w:val="auto"/>
              </w:rPr>
            </w:pPr>
            <w:r>
              <w:rPr>
                <w:rFonts w:ascii="Times New Roman" w:cs="Times New Roman" w:eastAsia="Times New Roman" w:hAnsi="Times New Roman"/>
                <w:sz w:val="17"/>
                <w:szCs w:val="17"/>
                <w:b w:val="1"/>
                <w:bCs w:val="1"/>
                <w:color w:val="0000FF"/>
              </w:rPr>
              <w:t>13. Supplemental Condensed Consolidated Financial Information</w:t>
            </w:r>
          </w:p>
        </w:tc>
        <w:tc>
          <w:tcPr>
            <w:tcW w:w="680" w:type="dxa"/>
            <w:vAlign w:val="bottom"/>
            <w:gridSpan w:val="4"/>
          </w:tcPr>
          <w:p>
            <w:pPr>
              <w:jc w:val="center"/>
              <w:ind w:left="414"/>
              <w:spacing w:after="0"/>
              <w:rPr>
                <w:sz w:val="20"/>
                <w:szCs w:val="20"/>
                <w:color w:val="auto"/>
              </w:rPr>
            </w:pPr>
            <w:r>
              <w:rPr>
                <w:rFonts w:ascii="Times New Roman" w:cs="Times New Roman" w:eastAsia="Times New Roman" w:hAnsi="Times New Roman"/>
                <w:sz w:val="17"/>
                <w:szCs w:val="17"/>
                <w:b w:val="1"/>
                <w:bCs w:val="1"/>
                <w:color w:val="0000FF"/>
              </w:rPr>
              <w:t>13</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958"/>
        </w:trPr>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4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6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(Amounts in millions, except share and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7"/>
                <w:szCs w:val="17"/>
                <w:color w:val="auto"/>
              </w:rPr>
            </w:pPr>
          </w:p>
        </w:tc>
        <w:tc>
          <w:tcPr>
            <w:tcW w:w="124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1"/>
        </w:trPr>
        <w:tc>
          <w:tcPr>
            <w:tcW w:w="8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24"/>
        </w:trPr>
        <w:tc>
          <w:tcPr>
            <w:tcW w:w="8200" w:type="dxa"/>
            <w:vAlign w:val="bottom"/>
            <w:vMerge w:val="restart"/>
          </w:tcPr>
          <w:p>
            <w:pPr>
              <w:ind w:left="378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19"/>
                <w:szCs w:val="19"/>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c>
          <w:tcPr>
            <w:tcW w:w="0" w:type="dxa"/>
            <w:vAlign w:val="bottom"/>
          </w:tcPr>
          <w:p>
            <w:pPr>
              <w:spacing w:after="0"/>
              <w:rPr>
                <w:sz w:val="1"/>
                <w:szCs w:val="1"/>
                <w:color w:val="auto"/>
              </w:rPr>
            </w:pPr>
          </w:p>
        </w:tc>
      </w:tr>
      <w:tr>
        <w:trPr>
          <w:trHeight w:val="220"/>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13"/>
        </w:trPr>
        <w:tc>
          <w:tcPr>
            <w:tcW w:w="8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3,313</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 of accumulated amortization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shd w:val="clear" w:color="auto" w:fill="CCEEFF"/>
          </w:tcPr>
          <w:p>
            <w:pPr>
              <w:ind w:left="2220"/>
              <w:spacing w:after="0" w:line="18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13"/>
        </w:trPr>
        <w:tc>
          <w:tcPr>
            <w:tcW w:w="82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6,309</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Common stock, Class A - $0.01 par value - authorized: 600,000,000 shares;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200" w:type="dxa"/>
            <w:vAlign w:val="bottom"/>
            <w:shd w:val="clear" w:color="auto" w:fill="CCEEFF"/>
          </w:tcPr>
          <w:p>
            <w:pPr>
              <w:ind w:left="340"/>
              <w:spacing w:after="0" w:line="168" w:lineRule="exact"/>
              <w:rPr>
                <w:sz w:val="20"/>
                <w:szCs w:val="20"/>
                <w:color w:val="auto"/>
              </w:rPr>
            </w:pPr>
            <w:r>
              <w:rPr>
                <w:rFonts w:ascii="Times New Roman" w:cs="Times New Roman" w:eastAsia="Times New Roman" w:hAnsi="Times New Roman"/>
                <w:sz w:val="17"/>
                <w:szCs w:val="17"/>
                <w:color w:val="auto"/>
              </w:rPr>
              <w:t>issued: 168,850,097 and 168,522,544 shares at June 30, 2025 and March 31, 2025, respectively; outstanding:</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123,708,985 and 124,879,004 shares at June 30, 2025 and March 31, 2025, respectively</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 at cost - 45,141,112 and 43,643,540 shares at June 30, 2025 and March 31, 2025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0" w:type="dxa"/>
            <w:vAlign w:val="bottom"/>
          </w:tcPr>
          <w:p>
            <w:pPr>
              <w:spacing w:after="0"/>
              <w:rPr>
                <w:sz w:val="1"/>
                <w:szCs w:val="1"/>
                <w:color w:val="auto"/>
              </w:rPr>
            </w:pPr>
          </w:p>
        </w:tc>
      </w:tr>
      <w:tr>
        <w:trPr>
          <w:trHeight w:val="220"/>
        </w:trPr>
        <w:tc>
          <w:tcPr>
            <w:tcW w:w="8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0" w:type="dxa"/>
            <w:vAlign w:val="bottom"/>
          </w:tcPr>
          <w:p>
            <w:pPr>
              <w:spacing w:after="0"/>
              <w:rPr>
                <w:sz w:val="1"/>
                <w:szCs w:val="1"/>
                <w:color w:val="auto"/>
              </w:rPr>
            </w:pPr>
          </w:p>
        </w:tc>
      </w:tr>
      <w:tr>
        <w:trPr>
          <w:trHeight w:val="220"/>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1,003</w:t>
            </w:r>
          </w:p>
        </w:tc>
        <w:tc>
          <w:tcPr>
            <w:tcW w:w="0" w:type="dxa"/>
            <w:vAlign w:val="bottom"/>
          </w:tcPr>
          <w:p>
            <w:pPr>
              <w:spacing w:after="0"/>
              <w:rPr>
                <w:sz w:val="1"/>
                <w:szCs w:val="1"/>
                <w:color w:val="auto"/>
              </w:rPr>
            </w:pPr>
          </w:p>
        </w:tc>
      </w:tr>
      <w:tr>
        <w:trPr>
          <w:trHeight w:val="238"/>
        </w:trPr>
        <w:tc>
          <w:tcPr>
            <w:tcW w:w="82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354"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35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4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12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2140" w:type="dxa"/>
            <w:vAlign w:val="bottom"/>
          </w:tcPr>
          <w:p>
            <w:pPr>
              <w:spacing w:after="0"/>
              <w:rPr>
                <w:sz w:val="24"/>
                <w:szCs w:val="24"/>
                <w:color w:val="auto"/>
              </w:rPr>
            </w:pPr>
          </w:p>
        </w:tc>
        <w:tc>
          <w:tcPr>
            <w:tcW w:w="5520" w:type="dxa"/>
            <w:vAlign w:val="bottom"/>
            <w:gridSpan w:val="2"/>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660" w:type="dxa"/>
            <w:vAlign w:val="bottom"/>
            <w:gridSpan w:val="3"/>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520" w:type="dxa"/>
            <w:vAlign w:val="bottom"/>
            <w:gridSpan w:val="2"/>
          </w:tcPr>
          <w:p>
            <w:pPr>
              <w:jc w:val="right"/>
              <w:ind w:right="28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5520" w:type="dxa"/>
            <w:vAlign w:val="bottom"/>
            <w:gridSpan w:val="2"/>
          </w:tcPr>
          <w:p>
            <w:pPr>
              <w:jc w:val="right"/>
              <w:ind w:right="1714"/>
              <w:spacing w:after="0"/>
              <w:rPr>
                <w:sz w:val="20"/>
                <w:szCs w:val="20"/>
                <w:color w:val="auto"/>
              </w:rPr>
            </w:pPr>
            <w:r>
              <w:rPr>
                <w:rFonts w:ascii="Times New Roman" w:cs="Times New Roman" w:eastAsia="Times New Roman" w:hAnsi="Times New Roman"/>
                <w:sz w:val="17"/>
                <w:szCs w:val="17"/>
                <w:b w:val="1"/>
                <w:bCs w:val="1"/>
                <w:color w:val="auto"/>
              </w:rPr>
              <w:t>(Amounts in millions, except per share data)</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500" w:type="dxa"/>
            <w:vAlign w:val="bottom"/>
            <w:gridSpan w:val="4"/>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2,942</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4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Cost of revenue</w:t>
            </w:r>
          </w:p>
        </w:tc>
        <w:tc>
          <w:tcPr>
            <w:tcW w:w="4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Billable expenses</w:t>
            </w:r>
          </w:p>
        </w:tc>
        <w:tc>
          <w:tcPr>
            <w:tcW w:w="4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5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4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45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4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45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3"/>
        </w:trPr>
        <w:tc>
          <w:tcPr>
            <w:tcW w:w="120" w:type="dxa"/>
            <w:vAlign w:val="bottom"/>
          </w:tcPr>
          <w:p>
            <w:pPr>
              <w:spacing w:after="0"/>
              <w:rPr>
                <w:sz w:val="18"/>
                <w:szCs w:val="18"/>
                <w:color w:val="auto"/>
              </w:rPr>
            </w:pPr>
          </w:p>
        </w:tc>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20"/>
        </w:trPr>
        <w:tc>
          <w:tcPr>
            <w:tcW w:w="120" w:type="dxa"/>
            <w:vAlign w:val="bottom"/>
          </w:tcPr>
          <w:p>
            <w:pPr>
              <w:spacing w:after="0"/>
              <w:rPr>
                <w:sz w:val="19"/>
                <w:szCs w:val="19"/>
                <w:color w:val="auto"/>
              </w:rPr>
            </w:pPr>
          </w:p>
        </w:tc>
        <w:tc>
          <w:tcPr>
            <w:tcW w:w="3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45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4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Earnings per share of common stock (Note 4):</w:t>
            </w:r>
          </w:p>
        </w:tc>
        <w:tc>
          <w:tcPr>
            <w:tcW w:w="4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3420" w:type="dxa"/>
            <w:vAlign w:val="bottom"/>
            <w:gridSpan w:val="2"/>
            <w:vMerge w:val="continue"/>
          </w:tcPr>
          <w:p>
            <w:pPr>
              <w:spacing w:after="0"/>
              <w:rPr>
                <w:sz w:val="14"/>
                <w:szCs w:val="14"/>
                <w:color w:val="auto"/>
              </w:rPr>
            </w:pPr>
          </w:p>
        </w:tc>
        <w:tc>
          <w:tcPr>
            <w:tcW w:w="4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4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55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20" w:type="dxa"/>
            <w:vAlign w:val="bottom"/>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45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5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320" w:top="346"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8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577"/>
        </w:trPr>
        <w:tc>
          <w:tcPr>
            <w:tcW w:w="18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66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59"/>
        </w:trPr>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680" w:type="dxa"/>
            <w:vAlign w:val="bottom"/>
            <w:gridSpan w:val="2"/>
          </w:tcPr>
          <w:p>
            <w:pPr>
              <w:jc w:val="center"/>
              <w:ind w:left="67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9"/>
        </w:trPr>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60" w:type="dxa"/>
            <w:vAlign w:val="bottom"/>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9"/>
        </w:trPr>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660" w:type="dxa"/>
            <w:vAlign w:val="bottom"/>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(Amounts in millions)</w:t>
            </w: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85"/>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580" w:type="dxa"/>
            <w:vAlign w:val="bottom"/>
            <w:gridSpan w:val="4"/>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24"/>
                <w:szCs w:val="24"/>
                <w:color w:val="auto"/>
              </w:rPr>
            </w:pPr>
          </w:p>
        </w:tc>
      </w:tr>
      <w:tr>
        <w:trPr>
          <w:trHeight w:val="231"/>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40" w:type="dxa"/>
            <w:vAlign w:val="bottom"/>
            <w:tcBorders>
              <w:bottom w:val="single" w:sz="8" w:color="auto"/>
            </w:tcBorders>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440" w:type="dxa"/>
            <w:vAlign w:val="bottom"/>
            <w:tcBorders>
              <w:bottom w:val="single" w:sz="8" w:color="auto"/>
            </w:tcBorders>
          </w:tcPr>
          <w:p>
            <w:pPr>
              <w:spacing w:after="0"/>
              <w:rPr>
                <w:sz w:val="18"/>
                <w:szCs w:val="18"/>
                <w:color w:val="auto"/>
              </w:rPr>
            </w:pPr>
          </w:p>
        </w:tc>
      </w:tr>
      <w:tr>
        <w:trPr>
          <w:trHeight w:val="213"/>
        </w:trPr>
        <w:tc>
          <w:tcPr>
            <w:tcW w:w="18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r>
      <w:tr>
        <w:trPr>
          <w:trHeight w:val="220"/>
        </w:trPr>
        <w:tc>
          <w:tcPr>
            <w:tcW w:w="180" w:type="dxa"/>
            <w:vAlign w:val="bottom"/>
          </w:tcPr>
          <w:p>
            <w:pPr>
              <w:spacing w:after="0"/>
              <w:rPr>
                <w:sz w:val="19"/>
                <w:szCs w:val="19"/>
                <w:color w:val="auto"/>
              </w:rPr>
            </w:pPr>
          </w:p>
        </w:tc>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0"/>
        </w:trPr>
        <w:tc>
          <w:tcPr>
            <w:tcW w:w="180" w:type="dxa"/>
            <w:vAlign w:val="bottom"/>
          </w:tcPr>
          <w:p>
            <w:pPr>
              <w:spacing w:after="0"/>
              <w:rPr>
                <w:sz w:val="19"/>
                <w:szCs w:val="19"/>
                <w:color w:val="auto"/>
              </w:rPr>
            </w:pPr>
          </w:p>
        </w:tc>
        <w:tc>
          <w:tcPr>
            <w:tcW w:w="7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 in unrealized loss on derivatives designated as cash flow hedges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180" w:type="dxa"/>
            <w:vAlign w:val="bottom"/>
          </w:tcPr>
          <w:p>
            <w:pPr>
              <w:spacing w:after="0"/>
              <w:rPr>
                <w:sz w:val="18"/>
                <w:szCs w:val="18"/>
                <w:color w:val="auto"/>
              </w:rPr>
            </w:pPr>
          </w:p>
        </w:tc>
        <w:tc>
          <w:tcPr>
            <w:tcW w:w="78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7"/>
                <w:szCs w:val="17"/>
                <w:color w:val="auto"/>
              </w:rPr>
              <w:t>Total other comprehensive loss, net of tax</w:t>
            </w:r>
          </w:p>
        </w:tc>
        <w:tc>
          <w:tcPr>
            <w:tcW w:w="10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180" w:type="dxa"/>
            <w:vAlign w:val="bottom"/>
          </w:tcPr>
          <w:p>
            <w:pPr>
              <w:spacing w:after="0"/>
              <w:rPr>
                <w:sz w:val="20"/>
                <w:szCs w:val="20"/>
                <w:color w:val="auto"/>
              </w:rPr>
            </w:pPr>
          </w:p>
        </w:tc>
        <w:tc>
          <w:tcPr>
            <w:tcW w:w="78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Comprehensive income</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20"/>
        </w:trPr>
        <w:tc>
          <w:tcPr>
            <w:tcW w:w="18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080"/>
          </w:cols>
          <w:pgMar w:left="320" w:top="346" w:right="4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8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7"/>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3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820" w:type="dxa"/>
            <w:vAlign w:val="bottom"/>
          </w:tcPr>
          <w:p>
            <w:pPr>
              <w:jc w:val="center"/>
              <w:ind w:left="155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millions)</w:t>
            </w:r>
          </w:p>
        </w:tc>
        <w:tc>
          <w:tcPr>
            <w:tcW w:w="254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200" w:type="dxa"/>
            <w:vAlign w:val="bottom"/>
            <w:gridSpan w:val="2"/>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68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Noncash lease expense</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Net (gains) losses on investments, dispositions, and other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Deferred income taxes and income taxes receivable / payable</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Prepaid expenses and other current and long-term assets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7"/>
                <w:szCs w:val="17"/>
                <w:color w:val="auto"/>
              </w:rPr>
              <w:t>Other current and long-term liabilities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Purchases of property, equipment, and software</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Payments for business acquisitions and dispositions, net of cash acquired</w:t>
            </w:r>
          </w:p>
        </w:tc>
        <w:tc>
          <w:tcPr>
            <w:tcW w:w="9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Payments for cost method investments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Proceeds from issuance of common stock</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Cash dividends paid</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Repayments on revolving credit facility, term loans, and Senior Notes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9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98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82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paid during the period for:</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Interest</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Income taxes</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Supplemental disclosures of non-cash investing and financing activities:</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Share repurchases transacted but not settled and paid</w:t>
            </w:r>
          </w:p>
        </w:tc>
        <w:tc>
          <w:tcPr>
            <w:tcW w:w="98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Unpaid property, equipment, and software purchases</w:t>
            </w:r>
          </w:p>
        </w:tc>
        <w:tc>
          <w:tcPr>
            <w:tcW w:w="98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19"/>
                <w:szCs w:val="19"/>
                <w:color w:val="auto"/>
              </w:rPr>
            </w:pP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2" w:lineRule="exact"/>
        <w:rPr>
          <w:sz w:val="20"/>
          <w:szCs w:val="20"/>
          <w:color w:val="auto"/>
        </w:rPr>
      </w:pPr>
    </w:p>
    <w:p>
      <w:pPr>
        <w:jc w:val="center"/>
        <w:ind w:left="1160"/>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jc w:val="center"/>
        <w:ind w:left="1160"/>
        <w:spacing w:after="0" w:line="222" w:lineRule="auto"/>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(Amounts in millions, except share</w:t>
            </w:r>
          </w:p>
        </w:tc>
        <w:tc>
          <w:tcPr>
            <w:tcW w:w="1960" w:type="dxa"/>
            <w:vAlign w:val="bottom"/>
            <w:gridSpan w:val="5"/>
            <w:vMerge w:val="restart"/>
          </w:tcPr>
          <w:p>
            <w:pPr>
              <w:ind w:left="660"/>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1980" w:type="dxa"/>
            <w:vAlign w:val="bottom"/>
            <w:gridSpan w:val="5"/>
            <w:vMerge w:val="restart"/>
          </w:tcPr>
          <w:p>
            <w:pPr>
              <w:ind w:left="620"/>
              <w:spacing w:after="0"/>
              <w:rPr>
                <w:sz w:val="20"/>
                <w:szCs w:val="20"/>
                <w:color w:val="auto"/>
              </w:rPr>
            </w:pPr>
            <w:r>
              <w:rPr>
                <w:rFonts w:ascii="Times New Roman" w:cs="Times New Roman" w:eastAsia="Times New Roman" w:hAnsi="Times New Roman"/>
                <w:sz w:val="17"/>
                <w:szCs w:val="17"/>
                <w:b w:val="1"/>
                <w:bCs w:val="1"/>
                <w:color w:val="auto"/>
              </w:rPr>
              <w:t>Treasury</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2940" w:type="dxa"/>
            <w:vAlign w:val="bottom"/>
            <w:vMerge w:val="continue"/>
          </w:tcPr>
          <w:p>
            <w:pPr>
              <w:spacing w:after="0"/>
              <w:rPr>
                <w:sz w:val="9"/>
                <w:szCs w:val="9"/>
                <w:color w:val="auto"/>
              </w:rPr>
            </w:pPr>
          </w:p>
        </w:tc>
        <w:tc>
          <w:tcPr>
            <w:tcW w:w="1960" w:type="dxa"/>
            <w:vAlign w:val="bottom"/>
            <w:gridSpan w:val="5"/>
            <w:vMerge w:val="continue"/>
          </w:tcPr>
          <w:p>
            <w:pPr>
              <w:spacing w:after="0"/>
              <w:rPr>
                <w:sz w:val="9"/>
                <w:szCs w:val="9"/>
                <w:color w:val="auto"/>
              </w:rPr>
            </w:pPr>
          </w:p>
        </w:tc>
        <w:tc>
          <w:tcPr>
            <w:tcW w:w="1980" w:type="dxa"/>
            <w:vAlign w:val="bottom"/>
            <w:gridSpan w:val="5"/>
            <w:vMerge w:val="continue"/>
          </w:tcPr>
          <w:p>
            <w:pPr>
              <w:spacing w:after="0"/>
              <w:rPr>
                <w:sz w:val="9"/>
                <w:szCs w:val="9"/>
                <w:color w:val="auto"/>
              </w:rPr>
            </w:pPr>
          </w:p>
        </w:tc>
        <w:tc>
          <w:tcPr>
            <w:tcW w:w="920" w:type="dxa"/>
            <w:vAlign w:val="bottom"/>
            <w:gridSpan w:val="3"/>
            <w:vMerge w:val="restart"/>
          </w:tcPr>
          <w:p>
            <w:pPr>
              <w:ind w:left="20"/>
              <w:spacing w:after="0" w:line="168"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68" w:lineRule="exact"/>
              <w:rPr>
                <w:sz w:val="20"/>
                <w:szCs w:val="20"/>
                <w:color w:val="auto"/>
              </w:rPr>
            </w:pPr>
            <w:r>
              <w:rPr>
                <w:rFonts w:ascii="Times New Roman" w:cs="Times New Roman" w:eastAsia="Times New Roman" w:hAnsi="Times New Roman"/>
                <w:sz w:val="17"/>
                <w:szCs w:val="17"/>
                <w:b w:val="1"/>
                <w:bCs w:val="1"/>
                <w:color w:val="auto"/>
              </w:rPr>
              <w:t>Other</w:t>
            </w:r>
          </w:p>
        </w:tc>
        <w:tc>
          <w:tcPr>
            <w:tcW w:w="620" w:type="dxa"/>
            <w:vAlign w:val="bottom"/>
            <w:vMerge w:val="restart"/>
          </w:tcPr>
          <w:p>
            <w:pPr>
              <w:ind w:left="340"/>
              <w:spacing w:after="0" w:line="168" w:lineRule="exact"/>
              <w:rPr>
                <w:sz w:val="20"/>
                <w:szCs w:val="20"/>
                <w:color w:val="auto"/>
              </w:rPr>
            </w:pPr>
            <w:r>
              <w:rPr>
                <w:rFonts w:ascii="Times New Roman" w:cs="Times New Roman" w:eastAsia="Times New Roman" w:hAnsi="Times New Roman"/>
                <w:sz w:val="17"/>
                <w:szCs w:val="17"/>
                <w:b w:val="1"/>
                <w:bCs w:val="1"/>
                <w:color w:val="auto"/>
              </w:rPr>
              <w:t>Tot</w:t>
            </w:r>
          </w:p>
        </w:tc>
        <w:tc>
          <w:tcPr>
            <w:tcW w:w="0" w:type="dxa"/>
            <w:vAlign w:val="bottom"/>
          </w:tcPr>
          <w:p>
            <w:pPr>
              <w:spacing w:after="0"/>
              <w:rPr>
                <w:sz w:val="1"/>
                <w:szCs w:val="1"/>
                <w:color w:val="auto"/>
              </w:rPr>
            </w:pPr>
          </w:p>
        </w:tc>
      </w:tr>
      <w:tr>
        <w:trPr>
          <w:trHeight w:val="65"/>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data)</w:t>
            </w:r>
          </w:p>
        </w:tc>
        <w:tc>
          <w:tcPr>
            <w:tcW w:w="1880" w:type="dxa"/>
            <w:vAlign w:val="bottom"/>
            <w:gridSpan w:val="4"/>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80" w:type="dxa"/>
            <w:vAlign w:val="bottom"/>
            <w:vMerge w:val="restart"/>
          </w:tcPr>
          <w:p>
            <w:pPr>
              <w:spacing w:after="0"/>
              <w:rPr>
                <w:sz w:val="5"/>
                <w:szCs w:val="5"/>
                <w:color w:val="auto"/>
              </w:rPr>
            </w:pPr>
          </w:p>
        </w:tc>
        <w:tc>
          <w:tcPr>
            <w:tcW w:w="1900" w:type="dxa"/>
            <w:vAlign w:val="bottom"/>
            <w:gridSpan w:val="4"/>
            <w:vMerge w:val="restart"/>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Stock</w:t>
            </w:r>
          </w:p>
        </w:tc>
        <w:tc>
          <w:tcPr>
            <w:tcW w:w="80" w:type="dxa"/>
            <w:vAlign w:val="bottom"/>
            <w:vMerge w:val="restart"/>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940" w:type="dxa"/>
            <w:vAlign w:val="bottom"/>
            <w:vMerge w:val="continue"/>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Paid-In</w:t>
            </w:r>
          </w:p>
        </w:tc>
        <w:tc>
          <w:tcPr>
            <w:tcW w:w="120" w:type="dxa"/>
            <w:vAlign w:val="bottom"/>
          </w:tcPr>
          <w:p>
            <w:pPr>
              <w:spacing w:after="0"/>
              <w:rPr>
                <w:sz w:val="13"/>
                <w:szCs w:val="13"/>
                <w:color w:val="auto"/>
              </w:rPr>
            </w:pPr>
          </w:p>
        </w:tc>
        <w:tc>
          <w:tcPr>
            <w:tcW w:w="9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Retained</w:t>
            </w:r>
          </w:p>
        </w:tc>
        <w:tc>
          <w:tcPr>
            <w:tcW w:w="12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620" w:type="dxa"/>
            <w:vAlign w:val="bottom"/>
          </w:tcPr>
          <w:p>
            <w:pPr>
              <w:ind w:left="20"/>
              <w:spacing w:after="0" w:line="156" w:lineRule="exact"/>
              <w:rPr>
                <w:sz w:val="20"/>
                <w:szCs w:val="20"/>
                <w:color w:val="auto"/>
              </w:rPr>
            </w:pPr>
            <w:r>
              <w:rPr>
                <w:rFonts w:ascii="Times New Roman" w:cs="Times New Roman" w:eastAsia="Times New Roman" w:hAnsi="Times New Roman"/>
                <w:sz w:val="17"/>
                <w:szCs w:val="17"/>
                <w:b w:val="1"/>
                <w:bCs w:val="1"/>
                <w:color w:val="auto"/>
                <w:w w:val="98"/>
              </w:rPr>
              <w:t>Stockho</w:t>
            </w:r>
          </w:p>
        </w:tc>
        <w:tc>
          <w:tcPr>
            <w:tcW w:w="0" w:type="dxa"/>
            <w:vAlign w:val="bottom"/>
          </w:tcPr>
          <w:p>
            <w:pPr>
              <w:spacing w:after="0"/>
              <w:rPr>
                <w:sz w:val="1"/>
                <w:szCs w:val="1"/>
                <w:color w:val="auto"/>
              </w:rPr>
            </w:pPr>
          </w:p>
        </w:tc>
      </w:tr>
      <w:tr>
        <w:trPr>
          <w:trHeight w:val="226"/>
        </w:trPr>
        <w:tc>
          <w:tcPr>
            <w:tcW w:w="2940" w:type="dxa"/>
            <w:vAlign w:val="bottom"/>
          </w:tcPr>
          <w:p>
            <w:pPr>
              <w:spacing w:after="0"/>
              <w:rPr>
                <w:sz w:val="19"/>
                <w:szCs w:val="19"/>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6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w w:val="91"/>
              </w:rPr>
              <w:t>Equi</w:t>
            </w: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168,522,544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(43,643,540)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(1,497,572)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$0.55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168,850,097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(45,141,112)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294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167,402,268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(37,759,145)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options exercised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line="221" w:lineRule="exact"/>
              <w:rPr>
                <w:sz w:val="20"/>
                <w:szCs w:val="20"/>
                <w:color w:val="auto"/>
              </w:rPr>
            </w:pPr>
            <w:r>
              <w:rPr>
                <w:rFonts w:ascii="Times New Roman" w:cs="Times New Roman" w:eastAsia="Times New Roman" w:hAnsi="Times New Roman"/>
                <w:sz w:val="17"/>
                <w:szCs w:val="17"/>
                <w:color w:val="auto"/>
              </w:rPr>
              <w:t xml:space="preserve">Repurchase of common stock </w:t>
            </w:r>
            <w:r>
              <w:rPr>
                <w:rFonts w:ascii="Times New Roman" w:cs="Times New Roman" w:eastAsia="Times New Roman" w:hAnsi="Times New Roman"/>
                <w:sz w:val="22"/>
                <w:szCs w:val="22"/>
                <w:color w:val="auto"/>
                <w:vertAlign w:val="superscript"/>
              </w:rPr>
              <w:t>(2)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(595,585)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ind w:left="140"/>
              <w:spacing w:after="0" w:line="168" w:lineRule="exact"/>
              <w:rPr>
                <w:sz w:val="20"/>
                <w:szCs w:val="20"/>
                <w:color w:val="auto"/>
              </w:rPr>
            </w:pPr>
            <w:r>
              <w:rPr>
                <w:rFonts w:ascii="Times New Roman" w:cs="Times New Roman" w:eastAsia="Times New Roman" w:hAnsi="Times New Roman"/>
                <w:sz w:val="17"/>
                <w:szCs w:val="17"/>
                <w:color w:val="auto"/>
              </w:rPr>
              <w:t>Dividends paid of 0.51 per share of</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167,705,104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(38,354,730)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20" w:right="32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June 30, 2025, the Company purchased 1.4 million shares of the Company’s Class A Common Stock for $154 million. Additionally, the Company repurchased shares for $13 million during the three months ended June 30, 2025 to cover the minimum statutory taxes on repurchases and restricted stock units that vested on various dates during the period.</w:t>
      </w:r>
    </w:p>
    <w:p>
      <w:pPr>
        <w:spacing w:after="0" w:line="83" w:lineRule="exact"/>
        <w:rPr>
          <w:rFonts w:ascii="Times New Roman" w:cs="Times New Roman" w:eastAsia="Times New Roman" w:hAnsi="Times New Roman"/>
          <w:sz w:val="21"/>
          <w:szCs w:val="21"/>
          <w:color w:val="auto"/>
          <w:vertAlign w:val="superscript"/>
        </w:rPr>
      </w:pPr>
    </w:p>
    <w:p>
      <w:pPr>
        <w:jc w:val="both"/>
        <w:ind w:left="620" w:right="400" w:hanging="150"/>
        <w:spacing w:after="0" w:line="244" w:lineRule="auto"/>
        <w:tabs>
          <w:tab w:leader="none" w:pos="638" w:val="left"/>
        </w:tabs>
        <w:numPr>
          <w:ilvl w:val="0"/>
          <w:numId w:val="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During the three months ended June 30, 2024, the Company purchased 0.5 million shares of the Company’s Class A Common Stock for $78 million. Additionally, the Company repurchased shares for $12 million during the three months ended June 30, 2024 to cover the minimum statutory taxes on repurchases and restricted stock units that vested on various dates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354"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Business Overview</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Booz Allen Hamilton Holding Corporation, including its wholly owned subsidiaries, or the Company, we, us, and our, was incorporated in Delaware in May</w:t>
      </w:r>
    </w:p>
    <w:p>
      <w:pPr>
        <w:spacing w:after="0" w:line="19"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7"/>
          <w:szCs w:val="17"/>
          <w:color w:val="auto"/>
        </w:rPr>
        <w:t>2008. As an advanced technology company, the Company builds technology solutions using artificial intelligence (“AI”), cyber, and other cutting-edge technologies to advance and protect the nation and its citizens. The Company supports critical missions for a diverse base of federal government customers, including nearly all of the U.S. government’s cabinet-level departments, as well as for commercial customers, both domestically and in select international locations. The Company is headquartered in McLean, Virginia, with approximately 33,400 employees as of June 30, 2025, and reports operating results and financial data in one reportable segment.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w:t>
      </w:r>
    </w:p>
    <w:p>
      <w:pPr>
        <w:spacing w:after="0" w:line="118" w:lineRule="exact"/>
        <w:rPr>
          <w:sz w:val="20"/>
          <w:szCs w:val="20"/>
          <w:color w:val="auto"/>
        </w:rPr>
      </w:pPr>
    </w:p>
    <w:p>
      <w:pPr>
        <w:ind w:firstLine="389"/>
        <w:spacing w:after="0" w:line="259"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and should be read in conjunction with the information contained in the Company's Annual Report on Form 10-K for the year ended March 31, 2025. The interim period unaudited condensed consolidated financial statements are presented as described below. Certain information and disclosures normally required for annual financial statements have been condensed or omitted pursuant to U.S. GAAP and SEC rules and regulations. In the opinion of management, all adjustments considered necessary for fair presentation of the results of the interim periods presented have been included. The Company’s fiscal year ends on March 31 and, unless otherwise noted, references to fiscal year or fiscal are for fiscal years ended March 31. The results of operations for the three months ended June 30, 2025 are not necessarily indicative of results to be expected for the full fiscal year.</w:t>
      </w:r>
    </w:p>
    <w:p>
      <w:pPr>
        <w:spacing w:after="0" w:line="72" w:lineRule="exact"/>
        <w:rPr>
          <w:sz w:val="20"/>
          <w:szCs w:val="20"/>
          <w:color w:val="auto"/>
        </w:rPr>
      </w:pPr>
    </w:p>
    <w:p>
      <w:pPr>
        <w:jc w:val="both"/>
        <w:ind w:right="220" w:firstLine="389"/>
        <w:spacing w:after="0" w:line="273" w:lineRule="auto"/>
        <w:rPr>
          <w:sz w:val="20"/>
          <w:szCs w:val="20"/>
          <w:color w:val="auto"/>
        </w:rPr>
      </w:pPr>
      <w:r>
        <w:rPr>
          <w:rFonts w:ascii="Times New Roman" w:cs="Times New Roman" w:eastAsia="Times New Roman" w:hAnsi="Times New Roman"/>
          <w:sz w:val="17"/>
          <w:szCs w:val="17"/>
          <w:color w:val="auto"/>
        </w:rPr>
        <w:t>Certain amounts reported in the Company's prior fiscal year condensed consolidated financial statements have been reclassified to conform to the current year presentation, including the reclassification of interest income for fiscal 2025 from “Other income (loss), net” into “Interest expense, net” on the condensed consolidated statement of operations. There are no changes to the Company’s financial position or results of operations as a result of this reclassification.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Investments</w:t>
      </w:r>
    </w:p>
    <w:p>
      <w:pPr>
        <w:spacing w:after="0" w:line="6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As of June 30, 2025 and March 31, 2025, respectively, the total of equity and other investments related to unconsolidated entities included in other long term assets of the Company’s condensed consolidated balance sheet were $105 million and $90 million.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Estimates</w:t>
      </w:r>
    </w:p>
    <w:p>
      <w:pPr>
        <w:spacing w:after="0" w:line="68" w:lineRule="exact"/>
        <w:rPr>
          <w:sz w:val="20"/>
          <w:szCs w:val="20"/>
          <w:color w:val="auto"/>
        </w:rPr>
      </w:pPr>
    </w:p>
    <w:p>
      <w:pPr>
        <w:ind w:right="40" w:firstLine="389"/>
        <w:spacing w:after="0" w:line="26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historical and forward-looking assumptions that it believes are reasonable and appropriate. Actual results may differ materially from those estimates. Estimates are used for, but not limited to, revenue recognition including the profitability of long-term contracts and cost accruals, the provision for claimed costs, fair value measurements, the valuation and expected lives of acquired intangible assets, incentive compensation, income taxes including reserves for uncertain tax positions, postretirement obligations and contingencies. See Note 2, “Summary of Significant Accounting Policies” to the Company’s consolidated financial statements included in the Annual Report on Form 10-K for the year ended March 31, 2025 for further details on significant estimates and assumptions used.</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66" w:lineRule="exact"/>
        <w:rPr>
          <w:sz w:val="20"/>
          <w:szCs w:val="20"/>
          <w:color w:val="auto"/>
        </w:rPr>
      </w:pPr>
    </w:p>
    <w:p>
      <w:pPr>
        <w:ind w:right="80" w:firstLine="389"/>
        <w:spacing w:after="0" w:line="267"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The standard includes amendments that enhance annual income tax disclosures, primarily through standardization and disaggregation of rate reconciliation categories and income taxes paid by jurisdiction. The Company is required to adopt this standard in its Fiscal 2026 Form 10-K, and does not expect it to have a material impact on its consolidated financial statements and related disclosures.</w:t>
      </w:r>
    </w:p>
    <w:p>
      <w:pPr>
        <w:spacing w:after="0" w:line="12" w:lineRule="exact"/>
        <w:rPr>
          <w:sz w:val="20"/>
          <w:szCs w:val="20"/>
          <w:color w:val="auto"/>
        </w:rPr>
      </w:pPr>
    </w:p>
    <w:p>
      <w:pPr>
        <w:ind w:right="120" w:firstLine="389"/>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financial conditions or results of operations.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Revenue</w:t>
      </w:r>
    </w:p>
    <w:p>
      <w:pPr>
        <w:spacing w:after="0" w:line="66"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ectPr>
          <w:pgSz w:w="11900" w:h="16838" w:orient="portrait"/>
          <w:cols w:equalWidth="0" w:num="1">
            <w:col w:w="11160"/>
          </w:cols>
          <w:pgMar w:left="320" w:top="121" w:right="419" w:bottom="1440" w:gutter="0" w:footer="0" w:header="0"/>
        </w:sectPr>
      </w:pP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by Contract Type:</w:t>
      </w:r>
    </w:p>
    <w:p>
      <w:pPr>
        <w:spacing w:after="0" w:line="200" w:lineRule="exact"/>
        <w:rPr>
          <w:sz w:val="20"/>
          <w:szCs w:val="20"/>
          <w:color w:val="auto"/>
        </w:rPr>
      </w:pPr>
    </w:p>
    <w:p>
      <w:pPr>
        <w:spacing w:after="0" w:line="2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Cost-reimbursable</w:t>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Time-and-materials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Fixed-price</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Total Revenue</w:t>
      </w: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Revenue by Customer Type </w:t>
      </w:r>
      <w:r>
        <w:rPr>
          <w:rFonts w:ascii="Times New Roman" w:cs="Times New Roman" w:eastAsia="Times New Roman" w:hAnsi="Times New Roman"/>
          <w:sz w:val="20"/>
          <w:szCs w:val="20"/>
          <w:b w:val="1"/>
          <w:bCs w:val="1"/>
          <w:i w:val="1"/>
          <w:iCs w:val="1"/>
          <w:color w:val="auto"/>
          <w:vertAlign w:val="superscript"/>
        </w:rPr>
        <w:t>(1)</w:t>
      </w:r>
      <w:r>
        <w:rPr>
          <w:rFonts w:ascii="Times New Roman" w:cs="Times New Roman" w:eastAsia="Times New Roman" w:hAnsi="Times New Roman"/>
          <w:sz w:val="16"/>
          <w:szCs w:val="16"/>
          <w:b w:val="1"/>
          <w:bCs w:val="1"/>
          <w:i w:val="1"/>
          <w:iCs w:val="1"/>
          <w:color w:val="auto"/>
        </w:rPr>
        <w:t>:</w:t>
      </w:r>
    </w:p>
    <w:p>
      <w:pPr>
        <w:spacing w:after="0" w:line="3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Defense Customers</w:t>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Intelligence Customers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Civil Customers</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19"/>
                <w:szCs w:val="19"/>
                <w:color w:val="auto"/>
              </w:rPr>
            </w:pPr>
          </w:p>
        </w:tc>
      </w:tr>
      <w:tr>
        <w:trPr>
          <w:trHeight w:val="208"/>
        </w:trPr>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1,758</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1,660</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20"/>
        </w:trPr>
        <w:tc>
          <w:tcPr>
            <w:tcW w:w="48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638</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671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26"/>
        </w:trPr>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528</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611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13"/>
        </w:trPr>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2,924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2,942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-3330575</wp:posOffset>
            </wp:positionH>
            <wp:positionV relativeFrom="paragraph">
              <wp:posOffset>-608330</wp:posOffset>
            </wp:positionV>
            <wp:extent cx="6240145" cy="147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0145" cy="14795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-320675</wp:posOffset>
            </wp:positionV>
            <wp:extent cx="6240145" cy="139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40145" cy="139700"/>
                    </a:xfrm>
                    <a:prstGeom prst="rect">
                      <a:avLst/>
                    </a:prstGeom>
                    <a:noFill/>
                  </pic:spPr>
                </pic:pic>
              </a:graphicData>
            </a:graphic>
          </wp:anchor>
        </w:drawing>
      </w:r>
    </w:p>
    <w:p>
      <w:pPr>
        <w:spacing w:after="0" w:line="136"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right="92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4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top w:val="single" w:sz="8" w:color="auto"/>
              <w:bottom w:val="single" w:sz="8" w:color="auto"/>
            </w:tcBorders>
          </w:tcPr>
          <w:p>
            <w:pPr>
              <w:spacing w:after="0"/>
              <w:rPr>
                <w:sz w:val="19"/>
                <w:szCs w:val="19"/>
                <w:color w:val="auto"/>
              </w:rPr>
            </w:pPr>
          </w:p>
        </w:tc>
      </w:tr>
      <w:tr>
        <w:trPr>
          <w:trHeight w:val="208"/>
        </w:trPr>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1,517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8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1,421</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0"/>
        </w:trPr>
        <w:tc>
          <w:tcPr>
            <w:tcW w:w="46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484</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457</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26"/>
        </w:trPr>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923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1,064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36 %</w:t>
            </w:r>
          </w:p>
        </w:tc>
      </w:tr>
      <w:tr>
        <w:trPr>
          <w:trHeight w:val="213"/>
        </w:trPr>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2,924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2,942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-608330</wp:posOffset>
            </wp:positionV>
            <wp:extent cx="6248400"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48400" cy="1479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-320675</wp:posOffset>
            </wp:positionV>
            <wp:extent cx="6248400" cy="139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48400" cy="13970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4880" w:space="720"/>
            <w:col w:w="5560"/>
          </w:cols>
          <w:pgMar w:left="320" w:top="121" w:right="419" w:bottom="1440" w:gutter="0" w:footer="0" w:header="0"/>
          <w:type w:val="continuous"/>
        </w:sectPr>
      </w:pPr>
    </w:p>
    <w:p>
      <w:pPr>
        <w:ind w:left="780" w:right="320" w:hanging="154"/>
        <w:spacing w:after="0" w:line="248" w:lineRule="auto"/>
        <w:tabs>
          <w:tab w:leader="none" w:pos="781"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Customer type is based on public market as determined by government agency hierarchy mapping. Revenue by customer type for comparative periods for certain contracts has been reclassified to align to the most recent mapping.</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by Whether the Company Acts as a Prime Contractor or a</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2"/>
        </w:trPr>
        <w:tc>
          <w:tcPr>
            <w:tcW w:w="5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Subcontractor:</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5"/>
        </w:trPr>
        <w:tc>
          <w:tcPr>
            <w:tcW w:w="340" w:type="dxa"/>
            <w:vAlign w:val="bottom"/>
          </w:tcPr>
          <w:p>
            <w:pPr>
              <w:spacing w:after="0"/>
              <w:rPr>
                <w:sz w:val="18"/>
                <w:szCs w:val="18"/>
                <w:color w:val="auto"/>
              </w:rPr>
            </w:pPr>
          </w:p>
        </w:tc>
        <w:tc>
          <w:tcPr>
            <w:tcW w:w="5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00" w:type="dxa"/>
            <w:vAlign w:val="bottom"/>
            <w:tcBorders>
              <w:bottom w:val="single" w:sz="8" w:color="auto"/>
            </w:tcBorders>
          </w:tcPr>
          <w:p>
            <w:pPr>
              <w:spacing w:after="0"/>
              <w:rPr>
                <w:sz w:val="18"/>
                <w:szCs w:val="18"/>
                <w:color w:val="auto"/>
              </w:rPr>
            </w:pPr>
          </w:p>
        </w:tc>
      </w:tr>
      <w:tr>
        <w:trPr>
          <w:trHeight w:val="213"/>
        </w:trPr>
        <w:tc>
          <w:tcPr>
            <w:tcW w:w="340" w:type="dxa"/>
            <w:vAlign w:val="bottom"/>
          </w:tcPr>
          <w:p>
            <w:pPr>
              <w:spacing w:after="0"/>
              <w:rPr>
                <w:sz w:val="18"/>
                <w:szCs w:val="18"/>
                <w:color w:val="auto"/>
              </w:rPr>
            </w:pPr>
          </w:p>
        </w:tc>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Prime Contractor</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2,741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2,808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340" w:type="dxa"/>
            <w:vAlign w:val="bottom"/>
          </w:tcPr>
          <w:p>
            <w:pPr>
              <w:spacing w:after="0"/>
              <w:rPr>
                <w:sz w:val="19"/>
                <w:szCs w:val="19"/>
                <w:color w:val="auto"/>
              </w:rPr>
            </w:pPr>
          </w:p>
        </w:tc>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Subcontractor</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183</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134</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38"/>
        </w:trPr>
        <w:tc>
          <w:tcPr>
            <w:tcW w:w="34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2,924</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2,942</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4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Obligations</w:t>
      </w:r>
    </w:p>
    <w:p>
      <w:pPr>
        <w:spacing w:after="0" w:line="68" w:lineRule="exact"/>
        <w:rPr>
          <w:sz w:val="20"/>
          <w:szCs w:val="20"/>
          <w:color w:val="auto"/>
        </w:rPr>
      </w:pPr>
    </w:p>
    <w:p>
      <w:pPr>
        <w:ind w:right="260" w:firstLine="389"/>
        <w:spacing w:after="0" w:line="273" w:lineRule="auto"/>
        <w:rPr>
          <w:sz w:val="20"/>
          <w:szCs w:val="20"/>
          <w:color w:val="auto"/>
        </w:rPr>
      </w:pPr>
      <w:r>
        <w:rPr>
          <w:rFonts w:ascii="Times New Roman" w:cs="Times New Roman" w:eastAsia="Times New Roman" w:hAnsi="Times New Roman"/>
          <w:sz w:val="17"/>
          <w:szCs w:val="17"/>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the unfunded value of expired contracts, and certain variable consideration which the Company does not expect to recognize as revenue.</w:t>
      </w:r>
    </w:p>
    <w:p>
      <w:pPr>
        <w:spacing w:after="0" w:line="7" w:lineRule="exact"/>
        <w:rPr>
          <w:sz w:val="20"/>
          <w:szCs w:val="20"/>
          <w:color w:val="auto"/>
        </w:rPr>
      </w:pPr>
    </w:p>
    <w:p>
      <w:pPr>
        <w:ind w:right="20" w:firstLine="389"/>
        <w:spacing w:after="0" w:line="273" w:lineRule="auto"/>
        <w:rPr>
          <w:sz w:val="20"/>
          <w:szCs w:val="20"/>
          <w:color w:val="auto"/>
        </w:rPr>
      </w:pPr>
      <w:r>
        <w:rPr>
          <w:rFonts w:ascii="Times New Roman" w:cs="Times New Roman" w:eastAsia="Times New Roman" w:hAnsi="Times New Roman"/>
          <w:sz w:val="17"/>
          <w:szCs w:val="17"/>
          <w:color w:val="auto"/>
        </w:rPr>
        <w:t>As of June 30, 2025 and March 31, 2025, the Company had $10.6 billion and $9.5 billion of remaining performance obligations, respectively. We expect to recognize approximately 65% of the remaining performance obligations at June 30, 2025 as revenue over the next 12 months, and approximately 70% over the next 24 months. The remainder is expected to be recognized thereafter.</w:t>
      </w: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68" w:lineRule="exact"/>
        <w:rPr>
          <w:sz w:val="20"/>
          <w:szCs w:val="20"/>
          <w:color w:val="auto"/>
        </w:rPr>
      </w:pPr>
    </w:p>
    <w:p>
      <w:pPr>
        <w:ind w:right="360" w:firstLine="389"/>
        <w:spacing w:after="0" w:line="277" w:lineRule="auto"/>
        <w:rPr>
          <w:sz w:val="20"/>
          <w:szCs w:val="20"/>
          <w:color w:val="auto"/>
        </w:rPr>
      </w:pPr>
      <w:r>
        <w:rPr>
          <w:rFonts w:ascii="Times New Roman" w:cs="Times New Roman" w:eastAsia="Times New Roman" w:hAnsi="Times New Roman"/>
          <w:sz w:val="17"/>
          <w:szCs w:val="17"/>
          <w:color w:val="auto"/>
        </w:rPr>
        <w:t>The following table summarizes the contract assets and liabilities, and accounts receivable, net of allowance recognized on the Company’s condensed consolidated balance sheets:</w:t>
      </w:r>
    </w:p>
    <w:tbl>
      <w:tblPr>
        <w:tblLayout w:type="fixed"/>
        <w:tblInd w:w="0" w:type="dxa"/>
        <w:tblCellMar>
          <w:top w:w="0" w:type="dxa"/>
          <w:left w:w="0" w:type="dxa"/>
          <w:bottom w:w="0" w:type="dxa"/>
          <w:right w:w="0" w:type="dxa"/>
        </w:tblCellMar>
      </w:tblPr>
      <w:tr>
        <w:trPr>
          <w:trHeight w:val="177"/>
        </w:trPr>
        <w:tc>
          <w:tcPr>
            <w:tcW w:w="7580" w:type="dxa"/>
            <w:vAlign w:val="bottom"/>
          </w:tcPr>
          <w:p>
            <w:pPr>
              <w:spacing w:after="0"/>
              <w:rPr>
                <w:sz w:val="15"/>
                <w:szCs w:val="15"/>
                <w:color w:val="auto"/>
              </w:rPr>
            </w:pPr>
          </w:p>
        </w:tc>
        <w:tc>
          <w:tcPr>
            <w:tcW w:w="10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rPr>
              <w:t>June 30,</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294"/>
              <w:spacing w:after="0" w:line="176"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5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0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0"/>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receivable–billed</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4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w:t>
            </w: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0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1,562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w:t>
            </w:r>
          </w:p>
        </w:tc>
      </w:tr>
      <w:tr>
        <w:trPr>
          <w:trHeight w:val="220"/>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0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7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2,286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2,271</w:t>
            </w:r>
          </w:p>
        </w:tc>
      </w:tr>
      <w:tr>
        <w:trPr>
          <w:trHeight w:val="220"/>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receivable–unbilled (contract assets)</w:t>
            </w:r>
          </w:p>
        </w:tc>
        <w:tc>
          <w:tcPr>
            <w:tcW w:w="10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3"/>
        </w:trPr>
        <w:tc>
          <w:tcPr>
            <w:tcW w:w="758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accounts receivable, net</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2,345</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5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color w:val="auto"/>
              </w:rPr>
              <w:t>Other current liabilities</w:t>
            </w:r>
          </w:p>
        </w:tc>
        <w:tc>
          <w:tcPr>
            <w:tcW w:w="10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6"/>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Advance payments, billings in excess of costs incurred and deferred revenue (contract liabilities)</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19"/>
                <w:szCs w:val="19"/>
                <w:color w:val="auto"/>
              </w:rPr>
            </w:pP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119" w:lineRule="exact"/>
        <w:rPr>
          <w:sz w:val="20"/>
          <w:szCs w:val="20"/>
          <w:color w:val="auto"/>
        </w:rPr>
      </w:pPr>
    </w:p>
    <w:p>
      <w:pPr>
        <w:jc w:val="both"/>
        <w:ind w:firstLine="389"/>
        <w:spacing w:after="0" w:line="273" w:lineRule="auto"/>
        <w:rPr>
          <w:sz w:val="20"/>
          <w:szCs w:val="20"/>
          <w:color w:val="auto"/>
        </w:rPr>
      </w:pPr>
      <w:r>
        <w:rPr>
          <w:rFonts w:ascii="Times New Roman" w:cs="Times New Roman" w:eastAsia="Times New Roman" w:hAnsi="Times New Roman"/>
          <w:sz w:val="17"/>
          <w:szCs w:val="17"/>
          <w:color w:val="auto"/>
        </w:rPr>
        <w:t>Changes in contract assets and contract liabilities are primarily due to the timing difference between the Company’s performance of services and payments from customers. For the three months ended June 30, 2025 and 2024, we recognized revenue of $11 million and $8 million, respectively, related to our contract liabilities on April 1, 2025 and 2024,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table below provides a reconciliation of the income used to compute basic and diluted EPS for the periods presented:</w:t>
      </w:r>
    </w:p>
    <w:p>
      <w:pPr>
        <w:spacing w:after="0" w:line="44" w:lineRule="exact"/>
        <w:rPr>
          <w:sz w:val="20"/>
          <w:szCs w:val="20"/>
          <w:color w:val="auto"/>
        </w:rPr>
      </w:pPr>
    </w:p>
    <w:p>
      <w:pPr>
        <w:jc w:val="center"/>
        <w:ind w:left="76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226"/>
        </w:trPr>
        <w:tc>
          <w:tcPr>
            <w:tcW w:w="77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00"/>
        </w:trPr>
        <w:tc>
          <w:tcPr>
            <w:tcW w:w="770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7"/>
                <w:szCs w:val="17"/>
                <w:color w:val="auto"/>
              </w:rPr>
              <w:t xml:space="preserve">Numerator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Earnings for basic computations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20"/>
        </w:trPr>
        <w:tc>
          <w:tcPr>
            <w:tcW w:w="7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Earnings for diluted computations</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0" w:type="dxa"/>
            <w:vAlign w:val="bottom"/>
          </w:tcPr>
          <w:p>
            <w:pPr>
              <w:spacing w:after="0"/>
              <w:rPr>
                <w:sz w:val="1"/>
                <w:szCs w:val="1"/>
                <w:color w:val="auto"/>
              </w:rPr>
            </w:pPr>
          </w:p>
        </w:tc>
      </w:tr>
      <w:tr>
        <w:trPr>
          <w:trHeight w:val="220"/>
        </w:trPr>
        <w:tc>
          <w:tcPr>
            <w:tcW w:w="7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Weighted-average common stock shares outstanding, 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124,114,149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129,387,052</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Dilutive stock options and restricted stock</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361,521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530,211</w:t>
            </w:r>
          </w:p>
        </w:tc>
        <w:tc>
          <w:tcPr>
            <w:tcW w:w="0" w:type="dxa"/>
            <w:vAlign w:val="bottom"/>
          </w:tcPr>
          <w:p>
            <w:pPr>
              <w:spacing w:after="0"/>
              <w:rPr>
                <w:sz w:val="1"/>
                <w:szCs w:val="1"/>
                <w:color w:val="auto"/>
              </w:rPr>
            </w:pPr>
          </w:p>
        </w:tc>
      </w:tr>
      <w:tr>
        <w:trPr>
          <w:trHeight w:val="213"/>
        </w:trPr>
        <w:tc>
          <w:tcPr>
            <w:tcW w:w="7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Weighted-average common stock shares outstanding, diluted</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124,475,670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129,917,263</w:t>
            </w:r>
          </w:p>
        </w:tc>
        <w:tc>
          <w:tcPr>
            <w:tcW w:w="0" w:type="dxa"/>
            <w:vAlign w:val="bottom"/>
          </w:tcPr>
          <w:p>
            <w:pPr>
              <w:spacing w:after="0"/>
              <w:rPr>
                <w:sz w:val="1"/>
                <w:szCs w:val="1"/>
                <w:color w:val="auto"/>
              </w:rPr>
            </w:pPr>
          </w:p>
        </w:tc>
      </w:tr>
      <w:tr>
        <w:trPr>
          <w:trHeight w:val="22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00" w:type="dxa"/>
            <w:vAlign w:val="bottom"/>
            <w:vMerge w:val="continue"/>
          </w:tcPr>
          <w:p>
            <w:pPr>
              <w:spacing w:after="0"/>
              <w:rPr>
                <w:sz w:val="16"/>
                <w:szCs w:val="16"/>
                <w:color w:val="auto"/>
              </w:rPr>
            </w:pPr>
          </w:p>
        </w:tc>
        <w:tc>
          <w:tcPr>
            <w:tcW w:w="280" w:type="dxa"/>
            <w:vAlign w:val="bottom"/>
            <w:tcBorders>
              <w:bottom w:val="single" w:sz="8" w:color="auto"/>
            </w:tcBorders>
          </w:tcPr>
          <w:p>
            <w:pPr>
              <w:jc w:val="right"/>
              <w:ind w:right="114"/>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2.16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4"/>
              <w:spacing w:after="0" w:line="193"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3" w:lineRule="exact"/>
              <w:rPr>
                <w:sz w:val="20"/>
                <w:szCs w:val="20"/>
                <w:color w:val="auto"/>
              </w:rPr>
            </w:pPr>
            <w:r>
              <w:rPr>
                <w:rFonts w:ascii="Times New Roman" w:cs="Times New Roman" w:eastAsia="Times New Roman" w:hAnsi="Times New Roman"/>
                <w:sz w:val="17"/>
                <w:szCs w:val="17"/>
                <w:color w:val="auto"/>
              </w:rPr>
              <w:t>1.27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 w:lineRule="exact"/>
        <w:rPr>
          <w:sz w:val="20"/>
          <w:szCs w:val="20"/>
          <w:color w:val="auto"/>
        </w:rPr>
      </w:pPr>
    </w:p>
    <w:p>
      <w:pPr>
        <w:ind w:left="860" w:right="320" w:hanging="156"/>
        <w:spacing w:after="0" w:line="238" w:lineRule="auto"/>
        <w:tabs>
          <w:tab w:leader="none" w:pos="1005"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difference between earnings for basic and diluted computations and net income presented on the condensed consolidated statements of operations is due to undistributed earnings and dividends allocated to the participating securities. There were approximately 0.8 million and 0.6 million shares, respectively, of participating securities for three months ended June 30, 2025 and 2024.</w:t>
      </w: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5. 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420" w:type="dxa"/>
            <w:vAlign w:val="bottom"/>
            <w:gridSpan w:val="9"/>
          </w:tcPr>
          <w:p>
            <w:pPr>
              <w:ind w:left="400"/>
              <w:spacing w:after="0"/>
              <w:rPr>
                <w:sz w:val="20"/>
                <w:szCs w:val="20"/>
                <w:color w:val="auto"/>
              </w:rPr>
            </w:pPr>
            <w:r>
              <w:rPr>
                <w:rFonts w:ascii="Times New Roman" w:cs="Times New Roman" w:eastAsia="Times New Roman" w:hAnsi="Times New Roman"/>
                <w:sz w:val="17"/>
                <w:szCs w:val="17"/>
                <w:color w:val="auto"/>
              </w:rPr>
              <w:t>Intangible assets consisted of the following at the periods presented below:</w:t>
            </w: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4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7"/>
                <w:szCs w:val="17"/>
                <w:b w:val="1"/>
                <w:bCs w:val="1"/>
                <w:color w:val="auto"/>
              </w:rPr>
              <w:t>Gross</w:t>
            </w:r>
          </w:p>
        </w:tc>
        <w:tc>
          <w:tcPr>
            <w:tcW w:w="160" w:type="dxa"/>
            <w:vAlign w:val="bottom"/>
          </w:tcPr>
          <w:p>
            <w:pPr>
              <w:spacing w:after="0"/>
              <w:rPr>
                <w:sz w:val="14"/>
                <w:szCs w:val="14"/>
                <w:color w:val="auto"/>
              </w:rPr>
            </w:pPr>
          </w:p>
        </w:tc>
        <w:tc>
          <w:tcPr>
            <w:tcW w:w="1160" w:type="dxa"/>
            <w:vAlign w:val="bottom"/>
            <w:gridSpan w:val="3"/>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260"/>
              <w:spacing w:after="0" w:line="168"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6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60" w:type="dxa"/>
            <w:vAlign w:val="bottom"/>
          </w:tcPr>
          <w:p>
            <w:pPr>
              <w:spacing w:after="0"/>
              <w:rPr>
                <w:sz w:val="20"/>
                <w:szCs w:val="20"/>
                <w:color w:val="auto"/>
              </w:rPr>
            </w:pPr>
          </w:p>
        </w:tc>
        <w:tc>
          <w:tcPr>
            <w:tcW w:w="116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340" w:type="dxa"/>
            <w:vAlign w:val="bottom"/>
            <w:gridSpan w:val="2"/>
          </w:tcPr>
          <w:p>
            <w:pPr>
              <w:ind w:left="200"/>
              <w:spacing w:after="0" w:line="168" w:lineRule="exact"/>
              <w:rPr>
                <w:sz w:val="20"/>
                <w:szCs w:val="20"/>
                <w:color w:val="auto"/>
              </w:rPr>
            </w:pPr>
            <w:r>
              <w:rPr>
                <w:rFonts w:ascii="Times New Roman" w:cs="Times New Roman" w:eastAsia="Times New Roman" w:hAnsi="Times New Roman"/>
                <w:sz w:val="17"/>
                <w:szCs w:val="17"/>
                <w:color w:val="auto"/>
              </w:rPr>
              <w:t>Customer contracts and related customer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500" w:type="dxa"/>
            <w:vAlign w:val="bottom"/>
          </w:tcPr>
          <w:p>
            <w:pPr>
              <w:spacing w:after="0"/>
              <w:rPr>
                <w:sz w:val="20"/>
                <w:szCs w:val="20"/>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314</w:t>
            </w: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Software</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59</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3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Total amortizable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200"/>
        </w:trPr>
        <w:tc>
          <w:tcPr>
            <w:tcW w:w="500" w:type="dxa"/>
            <w:vAlign w:val="bottom"/>
          </w:tcPr>
          <w:p>
            <w:pPr>
              <w:spacing w:after="0"/>
              <w:rPr>
                <w:sz w:val="17"/>
                <w:szCs w:val="17"/>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Unamortizable intangible assets:</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33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13"/>
        </w:trPr>
        <w:tc>
          <w:tcPr>
            <w:tcW w:w="500" w:type="dxa"/>
            <w:vAlign w:val="bottom"/>
          </w:tcPr>
          <w:p>
            <w:pPr>
              <w:spacing w:after="0"/>
              <w:rPr>
                <w:sz w:val="18"/>
                <w:szCs w:val="18"/>
                <w:color w:val="auto"/>
              </w:rPr>
            </w:pPr>
          </w:p>
        </w:tc>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Accounts Payable and Other Accrued Expenses</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8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680" w:type="dxa"/>
            <w:vAlign w:val="bottom"/>
            <w:gridSpan w:val="13"/>
          </w:tcPr>
          <w:p>
            <w:pPr>
              <w:jc w:val="right"/>
              <w:spacing w:after="0"/>
              <w:rPr>
                <w:sz w:val="20"/>
                <w:szCs w:val="20"/>
                <w:color w:val="auto"/>
              </w:rPr>
            </w:pPr>
            <w:r>
              <w:rPr>
                <w:rFonts w:ascii="Times New Roman" w:cs="Times New Roman" w:eastAsia="Times New Roman" w:hAnsi="Times New Roman"/>
                <w:sz w:val="17"/>
                <w:szCs w:val="17"/>
                <w:color w:val="auto"/>
              </w:rPr>
              <w:t>Accounts payable and other accrued expenses consisted of the following at the periods presented below:</w:t>
            </w: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June 30,</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6"/>
          </w:tcPr>
          <w:p>
            <w:pPr>
              <w:jc w:val="right"/>
              <w:ind w:right="620"/>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31"/>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4"/>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payables</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claimed costs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expenses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4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accounts payable and other accrued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949</w:t>
            </w: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100" w:firstLine="428"/>
        <w:spacing w:after="0" w:line="292" w:lineRule="auto"/>
        <w:rPr>
          <w:sz w:val="20"/>
          <w:szCs w:val="20"/>
          <w:color w:val="auto"/>
        </w:rPr>
      </w:pPr>
      <w:r>
        <w:rPr>
          <w:rFonts w:ascii="Times New Roman" w:cs="Times New Roman" w:eastAsia="Times New Roman" w:hAnsi="Times New Roman"/>
          <w:sz w:val="17"/>
          <w:szCs w:val="17"/>
          <w:color w:val="auto"/>
        </w:rPr>
        <w:t>See Note 12, “Commitments and Contingencies,” to the condensed consolidated financial statements for further discussion of the Company’s provision for claimed costs.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Accrued Compensation and Benefits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Accrued compensation and benefits consisted of the following at the periods presented below:</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0" w:type="dxa"/>
            <w:vAlign w:val="bottom"/>
          </w:tcPr>
          <w:p>
            <w:pPr>
              <w:spacing w:after="0"/>
              <w:rPr>
                <w:sz w:val="1"/>
                <w:szCs w:val="1"/>
                <w:color w:val="auto"/>
              </w:rPr>
            </w:pPr>
          </w:p>
        </w:tc>
      </w:tr>
      <w:tr>
        <w:trPr>
          <w:trHeight w:val="228"/>
        </w:trPr>
        <w:tc>
          <w:tcPr>
            <w:tcW w:w="5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16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w:t>
            </w:r>
          </w:p>
        </w:tc>
        <w:tc>
          <w:tcPr>
            <w:tcW w:w="30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retirement</w:t>
            </w:r>
          </w:p>
        </w:tc>
        <w:tc>
          <w:tcPr>
            <w:tcW w:w="3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paid time off</w:t>
            </w:r>
          </w:p>
        </w:tc>
        <w:tc>
          <w:tcPr>
            <w:tcW w:w="30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4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accrued compensation and benefits</w:t>
            </w:r>
          </w:p>
        </w:tc>
        <w:tc>
          <w:tcPr>
            <w:tcW w:w="30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1934"/>
              <w:spacing w:after="0"/>
              <w:rPr>
                <w:sz w:val="20"/>
                <w:szCs w:val="20"/>
                <w:color w:val="auto"/>
              </w:rPr>
            </w:pPr>
            <w:r>
              <w:rPr>
                <w:rFonts w:ascii="Times New Roman" w:cs="Times New Roman" w:eastAsia="Times New Roman" w:hAnsi="Times New Roman"/>
                <w:sz w:val="17"/>
                <w:szCs w:val="17"/>
                <w:color w:val="auto"/>
              </w:rPr>
              <w:t>9</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5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2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9"/>
        </w:trPr>
        <w:tc>
          <w:tcPr>
            <w:tcW w:w="40" w:type="dxa"/>
            <w:vAlign w:val="bottom"/>
          </w:tcPr>
          <w:p>
            <w:pPr>
              <w:spacing w:after="0"/>
              <w:rPr>
                <w:sz w:val="22"/>
                <w:szCs w:val="22"/>
                <w:color w:val="auto"/>
              </w:rPr>
            </w:pPr>
          </w:p>
        </w:tc>
        <w:tc>
          <w:tcPr>
            <w:tcW w:w="546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Debt consisted of the following at the periods presented below:</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6"/>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2740" w:type="dxa"/>
            <w:vAlign w:val="bottom"/>
            <w:tcBorders>
              <w:bottom w:val="single" w:sz="8" w:color="auto"/>
            </w:tcBorders>
            <w:gridSpan w:val="4"/>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120" w:type="dxa"/>
            <w:vAlign w:val="bottom"/>
          </w:tcPr>
          <w:p>
            <w:pPr>
              <w:spacing w:after="0"/>
              <w:rPr>
                <w:sz w:val="21"/>
                <w:szCs w:val="21"/>
                <w:color w:val="auto"/>
              </w:rPr>
            </w:pPr>
          </w:p>
        </w:tc>
        <w:tc>
          <w:tcPr>
            <w:tcW w:w="2760" w:type="dxa"/>
            <w:vAlign w:val="bottom"/>
            <w:tcBorders>
              <w:bottom w:val="single" w:sz="8" w:color="auto"/>
            </w:tcBorders>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162"/>
        </w:trPr>
        <w:tc>
          <w:tcPr>
            <w:tcW w:w="4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60" w:type="dxa"/>
            <w:vAlign w:val="bottom"/>
          </w:tcPr>
          <w:p>
            <w:pPr>
              <w:spacing w:after="0"/>
              <w:rPr>
                <w:sz w:val="14"/>
                <w:szCs w:val="14"/>
                <w:color w:val="auto"/>
              </w:rPr>
            </w:pPr>
          </w:p>
        </w:tc>
        <w:tc>
          <w:tcPr>
            <w:tcW w:w="1180" w:type="dxa"/>
            <w:vAlign w:val="bottom"/>
          </w:tcPr>
          <w:p>
            <w:pPr>
              <w:jc w:val="right"/>
              <w:ind w:right="11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c>
          <w:tcPr>
            <w:tcW w:w="120" w:type="dxa"/>
            <w:vAlign w:val="bottom"/>
          </w:tcPr>
          <w:p>
            <w:pPr>
              <w:spacing w:after="0"/>
              <w:rPr>
                <w:sz w:val="14"/>
                <w:szCs w:val="14"/>
                <w:color w:val="auto"/>
              </w:rPr>
            </w:pPr>
          </w:p>
        </w:tc>
        <w:tc>
          <w:tcPr>
            <w:tcW w:w="1560" w:type="dxa"/>
            <w:vAlign w:val="bottom"/>
            <w:gridSpan w:val="3"/>
          </w:tcPr>
          <w:p>
            <w:pPr>
              <w:jc w:val="right"/>
              <w:ind w:right="534"/>
              <w:spacing w:after="0" w:line="162" w:lineRule="exact"/>
              <w:rPr>
                <w:sz w:val="20"/>
                <w:szCs w:val="20"/>
                <w:color w:val="auto"/>
              </w:rPr>
            </w:pPr>
            <w:r>
              <w:rPr>
                <w:rFonts w:ascii="Times New Roman" w:cs="Times New Roman" w:eastAsia="Times New Roman" w:hAnsi="Times New Roman"/>
                <w:sz w:val="17"/>
                <w:szCs w:val="17"/>
                <w:b w:val="1"/>
                <w:bCs w:val="1"/>
                <w:color w:val="auto"/>
              </w:rPr>
              <w:t>Interest</w:t>
            </w:r>
          </w:p>
        </w:tc>
        <w:tc>
          <w:tcPr>
            <w:tcW w:w="1200" w:type="dxa"/>
            <w:vAlign w:val="bottom"/>
          </w:tcPr>
          <w:p>
            <w:pPr>
              <w:jc w:val="right"/>
              <w:ind w:right="134"/>
              <w:spacing w:after="0" w:line="162" w:lineRule="exact"/>
              <w:rPr>
                <w:sz w:val="20"/>
                <w:szCs w:val="20"/>
                <w:color w:val="auto"/>
              </w:rPr>
            </w:pPr>
            <w:r>
              <w:rPr>
                <w:rFonts w:ascii="Times New Roman" w:cs="Times New Roman" w:eastAsia="Times New Roman" w:hAnsi="Times New Roman"/>
                <w:sz w:val="17"/>
                <w:szCs w:val="17"/>
                <w:b w:val="1"/>
                <w:bCs w:val="1"/>
                <w:color w:val="auto"/>
              </w:rPr>
              <w:t>Outstanding</w:t>
            </w:r>
          </w:p>
        </w:tc>
      </w:tr>
      <w:tr>
        <w:trPr>
          <w:trHeight w:val="231"/>
        </w:trPr>
        <w:tc>
          <w:tcPr>
            <w:tcW w:w="4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60" w:type="dxa"/>
            <w:vAlign w:val="bottom"/>
          </w:tcPr>
          <w:p>
            <w:pPr>
              <w:spacing w:after="0"/>
              <w:rPr>
                <w:sz w:val="20"/>
                <w:szCs w:val="20"/>
                <w:color w:val="auto"/>
              </w:rPr>
            </w:pPr>
          </w:p>
        </w:tc>
        <w:tc>
          <w:tcPr>
            <w:tcW w:w="118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c>
          <w:tcPr>
            <w:tcW w:w="120" w:type="dxa"/>
            <w:vAlign w:val="bottom"/>
          </w:tcPr>
          <w:p>
            <w:pPr>
              <w:spacing w:after="0"/>
              <w:rPr>
                <w:sz w:val="20"/>
                <w:szCs w:val="20"/>
                <w:color w:val="auto"/>
              </w:rPr>
            </w:pPr>
          </w:p>
        </w:tc>
        <w:tc>
          <w:tcPr>
            <w:tcW w:w="1560" w:type="dxa"/>
            <w:vAlign w:val="bottom"/>
            <w:gridSpan w:val="3"/>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Rate</w:t>
            </w:r>
          </w:p>
        </w:tc>
        <w:tc>
          <w:tcPr>
            <w:tcW w:w="12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Balance</w:t>
            </w:r>
          </w:p>
        </w:tc>
      </w:tr>
      <w:tr>
        <w:trPr>
          <w:trHeight w:val="216"/>
        </w:trPr>
        <w:tc>
          <w:tcPr>
            <w:tcW w:w="4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5.677 %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w:t>
            </w: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5.675 %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w:t>
            </w:r>
          </w:p>
        </w:tc>
      </w:tr>
      <w:tr>
        <w:trPr>
          <w:trHeight w:val="220"/>
        </w:trPr>
        <w:tc>
          <w:tcPr>
            <w:tcW w:w="4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Notes due 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w:t>
            </w:r>
          </w:p>
        </w:tc>
      </w:tr>
      <w:tr>
        <w:trPr>
          <w:trHeight w:val="220"/>
        </w:trPr>
        <w:tc>
          <w:tcPr>
            <w:tcW w:w="40" w:type="dxa"/>
            <w:vAlign w:val="bottom"/>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due 2029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20"/>
        </w:trPr>
        <w:tc>
          <w:tcPr>
            <w:tcW w:w="40" w:type="dxa"/>
            <w:vAlign w:val="bottom"/>
          </w:tcPr>
          <w:p>
            <w:pPr>
              <w:spacing w:after="0"/>
              <w:rPr>
                <w:sz w:val="19"/>
                <w:szCs w:val="19"/>
                <w:color w:val="auto"/>
              </w:rPr>
            </w:pPr>
          </w:p>
        </w:tc>
        <w:tc>
          <w:tcPr>
            <w:tcW w:w="54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Senior Notes due 2033</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0"/>
        </w:trPr>
        <w:tc>
          <w:tcPr>
            <w:tcW w:w="40" w:type="dxa"/>
            <w:vAlign w:val="bottom"/>
          </w:tcPr>
          <w:p>
            <w:pPr>
              <w:spacing w:after="0"/>
              <w:rPr>
                <w:sz w:val="19"/>
                <w:szCs w:val="19"/>
                <w:color w:val="auto"/>
              </w:rPr>
            </w:pPr>
          </w:p>
        </w:tc>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Senior Notes due 2035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0"/>
        </w:trPr>
        <w:tc>
          <w:tcPr>
            <w:tcW w:w="40" w:type="dxa"/>
            <w:vAlign w:val="bottom"/>
          </w:tcPr>
          <w:p>
            <w:pPr>
              <w:spacing w:after="0"/>
              <w:rPr>
                <w:sz w:val="19"/>
                <w:szCs w:val="19"/>
                <w:color w:val="auto"/>
              </w:rPr>
            </w:pPr>
          </w:p>
        </w:tc>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Unamortized debt issuance costs and discount on 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13"/>
        </w:trPr>
        <w:tc>
          <w:tcPr>
            <w:tcW w:w="4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3,998</w:t>
            </w:r>
          </w:p>
        </w:tc>
      </w:tr>
      <w:tr>
        <w:trPr>
          <w:trHeight w:val="220"/>
        </w:trPr>
        <w:tc>
          <w:tcPr>
            <w:tcW w:w="40" w:type="dxa"/>
            <w:vAlign w:val="bottom"/>
          </w:tcPr>
          <w:p>
            <w:pPr>
              <w:spacing w:after="0"/>
              <w:rPr>
                <w:sz w:val="19"/>
                <w:szCs w:val="19"/>
                <w:color w:val="auto"/>
              </w:rPr>
            </w:pPr>
          </w:p>
        </w:tc>
        <w:tc>
          <w:tcPr>
            <w:tcW w:w="5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38"/>
        </w:trPr>
        <w:tc>
          <w:tcPr>
            <w:tcW w:w="40" w:type="dxa"/>
            <w:vAlign w:val="bottom"/>
          </w:tcPr>
          <w:p>
            <w:pPr>
              <w:spacing w:after="0"/>
              <w:rPr>
                <w:sz w:val="20"/>
                <w:szCs w:val="20"/>
                <w:color w:val="auto"/>
              </w:rPr>
            </w:pPr>
          </w:p>
        </w:tc>
        <w:tc>
          <w:tcPr>
            <w:tcW w:w="546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r>
      <w:tr>
        <w:trPr>
          <w:trHeight w:val="20"/>
        </w:trPr>
        <w:tc>
          <w:tcPr>
            <w:tcW w:w="4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right="80" w:firstLine="389"/>
        <w:spacing w:after="0" w:line="273" w:lineRule="auto"/>
        <w:rPr>
          <w:sz w:val="20"/>
          <w:szCs w:val="20"/>
          <w:color w:val="auto"/>
        </w:rPr>
      </w:pPr>
      <w:r>
        <w:rPr>
          <w:rFonts w:ascii="Times New Roman" w:cs="Times New Roman" w:eastAsia="Times New Roman" w:hAnsi="Times New Roman"/>
          <w:sz w:val="17"/>
          <w:szCs w:val="17"/>
          <w:color w:val="auto"/>
        </w:rPr>
        <w:t>Booz Allen Hamilton Inc. (“Booz Allen Hamilton”), Booz Allen Hamilton Investor Corporation, and certain wholly owned subsidiaries of Booz Allen Hamilton are parties to a Credit Agreement dated as of July 31, 2012, as amended, which provided Booz Allen Hamilton with a $1,506 million Term Loan and a $1.0 billion revolving credit facility (the “Revolving Credit Facility”), with a sub-limit for letters of credit of $200 million as of June 30, 2025.</w:t>
      </w:r>
    </w:p>
    <w:p>
      <w:pPr>
        <w:spacing w:after="0" w:line="7" w:lineRule="exact"/>
        <w:rPr>
          <w:sz w:val="20"/>
          <w:szCs w:val="20"/>
          <w:color w:val="auto"/>
        </w:rPr>
      </w:pPr>
    </w:p>
    <w:p>
      <w:pPr>
        <w:ind w:right="80" w:firstLine="389"/>
        <w:spacing w:after="0" w:line="267" w:lineRule="auto"/>
        <w:rPr>
          <w:sz w:val="20"/>
          <w:szCs w:val="20"/>
          <w:color w:val="auto"/>
        </w:rPr>
      </w:pPr>
      <w:r>
        <w:rPr>
          <w:rFonts w:ascii="Times New Roman" w:cs="Times New Roman" w:eastAsia="Times New Roman" w:hAnsi="Times New Roman"/>
          <w:sz w:val="17"/>
          <w:szCs w:val="17"/>
          <w:color w:val="auto"/>
        </w:rPr>
        <w:t>The senior notes due 2035, senior notes due 2033, senior notes due 2029 and senior notes due 2028 (together, the “Senior Notes”) were issued by Booz Allen Hamilton in four separate and distinct tranches, which all bear interest at specified rates and have individual and separate maturity dates. All Senior Notes’ indentures are guaranteed by Booz Allen Holding Corporation or certain of its subsidiaries and contain certain covenants, events of default and other customary provisions.</w:t>
      </w:r>
    </w:p>
    <w:p>
      <w:pPr>
        <w:spacing w:after="0" w:line="12" w:lineRule="exact"/>
        <w:rPr>
          <w:sz w:val="20"/>
          <w:szCs w:val="20"/>
          <w:color w:val="auto"/>
        </w:rPr>
      </w:pPr>
    </w:p>
    <w:p>
      <w:pPr>
        <w:ind w:right="120" w:firstLine="389"/>
        <w:spacing w:after="0" w:line="292" w:lineRule="auto"/>
        <w:rPr>
          <w:sz w:val="20"/>
          <w:szCs w:val="20"/>
          <w:color w:val="auto"/>
        </w:rPr>
      </w:pPr>
      <w:r>
        <w:rPr>
          <w:rFonts w:ascii="Times New Roman" w:cs="Times New Roman" w:eastAsia="Times New Roman" w:hAnsi="Times New Roman"/>
          <w:sz w:val="17"/>
          <w:szCs w:val="17"/>
          <w:color w:val="auto"/>
        </w:rPr>
        <w:t>The Company occasionally borrows under the Revolving Credit Facility for our working capital needs. There were no borrowings during the three months ended June 30, 2025 and as of both June 30, 2025 and March 31, 2025, respectively, there was no outstanding balance on the Revolving Credit Facility.</w:t>
      </w:r>
    </w:p>
    <w:p>
      <w:pPr>
        <w:spacing w:after="0" w:line="43" w:lineRule="exact"/>
        <w:rPr>
          <w:sz w:val="20"/>
          <w:szCs w:val="20"/>
          <w:color w:val="auto"/>
        </w:rPr>
      </w:pPr>
    </w:p>
    <w:p>
      <w:pPr>
        <w:ind w:right="640" w:firstLine="389"/>
        <w:spacing w:after="0" w:line="273" w:lineRule="auto"/>
        <w:rPr>
          <w:sz w:val="20"/>
          <w:szCs w:val="20"/>
          <w:color w:val="auto"/>
        </w:rPr>
      </w:pPr>
      <w:r>
        <w:rPr>
          <w:rFonts w:ascii="Times New Roman" w:cs="Times New Roman" w:eastAsia="Times New Roman" w:hAnsi="Times New Roman"/>
          <w:sz w:val="17"/>
          <w:szCs w:val="17"/>
          <w:color w:val="auto"/>
        </w:rPr>
        <w:t>As of June 30, 2025 and March 31, 2025, Booz Allen Hamilton was in compliance with all financial covenants associated with its debt. For further information on the Company’s debt, including material terms, conditions, restrictions and redemption options, see Note 10, “Debt,” of the Company’s consolidated financial statements included in the fiscal 2025 Annual Report on Form 10-K.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Income Taxes</w:t>
      </w:r>
    </w:p>
    <w:p>
      <w:pPr>
        <w:spacing w:after="0" w:line="66" w:lineRule="exact"/>
        <w:rPr>
          <w:sz w:val="20"/>
          <w:szCs w:val="20"/>
          <w:color w:val="auto"/>
        </w:rPr>
      </w:pPr>
    </w:p>
    <w:p>
      <w:pPr>
        <w:ind w:right="100" w:firstLine="389"/>
        <w:spacing w:after="0" w:line="264" w:lineRule="auto"/>
        <w:rPr>
          <w:sz w:val="20"/>
          <w:szCs w:val="20"/>
          <w:color w:val="auto"/>
        </w:rPr>
      </w:pPr>
      <w:r>
        <w:rPr>
          <w:rFonts w:ascii="Times New Roman" w:cs="Times New Roman" w:eastAsia="Times New Roman" w:hAnsi="Times New Roman"/>
          <w:sz w:val="17"/>
          <w:szCs w:val="17"/>
          <w:color w:val="auto"/>
        </w:rPr>
        <w:t>The Company’s effective income tax rates were (25.5)% and 22.9% for the three months ended June 30, 2025 and 2024. Our effective tax rates for these periods differ from the federal statutory rate of 21.0% primarily due to the inclusion of state and foreign income taxes and permanent rate differences, which are predominantly related to certain executive compensation and the accrual of reserves for uncertain tax positions, offset by research and development tax credits, excess tax benefits for employee share-based compensation, and the Foreign Derived Intangible Income deduction. In addition, the fiscal year 2025 effective tax rate was also lower related to adjustments to the Company’s uncertain tax position reserves as outlined below.</w:t>
      </w:r>
    </w:p>
    <w:p>
      <w:pPr>
        <w:spacing w:after="0" w:line="14" w:lineRule="exact"/>
        <w:rPr>
          <w:sz w:val="20"/>
          <w:szCs w:val="20"/>
          <w:color w:val="auto"/>
        </w:rPr>
      </w:pPr>
    </w:p>
    <w:p>
      <w:pPr>
        <w:ind w:firstLine="389"/>
        <w:spacing w:after="0" w:line="264" w:lineRule="auto"/>
        <w:rPr>
          <w:sz w:val="20"/>
          <w:szCs w:val="20"/>
          <w:color w:val="auto"/>
        </w:rPr>
      </w:pPr>
      <w:r>
        <w:rPr>
          <w:rFonts w:ascii="Times New Roman" w:cs="Times New Roman" w:eastAsia="Times New Roman" w:hAnsi="Times New Roman"/>
          <w:sz w:val="17"/>
          <w:szCs w:val="17"/>
          <w:color w:val="auto"/>
        </w:rPr>
        <w:t>As of June 30, 2025 and March 31, 2025, the Company recorded $53 million and $142 million, respectively, of reserves for uncertain tax positions (“UTPs”) primarily related to research and development tax credits. The UTP reduction of $89 million during the quarter ended June 30, 2025 is primarily related to an $86 million adjustment from the completion of Internal Revenue Service (the “IRS”) examination procedures of the Company's amended federal income tax returns through fiscal year 2021. The Company also accrued $20 million of interest (net of tax effect) on the related long term receivable for the refund requested in the amended returns. Due to the magnitude of the refund requested in the amended returns, the case will be referred to the Joint Committee on Taxation (the</w:t>
      </w:r>
    </w:p>
    <w:p>
      <w:pPr>
        <w:spacing w:after="0" w:line="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7"/>
          <w:szCs w:val="17"/>
          <w:color w:val="auto"/>
        </w:rPr>
        <w:t>“JCT”) for further evaluation, as required by law for tax refunds or reductions exceeding $5 million. While the JCT has not yet reviewed this case, management does not anticipate that the resolution of this review will have a material adverse effect on the Company's financial position or results of operations.</w:t>
      </w:r>
    </w:p>
    <w:p>
      <w:pPr>
        <w:spacing w:after="0" w:line="1" w:lineRule="exact"/>
        <w:rPr>
          <w:sz w:val="20"/>
          <w:szCs w:val="20"/>
          <w:color w:val="auto"/>
        </w:rPr>
      </w:pPr>
    </w:p>
    <w:p>
      <w:pPr>
        <w:ind w:right="260" w:firstLine="389"/>
        <w:spacing w:after="0" w:line="273" w:lineRule="auto"/>
        <w:rPr>
          <w:sz w:val="20"/>
          <w:szCs w:val="20"/>
          <w:color w:val="auto"/>
        </w:rPr>
      </w:pPr>
      <w:r>
        <w:rPr>
          <w:rFonts w:ascii="Times New Roman" w:cs="Times New Roman" w:eastAsia="Times New Roman" w:hAnsi="Times New Roman"/>
          <w:sz w:val="17"/>
          <w:szCs w:val="17"/>
          <w:color w:val="auto"/>
        </w:rPr>
        <w:t>As of June 30, 2025 and March 31, 2025, the Company recorded long-term income tax receivables of $172 million, including interest, and $152 million, respectively, which represents the amended U.S. federal return refund claims related to the audits referenced above and remains classified as other long-term assets on the condensed consolidated balance sheet as the case is subject to JCT review.</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382" w:lineRule="exact"/>
        <w:rPr>
          <w:sz w:val="20"/>
          <w:szCs w:val="20"/>
          <w:color w:val="auto"/>
        </w:rPr>
      </w:pPr>
    </w:p>
    <w:p>
      <w:pPr>
        <w:ind w:right="340" w:firstLine="389"/>
        <w:spacing w:after="0" w:line="267" w:lineRule="auto"/>
        <w:rPr>
          <w:sz w:val="20"/>
          <w:szCs w:val="20"/>
          <w:color w:val="auto"/>
        </w:rPr>
      </w:pPr>
      <w:r>
        <w:rPr>
          <w:rFonts w:ascii="Times New Roman" w:cs="Times New Roman" w:eastAsia="Times New Roman" w:hAnsi="Times New Roman"/>
          <w:sz w:val="17"/>
          <w:szCs w:val="17"/>
          <w:color w:val="auto"/>
        </w:rPr>
        <w:t>On July 4, 2025, the One Big Beautiful Bill Act (“OBBB”) was enacted in the U.S. The OBBB includes significant provisions, such as the permanent extension of certain expiring provisions of the Tax Cuts and Jobs Act, restoration of favorable tax treatment for certain business provisions including the expensing of domestic research and development expenditures, and modifications to the international tax framework. The Company is currently assessing the impact on the consolidated financial statements.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Accumulated Other Comprehensive Income (Loss)</w:t>
      </w:r>
    </w:p>
    <w:p>
      <w:pPr>
        <w:spacing w:after="0" w:line="66" w:lineRule="exact"/>
        <w:rPr>
          <w:sz w:val="20"/>
          <w:szCs w:val="20"/>
          <w:color w:val="auto"/>
        </w:rPr>
      </w:pPr>
    </w:p>
    <w:p>
      <w:pPr>
        <w:ind w:right="220" w:firstLine="389"/>
        <w:spacing w:after="0" w:line="277" w:lineRule="auto"/>
        <w:rPr>
          <w:sz w:val="20"/>
          <w:szCs w:val="20"/>
          <w:color w:val="auto"/>
        </w:rPr>
      </w:pPr>
      <w:r>
        <w:rPr>
          <w:rFonts w:ascii="Times New Roman" w:cs="Times New Roman" w:eastAsia="Times New Roman" w:hAnsi="Times New Roman"/>
          <w:sz w:val="17"/>
          <w:szCs w:val="17"/>
          <w:color w:val="auto"/>
        </w:rPr>
        <w:t>Amounts recorded in other comprehensive income (loss) (“OCI”) are related to the Company's post-retirement plans and interest rate swaps designated as cash flow hedges. The following table presents the changes in Accumulated OCI (“AOCI”) during the periods presented below:</w:t>
      </w:r>
    </w:p>
    <w:tbl>
      <w:tblPr>
        <w:tblLayout w:type="fixed"/>
        <w:tblInd w:w="0" w:type="dxa"/>
        <w:tblCellMar>
          <w:top w:w="0" w:type="dxa"/>
          <w:left w:w="0" w:type="dxa"/>
          <w:bottom w:w="0" w:type="dxa"/>
          <w:right w:w="0" w:type="dxa"/>
        </w:tblCellMar>
      </w:tblPr>
      <w:tr>
        <w:trPr>
          <w:trHeight w:val="177"/>
        </w:trPr>
        <w:tc>
          <w:tcPr>
            <w:tcW w:w="7320" w:type="dxa"/>
            <w:vAlign w:val="bottom"/>
          </w:tcPr>
          <w:p>
            <w:pPr>
              <w:spacing w:after="0"/>
              <w:rPr>
                <w:sz w:val="15"/>
                <w:szCs w:val="15"/>
                <w:color w:val="auto"/>
              </w:rPr>
            </w:pP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Post-retirement</w:t>
            </w:r>
          </w:p>
        </w:tc>
        <w:tc>
          <w:tcPr>
            <w:tcW w:w="120" w:type="dxa"/>
            <w:vAlign w:val="bottom"/>
          </w:tcPr>
          <w:p>
            <w:pPr>
              <w:spacing w:after="0"/>
              <w:rPr>
                <w:sz w:val="15"/>
                <w:szCs w:val="15"/>
                <w:color w:val="auto"/>
              </w:rPr>
            </w:pPr>
          </w:p>
        </w:tc>
        <w:tc>
          <w:tcPr>
            <w:tcW w:w="1140" w:type="dxa"/>
            <w:vAlign w:val="bottom"/>
          </w:tcPr>
          <w:p>
            <w:pPr>
              <w:jc w:val="right"/>
              <w:ind w:right="114"/>
              <w:spacing w:after="0" w:line="176" w:lineRule="exact"/>
              <w:rPr>
                <w:sz w:val="20"/>
                <w:szCs w:val="20"/>
                <w:color w:val="auto"/>
              </w:rPr>
            </w:pPr>
            <w:r>
              <w:rPr>
                <w:rFonts w:ascii="Times New Roman" w:cs="Times New Roman" w:eastAsia="Times New Roman" w:hAnsi="Times New Roman"/>
                <w:sz w:val="17"/>
                <w:szCs w:val="17"/>
                <w:b w:val="1"/>
                <w:bCs w:val="1"/>
                <w:color w:val="auto"/>
              </w:rPr>
              <w:t>Derivatives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54"/>
              <w:spacing w:after="0" w:line="168" w:lineRule="exact"/>
              <w:rPr>
                <w:sz w:val="20"/>
                <w:szCs w:val="20"/>
                <w:color w:val="auto"/>
              </w:rPr>
            </w:pPr>
            <w:r>
              <w:rPr>
                <w:rFonts w:ascii="Times New Roman" w:cs="Times New Roman" w:eastAsia="Times New Roman" w:hAnsi="Times New Roman"/>
                <w:sz w:val="17"/>
                <w:szCs w:val="17"/>
                <w:b w:val="1"/>
                <w:bCs w:val="1"/>
                <w:color w:val="auto"/>
              </w:rPr>
              <w:t>designated as</w:t>
            </w:r>
          </w:p>
        </w:tc>
        <w:tc>
          <w:tcPr>
            <w:tcW w:w="280" w:type="dxa"/>
            <w:vAlign w:val="bottom"/>
          </w:tcPr>
          <w:p>
            <w:pPr>
              <w:spacing w:after="0"/>
              <w:rPr>
                <w:sz w:val="14"/>
                <w:szCs w:val="14"/>
                <w:color w:val="auto"/>
              </w:rPr>
            </w:pPr>
          </w:p>
        </w:tc>
        <w:tc>
          <w:tcPr>
            <w:tcW w:w="1000" w:type="dxa"/>
            <w:vAlign w:val="bottom"/>
            <w:vMerge w:val="restart"/>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3"/>
        </w:trPr>
        <w:tc>
          <w:tcPr>
            <w:tcW w:w="7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plans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2025</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Amounts reclassified from AOCI to earnings, before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320" w:type="dxa"/>
            <w:vAlign w:val="bottom"/>
          </w:tcPr>
          <w:p>
            <w:pPr>
              <w:ind w:left="220"/>
              <w:spacing w:after="0" w:line="213" w:lineRule="exact"/>
              <w:rPr>
                <w:sz w:val="20"/>
                <w:szCs w:val="20"/>
                <w:color w:val="auto"/>
              </w:rPr>
            </w:pPr>
            <w:r>
              <w:rPr>
                <w:rFonts w:ascii="Times New Roman" w:cs="Times New Roman" w:eastAsia="Times New Roman" w:hAnsi="Times New Roman"/>
                <w:sz w:val="17"/>
                <w:szCs w:val="17"/>
                <w:color w:val="auto"/>
              </w:rPr>
              <w:t>Amounts reclassified from AOCI to earnings, net of income taxes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Current-period OCI, net of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2025</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3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March 31, 2024</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OCI, before reclassifications to earnings and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0"/>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OCI before reclassifications to earnings, net of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Amounts reclassified from AOCI to earnings, before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3"/>
        </w:trPr>
        <w:tc>
          <w:tcPr>
            <w:tcW w:w="7320" w:type="dxa"/>
            <w:vAlign w:val="bottom"/>
          </w:tcPr>
          <w:p>
            <w:pPr>
              <w:ind w:left="220"/>
              <w:spacing w:after="0" w:line="213" w:lineRule="exact"/>
              <w:rPr>
                <w:sz w:val="20"/>
                <w:szCs w:val="20"/>
                <w:color w:val="auto"/>
              </w:rPr>
            </w:pPr>
            <w:r>
              <w:rPr>
                <w:rFonts w:ascii="Times New Roman" w:cs="Times New Roman" w:eastAsia="Times New Roman" w:hAnsi="Times New Roman"/>
                <w:sz w:val="17"/>
                <w:szCs w:val="17"/>
                <w:color w:val="auto"/>
              </w:rPr>
              <w:t>Amounts reclassified from AOCI to earnings, net of income taxes</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Current-period OCI, net of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7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June 30, 2024</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480" w:hanging="165"/>
        <w:spacing w:after="0"/>
        <w:tabs>
          <w:tab w:leader="none" w:pos="480" w:val="left"/>
        </w:tabs>
        <w:numPr>
          <w:ilvl w:val="1"/>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reclassifications from accumulated OCI to net income are included in interest expense, net in the Condensed Consolidated Statements of Operations.</w:t>
      </w:r>
    </w:p>
    <w:p>
      <w:pPr>
        <w:spacing w:after="0" w:line="83" w:lineRule="exact"/>
        <w:rPr>
          <w:rFonts w:ascii="Times New Roman" w:cs="Times New Roman" w:eastAsia="Times New Roman" w:hAnsi="Times New Roman"/>
          <w:sz w:val="21"/>
          <w:szCs w:val="21"/>
          <w:color w:val="auto"/>
          <w:vertAlign w:val="superscript"/>
        </w:rPr>
      </w:pPr>
    </w:p>
    <w:p>
      <w:pPr>
        <w:ind w:left="260" w:hanging="256"/>
        <w:spacing w:after="0"/>
        <w:tabs>
          <w:tab w:leader="none" w:pos="26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68" w:lineRule="exact"/>
        <w:rPr>
          <w:sz w:val="20"/>
          <w:szCs w:val="20"/>
          <w:color w:val="auto"/>
        </w:rPr>
      </w:pPr>
    </w:p>
    <w:p>
      <w:pPr>
        <w:ind w:right="480" w:firstLine="389"/>
        <w:spacing w:after="0" w:line="277" w:lineRule="auto"/>
        <w:rPr>
          <w:sz w:val="20"/>
          <w:szCs w:val="20"/>
          <w:color w:val="auto"/>
        </w:rPr>
      </w:pPr>
      <w:r>
        <w:rPr>
          <w:rFonts w:ascii="Times New Roman" w:cs="Times New Roman" w:eastAsia="Times New Roman" w:hAnsi="Times New Roman"/>
          <w:sz w:val="17"/>
          <w:szCs w:val="17"/>
          <w:color w:val="auto"/>
        </w:rPr>
        <w:t>The financial instruments measured at fair value in the accompanying condensed consolidated balance sheets consisted of the following at the periods presented below:</w:t>
      </w:r>
    </w:p>
    <w:tbl>
      <w:tblPr>
        <w:tblLayout w:type="fixed"/>
        <w:tblInd w:w="0" w:type="dxa"/>
        <w:tblCellMar>
          <w:top w:w="0" w:type="dxa"/>
          <w:left w:w="0" w:type="dxa"/>
          <w:bottom w:w="0" w:type="dxa"/>
          <w:right w:w="0" w:type="dxa"/>
        </w:tblCellMar>
      </w:tblPr>
      <w:tr>
        <w:trPr>
          <w:trHeight w:val="177"/>
        </w:trPr>
        <w:tc>
          <w:tcPr>
            <w:tcW w:w="2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380" w:type="dxa"/>
            <w:vAlign w:val="bottom"/>
            <w:gridSpan w:val="9"/>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rPr>
              <w:t>Recurring Fair Value Measurements</w:t>
            </w:r>
          </w:p>
        </w:tc>
      </w:tr>
      <w:tr>
        <w:trPr>
          <w:trHeight w:val="231"/>
        </w:trPr>
        <w:tc>
          <w:tcPr>
            <w:tcW w:w="220" w:type="dxa"/>
            <w:vAlign w:val="bottom"/>
          </w:tcPr>
          <w:p>
            <w:pPr>
              <w:spacing w:after="0"/>
              <w:rPr>
                <w:sz w:val="20"/>
                <w:szCs w:val="20"/>
                <w:color w:val="auto"/>
              </w:rPr>
            </w:pPr>
          </w:p>
        </w:tc>
        <w:tc>
          <w:tcPr>
            <w:tcW w:w="4360" w:type="dxa"/>
            <w:vAlign w:val="bottom"/>
            <w:tcBorders>
              <w:bottom w:val="single" w:sz="8" w:color="CCEEFF"/>
            </w:tcBorders>
          </w:tcPr>
          <w:p>
            <w:pPr>
              <w:spacing w:after="0"/>
              <w:rPr>
                <w:sz w:val="20"/>
                <w:szCs w:val="20"/>
                <w:color w:val="auto"/>
              </w:rPr>
            </w:pPr>
          </w:p>
        </w:tc>
        <w:tc>
          <w:tcPr>
            <w:tcW w:w="22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as of June 30, 2025</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6"/>
        </w:trPr>
        <w:tc>
          <w:tcPr>
            <w:tcW w:w="2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0" w:type="dxa"/>
            <w:vAlign w:val="bottom"/>
          </w:tcPr>
          <w:p>
            <w:pPr>
              <w:spacing w:after="0"/>
              <w:rPr>
                <w:sz w:val="18"/>
                <w:szCs w:val="18"/>
                <w:color w:val="auto"/>
              </w:rPr>
            </w:pPr>
          </w:p>
        </w:tc>
      </w:tr>
      <w:tr>
        <w:trPr>
          <w:trHeight w:val="200"/>
        </w:trPr>
        <w:tc>
          <w:tcPr>
            <w:tcW w:w="22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22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r>
      <w:tr>
        <w:trPr>
          <w:trHeight w:val="220"/>
        </w:trPr>
        <w:tc>
          <w:tcPr>
            <w:tcW w:w="220" w:type="dxa"/>
            <w:vAlign w:val="bottom"/>
          </w:tcPr>
          <w:p>
            <w:pPr>
              <w:spacing w:after="0"/>
              <w:rPr>
                <w:sz w:val="19"/>
                <w:szCs w:val="19"/>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deferred compensation plan asset</w:t>
            </w:r>
          </w:p>
        </w:tc>
        <w:tc>
          <w:tcPr>
            <w:tcW w:w="3280" w:type="dxa"/>
            <w:vAlign w:val="bottom"/>
            <w:gridSpan w:val="2"/>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18"/>
                <w:szCs w:val="18"/>
                <w:color w:val="auto"/>
              </w:rPr>
            </w:pPr>
          </w:p>
        </w:tc>
      </w:tr>
      <w:tr>
        <w:trPr>
          <w:trHeight w:val="200"/>
        </w:trPr>
        <w:tc>
          <w:tcPr>
            <w:tcW w:w="220" w:type="dxa"/>
            <w:vAlign w:val="bottom"/>
          </w:tcPr>
          <w:p>
            <w:pPr>
              <w:spacing w:after="0"/>
              <w:rPr>
                <w:sz w:val="17"/>
                <w:szCs w:val="17"/>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r>
      <w:tr>
        <w:trPr>
          <w:trHeight w:val="220"/>
        </w:trPr>
        <w:tc>
          <w:tcPr>
            <w:tcW w:w="2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derivative instruments</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9"/>
                <w:szCs w:val="19"/>
                <w:color w:val="auto"/>
              </w:rPr>
            </w:pPr>
          </w:p>
        </w:tc>
      </w:tr>
      <w:tr>
        <w:trPr>
          <w:trHeight w:val="220"/>
        </w:trPr>
        <w:tc>
          <w:tcPr>
            <w:tcW w:w="220" w:type="dxa"/>
            <w:vAlign w:val="bottom"/>
          </w:tcPr>
          <w:p>
            <w:pPr>
              <w:spacing w:after="0"/>
              <w:rPr>
                <w:sz w:val="19"/>
                <w:szCs w:val="19"/>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derivative instruments</w:t>
            </w:r>
          </w:p>
        </w:tc>
        <w:tc>
          <w:tcPr>
            <w:tcW w:w="2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9"/>
                <w:szCs w:val="19"/>
                <w:color w:val="auto"/>
              </w:rPr>
            </w:pPr>
          </w:p>
        </w:tc>
      </w:tr>
      <w:tr>
        <w:trPr>
          <w:trHeight w:val="220"/>
        </w:trPr>
        <w:tc>
          <w:tcPr>
            <w:tcW w:w="220" w:type="dxa"/>
            <w:vAlign w:val="bottom"/>
          </w:tcPr>
          <w:p>
            <w:pPr>
              <w:spacing w:after="0"/>
              <w:rPr>
                <w:sz w:val="19"/>
                <w:szCs w:val="19"/>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deferred compensation plan liability</w:t>
            </w:r>
          </w:p>
        </w:tc>
        <w:tc>
          <w:tcPr>
            <w:tcW w:w="2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00" w:type="dxa"/>
            <w:vAlign w:val="bottom"/>
          </w:tcPr>
          <w:p>
            <w:pPr>
              <w:spacing w:after="0"/>
              <w:rPr>
                <w:sz w:val="19"/>
                <w:szCs w:val="19"/>
                <w:color w:val="auto"/>
              </w:rPr>
            </w:pPr>
          </w:p>
        </w:tc>
      </w:tr>
      <w:tr>
        <w:trPr>
          <w:trHeight w:val="213"/>
        </w:trPr>
        <w:tc>
          <w:tcPr>
            <w:tcW w:w="220" w:type="dxa"/>
            <w:vAlign w:val="bottom"/>
          </w:tcPr>
          <w:p>
            <w:pPr>
              <w:spacing w:after="0"/>
              <w:rPr>
                <w:sz w:val="18"/>
                <w:szCs w:val="18"/>
                <w:color w:val="auto"/>
              </w:rPr>
            </w:pPr>
          </w:p>
        </w:tc>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Pr>
          <w:p>
            <w:pPr>
              <w:spacing w:after="0"/>
              <w:rPr>
                <w:sz w:val="18"/>
                <w:szCs w:val="18"/>
                <w:color w:val="auto"/>
              </w:rPr>
            </w:pPr>
          </w:p>
        </w:tc>
      </w:tr>
      <w:tr>
        <w:trPr>
          <w:trHeight w:val="810"/>
        </w:trPr>
        <w:tc>
          <w:tcPr>
            <w:tcW w:w="2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80" w:type="dxa"/>
            <w:vAlign w:val="bottom"/>
          </w:tcPr>
          <w:p>
            <w:pPr>
              <w:jc w:val="right"/>
              <w:ind w:right="1074"/>
              <w:spacing w:after="0"/>
              <w:rPr>
                <w:sz w:val="20"/>
                <w:szCs w:val="20"/>
                <w:color w:val="auto"/>
              </w:rPr>
            </w:pPr>
            <w:r>
              <w:rPr>
                <w:rFonts w:ascii="Times New Roman" w:cs="Times New Roman" w:eastAsia="Times New Roman" w:hAnsi="Times New Roman"/>
                <w:sz w:val="17"/>
                <w:szCs w:val="17"/>
                <w:color w:val="auto"/>
              </w:rPr>
              <w:t>11</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10"/>
        </w:trPr>
        <w:tc>
          <w:tcPr>
            <w:tcW w:w="2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36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Recurring Fair Value Measurements</w:t>
      </w: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as of March 31, 2025</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70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derivative instruments</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deferred compensation plan asset</w:t>
            </w: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00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0"/>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derivative instruments</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Long-term derivative instruments</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Long-term deferred compensation plan liability</w:t>
            </w:r>
          </w:p>
        </w:tc>
        <w:tc>
          <w:tcPr>
            <w:tcW w:w="100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1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bl>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did not have any Level 3 assets or liabilities as of June 30, 2025 or March 31,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Derivatives</w:t>
      </w:r>
    </w:p>
    <w:p>
      <w:pPr>
        <w:spacing w:after="0" w:line="118"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The Company utilizes interest rate derivative financial instruments, which were designated as cash flow hedges, to manage its exposure to interest rate risk related to its variable rate debt and reducing volatility of interest expense as the variable-to-fixed interest rate swaps effectively convert a portion of the variable rate debt into fixed interest rate debt. The Company’s outstanding interest rate swaps have a total notional amount of $350 million as of June 30, 2025 and mature from June 30, 2026 to June 30, 2027.</w:t>
      </w:r>
    </w:p>
    <w:p>
      <w:pPr>
        <w:spacing w:after="0" w:line="64" w:lineRule="exact"/>
        <w:rPr>
          <w:sz w:val="20"/>
          <w:szCs w:val="20"/>
          <w:color w:val="auto"/>
        </w:rPr>
      </w:pPr>
    </w:p>
    <w:p>
      <w:pPr>
        <w:ind w:right="40" w:firstLine="389"/>
        <w:spacing w:after="0" w:line="262" w:lineRule="auto"/>
        <w:rPr>
          <w:sz w:val="20"/>
          <w:szCs w:val="20"/>
          <w:color w:val="auto"/>
        </w:rPr>
      </w:pPr>
      <w:r>
        <w:rPr>
          <w:rFonts w:ascii="Times New Roman" w:cs="Times New Roman" w:eastAsia="Times New Roman" w:hAnsi="Times New Roman"/>
          <w:sz w:val="17"/>
          <w:szCs w:val="17"/>
          <w:color w:val="auto"/>
        </w:rPr>
        <w:t>The Company’s interest rate swaps are considered over-the-counter derivatives which are recorded in the condensed consolidated balance sheet on a gross basis at estimated fair value. Fair value is estimated based on the present value of future cash flows using a model-derived valuation that uses Level 2 observable inputs such as interest rate yield curves. The changes in the fair value of interest rate swaps designated as cash flow hedges are recorded in AOCI, net of taxes, and are subsequently reclassified into interest expense, net in the period that the hedged forecasted interest payments are made on the Company's variable-rate debt. Over the next 12 months, the Company estimates that less than $1 million will be reclassified as an increase to interest expense. Cash flows associated with periodic settlements of interest rate swaps are classified as operating activities in the condensed consolidated statement of cash flows.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Deferred Compensation Plans</w:t>
      </w:r>
    </w:p>
    <w:p>
      <w:pPr>
        <w:spacing w:after="0" w:line="118" w:lineRule="exact"/>
        <w:rPr>
          <w:sz w:val="20"/>
          <w:szCs w:val="20"/>
          <w:color w:val="auto"/>
        </w:rPr>
      </w:pPr>
    </w:p>
    <w:p>
      <w:pPr>
        <w:ind w:right="120" w:firstLine="389"/>
        <w:spacing w:after="0" w:line="267" w:lineRule="auto"/>
        <w:rPr>
          <w:sz w:val="20"/>
          <w:szCs w:val="20"/>
          <w:color w:val="auto"/>
        </w:rPr>
      </w:pPr>
      <w:r>
        <w:rPr>
          <w:rFonts w:ascii="Times New Roman" w:cs="Times New Roman" w:eastAsia="Times New Roman" w:hAnsi="Times New Roman"/>
          <w:sz w:val="17"/>
          <w:szCs w:val="17"/>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condensed consolidated balance sheets.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68" w:lineRule="exact"/>
        <w:rPr>
          <w:sz w:val="20"/>
          <w:szCs w:val="20"/>
          <w:color w:val="auto"/>
        </w:rPr>
      </w:pPr>
    </w:p>
    <w:p>
      <w:pPr>
        <w:jc w:val="both"/>
        <w:ind w:right="20" w:firstLine="389"/>
        <w:spacing w:after="0" w:line="273" w:lineRule="auto"/>
        <w:rPr>
          <w:sz w:val="20"/>
          <w:szCs w:val="20"/>
          <w:color w:val="auto"/>
        </w:rPr>
      </w:pPr>
      <w:r>
        <w:rPr>
          <w:rFonts w:ascii="Times New Roman" w:cs="Times New Roman" w:eastAsia="Times New Roman" w:hAnsi="Times New Roman"/>
          <w:sz w:val="17"/>
          <w:szCs w:val="17"/>
          <w:color w:val="auto"/>
        </w:rPr>
        <w:t>The fair value of the Company's cash and cash equivalents, which are Level 1 inputs, approximated its carrying value at June 30, 2025 and March 31, 2025. The Company’s cash and cash equivalent balances presented on the accompanying condensed consolidated balance sheets include $227 million and $802 million of marketable securities in money market funds as of June 30, 2025 and March 31, 2025,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Debt</w:t>
      </w:r>
    </w:p>
    <w:p>
      <w:pPr>
        <w:spacing w:after="0" w:line="68" w:lineRule="exact"/>
        <w:rPr>
          <w:sz w:val="20"/>
          <w:szCs w:val="20"/>
          <w:color w:val="auto"/>
        </w:rPr>
      </w:pPr>
    </w:p>
    <w:p>
      <w:pPr>
        <w:ind w:right="80" w:firstLine="389"/>
        <w:spacing w:after="0" w:line="262" w:lineRule="auto"/>
        <w:rPr>
          <w:sz w:val="20"/>
          <w:szCs w:val="20"/>
          <w:color w:val="auto"/>
        </w:rPr>
      </w:pPr>
      <w:r>
        <w:rPr>
          <w:rFonts w:ascii="Times New Roman" w:cs="Times New Roman" w:eastAsia="Times New Roman" w:hAnsi="Times New Roman"/>
          <w:sz w:val="17"/>
          <w:szCs w:val="17"/>
          <w:color w:val="auto"/>
        </w:rPr>
        <w:t>The Company's long-term debt is carried at amortized cost and fair value is disclosed on a quarterly basis.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estimated fair value of long-term debt as of June 30, 2025 and March 31, 2025 was $3,957 million and $3,954 million, respectively.</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Nonrecurring Fair Value Measurements</w:t>
      </w:r>
    </w:p>
    <w:p>
      <w:pPr>
        <w:spacing w:after="0" w:line="68" w:lineRule="exact"/>
        <w:rPr>
          <w:sz w:val="20"/>
          <w:szCs w:val="20"/>
          <w:color w:val="auto"/>
        </w:rPr>
      </w:pPr>
    </w:p>
    <w:p>
      <w:pPr>
        <w:jc w:val="both"/>
        <w:ind w:right="260" w:firstLine="389"/>
        <w:spacing w:after="0" w:line="273" w:lineRule="auto"/>
        <w:rPr>
          <w:sz w:val="20"/>
          <w:szCs w:val="20"/>
          <w:color w:val="auto"/>
        </w:rPr>
      </w:pPr>
      <w:r>
        <w:rPr>
          <w:rFonts w:ascii="Times New Roman" w:cs="Times New Roman" w:eastAsia="Times New Roman" w:hAnsi="Times New Roman"/>
          <w:sz w:val="17"/>
          <w:szCs w:val="17"/>
          <w:color w:val="auto"/>
        </w:rPr>
        <w:t>As of June 30, 2025 and March 31, 2025, the total of our investments that are accounted for at fair value on a non-recurring basis under the measurement alternative were $99 million and $85 million, respectively. While these assets are not measured at fair value on an ongoing basis, they are subject to fair value adjustments in certain circumstances (e.g., observable price changes or impairment).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Commitments and Contingencies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Government Contracting Matters - Provision for Claimed Costs</w:t>
      </w:r>
    </w:p>
    <w:p>
      <w:pPr>
        <w:spacing w:after="0" w:line="68" w:lineRule="exact"/>
        <w:rPr>
          <w:sz w:val="20"/>
          <w:szCs w:val="20"/>
          <w:color w:val="auto"/>
        </w:rPr>
      </w:pPr>
    </w:p>
    <w:p>
      <w:pPr>
        <w:ind w:right="220" w:firstLine="389"/>
        <w:spacing w:after="0" w:line="267" w:lineRule="auto"/>
        <w:rPr>
          <w:sz w:val="20"/>
          <w:szCs w:val="20"/>
          <w:color w:val="auto"/>
        </w:rPr>
      </w:pPr>
      <w:r>
        <w:rPr>
          <w:rFonts w:ascii="Times New Roman" w:cs="Times New Roman" w:eastAsia="Times New Roman" w:hAnsi="Times New Roman"/>
          <w:sz w:val="17"/>
          <w:szCs w:val="17"/>
          <w:color w:val="auto"/>
        </w:rPr>
        <w:t>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12" w:lineRule="exact"/>
        <w:rPr>
          <w:sz w:val="20"/>
          <w:szCs w:val="20"/>
          <w:color w:val="auto"/>
        </w:rPr>
      </w:pPr>
    </w:p>
    <w:p>
      <w:pPr>
        <w:ind w:right="100" w:firstLine="389"/>
        <w:spacing w:after="0" w:line="273" w:lineRule="auto"/>
        <w:rPr>
          <w:sz w:val="20"/>
          <w:szCs w:val="20"/>
          <w:color w:val="auto"/>
        </w:rPr>
      </w:pPr>
      <w:r>
        <w:rPr>
          <w:rFonts w:ascii="Times New Roman" w:cs="Times New Roman" w:eastAsia="Times New Roman" w:hAnsi="Times New Roman"/>
          <w:sz w:val="17"/>
          <w:szCs w:val="17"/>
          <w:color w:val="auto"/>
        </w:rPr>
        <w:t>As of June 30, 2025 and March 31, 2025, the Company had recorded liabilities of approximately $246 million and $245 million, respectively, for estimated adjustments to claimed costs based on its historical DCAA audit results, including the final resolution of such audits with DCMA, for claimed costs incurred subsequent to fiscal 2011.</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68"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Supplemental Condensed Consolidated Financial Information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Severance and Related Charges</w:t>
      </w:r>
    </w:p>
    <w:p>
      <w:pPr>
        <w:spacing w:after="0" w:line="68"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The Company incurs costs related to employee severance and related charges including stock-based compensation, employee benefits and payroll taxes related to employees terminated pursuant to cost management initiatives. The Company records these costs when it is probable that employees will be entitled to termination benefits and the amounts can be reasonably estimated.</w:t>
      </w:r>
    </w:p>
    <w:p>
      <w:pPr>
        <w:spacing w:after="0" w:line="7" w:lineRule="exact"/>
        <w:rPr>
          <w:sz w:val="20"/>
          <w:szCs w:val="20"/>
          <w:color w:val="auto"/>
        </w:rPr>
      </w:pPr>
    </w:p>
    <w:p>
      <w:pPr>
        <w:ind w:right="180" w:firstLine="389"/>
        <w:spacing w:after="0" w:line="277" w:lineRule="auto"/>
        <w:rPr>
          <w:sz w:val="20"/>
          <w:szCs w:val="20"/>
          <w:color w:val="auto"/>
        </w:rPr>
      </w:pPr>
      <w:r>
        <w:rPr>
          <w:rFonts w:ascii="Times New Roman" w:cs="Times New Roman" w:eastAsia="Times New Roman" w:hAnsi="Times New Roman"/>
          <w:sz w:val="17"/>
          <w:szCs w:val="17"/>
          <w:color w:val="auto"/>
        </w:rPr>
        <w:t>Severance and related charges included in the condensed consolidated statement of operations for the three months ended June 30, 2025 consisted of costs related to a cost management initiative and restructure of the Civil business and are summarized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0" w:type="dxa"/>
            <w:vAlign w:val="bottom"/>
            <w:gridSpan w:val="2"/>
          </w:tcPr>
          <w:p>
            <w:pPr>
              <w:jc w:val="center"/>
              <w:ind w:right="13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0" w:type="dxa"/>
            <w:vAlign w:val="bottom"/>
          </w:tcPr>
          <w:p>
            <w:pPr>
              <w:spacing w:after="0"/>
              <w:rPr>
                <w:sz w:val="1"/>
                <w:szCs w:val="1"/>
                <w:color w:val="auto"/>
              </w:rPr>
            </w:pPr>
          </w:p>
        </w:tc>
      </w:tr>
      <w:tr>
        <w:trPr>
          <w:trHeight w:val="213"/>
        </w:trPr>
        <w:tc>
          <w:tcPr>
            <w:tcW w:w="132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tcPr>
          <w:p>
            <w:pPr>
              <w:spacing w:after="0"/>
              <w:rPr>
                <w:sz w:val="19"/>
                <w:szCs w:val="19"/>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severance charges</w:t>
            </w:r>
          </w:p>
        </w:tc>
        <w:tc>
          <w:tcPr>
            <w:tcW w:w="3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bottom w:val="single" w:sz="8" w:color="CCEEFF"/>
            </w:tcBorders>
            <w:vMerge w:val="restart"/>
          </w:tcPr>
          <w:p>
            <w:pPr>
              <w:jc w:val="right"/>
              <w:ind w:right="2274"/>
              <w:spacing w:after="0"/>
              <w:rPr>
                <w:sz w:val="20"/>
                <w:szCs w:val="20"/>
                <w:color w:val="auto"/>
              </w:rPr>
            </w:pPr>
            <w:r>
              <w:rPr>
                <w:rFonts w:ascii="Times New Roman" w:cs="Times New Roman" w:eastAsia="Times New Roman" w:hAnsi="Times New Roman"/>
                <w:sz w:val="17"/>
                <w:szCs w:val="17"/>
                <w:color w:val="auto"/>
              </w:rPr>
              <w:t>13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1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32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(Amounts in tables in millions, except share and per share data or unless otherwise noted)</w:t>
      </w:r>
    </w:p>
    <w:p>
      <w:pPr>
        <w:spacing w:after="0" w:line="382" w:lineRule="exact"/>
        <w:rPr>
          <w:sz w:val="20"/>
          <w:szCs w:val="20"/>
          <w:color w:val="auto"/>
        </w:rPr>
      </w:pPr>
    </w:p>
    <w:p>
      <w:pPr>
        <w:ind w:right="20" w:firstLine="389"/>
        <w:spacing w:after="0" w:line="277" w:lineRule="auto"/>
        <w:rPr>
          <w:sz w:val="20"/>
          <w:szCs w:val="20"/>
          <w:color w:val="auto"/>
        </w:rPr>
      </w:pPr>
      <w:r>
        <w:rPr>
          <w:rFonts w:ascii="Times New Roman" w:cs="Times New Roman" w:eastAsia="Times New Roman" w:hAnsi="Times New Roman"/>
          <w:sz w:val="17"/>
          <w:szCs w:val="17"/>
          <w:color w:val="auto"/>
        </w:rPr>
        <w:t>The unpaid portion of these severance and related charges is included in accrued compensation and benefits in the condensed consolidated balance sheet and consisted of the following at the period presented below:</w:t>
      </w:r>
    </w:p>
    <w:tbl>
      <w:tblPr>
        <w:tblLayout w:type="fixed"/>
        <w:tblInd w:w="0" w:type="dxa"/>
        <w:tblCellMar>
          <w:top w:w="0" w:type="dxa"/>
          <w:left w:w="0" w:type="dxa"/>
          <w:bottom w:w="0" w:type="dxa"/>
          <w:right w:w="0" w:type="dxa"/>
        </w:tblCellMar>
      </w:tblPr>
      <w:tr>
        <w:trPr>
          <w:trHeight w:val="177"/>
        </w:trPr>
        <w:tc>
          <w:tcPr>
            <w:tcW w:w="124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2"/>
          </w:tcPr>
          <w:p>
            <w:pPr>
              <w:jc w:val="center"/>
              <w:ind w:right="1300"/>
              <w:spacing w:after="0" w:line="176" w:lineRule="exact"/>
              <w:rPr>
                <w:sz w:val="20"/>
                <w:szCs w:val="20"/>
                <w:color w:val="auto"/>
              </w:rPr>
            </w:pPr>
            <w:r>
              <w:rPr>
                <w:rFonts w:ascii="Times New Roman" w:cs="Times New Roman" w:eastAsia="Times New Roman" w:hAnsi="Times New Roman"/>
                <w:sz w:val="17"/>
                <w:szCs w:val="17"/>
                <w:b w:val="1"/>
                <w:bCs w:val="1"/>
                <w:color w:val="auto"/>
                <w:w w:val="99"/>
              </w:rPr>
              <w:t>June 30,</w:t>
            </w:r>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p>
        </w:tc>
        <w:tc>
          <w:tcPr>
            <w:tcW w:w="74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for severance and related charges at beginning of period</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center"/>
              <w:ind w:left="89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74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Severance and related charges incurred during the period</w:t>
            </w:r>
          </w:p>
        </w:tc>
        <w:tc>
          <w:tcPr>
            <w:tcW w:w="280" w:type="dxa"/>
            <w:vAlign w:val="bottom"/>
          </w:tcPr>
          <w:p>
            <w:pPr>
              <w:spacing w:after="0"/>
              <w:rPr>
                <w:sz w:val="19"/>
                <w:szCs w:val="19"/>
                <w:color w:val="auto"/>
              </w:rPr>
            </w:pPr>
          </w:p>
        </w:tc>
        <w:tc>
          <w:tcPr>
            <w:tcW w:w="1300" w:type="dxa"/>
            <w:vAlign w:val="bottom"/>
          </w:tcPr>
          <w:p>
            <w:pPr>
              <w:jc w:val="center"/>
              <w:ind w:left="894"/>
              <w:spacing w:after="0"/>
              <w:rPr>
                <w:sz w:val="20"/>
                <w:szCs w:val="20"/>
                <w:color w:val="auto"/>
              </w:rPr>
            </w:pPr>
            <w:r>
              <w:rPr>
                <w:rFonts w:ascii="Times New Roman" w:cs="Times New Roman" w:eastAsia="Times New Roman" w:hAnsi="Times New Roman"/>
                <w:sz w:val="17"/>
                <w:szCs w:val="17"/>
                <w:color w:val="auto"/>
                <w:w w:val="93"/>
              </w:rPr>
              <w:t>36</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240" w:type="dxa"/>
            <w:vAlign w:val="bottom"/>
          </w:tcPr>
          <w:p>
            <w:pPr>
              <w:spacing w:after="0"/>
              <w:rPr>
                <w:sz w:val="19"/>
                <w:szCs w:val="19"/>
                <w:color w:val="auto"/>
              </w:rPr>
            </w:pPr>
          </w:p>
        </w:tc>
        <w:tc>
          <w:tcPr>
            <w:tcW w:w="7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paid and other</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w w:val="98"/>
              </w:rPr>
              <w:t>(14)</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7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Liability for severance and related charges at end of period</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center"/>
              <w:ind w:left="894"/>
              <w:spacing w:after="0"/>
              <w:rPr>
                <w:sz w:val="20"/>
                <w:szCs w:val="20"/>
                <w:color w:val="auto"/>
              </w:rPr>
            </w:pPr>
            <w:r>
              <w:rPr>
                <w:rFonts w:ascii="Times New Roman" w:cs="Times New Roman" w:eastAsia="Times New Roman" w:hAnsi="Times New Roman"/>
                <w:sz w:val="17"/>
                <w:szCs w:val="17"/>
                <w:color w:val="auto"/>
                <w:w w:val="93"/>
              </w:rPr>
              <w:t>22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jc w:val="right"/>
              <w:ind w:right="2854"/>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86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40" w:type="dxa"/>
            <w:vAlign w:val="bottom"/>
            <w:tcBorders>
              <w:bottom w:val="single" w:sz="8" w:color="9A9A9A"/>
            </w:tcBorders>
          </w:tcPr>
          <w:p>
            <w:pPr>
              <w:spacing w:after="0"/>
              <w:rPr>
                <w:sz w:val="9"/>
                <w:szCs w:val="9"/>
                <w:color w:val="auto"/>
              </w:rPr>
            </w:pPr>
          </w:p>
        </w:tc>
        <w:tc>
          <w:tcPr>
            <w:tcW w:w="7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16"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57"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7"/>
          <w:szCs w:val="17"/>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2025 filed with the Securities and Exchange Commission on May 23, 2025,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66" w:lineRule="exact"/>
        <w:rPr>
          <w:sz w:val="20"/>
          <w:szCs w:val="20"/>
          <w:color w:val="auto"/>
        </w:rPr>
      </w:pPr>
    </w:p>
    <w:p>
      <w:pPr>
        <w:ind w:right="380"/>
        <w:spacing w:after="0" w:line="351" w:lineRule="auto"/>
        <w:rPr>
          <w:sz w:val="20"/>
          <w:szCs w:val="20"/>
          <w:color w:val="auto"/>
        </w:rPr>
      </w:pPr>
      <w:r>
        <w:rPr>
          <w:rFonts w:ascii="Times New Roman" w:cs="Times New Roman" w:eastAsia="Times New Roman" w:hAnsi="Times New Roman"/>
          <w:sz w:val="17"/>
          <w:szCs w:val="17"/>
          <w:i w:val="1"/>
          <w:iCs w:val="1"/>
          <w:color w:val="auto"/>
        </w:rPr>
        <w:t xml:space="preserve">Our fiscal year ends March 31 and, unless otherwise noted, references to years or fiscal are for fiscal years ended March 31. See “—Results of Operations.” </w:t>
      </w:r>
      <w:r>
        <w:rPr>
          <w:rFonts w:ascii="Times New Roman" w:cs="Times New Roman" w:eastAsia="Times New Roman" w:hAnsi="Times New Roman"/>
          <w:sz w:val="17"/>
          <w:szCs w:val="17"/>
          <w:b w:val="1"/>
          <w:bCs w:val="1"/>
          <w:color w:val="auto"/>
        </w:rPr>
        <w:t>Overview</w:t>
      </w:r>
    </w:p>
    <w:p>
      <w:pPr>
        <w:spacing w:after="0" w:line="1" w:lineRule="exact"/>
        <w:rPr>
          <w:sz w:val="20"/>
          <w:szCs w:val="20"/>
          <w:color w:val="auto"/>
        </w:rPr>
      </w:pPr>
    </w:p>
    <w:p>
      <w:pPr>
        <w:jc w:val="both"/>
        <w:ind w:right="460" w:firstLine="428"/>
        <w:spacing w:after="0" w:line="273" w:lineRule="auto"/>
        <w:rPr>
          <w:sz w:val="20"/>
          <w:szCs w:val="20"/>
          <w:color w:val="auto"/>
        </w:rPr>
      </w:pPr>
      <w:r>
        <w:rPr>
          <w:rFonts w:ascii="Times New Roman" w:cs="Times New Roman" w:eastAsia="Times New Roman" w:hAnsi="Times New Roman"/>
          <w:sz w:val="17"/>
          <w:szCs w:val="17"/>
          <w:color w:val="auto"/>
        </w:rPr>
        <w:t>Trusted to transform missions with the power of tomorrow’s technologies, Booz Allen advances the nation’s most critical civil, defense, and national security priorities. As an advanced technology company, we build technology solutions using AI, cyber, and other cutting-edge technologies to advance and protect the nation and its citizens. By focusing on outcomes, we enable our people and customers to transform missions for the nation.</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approximately 33,400 employees support critical missions for a diverse base of federal government customers, including nearly all of the</w:t>
      </w:r>
    </w:p>
    <w:p>
      <w:pPr>
        <w:spacing w:after="0" w:line="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color w:val="auto"/>
        </w:rPr>
        <w:t>U.S. government's cabinet-level departments, as well as for commercial customers, both domestically and in select international locations. Our work is designed to protect soldiers in combat, secure our national infrastructure, enable enhanced digital services, and improve government efficiency to achieve better outcomes. Drawing on our deep expertise and leading position as a cybersecurity provider, we bring advanced tradecraft to commercial customers across industries, including financial services, health and life sciences, energy, and technology.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and Trends Affecting Our Results of Operations</w:t>
      </w:r>
    </w:p>
    <w:p>
      <w:pPr>
        <w:spacing w:after="0" w:line="66" w:lineRule="exact"/>
        <w:rPr>
          <w:sz w:val="20"/>
          <w:szCs w:val="20"/>
          <w:color w:val="auto"/>
        </w:rPr>
      </w:pPr>
    </w:p>
    <w:p>
      <w:pPr>
        <w:ind w:right="700" w:firstLine="389"/>
        <w:spacing w:after="0" w:line="292" w:lineRule="auto"/>
        <w:rPr>
          <w:sz w:val="20"/>
          <w:szCs w:val="20"/>
          <w:color w:val="auto"/>
        </w:rPr>
      </w:pPr>
      <w:r>
        <w:rPr>
          <w:rFonts w:ascii="Times New Roman" w:cs="Times New Roman" w:eastAsia="Times New Roman" w:hAnsi="Times New Roman"/>
          <w:sz w:val="17"/>
          <w:szCs w:val="17"/>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Political, Budget and Regulatory Environment</w:t>
      </w:r>
    </w:p>
    <w:p>
      <w:pPr>
        <w:spacing w:after="0" w:line="68" w:lineRule="exact"/>
        <w:rPr>
          <w:sz w:val="20"/>
          <w:szCs w:val="20"/>
          <w:color w:val="auto"/>
        </w:rPr>
      </w:pPr>
    </w:p>
    <w:p>
      <w:pPr>
        <w:ind w:right="60" w:firstLine="428"/>
        <w:spacing w:after="0" w:line="273" w:lineRule="auto"/>
        <w:rPr>
          <w:sz w:val="20"/>
          <w:szCs w:val="20"/>
          <w:color w:val="auto"/>
        </w:rPr>
      </w:pPr>
      <w:r>
        <w:rPr>
          <w:rFonts w:ascii="Times New Roman" w:cs="Times New Roman" w:eastAsia="Times New Roman" w:hAnsi="Times New Roman"/>
          <w:sz w:val="17"/>
          <w:szCs w:val="17"/>
          <w:color w:val="auto"/>
        </w:rPr>
        <w:t>The U.S. continues to face an uncertain and evolving political, budget and regulatory environment, and we expect this uncertainty will continue. Our business performance is affected by the overall level of U.S. government spending and the alignment of our offerings and capabilities with the spending priorities of the U.S. government.</w:t>
      </w:r>
    </w:p>
    <w:p>
      <w:pPr>
        <w:spacing w:after="0" w:line="7" w:lineRule="exact"/>
        <w:rPr>
          <w:sz w:val="20"/>
          <w:szCs w:val="20"/>
          <w:color w:val="auto"/>
        </w:rPr>
      </w:pPr>
    </w:p>
    <w:p>
      <w:pPr>
        <w:ind w:firstLine="428"/>
        <w:spacing w:after="0" w:line="258" w:lineRule="auto"/>
        <w:rPr>
          <w:sz w:val="20"/>
          <w:szCs w:val="20"/>
          <w:color w:val="auto"/>
        </w:rPr>
      </w:pPr>
      <w:r>
        <w:rPr>
          <w:rFonts w:ascii="Times New Roman" w:cs="Times New Roman" w:eastAsia="Times New Roman" w:hAnsi="Times New Roman"/>
          <w:sz w:val="17"/>
          <w:szCs w:val="17"/>
          <w:color w:val="auto"/>
        </w:rPr>
        <w:t>The U.S. government is driving changes in the structure and priorities of U.S. government agencies and the U.S. government is currently in the process of reviewing spending across U.S. government agencies to ensure it aligns with the new administration’s priorities of maximizing governmental efficiency and productivity. We have been, and will continue to be, subject to these reviews, and we have had, and may in the future have, certain of our contracts impacted, reduced or canceled as a result of these reviews. We have also experienced price adjustments and renegotiations prior to option exercise of certain of our contracts as a result of these reviews and may in the future continue to experience such adjustments. Further, we are, and may in the future be, subject to customer mandates to formulate additional methods by which to achieve efficiencies in providing our services, and we remain in ongoing discussions with various U.S. government departments and agencies in relation to cost reductions and other potential contract modifications. There can be no assurance that these reviews will not ultimately have a material adverse impact on our business and financial performance. There has been a marked increase in negative publicity regarding government contractors (including the Company) in connection with the U.S. government’s efforts to improve efficiency and reduce costs, which could harm our reputation and could have a material impact on our business, results of operations and financial condition.</w:t>
      </w:r>
    </w:p>
    <w:p>
      <w:pPr>
        <w:spacing w:after="0" w:line="25" w:lineRule="exact"/>
        <w:rPr>
          <w:sz w:val="20"/>
          <w:szCs w:val="20"/>
          <w:color w:val="auto"/>
        </w:rPr>
      </w:pPr>
    </w:p>
    <w:p>
      <w:pPr>
        <w:ind w:right="20" w:firstLine="428"/>
        <w:spacing w:after="0" w:line="261" w:lineRule="auto"/>
        <w:rPr>
          <w:sz w:val="20"/>
          <w:szCs w:val="20"/>
          <w:color w:val="auto"/>
        </w:rPr>
      </w:pPr>
      <w:r>
        <w:rPr>
          <w:rFonts w:ascii="Times New Roman" w:cs="Times New Roman" w:eastAsia="Times New Roman" w:hAnsi="Times New Roman"/>
          <w:sz w:val="17"/>
          <w:szCs w:val="17"/>
          <w:color w:val="auto"/>
        </w:rPr>
        <w:t>The new administration is putting in place a number of Executive Orders and actions that have and could continue to affect our business. U.S. government agencies are also undertaking their own independent reviews of their contract portfolios and reviewing future procurements in response to recent Executive Orders focused on efficiency in government procurement. At the same time that the scrutiny is increasing, there have been reductions in personnel at U.S. government agencies with which we do business. These reductions in personnel, along with the changing political and regulatory environment, has led to a slower procurement environment, with delays in the granting of new contract awards, delays in the processing of payments by government payment offices, as well as increased processing times for security clearances and other governmental consents, each of which could result in negative impacts to our business and financial performance.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firstLine="428"/>
        <w:spacing w:after="0" w:line="264" w:lineRule="auto"/>
        <w:rPr>
          <w:sz w:val="20"/>
          <w:szCs w:val="20"/>
          <w:color w:val="auto"/>
        </w:rPr>
      </w:pPr>
      <w:r>
        <w:rPr>
          <w:rFonts w:ascii="Times New Roman" w:cs="Times New Roman" w:eastAsia="Times New Roman" w:hAnsi="Times New Roman"/>
          <w:sz w:val="17"/>
          <w:szCs w:val="17"/>
          <w:color w:val="auto"/>
        </w:rPr>
        <w:t>The President has issued two specific Executive Orders that may cause future changes, the impact of which remains uncertain, that are intended to (i) simplify and accelerate the procurement process through a review and restructuring of the Federal Acquisition Regulation (“FAR”), and its supplements and (ii) modernize defense acquisitions by promoting commercial solutions, innovative acquisition authorities, and other existing streamlined processes. While the impact of these reforms on our business is uncertain, they could potentially lead to changes in the way we interact with the U.S. government. If certain commercial preferences are narrowly defined, these reforms could introduce new barriers that reduce the likelihood of direct award to companies such as Booz Allen.</w:t>
      </w:r>
    </w:p>
    <w:p>
      <w:pPr>
        <w:spacing w:after="0" w:line="14" w:lineRule="exact"/>
        <w:rPr>
          <w:sz w:val="20"/>
          <w:szCs w:val="20"/>
          <w:color w:val="auto"/>
        </w:rPr>
      </w:pPr>
    </w:p>
    <w:p>
      <w:pPr>
        <w:ind w:right="180" w:firstLine="428"/>
        <w:spacing w:after="0" w:line="260" w:lineRule="auto"/>
        <w:rPr>
          <w:sz w:val="20"/>
          <w:szCs w:val="20"/>
          <w:color w:val="auto"/>
        </w:rPr>
      </w:pPr>
      <w:r>
        <w:rPr>
          <w:rFonts w:ascii="Times New Roman" w:cs="Times New Roman" w:eastAsia="Times New Roman" w:hAnsi="Times New Roman"/>
          <w:sz w:val="17"/>
          <w:szCs w:val="17"/>
          <w:color w:val="auto"/>
        </w:rPr>
        <w:t>On March 15, 2025, the President signed into law the Full-Year Continuing Appropriations and Extensions Act, 2025 (the “2025 Appropriations Act”), which funds the U.S. government under a continuing resolution through September 30, 2025, its fiscal year end. In total, the fiscal year 2025 continuing resolution funding is roughly equivalent to the U.S. government’s fiscal year 2024 funding with a few anomalies and other smaller shifts in funding between appropriations titles. The 2025 Appropriations Act increases the Department of Defense’s fiscal year 2025 base budget, while reducing nondefense spending. Unlike other continuing resulting funding measures, the 2025 Appropriations Act provides the Department of Defense conditional authority to permit new program starts, as long as they were included in the fiscal year 2025 House or Senate appropriation bills, furthering the flexibility of the Department of Defense operating under a continuing resolution.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Backlog</w:t>
      </w:r>
    </w:p>
    <w:p>
      <w:pPr>
        <w:spacing w:after="0" w:line="1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define backlog to include the following three components:</w:t>
      </w:r>
    </w:p>
    <w:p>
      <w:pPr>
        <w:spacing w:after="0" w:line="62" w:lineRule="exact"/>
        <w:rPr>
          <w:sz w:val="20"/>
          <w:szCs w:val="20"/>
          <w:color w:val="auto"/>
        </w:rPr>
      </w:pPr>
    </w:p>
    <w:p>
      <w:pPr>
        <w:ind w:left="620" w:right="500" w:hanging="305"/>
        <w:spacing w:after="0" w:line="286" w:lineRule="auto"/>
        <w:tabs>
          <w:tab w:leader="none" w:pos="616" w:val="left"/>
        </w:tabs>
        <w:numPr>
          <w:ilvl w:val="0"/>
          <w:numId w:val="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Funded Backlog. </w:t>
      </w:r>
      <w:r>
        <w:rPr>
          <w:rFonts w:ascii="Times New Roman" w:cs="Times New Roman" w:eastAsia="Times New Roman" w:hAnsi="Times New Roman"/>
          <w:sz w:val="17"/>
          <w:szCs w:val="17"/>
          <w:color w:val="auto"/>
        </w:rPr>
        <w:t>Funded backlog represents the revenue value of orders for services under existing contracts for which funding is appropriated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otherwise authorized less revenue previously recognized on these contracts.</w:t>
      </w:r>
    </w:p>
    <w:p>
      <w:pPr>
        <w:ind w:left="620" w:right="120" w:hanging="305"/>
        <w:spacing w:after="0" w:line="286"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Unfunded Backlog. </w:t>
      </w:r>
      <w:r>
        <w:rPr>
          <w:rFonts w:ascii="Times New Roman" w:cs="Times New Roman" w:eastAsia="Times New Roman" w:hAnsi="Times New Roman"/>
          <w:sz w:val="17"/>
          <w:szCs w:val="17"/>
          <w:color w:val="auto"/>
        </w:rPr>
        <w:t>Unfunded backlog represents the revenue value of orders (including optional orders) for services under existing contracts for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funding has not been appropriated or otherwise authorized.</w:t>
      </w:r>
    </w:p>
    <w:p>
      <w:pPr>
        <w:ind w:left="620" w:right="260" w:hanging="305"/>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Priced Options. </w:t>
      </w:r>
      <w:r>
        <w:rPr>
          <w:rFonts w:ascii="Times New Roman" w:cs="Times New Roman" w:eastAsia="Times New Roman" w:hAnsi="Times New Roman"/>
          <w:sz w:val="17"/>
          <w:szCs w:val="17"/>
          <w:color w:val="auto"/>
        </w:rPr>
        <w:t>Priced contract options represent 100% of the revenue value of all future contract option periods under existing contracts that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exercised at our customers’ option and for which funding has not been appropriated or otherwise authorized.</w:t>
      </w:r>
    </w:p>
    <w:p>
      <w:pPr>
        <w:spacing w:after="0" w:line="42"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Our backlog does not include contracts that have been awarded but are currently under protest and also does not include any task orders under indefinite delivery/indefinite quantity (“IDIQ”) contracts, General Services Administration (“GSA”) Multiple Award schedule contracts (“GSA schedules”) or other master agreement contract vehicles, except to the extent that task orders have been awarded to us under those contracts.</w:t>
      </w:r>
    </w:p>
    <w:p>
      <w:pPr>
        <w:spacing w:after="0" w:line="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summarizes the value of our contract backlog as of the respective periods presented:</w:t>
      </w:r>
    </w:p>
    <w:p>
      <w:pPr>
        <w:spacing w:after="0" w:line="29"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220" w:type="dxa"/>
            <w:vAlign w:val="bottom"/>
          </w:tcPr>
          <w:p>
            <w:pPr>
              <w:spacing w:after="0"/>
              <w:rPr>
                <w:sz w:val="17"/>
                <w:szCs w:val="17"/>
                <w:color w:val="auto"/>
              </w:rPr>
            </w:pP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June 30,</w:t>
            </w:r>
          </w:p>
        </w:tc>
      </w:tr>
      <w:tr>
        <w:trPr>
          <w:trHeight w:val="231"/>
        </w:trPr>
        <w:tc>
          <w:tcPr>
            <w:tcW w:w="6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(In millions)</w:t>
            </w:r>
          </w:p>
        </w:tc>
      </w:tr>
      <w:tr>
        <w:trPr>
          <w:trHeight w:val="220"/>
        </w:trPr>
        <w:tc>
          <w:tcPr>
            <w:tcW w:w="64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7"/>
                <w:szCs w:val="17"/>
                <w:color w:val="auto"/>
              </w:rPr>
              <w:t>Backlog</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0"/>
        </w:trPr>
        <w:tc>
          <w:tcPr>
            <w:tcW w:w="64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Funded</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4,464</w:t>
            </w:r>
          </w:p>
        </w:tc>
      </w:tr>
      <w:tr>
        <w:trPr>
          <w:trHeight w:val="220"/>
        </w:trPr>
        <w:tc>
          <w:tcPr>
            <w:tcW w:w="6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Unfunded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9,185</w:t>
            </w:r>
          </w:p>
        </w:tc>
      </w:tr>
      <w:tr>
        <w:trPr>
          <w:trHeight w:val="220"/>
        </w:trPr>
        <w:tc>
          <w:tcPr>
            <w:tcW w:w="64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Priced options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20,923</w:t>
            </w:r>
          </w:p>
        </w:tc>
      </w:tr>
      <w:tr>
        <w:trPr>
          <w:trHeight w:val="238"/>
        </w:trPr>
        <w:tc>
          <w:tcPr>
            <w:tcW w:w="64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backlog</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34,572</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1480" w:right="1260" w:hanging="155"/>
        <w:spacing w:after="0" w:line="212" w:lineRule="auto"/>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Amounts reflect the Company’s change in policy during the fourth quarter of fiscal 2025 to exclude contracts for which the period of performance has expired.</w:t>
      </w:r>
    </w:p>
    <w:p>
      <w:pPr>
        <w:spacing w:after="0" w:line="125"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Our total backlog consists of contractual values which is inclusive of remaining performance obligations, unexercised option periods and other unexercised optional orders. As of June 30, 2025 and March 31, 2025, the Company had $10.6 billion and $9.5 billion of remaining performance obligations, respectively, and we expect to recognize approximately 65% of the remaining performance obligations as of June 30, 2025 as revenue over the next 12 months, and approximately 70% over the next 24 months. The remainder is expected to be recognized thereafter.We also expect to recognize revenue from a substantial portion of funded backlog as of June 30, 2025, within the next twelve months. However, given the uncertainties discussed below, as well as the risks described in “Item 1A. Risk Factors” of our Annual Report on Form 10-K for the fiscal year ended March 31, 2025, we can give no assurance that we will be able to convert our performance obligations or funded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We view growth in total backlog as a key measure of our potential business growth. Total backlog increased by 10.7% from June 30, 2024 to June 30, 2025. Additions to funded backlog during the twelve months ended June 30, 2025 and 2024 totaled $11.5 billion and $11.0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66" w:lineRule="exact"/>
        <w:rPr>
          <w:sz w:val="20"/>
          <w:szCs w:val="20"/>
          <w:color w:val="auto"/>
        </w:rPr>
      </w:pPr>
    </w:p>
    <w:p>
      <w:pPr>
        <w:ind w:firstLine="389"/>
        <w:spacing w:after="0" w:line="258" w:lineRule="auto"/>
        <w:rPr>
          <w:sz w:val="20"/>
          <w:szCs w:val="20"/>
          <w:color w:val="auto"/>
        </w:rPr>
      </w:pPr>
      <w:r>
        <w:rPr>
          <w:rFonts w:ascii="Times New Roman" w:cs="Times New Roman" w:eastAsia="Times New Roman" w:hAnsi="Times New Roman"/>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customer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as of June 30, 2025, but could have a material effect in the future: for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customers will not exercise their options.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 and Policies</w:t>
      </w:r>
    </w:p>
    <w:p>
      <w:pPr>
        <w:spacing w:after="0" w:line="118" w:lineRule="exact"/>
        <w:rPr>
          <w:sz w:val="20"/>
          <w:szCs w:val="20"/>
          <w:color w:val="auto"/>
        </w:rPr>
      </w:pPr>
    </w:p>
    <w:p>
      <w:pPr>
        <w:ind w:right="400" w:firstLine="389"/>
        <w:spacing w:after="0" w:line="292" w:lineRule="auto"/>
        <w:rPr>
          <w:sz w:val="20"/>
          <w:szCs w:val="20"/>
          <w:color w:val="auto"/>
        </w:rPr>
      </w:pPr>
      <w:r>
        <w:rPr>
          <w:rFonts w:ascii="Times New Roman" w:cs="Times New Roman" w:eastAsia="Times New Roman" w:hAnsi="Times New Roman"/>
          <w:sz w:val="17"/>
          <w:szCs w:val="17"/>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2025.</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items from our condensed consolidated statements of operations for the respective periods shown:</w:t>
      </w:r>
    </w:p>
    <w:p>
      <w:pPr>
        <w:spacing w:after="0" w:line="45" w:lineRule="exact"/>
        <w:rPr>
          <w:sz w:val="20"/>
          <w:szCs w:val="20"/>
          <w:color w:val="auto"/>
        </w:rPr>
      </w:pPr>
    </w:p>
    <w:p>
      <w:pPr>
        <w:jc w:val="center"/>
        <w:ind w:left="44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44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9"/>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7"/>
                <w:szCs w:val="17"/>
                <w:color w:val="auto"/>
              </w:rPr>
            </w:pPr>
          </w:p>
        </w:tc>
        <w:tc>
          <w:tcPr>
            <w:tcW w:w="1060" w:type="dxa"/>
            <w:vAlign w:val="bottom"/>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08"/>
        </w:trPr>
        <w:tc>
          <w:tcPr>
            <w:tcW w:w="64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100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1,372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5"/>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Billable expenses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5"/>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64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2,687</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198"/>
        </w:trPr>
        <w:tc>
          <w:tcPr>
            <w:tcW w:w="64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1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5"/>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5"/>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2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76" w:lineRule="exact"/>
        <w:rPr>
          <w:sz w:val="20"/>
          <w:szCs w:val="20"/>
          <w:color w:val="auto"/>
        </w:rPr>
      </w:pPr>
    </w:p>
    <w:p>
      <w:pPr>
        <w:ind w:right="280" w:firstLine="389"/>
        <w:spacing w:after="0" w:line="273" w:lineRule="auto"/>
        <w:rPr>
          <w:sz w:val="20"/>
          <w:szCs w:val="20"/>
          <w:color w:val="auto"/>
        </w:rPr>
      </w:pPr>
      <w:r>
        <w:rPr>
          <w:rFonts w:ascii="Times New Roman" w:cs="Times New Roman" w:eastAsia="Times New Roman" w:hAnsi="Times New Roman"/>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 decreased 1% to $2,924 million, primarily driven by lower billable expenses.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18" w:lineRule="exact"/>
        <w:rPr>
          <w:sz w:val="20"/>
          <w:szCs w:val="20"/>
          <w:color w:val="auto"/>
        </w:rPr>
      </w:pPr>
    </w:p>
    <w:p>
      <w:pPr>
        <w:ind w:right="100" w:firstLine="389"/>
        <w:spacing w:after="0" w:line="252" w:lineRule="auto"/>
        <w:rPr>
          <w:sz w:val="20"/>
          <w:szCs w:val="20"/>
          <w:color w:val="auto"/>
        </w:rPr>
      </w:pPr>
      <w:r>
        <w:rPr>
          <w:rFonts w:ascii="Times New Roman" w:cs="Times New Roman" w:eastAsia="Times New Roman" w:hAnsi="Times New Roman"/>
          <w:sz w:val="17"/>
          <w:szCs w:val="17"/>
          <w:color w:val="auto"/>
        </w:rPr>
        <w:t>Cost of revenue includes direct labor, related employee benefits, and overhead. Overhead consists of indirect costs, including indirect labor relating to infrastructure, management and administration, and other expenses. Cost of revenue increased 4% to $1,423 million, and increased as a percentage of revenue to 49% from 47%. The increase was primarily due to increases in salaries and salary-related benefits of $99 million, partially offset by decreases in other business expenses of $45 million. Cost of revenue includes $30 million in costs incurred related to employee severance and related charges. See Note 13, “Supplemental Condensed Consolidated Financial Information,” to the condensed consolidated financial statements for further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Billable Expenses</w:t>
      </w:r>
    </w:p>
    <w:p>
      <w:pPr>
        <w:spacing w:after="0" w:line="118"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Billable expenses include direct subcontractor expenses, travel expenses, and other expenses incurred to perform on contracts. Billable expenses decreased 7% to $881 million, and decreased as a percentage of revenue to 30% from 32% . The decrease was primarily attributable to decreases in the use of subcontractors driven by customer demand and timing of customer needs.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18" w:lineRule="exact"/>
        <w:rPr>
          <w:sz w:val="20"/>
          <w:szCs w:val="20"/>
          <w:color w:val="auto"/>
        </w:rPr>
      </w:pPr>
    </w:p>
    <w:p>
      <w:pPr>
        <w:ind w:right="140" w:firstLine="389"/>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expenses include indirect labor of executive management and corporate administrative functions, marketing and bid and proposal costs, legal costs, and other discretionary spending. General and administrative expenses decreased 2% to $323 million, and remained flat as a percentage of revenue at 11%. The decrease was primarily due to decreases in other business expenses and professional fees of $10 million, partially offset by increases in salary and salary related benefits of $9 million. General and administrative expenses include $6 million in costs incurred related to employee severance and related charges. See Note 13, “Supplemental Condensed Consolidated Financial Information,” to the condensed consolidated financial statements for further information.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w:t>
      </w:r>
    </w:p>
    <w:p>
      <w:pPr>
        <w:spacing w:after="0" w:line="118" w:lineRule="exact"/>
        <w:rPr>
          <w:sz w:val="20"/>
          <w:szCs w:val="20"/>
          <w:color w:val="auto"/>
        </w:rPr>
      </w:pPr>
    </w:p>
    <w:p>
      <w:pPr>
        <w:jc w:val="both"/>
        <w:ind w:right="300" w:firstLine="389"/>
        <w:spacing w:after="0" w:line="273" w:lineRule="auto"/>
        <w:rPr>
          <w:sz w:val="20"/>
          <w:szCs w:val="20"/>
          <w:color w:val="auto"/>
        </w:rPr>
      </w:pPr>
      <w:r>
        <w:rPr>
          <w:rFonts w:ascii="Times New Roman" w:cs="Times New Roman" w:eastAsia="Times New Roman" w:hAnsi="Times New Roman"/>
          <w:sz w:val="17"/>
          <w:szCs w:val="17"/>
          <w:color w:val="auto"/>
        </w:rPr>
        <w:t>Depreciation and amortization includes the depreciation of computers, leasehold improvements, furniture and other equipment, and the amortization of internally developed software, as well as third-party software that we use internally, and of identifiable long-lived intangible assets over their estimated useful lives. Depreciation and amortization expense decreased 2% to $40 million.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Income</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Operating income increased 1% to $257 million, reflecting a stable operating margin that remained flat at 9%. Operating income was driven by ongoing cost management efforts, despite relatively flat revenue year over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18" w:lineRule="exact"/>
        <w:rPr>
          <w:sz w:val="20"/>
          <w:szCs w:val="20"/>
          <w:color w:val="auto"/>
        </w:rPr>
      </w:pPr>
    </w:p>
    <w:p>
      <w:pPr>
        <w:ind w:right="180" w:firstLine="389"/>
        <w:spacing w:after="0" w:line="292" w:lineRule="auto"/>
        <w:rPr>
          <w:sz w:val="20"/>
          <w:szCs w:val="20"/>
          <w:color w:val="auto"/>
        </w:rPr>
      </w:pPr>
      <w:r>
        <w:rPr>
          <w:rFonts w:ascii="Times New Roman" w:cs="Times New Roman" w:eastAsia="Times New Roman" w:hAnsi="Times New Roman"/>
          <w:sz w:val="17"/>
          <w:szCs w:val="17"/>
          <w:color w:val="auto"/>
        </w:rPr>
        <w:t>Interest expense, net increased 16% to $44 million, primarily due to an increase of $10 million in bond interest expense driven by the $650 million Senior Notes due 2035 (issued in March of fiscal 2025).</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Other income (expense), net increased to $3 million, primarily driven by an unrealized gain of $5 million related to the Company’s investments.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18" w:lineRule="exact"/>
        <w:rPr>
          <w:sz w:val="20"/>
          <w:szCs w:val="20"/>
          <w:color w:val="auto"/>
        </w:rPr>
      </w:pPr>
    </w:p>
    <w:p>
      <w:pPr>
        <w:ind w:firstLine="389"/>
        <w:spacing w:after="0" w:line="273" w:lineRule="auto"/>
        <w:rPr>
          <w:sz w:val="20"/>
          <w:szCs w:val="20"/>
          <w:color w:val="auto"/>
        </w:rPr>
      </w:pPr>
      <w:r>
        <w:rPr>
          <w:rFonts w:ascii="Times New Roman" w:cs="Times New Roman" w:eastAsia="Times New Roman" w:hAnsi="Times New Roman"/>
          <w:sz w:val="17"/>
          <w:szCs w:val="17"/>
          <w:color w:val="auto"/>
        </w:rPr>
        <w:t>Income tax expense decreased to a net benefit of $55 million, driven by a reduction to the income tax reserve of $89 million during the quarter as well as the accrual of interest income on the long-term receivable of $20 million (net of tax effect). The quarterly effective tax rate decreased to (25.5)% from 22.9%. See Note 9, “Income Taxes,” to the condensed consolidated financial statements for further information.</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Measures</w:t>
      </w:r>
    </w:p>
    <w:p>
      <w:pPr>
        <w:spacing w:after="0" w:line="64" w:lineRule="exact"/>
        <w:rPr>
          <w:sz w:val="20"/>
          <w:szCs w:val="20"/>
          <w:color w:val="auto"/>
        </w:rPr>
      </w:pPr>
    </w:p>
    <w:p>
      <w:pPr>
        <w:ind w:firstLine="389"/>
        <w:spacing w:after="0" w:line="256" w:lineRule="auto"/>
        <w:rPr>
          <w:sz w:val="20"/>
          <w:szCs w:val="20"/>
          <w:color w:val="auto"/>
        </w:rPr>
      </w:pPr>
      <w:r>
        <w:rPr>
          <w:rFonts w:ascii="Times New Roman" w:cs="Times New Roman" w:eastAsia="Times New Roman" w:hAnsi="Times New Roman"/>
          <w:sz w:val="17"/>
          <w:szCs w:val="17"/>
          <w:color w:val="auto"/>
        </w:rPr>
        <w:t xml:space="preserve">We publicly disclose certain non-GAAP financial measurements, including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because management uses these measures for business planning purposes, including to manage our business against internal projected results of operations and measure our performance. We view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 These supplemental performance measurements may vary from and may not be comparable to similarly titled measures by other companies in our industry. </w:t>
      </w:r>
      <w:r>
        <w:rPr>
          <w:rFonts w:ascii="Times New Roman" w:cs="Times New Roman" w:eastAsia="Times New Roman" w:hAnsi="Times New Roman"/>
          <w:sz w:val="17"/>
          <w:szCs w:val="17"/>
          <w:i w:val="1"/>
          <w:iCs w:val="1"/>
          <w:color w:val="auto"/>
        </w:rPr>
        <w:t>Revenue, Excluding Billable Expenses, 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are not recognized measurements under accounting principles generally accepted in the United States (“GAAP”) and when analyzing our performance, investors should (i) evaluate each adjustment in our reconciliation of revenue to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net income to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and</w:t>
      </w:r>
    </w:p>
    <w:p>
      <w:pPr>
        <w:spacing w:after="0" w:line="9" w:lineRule="exact"/>
        <w:rPr>
          <w:sz w:val="20"/>
          <w:szCs w:val="20"/>
          <w:color w:val="auto"/>
        </w:rPr>
      </w:pPr>
    </w:p>
    <w:p>
      <w:pPr>
        <w:ind w:right="60" w:firstLine="4"/>
        <w:spacing w:after="0" w:line="269" w:lineRule="auto"/>
        <w:tabs>
          <w:tab w:leader="none" w:pos="25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use </w:t>
      </w:r>
      <w:r>
        <w:rPr>
          <w:rFonts w:ascii="Times New Roman" w:cs="Times New Roman" w:eastAsia="Times New Roman" w:hAnsi="Times New Roman"/>
          <w:sz w:val="17"/>
          <w:szCs w:val="17"/>
          <w:i w:val="1"/>
          <w:iCs w:val="1"/>
          <w:color w:val="auto"/>
        </w:rPr>
        <w:t>Revenue, Excluding Billable Expenses, 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in addition to, and not as an alternative to, revenue and net income, as measures of operating results, each as defined under GAAP. We have defined the aforementioned non-GAAP measures as follows: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1"/>
          <w:numId w:val="8"/>
        </w:numPr>
        <w:rPr>
          <w:rFonts w:ascii="Arial" w:cs="Arial" w:eastAsia="Arial" w:hAnsi="Arial"/>
          <w:sz w:val="17"/>
          <w:szCs w:val="17"/>
          <w:color w:val="auto"/>
        </w:rPr>
      </w:pPr>
      <w:r>
        <w:rPr>
          <w:rFonts w:ascii="Times New Roman" w:cs="Times New Roman" w:eastAsia="Times New Roman" w:hAnsi="Times New Roman"/>
          <w:sz w:val="17"/>
          <w:szCs w:val="17"/>
          <w:i w:val="1"/>
          <w:iCs w:val="1"/>
          <w:color w:val="auto"/>
        </w:rPr>
        <w:t xml:space="preserve">Revenue, Excluding Billable Expenses </w:t>
      </w:r>
      <w:r>
        <w:rPr>
          <w:rFonts w:ascii="Times New Roman" w:cs="Times New Roman" w:eastAsia="Times New Roman" w:hAnsi="Times New Roman"/>
          <w:sz w:val="17"/>
          <w:szCs w:val="17"/>
          <w:color w:val="auto"/>
        </w:rPr>
        <w:t>represents revenue less billable expenses.</w:t>
      </w:r>
    </w:p>
    <w:p>
      <w:pPr>
        <w:spacing w:after="0" w:line="63" w:lineRule="exact"/>
        <w:rPr>
          <w:rFonts w:ascii="Arial" w:cs="Arial" w:eastAsia="Arial" w:hAnsi="Arial"/>
          <w:sz w:val="17"/>
          <w:szCs w:val="17"/>
          <w:color w:val="auto"/>
        </w:rPr>
      </w:pPr>
    </w:p>
    <w:p>
      <w:pPr>
        <w:ind w:left="620" w:hanging="305"/>
        <w:spacing w:after="0"/>
        <w:tabs>
          <w:tab w:leader="none" w:pos="62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EBITDA </w:t>
      </w:r>
      <w:r>
        <w:rPr>
          <w:rFonts w:ascii="Times New Roman" w:cs="Times New Roman" w:eastAsia="Times New Roman" w:hAnsi="Times New Roman"/>
          <w:sz w:val="17"/>
          <w:szCs w:val="17"/>
          <w:color w:val="auto"/>
        </w:rPr>
        <w:t>represents net income before income taxes, interest expense, net and other income (expense), net, and depreciation and amortization.</w:t>
      </w:r>
    </w:p>
    <w:p>
      <w:pPr>
        <w:spacing w:after="0" w:line="63" w:lineRule="exact"/>
        <w:rPr>
          <w:rFonts w:ascii="Times New Roman" w:cs="Times New Roman" w:eastAsia="Times New Roman" w:hAnsi="Times New Roman"/>
          <w:sz w:val="17"/>
          <w:szCs w:val="17"/>
          <w:color w:val="auto"/>
        </w:rPr>
      </w:pPr>
    </w:p>
    <w:p>
      <w:pPr>
        <w:ind w:left="620" w:right="240" w:hanging="305"/>
        <w:spacing w:after="0" w:line="267" w:lineRule="auto"/>
        <w:tabs>
          <w:tab w:leader="none" w:pos="616"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Adjusted EBITDA </w:t>
      </w:r>
      <w:r>
        <w:rPr>
          <w:rFonts w:ascii="Times New Roman" w:cs="Times New Roman" w:eastAsia="Times New Roman" w:hAnsi="Times New Roman"/>
          <w:sz w:val="17"/>
          <w:szCs w:val="17"/>
          <w:color w:val="auto"/>
        </w:rPr>
        <w:t>represents net income before income tax expense, interest expense, net and other income (expense), net, and depreciation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amortization and before certain other items, including other corporate expenses. The Company prepares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xml:space="preserve"> to eliminate the impact of items it does not consider indicative of ongoing operating performance due to their inherent unusual, extraordinary or non-recurring nature or because they result from an event of a similar nature.</w:t>
      </w:r>
    </w:p>
    <w:p>
      <w:pPr>
        <w:spacing w:after="0" w:line="12" w:lineRule="exact"/>
        <w:rPr>
          <w:sz w:val="20"/>
          <w:szCs w:val="20"/>
          <w:color w:val="auto"/>
        </w:rPr>
      </w:pPr>
    </w:p>
    <w:p>
      <w:pPr>
        <w:ind w:right="140" w:firstLine="389"/>
        <w:spacing w:after="0" w:line="278" w:lineRule="auto"/>
        <w:rPr>
          <w:sz w:val="20"/>
          <w:szCs w:val="20"/>
          <w:color w:val="auto"/>
        </w:rPr>
      </w:pPr>
      <w:r>
        <w:rPr>
          <w:rFonts w:ascii="Times New Roman" w:cs="Times New Roman" w:eastAsia="Times New Roman" w:hAnsi="Times New Roman"/>
          <w:sz w:val="17"/>
          <w:szCs w:val="17"/>
          <w:color w:val="auto"/>
        </w:rPr>
        <w:t xml:space="preserve">Below is a reconciliation of our most directly comparable GAAP measures to our non-GAAP measures, Revenue to </w:t>
      </w:r>
      <w:r>
        <w:rPr>
          <w:rFonts w:ascii="Times New Roman" w:cs="Times New Roman" w:eastAsia="Times New Roman" w:hAnsi="Times New Roman"/>
          <w:sz w:val="17"/>
          <w:szCs w:val="17"/>
          <w:i w:val="1"/>
          <w:iCs w:val="1"/>
          <w:color w:val="auto"/>
        </w:rPr>
        <w:t>Revenue, Excluding Billable Expenses</w:t>
      </w:r>
      <w:r>
        <w:rPr>
          <w:rFonts w:ascii="Times New Roman" w:cs="Times New Roman" w:eastAsia="Times New Roman" w:hAnsi="Times New Roman"/>
          <w:sz w:val="17"/>
          <w:szCs w:val="17"/>
          <w:color w:val="auto"/>
        </w:rPr>
        <w:t xml:space="preserve"> and Net income to </w:t>
      </w:r>
      <w:r>
        <w:rPr>
          <w:rFonts w:ascii="Times New Roman" w:cs="Times New Roman" w:eastAsia="Times New Roman" w:hAnsi="Times New Roman"/>
          <w:sz w:val="17"/>
          <w:szCs w:val="17"/>
          <w:i w:val="1"/>
          <w:iCs w:val="1"/>
          <w:color w:val="auto"/>
        </w:rPr>
        <w:t>EBITDA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Adjusted EBITDA</w:t>
      </w:r>
      <w:r>
        <w:rPr>
          <w:rFonts w:ascii="Times New Roman" w:cs="Times New Roman" w:eastAsia="Times New Roman" w:hAnsi="Times New Roman"/>
          <w:sz w:val="17"/>
          <w:szCs w:val="17"/>
          <w:color w:val="auto"/>
        </w:rPr>
        <w:t>, calculated and presented in accordance with GAAP:</w:t>
      </w:r>
    </w:p>
    <w:tbl>
      <w:tblPr>
        <w:tblLayout w:type="fixed"/>
        <w:tblInd w:w="380" w:type="dxa"/>
        <w:tblCellMar>
          <w:top w:w="0" w:type="dxa"/>
          <w:left w:w="0" w:type="dxa"/>
          <w:bottom w:w="0" w:type="dxa"/>
          <w:right w:w="0" w:type="dxa"/>
        </w:tblCellMar>
      </w:tblPr>
      <w:tr>
        <w:trPr>
          <w:trHeight w:val="177"/>
        </w:trPr>
        <w:tc>
          <w:tcPr>
            <w:tcW w:w="7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center"/>
              <w:ind w:right="194"/>
              <w:spacing w:after="0" w:line="177" w:lineRule="exact"/>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8"/>
        </w:trPr>
        <w:tc>
          <w:tcPr>
            <w:tcW w:w="77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860" w:type="dxa"/>
            <w:vAlign w:val="bottom"/>
            <w:tcBorders>
              <w:bottom w:val="single" w:sz="8" w:color="auto"/>
            </w:tcBorders>
          </w:tcPr>
          <w:p>
            <w:pPr>
              <w:spacing w:after="0"/>
              <w:rPr>
                <w:sz w:val="19"/>
                <w:szCs w:val="19"/>
                <w:color w:val="auto"/>
              </w:rPr>
            </w:pPr>
          </w:p>
        </w:tc>
      </w:tr>
      <w:tr>
        <w:trPr>
          <w:trHeight w:val="21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 millions, except share and per share data)</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3"/>
        </w:trPr>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jc w:val="center"/>
              <w:ind w:left="4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860" w:type="dxa"/>
            <w:vAlign w:val="bottom"/>
          </w:tcPr>
          <w:p>
            <w:pPr>
              <w:spacing w:after="0"/>
              <w:rPr>
                <w:sz w:val="18"/>
                <w:szCs w:val="18"/>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Revenue, Excluding Billable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2,924</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2,942</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Less: Billable expenses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881</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945</w:t>
            </w:r>
          </w:p>
        </w:tc>
      </w:tr>
      <w:tr>
        <w:trPr>
          <w:trHeight w:val="213"/>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Revenue, Excluding Billable Expenses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2,043</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1,997</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776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7"/>
                <w:szCs w:val="17"/>
                <w:b w:val="1"/>
                <w:bCs w:val="1"/>
                <w:i w:val="1"/>
                <w:iCs w:val="1"/>
                <w:color w:val="auto"/>
              </w:rPr>
              <w:t>EBITDA and Adjusted EBITDA</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271</w:t>
            </w:r>
          </w:p>
        </w:tc>
        <w:tc>
          <w:tcPr>
            <w:tcW w:w="80" w:type="dxa"/>
            <w:vAlign w:val="bottom"/>
          </w:tcPr>
          <w:p>
            <w:pPr>
              <w:spacing w:after="0"/>
              <w:rPr>
                <w:sz w:val="19"/>
                <w:szCs w:val="19"/>
                <w:color w:val="auto"/>
              </w:rPr>
            </w:pPr>
          </w:p>
        </w:tc>
        <w:tc>
          <w:tcPr>
            <w:tcW w:w="460" w:type="dxa"/>
            <w:vAlign w:val="bottom"/>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165</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49</w:t>
            </w: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 and other income (expense), net</w:t>
            </w:r>
          </w:p>
        </w:tc>
        <w:tc>
          <w:tcPr>
            <w:tcW w:w="2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w:t>
            </w:r>
          </w:p>
        </w:tc>
      </w:tr>
      <w:tr>
        <w:trPr>
          <w:trHeight w:val="213"/>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EBITDA</w:t>
            </w:r>
          </w:p>
        </w:tc>
        <w:tc>
          <w:tcPr>
            <w:tcW w:w="28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296</w:t>
            </w:r>
          </w:p>
        </w:tc>
      </w:tr>
      <w:tr>
        <w:trPr>
          <w:trHeight w:val="220"/>
        </w:trPr>
        <w:tc>
          <w:tcPr>
            <w:tcW w:w="7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corporate expenses (a)</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Adjusted EBITDA</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302</w:t>
            </w:r>
          </w:p>
        </w:tc>
      </w:tr>
      <w:tr>
        <w:trPr>
          <w:trHeight w:val="20"/>
        </w:trPr>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4" w:lineRule="exact"/>
        <w:rPr>
          <w:sz w:val="20"/>
          <w:szCs w:val="20"/>
          <w:color w:val="auto"/>
        </w:rPr>
      </w:pPr>
    </w:p>
    <w:p>
      <w:pPr>
        <w:ind w:left="1020" w:right="300" w:hanging="316"/>
        <w:spacing w:after="0" w:line="267" w:lineRule="auto"/>
        <w:tabs>
          <w:tab w:leader="none" w:pos="101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2026, other corporate expenses consist primarily of nonrecoverable costs associated with employee severance from a cost management initiative and restructure of the Civil business. See Note 13, “Supplemental Condensed Consolidated Financial Information,” to the condensed consolidated financial statements for further information. In fiscal 2025, other corporate expenses consist primarily of acquisition related costs from the acquisition of PAR Government Systems Corporation (“PGSC”).</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8" w:lineRule="exact"/>
        <w:rPr>
          <w:sz w:val="20"/>
          <w:szCs w:val="20"/>
          <w:color w:val="auto"/>
        </w:rPr>
      </w:pPr>
    </w:p>
    <w:p>
      <w:pPr>
        <w:ind w:right="320" w:firstLine="389"/>
        <w:spacing w:after="0" w:line="267" w:lineRule="auto"/>
        <w:rPr>
          <w:sz w:val="20"/>
          <w:szCs w:val="20"/>
          <w:color w:val="auto"/>
        </w:rPr>
      </w:pPr>
      <w:r>
        <w:rPr>
          <w:rFonts w:ascii="Times New Roman" w:cs="Times New Roman" w:eastAsia="Times New Roman" w:hAnsi="Times New Roman"/>
          <w:sz w:val="17"/>
          <w:szCs w:val="17"/>
          <w:color w:val="auto"/>
        </w:rPr>
        <w:t>As of June 30, 2025, our total liquidity was $1.7 billion, consisting of $711 million of cash and cash equivalents and $999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for the respective periods shown:</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94"/>
        </w:trPr>
        <w:tc>
          <w:tcPr>
            <w:tcW w:w="7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right="440"/>
              <w:spacing w:after="0" w:line="194" w:lineRule="exact"/>
              <w:rPr>
                <w:sz w:val="20"/>
                <w:szCs w:val="20"/>
                <w:color w:val="auto"/>
              </w:rPr>
            </w:pPr>
            <w:r>
              <w:rPr>
                <w:rFonts w:ascii="Times New Roman" w:cs="Times New Roman" w:eastAsia="Times New Roman" w:hAnsi="Times New Roman"/>
                <w:sz w:val="17"/>
                <w:szCs w:val="17"/>
                <w:b w:val="1"/>
                <w:bCs w:val="1"/>
                <w:color w:val="auto"/>
                <w:w w:val="99"/>
              </w:rPr>
              <w:t>June 30,</w:t>
            </w:r>
          </w:p>
        </w:tc>
        <w:tc>
          <w:tcPr>
            <w:tcW w:w="440" w:type="dxa"/>
            <w:vAlign w:val="bottom"/>
          </w:tcPr>
          <w:p>
            <w:pPr>
              <w:spacing w:after="0"/>
              <w:rPr>
                <w:sz w:val="16"/>
                <w:szCs w:val="16"/>
                <w:color w:val="auto"/>
              </w:rPr>
            </w:pPr>
          </w:p>
        </w:tc>
        <w:tc>
          <w:tcPr>
            <w:tcW w:w="1400" w:type="dxa"/>
            <w:vAlign w:val="bottom"/>
          </w:tcPr>
          <w:p>
            <w:pPr>
              <w:jc w:val="right"/>
              <w:ind w:right="454"/>
              <w:spacing w:after="0" w:line="194" w:lineRule="exact"/>
              <w:rPr>
                <w:sz w:val="20"/>
                <w:szCs w:val="20"/>
                <w:color w:val="auto"/>
              </w:rPr>
            </w:pPr>
            <w:r>
              <w:rPr>
                <w:rFonts w:ascii="Times New Roman" w:cs="Times New Roman" w:eastAsia="Times New Roman" w:hAnsi="Times New Roman"/>
                <w:sz w:val="17"/>
                <w:szCs w:val="17"/>
                <w:b w:val="1"/>
                <w:bCs w:val="1"/>
                <w:color w:val="auto"/>
              </w:rPr>
              <w:t>March 31,</w:t>
            </w:r>
          </w:p>
        </w:tc>
      </w:tr>
      <w:tr>
        <w:trPr>
          <w:trHeight w:val="231"/>
        </w:trPr>
        <w:tc>
          <w:tcPr>
            <w:tcW w:w="7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179"/>
        </w:trPr>
        <w:tc>
          <w:tcPr>
            <w:tcW w:w="7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0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7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4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23"/>
        </w:trPr>
        <w:tc>
          <w:tcPr>
            <w:tcW w:w="7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r>
      <w:tr>
        <w:trPr>
          <w:trHeight w:val="226"/>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3,979</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w:t>
            </w:r>
          </w:p>
        </w:tc>
      </w:tr>
    </w:tbl>
    <w:p>
      <w:pPr>
        <w:spacing w:after="0" w:line="151"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11" w:lineRule="exact"/>
        <w:rPr>
          <w:sz w:val="20"/>
          <w:szCs w:val="20"/>
          <w:color w:val="auto"/>
        </w:rPr>
      </w:pPr>
    </w:p>
    <w:tbl>
      <w:tblPr>
        <w:tblLayout w:type="fixed"/>
        <w:tblInd w:w="220" w:type="dxa"/>
        <w:tblCellMar>
          <w:top w:w="0" w:type="dxa"/>
          <w:left w:w="0" w:type="dxa"/>
          <w:bottom w:w="0" w:type="dxa"/>
          <w:right w:w="0" w:type="dxa"/>
        </w:tblCellMar>
      </w:tblPr>
      <w:tr>
        <w:trPr>
          <w:trHeight w:val="226"/>
        </w:trPr>
        <w:tc>
          <w:tcPr>
            <w:tcW w:w="704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76"/>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76"/>
        </w:trPr>
        <w:tc>
          <w:tcPr>
            <w:tcW w:w="7040" w:type="dxa"/>
            <w:vAlign w:val="bottom"/>
          </w:tcPr>
          <w:p>
            <w:pPr>
              <w:spacing w:after="0"/>
              <w:rPr>
                <w:sz w:val="15"/>
                <w:szCs w:val="15"/>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83"/>
        </w:trPr>
        <w:tc>
          <w:tcPr>
            <w:tcW w:w="7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20" w:type="dxa"/>
            <w:vAlign w:val="bottom"/>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15"/>
                <w:szCs w:val="15"/>
                <w:color w:val="auto"/>
              </w:rPr>
            </w:pPr>
          </w:p>
        </w:tc>
      </w:tr>
      <w:tr>
        <w:trPr>
          <w:trHeight w:val="23"/>
        </w:trPr>
        <w:tc>
          <w:tcPr>
            <w:tcW w:w="7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36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0"/>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2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13"/>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1360" w:type="dxa"/>
            <w:vAlign w:val="bottom"/>
            <w:tcBorders>
              <w:bottom w:val="single" w:sz="8" w:color="auto"/>
            </w:tcBorders>
          </w:tcPr>
          <w:p>
            <w:pPr>
              <w:jc w:val="right"/>
              <w:ind w:right="1178"/>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0"/>
        </w:trPr>
        <w:tc>
          <w:tcPr>
            <w:tcW w:w="70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right="200" w:firstLine="389"/>
        <w:spacing w:after="0" w:line="292" w:lineRule="auto"/>
        <w:rPr>
          <w:sz w:val="20"/>
          <w:szCs w:val="20"/>
          <w:color w:val="auto"/>
        </w:rPr>
      </w:pPr>
      <w:r>
        <w:rPr>
          <w:rFonts w:ascii="Times New Roman" w:cs="Times New Roman" w:eastAsia="Times New Roman" w:hAnsi="Times New Roman"/>
          <w:sz w:val="17"/>
          <w:szCs w:val="17"/>
          <w:color w:val="auto"/>
        </w:rPr>
        <w:t>Some of the possible uses of our remaining excess cash at any point in time may include funding strategic acquisitions, further investment in our business and returning value to shareholders through share repurchases, quarterly dividends, and special dividends.</w:t>
      </w:r>
    </w:p>
    <w:p>
      <w:pPr>
        <w:spacing w:after="0" w:line="43" w:lineRule="exact"/>
        <w:rPr>
          <w:sz w:val="20"/>
          <w:szCs w:val="20"/>
          <w:color w:val="auto"/>
        </w:rPr>
      </w:pPr>
    </w:p>
    <w:p>
      <w:pPr>
        <w:ind w:right="200" w:firstLine="389"/>
        <w:spacing w:after="0" w:line="259" w:lineRule="auto"/>
        <w:rPr>
          <w:sz w:val="20"/>
          <w:szCs w:val="20"/>
          <w:color w:val="auto"/>
        </w:rPr>
      </w:pPr>
      <w:r>
        <w:rPr>
          <w:rFonts w:ascii="Times New Roman" w:cs="Times New Roman" w:eastAsia="Times New Roman" w:hAnsi="Times New Roman"/>
          <w:sz w:val="17"/>
          <w:szCs w:val="17"/>
          <w:color w:val="auto"/>
        </w:rPr>
        <w:t>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relating to U.S. government cost-cutting, reductions or delays in the appropriations and spending process as well as potential shutdowns,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Our expected</w:t>
      </w:r>
    </w:p>
    <w:p>
      <w:pPr>
        <w:spacing w:after="0" w:line="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5" w:lineRule="exact"/>
        <w:rPr>
          <w:sz w:val="20"/>
          <w:szCs w:val="20"/>
          <w:color w:val="auto"/>
        </w:rPr>
      </w:pPr>
    </w:p>
    <w:p>
      <w:pPr>
        <w:ind w:left="620" w:hanging="30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expenses, including salaries;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working capital requirements to fund both organic and inorganic growth of our business;</w:t>
      </w:r>
    </w:p>
    <w:p>
      <w:pPr>
        <w:spacing w:after="0" w:line="63" w:lineRule="exact"/>
        <w:rPr>
          <w:rFonts w:ascii="Times New Roman" w:cs="Times New Roman" w:eastAsia="Times New Roman" w:hAnsi="Times New Roman"/>
          <w:sz w:val="17"/>
          <w:szCs w:val="17"/>
          <w:color w:val="auto"/>
        </w:rPr>
      </w:pPr>
    </w:p>
    <w:p>
      <w:pPr>
        <w:ind w:left="620" w:right="600" w:hanging="305"/>
        <w:spacing w:after="0" w:line="286"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expenditures which primarily relate to the purchase of computers, business systems, furniture and leasehold improvements to support our operations;</w:t>
      </w:r>
    </w:p>
    <w:p>
      <w:pPr>
        <w:ind w:left="620" w:hanging="30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ongoing maintenance around all financial management systems;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commitments and other discretionary investments;</w:t>
      </w:r>
    </w:p>
    <w:p>
      <w:pPr>
        <w:spacing w:after="0" w:line="63" w:lineRule="exact"/>
        <w:rPr>
          <w:rFonts w:ascii="Times New Roman" w:cs="Times New Roman" w:eastAsia="Times New Roman" w:hAnsi="Times New Roman"/>
          <w:sz w:val="17"/>
          <w:szCs w:val="17"/>
          <w:color w:val="auto"/>
        </w:rPr>
      </w:pPr>
    </w:p>
    <w:p>
      <w:pPr>
        <w:ind w:left="620" w:right="120" w:hanging="305"/>
        <w:spacing w:after="0" w:line="286"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service requirements for borrowings under our Credit Agreement and interest payments for the Senior Notes due 2028, Senior Notes due 2029 and Senior Notes due 2033, Senior Notes due 2035; and</w:t>
      </w:r>
    </w:p>
    <w:p>
      <w:pPr>
        <w:ind w:left="620" w:hanging="305"/>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taxes to be paid.</w:t>
      </w:r>
    </w:p>
    <w:p>
      <w:pPr>
        <w:spacing w:after="0" w:line="116" w:lineRule="exact"/>
        <w:rPr>
          <w:sz w:val="20"/>
          <w:szCs w:val="20"/>
          <w:color w:val="auto"/>
        </w:rPr>
      </w:pPr>
    </w:p>
    <w:p>
      <w:pPr>
        <w:ind w:right="380" w:firstLine="389"/>
        <w:spacing w:after="0" w:line="292" w:lineRule="auto"/>
        <w:rPr>
          <w:sz w:val="20"/>
          <w:szCs w:val="20"/>
          <w:color w:val="auto"/>
        </w:rPr>
      </w:pPr>
      <w:r>
        <w:rPr>
          <w:rFonts w:ascii="Times New Roman" w:cs="Times New Roman" w:eastAsia="Times New Roman" w:hAnsi="Times New Roman"/>
          <w:sz w:val="17"/>
          <w:szCs w:val="17"/>
          <w:color w:val="auto"/>
        </w:rPr>
        <w:t>From time to time, we evaluate conditions to opportunistically access the financing markets to secure additional debt capital resources and improve the terms of our indebtedness.</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Cash Flow</w:t>
      </w:r>
    </w:p>
    <w:p>
      <w:pPr>
        <w:spacing w:after="0" w:line="118" w:lineRule="exact"/>
        <w:rPr>
          <w:sz w:val="20"/>
          <w:szCs w:val="20"/>
          <w:color w:val="auto"/>
        </w:rPr>
      </w:pPr>
    </w:p>
    <w:p>
      <w:pPr>
        <w:ind w:right="400" w:firstLine="389"/>
        <w:spacing w:after="0" w:line="292" w:lineRule="auto"/>
        <w:rPr>
          <w:sz w:val="20"/>
          <w:szCs w:val="20"/>
          <w:color w:val="auto"/>
        </w:rPr>
      </w:pPr>
      <w:r>
        <w:rPr>
          <w:rFonts w:ascii="Times New Roman" w:cs="Times New Roman" w:eastAsia="Times New Roman" w:hAnsi="Times New Roman"/>
          <w:sz w:val="17"/>
          <w:szCs w:val="17"/>
          <w:color w:val="auto"/>
        </w:rPr>
        <w:t>Net cash provided by operations was $119 million for the three months ended June 30, 2025 compared to $52 million in the prior year period. Net cash provided by operating activities was primarily driven by strong collection performance, as well as lower disbursements for compensation.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Cash Flow</w:t>
      </w:r>
    </w:p>
    <w:p>
      <w:pPr>
        <w:spacing w:after="0" w:line="118" w:lineRule="exact"/>
        <w:rPr>
          <w:sz w:val="20"/>
          <w:szCs w:val="20"/>
          <w:color w:val="auto"/>
        </w:rPr>
      </w:pPr>
    </w:p>
    <w:p>
      <w:pPr>
        <w:ind w:right="540" w:firstLine="389"/>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was $32 million in the three months ended June 30, 2025 compared to $127 million in the prior year period. The decrease in investing cash used over the prior year was primarily due to the Company's acquisition of PGSC in the prior year.</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Cash Flow</w:t>
      </w:r>
    </w:p>
    <w:p>
      <w:pPr>
        <w:spacing w:after="0" w:line="118" w:lineRule="exact"/>
        <w:rPr>
          <w:sz w:val="20"/>
          <w:szCs w:val="20"/>
          <w:color w:val="auto"/>
        </w:rPr>
      </w:pPr>
    </w:p>
    <w:p>
      <w:pPr>
        <w:ind w:right="120" w:firstLine="389"/>
        <w:spacing w:after="0" w:line="273" w:lineRule="auto"/>
        <w:rPr>
          <w:sz w:val="20"/>
          <w:szCs w:val="20"/>
          <w:color w:val="auto"/>
        </w:rPr>
      </w:pPr>
      <w:r>
        <w:rPr>
          <w:rFonts w:ascii="Times New Roman" w:cs="Times New Roman" w:eastAsia="Times New Roman" w:hAnsi="Times New Roman"/>
          <w:sz w:val="17"/>
          <w:szCs w:val="17"/>
          <w:color w:val="auto"/>
        </w:rPr>
        <w:t>Net cash used in financing activities was $261 million in the three months ended June 30, 2025 compared to $181 million in the prior year period. The increase in financing cash used year over year was primarily due to an increase in share repurchases of $65 million and an increase in term loan payments of $10 million.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 and Share Repurchases</w:t>
      </w:r>
    </w:p>
    <w:p>
      <w:pPr>
        <w:spacing w:after="0" w:line="120" w:lineRule="exact"/>
        <w:rPr>
          <w:sz w:val="20"/>
          <w:szCs w:val="20"/>
          <w:color w:val="auto"/>
        </w:rPr>
      </w:pPr>
    </w:p>
    <w:p>
      <w:pPr>
        <w:ind w:right="620" w:firstLine="389"/>
        <w:spacing w:after="0" w:line="292" w:lineRule="auto"/>
        <w:rPr>
          <w:sz w:val="20"/>
          <w:szCs w:val="20"/>
          <w:color w:val="auto"/>
        </w:rPr>
      </w:pPr>
      <w:r>
        <w:rPr>
          <w:rFonts w:ascii="Times New Roman" w:cs="Times New Roman" w:eastAsia="Times New Roman" w:hAnsi="Times New Roman"/>
          <w:sz w:val="17"/>
          <w:szCs w:val="17"/>
          <w:color w:val="auto"/>
        </w:rPr>
        <w:t>On July 25, 2025, the Company announced a regular quarterly cash dividend in the amount of $0.55 per share. The quarterly dividend is payable on August 29, 2025 to stockholders of record on August 14, 2025.</w:t>
      </w:r>
    </w:p>
    <w:p>
      <w:pPr>
        <w:spacing w:after="0" w:line="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months ended June 30, 2025, a quarterly cash dividend of $0.55 was declared and paid totaling $70 million.</w:t>
      </w:r>
    </w:p>
    <w:p>
      <w:pPr>
        <w:spacing w:after="0" w:line="116" w:lineRule="exact"/>
        <w:rPr>
          <w:sz w:val="20"/>
          <w:szCs w:val="20"/>
          <w:color w:val="auto"/>
        </w:rPr>
      </w:pPr>
    </w:p>
    <w:p>
      <w:pPr>
        <w:ind w:right="40" w:firstLine="389"/>
        <w:spacing w:after="0" w:line="252" w:lineRule="auto"/>
        <w:rPr>
          <w:sz w:val="20"/>
          <w:szCs w:val="20"/>
          <w:color w:val="auto"/>
        </w:rPr>
      </w:pPr>
      <w:r>
        <w:rPr>
          <w:rFonts w:ascii="Times New Roman" w:cs="Times New Roman" w:eastAsia="Times New Roman" w:hAnsi="Times New Roman"/>
          <w:sz w:val="17"/>
          <w:szCs w:val="17"/>
          <w:color w:val="auto"/>
        </w:rPr>
        <w:t>On December 12, 2011, the Board of Directors initially approved a share repurchase program, which was subsequently increased from time to time, and most recently increased by $500 million to $3,585 million on January 28, 2025. The Company may repurchase shares pursuant to the program by means of open market repurchases, directly negotiated repurchases or through agents acting pursuant to negotiated repurchase agreements. During the first three months of fiscal 2026, the Company purchased 1.4 million shares of the Company's Class A Common Stock for an aggregate of $154 million. As of June 30, 2025, the Company had approximately $591 million remaining under the repurchase program.</w:t>
      </w:r>
    </w:p>
    <w:p>
      <w:pPr>
        <w:spacing w:after="0" w:line="76" w:lineRule="exact"/>
        <w:rPr>
          <w:sz w:val="20"/>
          <w:szCs w:val="20"/>
          <w:color w:val="auto"/>
        </w:rPr>
      </w:pPr>
    </w:p>
    <w:p>
      <w:pPr>
        <w:ind w:right="60" w:firstLine="389"/>
        <w:spacing w:after="0" w:line="273" w:lineRule="auto"/>
        <w:rPr>
          <w:sz w:val="20"/>
          <w:szCs w:val="20"/>
          <w:color w:val="auto"/>
        </w:rPr>
      </w:pPr>
      <w:r>
        <w:rPr>
          <w:rFonts w:ascii="Times New Roman" w:cs="Times New Roman" w:eastAsia="Times New Roman" w:hAnsi="Times New Roman"/>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Summarized Financial Information</w:t>
      </w:r>
    </w:p>
    <w:p>
      <w:pPr>
        <w:spacing w:after="0" w:line="66" w:lineRule="exact"/>
        <w:rPr>
          <w:sz w:val="20"/>
          <w:szCs w:val="20"/>
          <w:color w:val="auto"/>
        </w:rPr>
      </w:pPr>
    </w:p>
    <w:p>
      <w:pPr>
        <w:ind w:right="160" w:firstLine="389"/>
        <w:spacing w:after="0" w:line="273" w:lineRule="auto"/>
        <w:rPr>
          <w:sz w:val="20"/>
          <w:szCs w:val="20"/>
          <w:color w:val="auto"/>
        </w:rPr>
      </w:pPr>
      <w:r>
        <w:rPr>
          <w:rFonts w:ascii="Times New Roman" w:cs="Times New Roman" w:eastAsia="Times New Roman" w:hAnsi="Times New Roman"/>
          <w:sz w:val="17"/>
          <w:szCs w:val="17"/>
          <w:color w:val="auto"/>
        </w:rPr>
        <w:t>The Senior Notes due 2033 and Senior Notes due 2035 were issued by Booz Allen Hamilton pursuant to the Base Indenture, among Booz Allen Hamilton, the Company and U.S. Bank Trust Company, National Association, as trustee, as supplemented by the respective Supplemental Indenture and are fully and unconditionally guaranteed on an unsecured and unsubordinated basis by the Company pursuant to the Base Indenture.</w:t>
      </w:r>
    </w:p>
    <w:p>
      <w:pPr>
        <w:spacing w:after="0" w:line="59" w:lineRule="exact"/>
        <w:rPr>
          <w:sz w:val="20"/>
          <w:szCs w:val="20"/>
          <w:color w:val="auto"/>
        </w:rPr>
      </w:pPr>
    </w:p>
    <w:p>
      <w:pPr>
        <w:ind w:right="40" w:firstLine="389"/>
        <w:spacing w:after="0" w:line="264" w:lineRule="auto"/>
        <w:rPr>
          <w:sz w:val="20"/>
          <w:szCs w:val="20"/>
          <w:color w:val="auto"/>
        </w:rPr>
      </w:pPr>
      <w:r>
        <w:rPr>
          <w:rFonts w:ascii="Times New Roman" w:cs="Times New Roman" w:eastAsia="Times New Roman" w:hAnsi="Times New Roman"/>
          <w:sz w:val="17"/>
          <w:szCs w:val="17"/>
          <w:color w:val="auto"/>
        </w:rPr>
        <w:t>The tables below present the summarized financial information as combined for the Company and Booz Allen Hamilton as of March 31, 2025 and as of and for the three months ended June 30, 2025, after the elimination of intercompany transactions and balances between the Company and Booz Allen Hamilton and excluding the subsidiaries of both entities that are not issuers or guarantors of the Senior Notes due 2033 and Senior Notes due 2035,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Statements of Financial Condition</w:t>
            </w: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280" w:type="dxa"/>
            <w:vAlign w:val="bottom"/>
          </w:tcPr>
          <w:p>
            <w:pPr>
              <w:spacing w:after="0"/>
              <w:rPr>
                <w:sz w:val="21"/>
                <w:szCs w:val="21"/>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2025</w:t>
            </w:r>
          </w:p>
        </w:tc>
      </w:tr>
      <w:tr>
        <w:trPr>
          <w:trHeight w:val="213"/>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receivables from non-guarantor subsidiaries</w:t>
            </w:r>
          </w:p>
        </w:tc>
        <w:tc>
          <w:tcPr>
            <w:tcW w:w="16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Pr>
          <w:p>
            <w:pPr>
              <w:spacing w:after="0"/>
              <w:rPr>
                <w:sz w:val="18"/>
                <w:szCs w:val="18"/>
                <w:color w:val="auto"/>
              </w:rPr>
            </w:pP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current assets</w:t>
            </w:r>
          </w:p>
        </w:tc>
        <w:tc>
          <w:tcPr>
            <w:tcW w:w="19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3,101</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c>
          <w:tcPr>
            <w:tcW w:w="320" w:type="dxa"/>
            <w:vAlign w:val="bottom"/>
          </w:tcPr>
          <w:p>
            <w:pPr>
              <w:spacing w:after="0"/>
              <w:rPr>
                <w:sz w:val="19"/>
                <w:szCs w:val="19"/>
                <w:color w:val="auto"/>
              </w:rPr>
            </w:pPr>
          </w:p>
        </w:tc>
      </w:tr>
      <w:tr>
        <w:trPr>
          <w:trHeight w:val="22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 and intangible assets, net of accumulated amortization</w:t>
            </w:r>
          </w:p>
        </w:tc>
        <w:tc>
          <w:tcPr>
            <w:tcW w:w="19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320" w:type="dxa"/>
            <w:vAlign w:val="bottom"/>
          </w:tcPr>
          <w:p>
            <w:pPr>
              <w:spacing w:after="0"/>
              <w:rPr>
                <w:sz w:val="19"/>
                <w:szCs w:val="19"/>
                <w:color w:val="auto"/>
              </w:rPr>
            </w:pP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19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320" w:type="dxa"/>
            <w:vAlign w:val="bottom"/>
          </w:tcPr>
          <w:p>
            <w:pPr>
              <w:spacing w:after="0"/>
              <w:rPr>
                <w:sz w:val="19"/>
                <w:szCs w:val="19"/>
                <w:color w:val="auto"/>
              </w:rPr>
            </w:pPr>
          </w:p>
        </w:tc>
      </w:tr>
      <w:tr>
        <w:trPr>
          <w:trHeight w:val="22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Intercompany payables to non-guarantor subsidiaries</w:t>
            </w:r>
          </w:p>
        </w:tc>
        <w:tc>
          <w:tcPr>
            <w:tcW w:w="19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320" w:type="dxa"/>
            <w:vAlign w:val="bottom"/>
          </w:tcPr>
          <w:p>
            <w:pPr>
              <w:spacing w:after="0"/>
              <w:rPr>
                <w:sz w:val="19"/>
                <w:szCs w:val="19"/>
                <w:color w:val="auto"/>
              </w:rPr>
            </w:pPr>
          </w:p>
        </w:tc>
      </w:tr>
      <w:tr>
        <w:trPr>
          <w:trHeight w:val="220"/>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current liabilities</w:t>
            </w:r>
          </w:p>
        </w:tc>
        <w:tc>
          <w:tcPr>
            <w:tcW w:w="19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1,743</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320" w:type="dxa"/>
            <w:vAlign w:val="bottom"/>
          </w:tcPr>
          <w:p>
            <w:pPr>
              <w:spacing w:after="0"/>
              <w:rPr>
                <w:sz w:val="19"/>
                <w:szCs w:val="19"/>
                <w:color w:val="auto"/>
              </w:rPr>
            </w:pPr>
          </w:p>
        </w:tc>
      </w:tr>
      <w:tr>
        <w:trPr>
          <w:trHeight w:val="22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 portion</w:t>
            </w:r>
          </w:p>
        </w:tc>
        <w:tc>
          <w:tcPr>
            <w:tcW w:w="198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3,915</w:t>
            </w:r>
          </w:p>
        </w:tc>
        <w:tc>
          <w:tcPr>
            <w:tcW w:w="320" w:type="dxa"/>
            <w:vAlign w:val="bottom"/>
          </w:tcPr>
          <w:p>
            <w:pPr>
              <w:spacing w:after="0"/>
              <w:rPr>
                <w:sz w:val="19"/>
                <w:szCs w:val="19"/>
                <w:color w:val="auto"/>
              </w:rPr>
            </w:pPr>
          </w:p>
        </w:tc>
      </w:tr>
      <w:tr>
        <w:trPr>
          <w:trHeight w:val="22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non-current liabilities</w:t>
            </w:r>
          </w:p>
        </w:tc>
        <w:tc>
          <w:tcPr>
            <w:tcW w:w="198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320" w:type="dxa"/>
            <w:vAlign w:val="bottom"/>
          </w:tcPr>
          <w:p>
            <w:pPr>
              <w:spacing w:after="0"/>
              <w:rPr>
                <w:sz w:val="19"/>
                <w:szCs w:val="19"/>
                <w:color w:val="auto"/>
              </w:rPr>
            </w:pPr>
          </w:p>
        </w:tc>
      </w:tr>
      <w:tr>
        <w:trPr>
          <w:trHeight w:val="811"/>
        </w:trPr>
        <w:tc>
          <w:tcPr>
            <w:tcW w:w="5000" w:type="dxa"/>
            <w:vAlign w:val="bottom"/>
          </w:tcPr>
          <w:p>
            <w:pPr>
              <w:spacing w:after="0"/>
              <w:rPr>
                <w:sz w:val="24"/>
                <w:szCs w:val="24"/>
                <w:color w:val="auto"/>
              </w:rPr>
            </w:pPr>
          </w:p>
        </w:tc>
        <w:tc>
          <w:tcPr>
            <w:tcW w:w="166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rPr>
              <w:t>21</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0"/>
        </w:trPr>
        <w:tc>
          <w:tcPr>
            <w:tcW w:w="500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14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8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Summarized Statement of Operations</w:t>
            </w:r>
          </w:p>
        </w:tc>
        <w:tc>
          <w:tcPr>
            <w:tcW w:w="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220" w:type="dxa"/>
            <w:vAlign w:val="bottom"/>
          </w:tcPr>
          <w:p>
            <w:pPr>
              <w:spacing w:after="0"/>
              <w:rPr>
                <w:sz w:val="16"/>
                <w:szCs w:val="16"/>
                <w:color w:val="auto"/>
              </w:rPr>
            </w:pPr>
          </w:p>
        </w:tc>
        <w:tc>
          <w:tcPr>
            <w:tcW w:w="2080" w:type="dxa"/>
            <w:vAlign w:val="bottom"/>
          </w:tcPr>
          <w:p>
            <w:pPr>
              <w:jc w:val="right"/>
              <w:ind w:right="294"/>
              <w:spacing w:after="0" w:line="194"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3"/>
        </w:trPr>
        <w:tc>
          <w:tcPr>
            <w:tcW w:w="8120" w:type="dxa"/>
            <w:vAlign w:val="bottom"/>
            <w:tcBorders>
              <w:bottom w:val="single" w:sz="8" w:color="CCEEFF"/>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June 30, 2025</w:t>
            </w:r>
          </w:p>
        </w:tc>
        <w:tc>
          <w:tcPr>
            <w:tcW w:w="0" w:type="dxa"/>
            <w:vAlign w:val="bottom"/>
          </w:tcPr>
          <w:p>
            <w:pPr>
              <w:spacing w:after="0"/>
              <w:rPr>
                <w:sz w:val="1"/>
                <w:szCs w:val="1"/>
                <w:color w:val="auto"/>
              </w:rPr>
            </w:pPr>
          </w:p>
        </w:tc>
      </w:tr>
      <w:tr>
        <w:trPr>
          <w:trHeight w:val="21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2,898</w:t>
            </w:r>
          </w:p>
        </w:tc>
        <w:tc>
          <w:tcPr>
            <w:tcW w:w="0" w:type="dxa"/>
            <w:vAlign w:val="bottom"/>
          </w:tcPr>
          <w:p>
            <w:pPr>
              <w:spacing w:after="0"/>
              <w:rPr>
                <w:sz w:val="1"/>
                <w:szCs w:val="1"/>
                <w:color w:val="auto"/>
              </w:rPr>
            </w:pPr>
          </w:p>
        </w:tc>
      </w:tr>
      <w:tr>
        <w:trPr>
          <w:trHeight w:val="22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Revenue from non-guarantor subsidiaries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0" w:type="dxa"/>
            <w:vAlign w:val="bottom"/>
          </w:tcPr>
          <w:p>
            <w:pPr>
              <w:spacing w:after="0"/>
              <w:rPr>
                <w:sz w:val="1"/>
                <w:szCs w:val="1"/>
                <w:color w:val="auto"/>
              </w:rPr>
            </w:pPr>
          </w:p>
        </w:tc>
      </w:tr>
      <w:tr>
        <w:trPr>
          <w:trHeight w:val="22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loss from non-guarantor subsidiaries</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r>
        <w:trPr>
          <w:trHeight w:val="226"/>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income attributable to the Obligor Group</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66" w:lineRule="exact"/>
        <w:rPr>
          <w:sz w:val="20"/>
          <w:szCs w:val="20"/>
          <w:color w:val="auto"/>
        </w:rPr>
      </w:pPr>
    </w:p>
    <w:p>
      <w:pPr>
        <w:ind w:right="40" w:firstLine="389"/>
        <w:spacing w:after="0" w:line="292" w:lineRule="auto"/>
        <w:rPr>
          <w:sz w:val="20"/>
          <w:szCs w:val="20"/>
          <w:color w:val="auto"/>
        </w:rPr>
      </w:pPr>
      <w:r>
        <w:rPr>
          <w:rFonts w:ascii="Times New Roman" w:cs="Times New Roman" w:eastAsia="Times New Roman" w:hAnsi="Times New Roman"/>
          <w:sz w:val="17"/>
          <w:szCs w:val="17"/>
          <w:color w:val="auto"/>
        </w:rPr>
        <w:t>We are subject to a number of reviews, investigations, claims, lawsuits, and other uncertainties related to our business. For a discussion of these items, refer to Note 12, “Commitments and Contingencies,” to our condensed consolidated financial statements.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Note Regarding Forward Looking Statements</w:t>
      </w:r>
    </w:p>
    <w:p>
      <w:pPr>
        <w:spacing w:after="0" w:line="66" w:lineRule="exact"/>
        <w:rPr>
          <w:sz w:val="20"/>
          <w:szCs w:val="20"/>
          <w:color w:val="auto"/>
        </w:rPr>
      </w:pPr>
    </w:p>
    <w:p>
      <w:pPr>
        <w:ind w:firstLine="389"/>
        <w:spacing w:after="0" w:line="260" w:lineRule="auto"/>
        <w:rPr>
          <w:sz w:val="20"/>
          <w:szCs w:val="20"/>
          <w:color w:val="auto"/>
        </w:rPr>
      </w:pPr>
      <w:r>
        <w:rPr>
          <w:rFonts w:ascii="Times New Roman" w:cs="Times New Roman" w:eastAsia="Times New Roman" w:hAnsi="Times New Roman"/>
          <w:sz w:val="17"/>
          <w:szCs w:val="17"/>
          <w:color w:val="auto"/>
        </w:rPr>
        <w:t>Certain statements contained or incorporated in this Quarterly Report on Form 10-Q (the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2" w:lineRule="exact"/>
        <w:rPr>
          <w:sz w:val="20"/>
          <w:szCs w:val="20"/>
          <w:color w:val="auto"/>
        </w:rPr>
      </w:pPr>
    </w:p>
    <w:p>
      <w:pPr>
        <w:ind w:left="620" w:right="8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 that compromises our relationships with the U.S. government or damages our professional reputation, including negative publicity concerning government contractors in general or us in particular;</w:t>
      </w:r>
    </w:p>
    <w:p>
      <w:pPr>
        <w:jc w:val="both"/>
        <w:ind w:left="620" w:right="480" w:hanging="305"/>
        <w:spacing w:after="0" w:line="27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government spending, including a continuation of efforts by the U.S. government to reduce U.S. government spending, increased insourcing by certain U.S. government agencies, and shifts in expenditures away from agencies or programs that we support, as well as associated uncertainty around the timing, extent, nature and effect of such efforts;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shutdowns as well as delayed long-term funding of our contracts;</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1"/>
        </w:numPr>
        <w:rPr>
          <w:rFonts w:ascii="Arial" w:cs="Arial" w:eastAsia="Arial" w:hAnsi="Arial"/>
          <w:sz w:val="17"/>
          <w:szCs w:val="17"/>
          <w:color w:val="auto"/>
        </w:rPr>
      </w:pPr>
      <w:r>
        <w:rPr>
          <w:rFonts w:ascii="Times New Roman" w:cs="Times New Roman" w:eastAsia="Times New Roman" w:hAnsi="Times New Roman"/>
          <w:sz w:val="17"/>
          <w:szCs w:val="17"/>
          <w:color w:val="auto"/>
        </w:rPr>
        <w:t>failure to comply with new and existing U.S. and international laws and regulations;</w:t>
      </w:r>
    </w:p>
    <w:p>
      <w:pPr>
        <w:spacing w:after="0" w:line="63" w:lineRule="exact"/>
        <w:rPr>
          <w:rFonts w:ascii="Arial" w:cs="Arial" w:eastAsia="Arial" w:hAnsi="Arial"/>
          <w:sz w:val="17"/>
          <w:szCs w:val="17"/>
          <w:color w:val="auto"/>
        </w:rPr>
      </w:pPr>
    </w:p>
    <w:p>
      <w:pPr>
        <w:ind w:left="620" w:right="26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effectively in the competitive bidding process and delays or losses of contract awards caused by competitors’ protests of major contract awards received by us;</w:t>
      </w:r>
    </w:p>
    <w:p>
      <w:pPr>
        <w:ind w:left="620" w:hanging="305"/>
        <w:spacing w:after="0"/>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U.S. government GSA Schedules or our position as prime contractor on government-wide acquisition contract vehicles (“GWACs”);</w:t>
      </w:r>
    </w:p>
    <w:p>
      <w:pPr>
        <w:spacing w:after="0" w:line="63" w:lineRule="exact"/>
        <w:rPr>
          <w:rFonts w:ascii="Times New Roman" w:cs="Times New Roman" w:eastAsia="Times New Roman" w:hAnsi="Times New Roman"/>
          <w:sz w:val="17"/>
          <w:szCs w:val="17"/>
          <w:color w:val="auto"/>
        </w:rPr>
      </w:pPr>
    </w:p>
    <w:p>
      <w:pPr>
        <w:ind w:left="620" w:right="18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purchasing patterns under certain of our U.S. government contracts and changes in the mix of our contracts including our ability to accurately estimate or otherwise recover expenses, time, and resources for our contracts;</w:t>
      </w:r>
    </w:p>
    <w:p>
      <w:pPr>
        <w:ind w:left="620" w:right="4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realize the full value of and replenish our backlog, generate revenue under certain of our contracts, and the timing of our receipt of revenue under contracts included in backlog;</w:t>
      </w:r>
    </w:p>
    <w:p>
      <w:pPr>
        <w:ind w:left="620" w:right="18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system or service failures and security breaches, including, but not limited to, those resulting from external or internal threats, including cyber attacks on our network and internal systems or on our customers’ network or internal systems;</w:t>
      </w:r>
    </w:p>
    <w:p>
      <w:pPr>
        <w:ind w:left="620" w:right="32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misconduct or other improper activities from our employees, subcontractors, or suppliers, including the improper access, use or release of our or our customers’ sensitive or classified information;</w:t>
      </w:r>
    </w:p>
    <w:p>
      <w:pPr>
        <w:ind w:left="620" w:right="280" w:hanging="305"/>
        <w:spacing w:after="0" w:line="286"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strong relationships with other contractors, or the failure of contractors with which we have entered into a sub or prime-contractor relationship to meet their obligations to us or our customers;</w:t>
      </w:r>
    </w:p>
    <w:p>
      <w:pPr>
        <w:jc w:val="both"/>
        <w:ind w:left="620" w:right="260" w:hanging="305"/>
        <w:spacing w:after="0" w:line="273"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 w:lineRule="exact"/>
        <w:rPr>
          <w:rFonts w:ascii="Times New Roman" w:cs="Times New Roman" w:eastAsia="Times New Roman" w:hAnsi="Times New Roman"/>
          <w:sz w:val="17"/>
          <w:szCs w:val="17"/>
          <w:color w:val="auto"/>
        </w:rPr>
      </w:pPr>
    </w:p>
    <w:p>
      <w:pPr>
        <w:ind w:left="620" w:right="420" w:hanging="305"/>
        <w:spacing w:after="0" w:line="292" w:lineRule="auto"/>
        <w:tabs>
          <w:tab w:leader="none" w:pos="61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possible recession and volatility or instability of the global financial system, including the failures of financial institutions and the resulting impact on counterparties and business conditions generally;</w:t>
      </w: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 deterioration of economic conditions or weakening in credit or capital markets;</w:t>
      </w:r>
    </w:p>
    <w:p>
      <w:pPr>
        <w:spacing w:after="0" w:line="63" w:lineRule="exact"/>
        <w:rPr>
          <w:rFonts w:ascii="Times New Roman" w:cs="Times New Roman" w:eastAsia="Times New Roman" w:hAnsi="Times New Roman"/>
          <w:sz w:val="17"/>
          <w:szCs w:val="17"/>
          <w:color w:val="auto"/>
        </w:rPr>
      </w:pPr>
    </w:p>
    <w:p>
      <w:pPr>
        <w:ind w:left="620" w:hanging="305"/>
        <w:spacing w:after="0" w:line="273"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spacing w:after="0" w:line="7"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in the government contracting environment;</w:t>
      </w:r>
    </w:p>
    <w:p>
      <w:pPr>
        <w:spacing w:after="0" w:line="6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indebtedness and credit facilities which contain financial and operating covenants; and</w:t>
      </w:r>
    </w:p>
    <w:p>
      <w:pPr>
        <w:spacing w:after="0" w:line="63" w:lineRule="exact"/>
        <w:rPr>
          <w:rFonts w:ascii="Times New Roman" w:cs="Times New Roman" w:eastAsia="Times New Roman" w:hAnsi="Times New Roman"/>
          <w:sz w:val="17"/>
          <w:szCs w:val="17"/>
          <w:color w:val="auto"/>
        </w:rPr>
      </w:pPr>
    </w:p>
    <w:p>
      <w:pPr>
        <w:ind w:left="620" w:right="260" w:hanging="305"/>
        <w:spacing w:after="0" w:line="291" w:lineRule="auto"/>
        <w:tabs>
          <w:tab w:leader="none" w:pos="61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other risks and factors listed under “Item 1A. Risk Factors” and elsewhere in this Quarterly Report, as well as those listed under “Risk Factors” in our Annual Report on Form 10-K for the year ended March 31, 2025.</w:t>
      </w:r>
    </w:p>
    <w:p>
      <w:pPr>
        <w:spacing w:after="0" w:line="44" w:lineRule="exact"/>
        <w:rPr>
          <w:sz w:val="20"/>
          <w:szCs w:val="20"/>
          <w:color w:val="auto"/>
        </w:rPr>
      </w:pPr>
    </w:p>
    <w:p>
      <w:pPr>
        <w:ind w:right="400" w:firstLine="389"/>
        <w:spacing w:after="0" w:line="273" w:lineRule="auto"/>
        <w:rPr>
          <w:sz w:val="20"/>
          <w:szCs w:val="20"/>
          <w:color w:val="auto"/>
        </w:rPr>
      </w:pPr>
      <w:r>
        <w:rPr>
          <w:rFonts w:ascii="Times New Roman" w:cs="Times New Roman" w:eastAsia="Times New Roman" w:hAnsi="Times New Roman"/>
          <w:sz w:val="17"/>
          <w:szCs w:val="17"/>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5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118" w:lineRule="exact"/>
        <w:rPr>
          <w:sz w:val="20"/>
          <w:szCs w:val="20"/>
          <w:color w:val="auto"/>
        </w:rPr>
      </w:pPr>
    </w:p>
    <w:p>
      <w:pPr>
        <w:jc w:val="both"/>
        <w:ind w:right="80" w:firstLine="389"/>
        <w:spacing w:after="0" w:line="273"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2025 filed with the Securities and Exchange Commission on May 23, 2025.</w:t>
      </w:r>
    </w:p>
    <w:p>
      <w:pPr>
        <w:spacing w:after="0" w:line="1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66" w:lineRule="exact"/>
        <w:rPr>
          <w:sz w:val="20"/>
          <w:szCs w:val="20"/>
          <w:color w:val="auto"/>
        </w:rPr>
      </w:pPr>
    </w:p>
    <w:p>
      <w:pPr>
        <w:ind w:firstLine="389"/>
        <w:spacing w:after="0" w:line="267" w:lineRule="auto"/>
        <w:rPr>
          <w:sz w:val="20"/>
          <w:szCs w:val="20"/>
          <w:color w:val="auto"/>
        </w:rPr>
      </w:pPr>
      <w:r>
        <w:rPr>
          <w:rFonts w:ascii="Times New Roman" w:cs="Times New Roman" w:eastAsia="Times New Roman" w:hAnsi="Times New Roman"/>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the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66" w:lineRule="exact"/>
        <w:rPr>
          <w:sz w:val="20"/>
          <w:szCs w:val="20"/>
          <w:color w:val="auto"/>
        </w:rPr>
      </w:pPr>
    </w:p>
    <w:p>
      <w:pPr>
        <w:ind w:right="260"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6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105" w:lineRule="exact"/>
        <w:rPr>
          <w:sz w:val="20"/>
          <w:szCs w:val="20"/>
          <w:color w:val="auto"/>
        </w:rPr>
      </w:pPr>
    </w:p>
    <w:p>
      <w:pPr>
        <w:ind w:right="480" w:firstLine="389"/>
        <w:spacing w:after="0" w:line="276" w:lineRule="auto"/>
        <w:rPr>
          <w:sz w:val="20"/>
          <w:szCs w:val="20"/>
          <w:color w:val="auto"/>
        </w:rPr>
      </w:pPr>
      <w:r>
        <w:rPr>
          <w:rFonts w:ascii="Times New Roman" w:cs="Times New Roman" w:eastAsia="Times New Roman" w:hAnsi="Times New Roman"/>
          <w:sz w:val="17"/>
          <w:szCs w:val="17"/>
          <w:color w:val="auto"/>
        </w:rPr>
        <w:t>Disclosure concerning legal proceedings can be found in Part I, Item 1. “Financial Statements, Notes to Unaudited Condensed Consolidated Financial Statements, Note 12, “Commitments and Contingencies,” under the caption, “Litigation,” which is incorporated here by this reference.</w:t>
      </w:r>
    </w:p>
    <w:p>
      <w:pPr>
        <w:spacing w:after="0" w:line="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There have been no material changes during the period covered by this Quarterly Report on Form 10-Q to the risk factors disclosed in Part I, Item 1A, of our Annual Report on Form 10-K for the fiscal year ended March 31, 2025 filed with the Securities and Exchange Commission on May 23, 2025.</w:t>
      </w:r>
    </w:p>
    <w:p>
      <w:pPr>
        <w:spacing w:after="0" w:line="4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presents the share repurchase activity for each of the three months in the quarter ended June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20" w:type="dxa"/>
            <w:vAlign w:val="bottom"/>
          </w:tcPr>
          <w:p>
            <w:pPr>
              <w:spacing w:after="0"/>
              <w:rPr>
                <w:sz w:val="15"/>
                <w:szCs w:val="15"/>
                <w:color w:val="auto"/>
              </w:rPr>
            </w:pPr>
          </w:p>
        </w:tc>
        <w:tc>
          <w:tcPr>
            <w:tcW w:w="1800" w:type="dxa"/>
            <w:vAlign w:val="bottom"/>
          </w:tcPr>
          <w:p>
            <w:pPr>
              <w:jc w:val="center"/>
              <w:spacing w:after="0" w:line="174" w:lineRule="exact"/>
              <w:rPr>
                <w:sz w:val="20"/>
                <w:szCs w:val="20"/>
                <w:color w:val="auto"/>
              </w:rPr>
            </w:pPr>
            <w:r>
              <w:rPr>
                <w:rFonts w:ascii="Times New Roman" w:cs="Times New Roman" w:eastAsia="Times New Roman" w:hAnsi="Times New Roman"/>
                <w:sz w:val="17"/>
                <w:szCs w:val="17"/>
                <w:b w:val="1"/>
                <w:bCs w:val="1"/>
                <w:color w:val="auto"/>
              </w:rPr>
              <w:t>Value of Shares that</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May Yet Be Purchased</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Average Price Paid per</w:t>
            </w: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w:t>
            </w:r>
          </w:p>
        </w:tc>
        <w:tc>
          <w:tcPr>
            <w:tcW w:w="120" w:type="dxa"/>
            <w:vAlign w:val="bottom"/>
          </w:tcPr>
          <w:p>
            <w:pPr>
              <w:spacing w:after="0"/>
              <w:rPr>
                <w:sz w:val="14"/>
                <w:szCs w:val="14"/>
                <w:color w:val="auto"/>
              </w:rPr>
            </w:pPr>
          </w:p>
        </w:tc>
        <w:tc>
          <w:tcPr>
            <w:tcW w:w="180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Under the Plans or</w:t>
            </w:r>
          </w:p>
        </w:tc>
        <w:tc>
          <w:tcPr>
            <w:tcW w:w="0" w:type="dxa"/>
            <w:vAlign w:val="bottom"/>
          </w:tcPr>
          <w:p>
            <w:pPr>
              <w:spacing w:after="0"/>
              <w:rPr>
                <w:sz w:val="1"/>
                <w:szCs w:val="1"/>
                <w:color w:val="auto"/>
              </w:rPr>
            </w:pPr>
          </w:p>
        </w:tc>
      </w:tr>
      <w:tr>
        <w:trPr>
          <w:trHeight w:val="182"/>
        </w:trPr>
        <w:tc>
          <w:tcPr>
            <w:tcW w:w="3720" w:type="dxa"/>
            <w:vAlign w:val="bottom"/>
            <w:gridSpan w:val="2"/>
            <w:vMerge w:val="restart"/>
          </w:tcPr>
          <w:p>
            <w:pPr>
              <w:ind w:left="156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8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120" w:type="dxa"/>
            <w:vAlign w:val="bottom"/>
          </w:tcPr>
          <w:p>
            <w:pPr>
              <w:spacing w:after="0"/>
              <w:rPr>
                <w:sz w:val="15"/>
                <w:szCs w:val="15"/>
                <w:color w:val="auto"/>
              </w:rPr>
            </w:pPr>
          </w:p>
        </w:tc>
        <w:tc>
          <w:tcPr>
            <w:tcW w:w="180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b w:val="1"/>
                <w:bCs w:val="1"/>
                <w:color w:val="auto"/>
                <w:w w:val="97"/>
              </w:rPr>
              <w:t xml:space="preserve">Programs </w:t>
            </w:r>
            <w:r>
              <w:rPr>
                <w:rFonts w:ascii="Times New Roman" w:cs="Times New Roman" w:eastAsia="Times New Roman" w:hAnsi="Times New Roman"/>
                <w:sz w:val="21"/>
                <w:szCs w:val="21"/>
                <w:b w:val="1"/>
                <w:bCs w:val="1"/>
                <w:color w:val="auto"/>
                <w:w w:val="97"/>
                <w:vertAlign w:val="superscript"/>
              </w:rPr>
              <w:t>(2)</w:t>
            </w:r>
          </w:p>
        </w:tc>
        <w:tc>
          <w:tcPr>
            <w:tcW w:w="0" w:type="dxa"/>
            <w:vAlign w:val="bottom"/>
          </w:tcPr>
          <w:p>
            <w:pPr>
              <w:spacing w:after="0"/>
              <w:rPr>
                <w:sz w:val="1"/>
                <w:szCs w:val="1"/>
                <w:color w:val="auto"/>
              </w:rPr>
            </w:pPr>
          </w:p>
        </w:tc>
      </w:tr>
      <w:tr>
        <w:trPr>
          <w:trHeight w:val="220"/>
        </w:trPr>
        <w:tc>
          <w:tcPr>
            <w:tcW w:w="3720" w:type="dxa"/>
            <w:vAlign w:val="bottom"/>
            <w:gridSpan w:val="2"/>
            <w:vMerge w:val="continue"/>
          </w:tcPr>
          <w:p>
            <w:pPr>
              <w:spacing w:after="0"/>
              <w:rPr>
                <w:sz w:val="19"/>
                <w:szCs w:val="19"/>
                <w:color w:val="auto"/>
              </w:rPr>
            </w:pPr>
          </w:p>
        </w:tc>
        <w:tc>
          <w:tcPr>
            <w:tcW w:w="1760" w:type="dxa"/>
            <w:vAlign w:val="bottom"/>
          </w:tcPr>
          <w:p>
            <w:pPr>
              <w:jc w:val="center"/>
              <w:spacing w:after="0" w:line="221" w:lineRule="exact"/>
              <w:rPr>
                <w:sz w:val="20"/>
                <w:szCs w:val="20"/>
                <w:color w:val="auto"/>
              </w:rPr>
            </w:pPr>
            <w:r>
              <w:rPr>
                <w:rFonts w:ascii="Times New Roman" w:cs="Times New Roman" w:eastAsia="Times New Roman" w:hAnsi="Times New Roman"/>
                <w:sz w:val="17"/>
                <w:szCs w:val="17"/>
                <w:b w:val="1"/>
                <w:bCs w:val="1"/>
                <w:color w:val="auto"/>
                <w:w w:val="97"/>
              </w:rPr>
              <w:t>Shares Purchased</w:t>
            </w:r>
            <w:r>
              <w:rPr>
                <w:rFonts w:ascii="Times New Roman" w:cs="Times New Roman" w:eastAsia="Times New Roman" w:hAnsi="Times New Roman"/>
                <w:sz w:val="22"/>
                <w:szCs w:val="22"/>
                <w:b w:val="1"/>
                <w:bCs w:val="1"/>
                <w:color w:val="auto"/>
                <w:w w:val="97"/>
                <w:vertAlign w:val="superscript"/>
              </w:rPr>
              <w:t>(1)</w:t>
            </w:r>
          </w:p>
        </w:tc>
        <w:tc>
          <w:tcPr>
            <w:tcW w:w="100" w:type="dxa"/>
            <w:vAlign w:val="bottom"/>
          </w:tcPr>
          <w:p>
            <w:pPr>
              <w:spacing w:after="0"/>
              <w:rPr>
                <w:sz w:val="19"/>
                <w:szCs w:val="19"/>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Plans or Programs</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0" w:type="dxa"/>
            <w:vAlign w:val="bottom"/>
          </w:tcPr>
          <w:p>
            <w:pPr>
              <w:spacing w:after="0"/>
              <w:rPr>
                <w:sz w:val="1"/>
                <w:szCs w:val="1"/>
                <w:color w:val="auto"/>
              </w:rPr>
            </w:pPr>
          </w:p>
        </w:tc>
      </w:tr>
      <w:tr>
        <w:trPr>
          <w:trHeight w:val="213"/>
        </w:trPr>
        <w:tc>
          <w:tcPr>
            <w:tcW w:w="3620" w:type="dxa"/>
            <w:vAlign w:val="bottom"/>
            <w:tcBorders>
              <w:top w:val="single" w:sz="8" w:color="auto"/>
            </w:tcBorders>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April 2025</w:t>
            </w:r>
          </w:p>
        </w:tc>
        <w:tc>
          <w:tcPr>
            <w:tcW w:w="100" w:type="dxa"/>
            <w:vAlign w:val="bottom"/>
            <w:tcBorders>
              <w:top w:val="single" w:sz="8" w:color="BFE4FF"/>
            </w:tcBorders>
            <w:shd w:val="clear" w:color="auto" w:fill="BFE4FF"/>
          </w:tcPr>
          <w:p>
            <w:pPr>
              <w:spacing w:after="0"/>
              <w:rPr>
                <w:sz w:val="18"/>
                <w:szCs w:val="18"/>
                <w:color w:val="auto"/>
              </w:rPr>
            </w:pPr>
          </w:p>
        </w:tc>
        <w:tc>
          <w:tcPr>
            <w:tcW w:w="176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365,952</w:t>
            </w:r>
          </w:p>
        </w:tc>
        <w:tc>
          <w:tcPr>
            <w:tcW w:w="100" w:type="dxa"/>
            <w:vAlign w:val="bottom"/>
            <w:tcBorders>
              <w:top w:val="single" w:sz="8" w:color="BFE4FF"/>
            </w:tcBorders>
            <w:shd w:val="clear" w:color="auto" w:fill="BFE4FF"/>
          </w:tcPr>
          <w:p>
            <w:pPr>
              <w:spacing w:after="0"/>
              <w:rPr>
                <w:sz w:val="18"/>
                <w:szCs w:val="18"/>
                <w:color w:val="auto"/>
              </w:rPr>
            </w:pPr>
          </w:p>
        </w:tc>
        <w:tc>
          <w:tcPr>
            <w:tcW w:w="174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$109.45</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365,440</w:t>
            </w:r>
          </w:p>
        </w:tc>
        <w:tc>
          <w:tcPr>
            <w:tcW w:w="120" w:type="dxa"/>
            <w:vAlign w:val="bottom"/>
            <w:tcBorders>
              <w:top w:val="single" w:sz="8" w:color="BFE4FF"/>
            </w:tcBorders>
            <w:shd w:val="clear" w:color="auto" w:fill="BFE4FF"/>
          </w:tcPr>
          <w:p>
            <w:pPr>
              <w:spacing w:after="0"/>
              <w:rPr>
                <w:sz w:val="18"/>
                <w:szCs w:val="18"/>
                <w:color w:val="auto"/>
              </w:rPr>
            </w:pPr>
          </w:p>
        </w:tc>
        <w:tc>
          <w:tcPr>
            <w:tcW w:w="1800" w:type="dxa"/>
            <w:vAlign w:val="bottom"/>
            <w:tcBorders>
              <w:top w:val="single" w:sz="8" w:color="auto"/>
            </w:tcBorders>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2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May 2025</w:t>
            </w: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640,674</w:t>
            </w:r>
          </w:p>
        </w:tc>
        <w:tc>
          <w:tcPr>
            <w:tcW w:w="184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$116.50</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556,225</w:t>
            </w:r>
          </w:p>
        </w:tc>
        <w:tc>
          <w:tcPr>
            <w:tcW w:w="1920" w:type="dxa"/>
            <w:vAlign w:val="bottom"/>
            <w:gridSpan w:val="2"/>
          </w:tcPr>
          <w:p>
            <w:pPr>
              <w:jc w:val="center"/>
              <w:ind w:left="34"/>
              <w:spacing w:after="0"/>
              <w:rPr>
                <w:sz w:val="20"/>
                <w:szCs w:val="20"/>
                <w:color w:val="auto"/>
              </w:rPr>
            </w:pPr>
            <w:r>
              <w:rPr>
                <w:rFonts w:ascii="Times New Roman" w:cs="Times New Roman" w:eastAsia="Times New Roman" w:hAnsi="Times New Roman"/>
                <w:sz w:val="17"/>
                <w:szCs w:val="17"/>
                <w:color w:val="auto"/>
              </w:rPr>
              <w:t>$641</w:t>
            </w:r>
          </w:p>
        </w:tc>
        <w:tc>
          <w:tcPr>
            <w:tcW w:w="0" w:type="dxa"/>
            <w:vAlign w:val="bottom"/>
          </w:tcPr>
          <w:p>
            <w:pPr>
              <w:spacing w:after="0"/>
              <w:rPr>
                <w:sz w:val="1"/>
                <w:szCs w:val="1"/>
                <w:color w:val="auto"/>
              </w:rPr>
            </w:pPr>
          </w:p>
        </w:tc>
      </w:tr>
      <w:tr>
        <w:trPr>
          <w:trHeight w:val="220"/>
        </w:trPr>
        <w:tc>
          <w:tcPr>
            <w:tcW w:w="3720" w:type="dxa"/>
            <w:vAlign w:val="bottom"/>
            <w:gridSpan w:val="2"/>
            <w:shd w:val="clear" w:color="auto" w:fill="BFE4FF"/>
          </w:tcPr>
          <w:p>
            <w:pPr>
              <w:ind w:left="20"/>
              <w:spacing w:after="0"/>
              <w:rPr>
                <w:sz w:val="20"/>
                <w:szCs w:val="20"/>
                <w:color w:val="auto"/>
              </w:rPr>
            </w:pPr>
            <w:r>
              <w:rPr>
                <w:rFonts w:ascii="Times New Roman" w:cs="Times New Roman" w:eastAsia="Times New Roman" w:hAnsi="Times New Roman"/>
                <w:sz w:val="17"/>
                <w:szCs w:val="17"/>
                <w:color w:val="auto"/>
              </w:rPr>
              <w:t>June 2025</w:t>
            </w:r>
          </w:p>
        </w:tc>
        <w:tc>
          <w:tcPr>
            <w:tcW w:w="176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490,946</w:t>
            </w:r>
          </w:p>
        </w:tc>
        <w:tc>
          <w:tcPr>
            <w:tcW w:w="184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$103.54</w:t>
            </w:r>
          </w:p>
        </w:tc>
        <w:tc>
          <w:tcPr>
            <w:tcW w:w="120" w:type="dxa"/>
            <w:vAlign w:val="bottom"/>
            <w:shd w:val="clear" w:color="auto" w:fill="BFE4FF"/>
          </w:tcPr>
          <w:p>
            <w:pPr>
              <w:spacing w:after="0"/>
              <w:rPr>
                <w:sz w:val="19"/>
                <w:szCs w:val="19"/>
                <w:color w:val="auto"/>
              </w:rPr>
            </w:pPr>
          </w:p>
        </w:tc>
        <w:tc>
          <w:tcPr>
            <w:tcW w:w="18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7"/>
                <w:szCs w:val="17"/>
                <w:color w:val="auto"/>
              </w:rPr>
              <w:t>483,019</w:t>
            </w:r>
          </w:p>
        </w:tc>
        <w:tc>
          <w:tcPr>
            <w:tcW w:w="1920" w:type="dxa"/>
            <w:vAlign w:val="bottom"/>
            <w:gridSpan w:val="2"/>
            <w:shd w:val="clear" w:color="auto" w:fill="BFE4FF"/>
          </w:tcPr>
          <w:p>
            <w:pPr>
              <w:jc w:val="center"/>
              <w:ind w:left="34"/>
              <w:spacing w:after="0"/>
              <w:rPr>
                <w:sz w:val="20"/>
                <w:szCs w:val="20"/>
                <w:color w:val="auto"/>
              </w:rPr>
            </w:pPr>
            <w:r>
              <w:rPr>
                <w:rFonts w:ascii="Times New Roman" w:cs="Times New Roman" w:eastAsia="Times New Roman" w:hAnsi="Times New Roman"/>
                <w:sz w:val="17"/>
                <w:szCs w:val="17"/>
                <w:color w:val="auto"/>
              </w:rPr>
              <w:t>$591</w:t>
            </w:r>
          </w:p>
        </w:tc>
        <w:tc>
          <w:tcPr>
            <w:tcW w:w="0" w:type="dxa"/>
            <w:vAlign w:val="bottom"/>
          </w:tcPr>
          <w:p>
            <w:pPr>
              <w:spacing w:after="0"/>
              <w:rPr>
                <w:sz w:val="1"/>
                <w:szCs w:val="1"/>
                <w:color w:val="auto"/>
              </w:rPr>
            </w:pPr>
          </w:p>
        </w:tc>
      </w:tr>
      <w:tr>
        <w:trPr>
          <w:trHeight w:val="213"/>
        </w:trPr>
        <w:tc>
          <w:tcPr>
            <w:tcW w:w="37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1,497,572</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1,404,684</w:t>
            </w: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4" w:lineRule="exact"/>
        <w:rPr>
          <w:sz w:val="20"/>
          <w:szCs w:val="20"/>
          <w:color w:val="auto"/>
        </w:rPr>
      </w:pPr>
    </w:p>
    <w:p>
      <w:pPr>
        <w:ind w:right="460" w:firstLine="4"/>
        <w:spacing w:after="0"/>
        <w:tabs>
          <w:tab w:leader="none" w:pos="159"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total number of shares purchased includes shares surrendered to satisfy minimum statutory tax withholding obligations related to the vesting of stock awards.</w:t>
      </w:r>
    </w:p>
    <w:p>
      <w:pPr>
        <w:spacing w:after="0" w:line="248" w:lineRule="exact"/>
        <w:rPr>
          <w:rFonts w:ascii="Times New Roman" w:cs="Times New Roman" w:eastAsia="Times New Roman" w:hAnsi="Times New Roman"/>
          <w:sz w:val="19"/>
          <w:szCs w:val="19"/>
          <w:color w:val="auto"/>
          <w:vertAlign w:val="superscript"/>
        </w:rPr>
      </w:pPr>
    </w:p>
    <w:p>
      <w:pPr>
        <w:ind w:right="80" w:firstLine="4"/>
        <w:spacing w:after="0" w:line="287" w:lineRule="auto"/>
        <w:tabs>
          <w:tab w:leader="none" w:pos="159"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On December 12, 2011, the Board of Directors initially approved a share repurchase program, which was subsequently increased from time to time, and most recently increased by $500 million to $3,585 million on January 28, 2025.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5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11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6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Exhibit</w:t>
      </w:r>
    </w:p>
    <w:p>
      <w:pPr>
        <w:ind w:left="140"/>
        <w:spacing w:after="0"/>
        <w:tabs>
          <w:tab w:leader="none" w:pos="940" w:val="left"/>
        </w:tabs>
        <w:rPr>
          <w:sz w:val="20"/>
          <w:szCs w:val="20"/>
          <w:color w:val="auto"/>
        </w:rPr>
      </w:pPr>
      <w:r>
        <w:rPr>
          <w:rFonts w:ascii="Times New Roman" w:cs="Times New Roman" w:eastAsia="Times New Roman" w:hAnsi="Times New Roman"/>
          <w:sz w:val="17"/>
          <w:szCs w:val="17"/>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7138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50" w:lineRule="exact"/>
        <w:rPr>
          <w:sz w:val="20"/>
          <w:szCs w:val="20"/>
          <w:color w:val="auto"/>
        </w:rPr>
      </w:pPr>
    </w:p>
    <w:p>
      <w:pPr>
        <w:ind w:left="960" w:right="260" w:hanging="939"/>
        <w:spacing w:after="0" w:line="244" w:lineRule="auto"/>
        <w:tabs>
          <w:tab w:leader="none" w:pos="960" w:val="left"/>
        </w:tabs>
        <w:numPr>
          <w:ilvl w:val="0"/>
          <w:numId w:val="14"/>
        </w:numPr>
        <w:rPr>
          <w:rFonts w:ascii="Times New Roman" w:cs="Times New Roman" w:eastAsia="Times New Roman" w:hAnsi="Times New Roman"/>
          <w:sz w:val="17"/>
          <w:szCs w:val="17"/>
          <w:u w:val="single" w:color="auto"/>
          <w:color w:val="0000FF"/>
        </w:rPr>
      </w:pPr>
      <w:hyperlink r:id="rId62">
        <w:r>
          <w:rPr>
            <w:rFonts w:ascii="Times New Roman" w:cs="Times New Roman" w:eastAsia="Times New Roman" w:hAnsi="Times New Roman"/>
            <w:sz w:val="17"/>
            <w:szCs w:val="17"/>
            <w:u w:val="single" w:color="auto"/>
            <w:color w:val="0000FF"/>
          </w:rPr>
          <w:t>List of Guarantors and Subsidiary Issuers of Guaranteed Securities (Incorporated by reference to Exhibit 22 to the Company’s Annual Report for</w:t>
        </w:r>
      </w:hyperlink>
      <w:r>
        <w:rPr>
          <w:rFonts w:ascii="Times New Roman" w:cs="Times New Roman" w:eastAsia="Times New Roman" w:hAnsi="Times New Roman"/>
          <w:sz w:val="17"/>
          <w:szCs w:val="17"/>
          <w:u w:val="single" w:color="auto"/>
          <w:color w:val="0000FF"/>
        </w:rPr>
        <w:t xml:space="preserve"> </w:t>
      </w:r>
      <w:hyperlink r:id="rId62">
        <w:r>
          <w:rPr>
            <w:rFonts w:ascii="Times New Roman" w:cs="Times New Roman" w:eastAsia="Times New Roman" w:hAnsi="Times New Roman"/>
            <w:sz w:val="17"/>
            <w:szCs w:val="17"/>
            <w:u w:val="single" w:color="auto"/>
            <w:color w:val="0000FF"/>
          </w:rPr>
          <w:t>the fiscal year ended March 31, 2025 on Form 10-K (File No. 001-34972))</w:t>
        </w:r>
      </w:hyperlink>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-248285</wp:posOffset>
            </wp:positionV>
            <wp:extent cx="7138035" cy="255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8035" cy="255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1"/>
        </w:trPr>
        <w:tc>
          <w:tcPr>
            <w:tcW w:w="9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10.1†</w:t>
            </w:r>
          </w:p>
        </w:tc>
        <w:tc>
          <w:tcPr>
            <w:tcW w:w="10280" w:type="dxa"/>
            <w:vAlign w:val="bottom"/>
            <w:gridSpan w:val="7"/>
          </w:tcPr>
          <w:p>
            <w:pPr>
              <w:spacing w:after="0" w:line="191" w:lineRule="exact"/>
              <w:rPr>
                <w:sz w:val="20"/>
                <w:szCs w:val="20"/>
                <w:color w:val="auto"/>
              </w:rPr>
            </w:pPr>
            <w:r>
              <w:rPr>
                <w:rFonts w:ascii="Times New Roman" w:cs="Times New Roman" w:eastAsia="Times New Roman" w:hAnsi="Times New Roman"/>
                <w:sz w:val="17"/>
                <w:szCs w:val="17"/>
                <w:color w:val="0000FF"/>
              </w:rPr>
              <w:t>Form of Performance Restricted Stock Unit Agreement under the 2023 Equity Incentive Plan of Booz Allen Hamilton Holding Corporation*</w:t>
            </w:r>
          </w:p>
        </w:tc>
      </w:tr>
      <w:tr>
        <w:trPr>
          <w:trHeight w:val="210"/>
        </w:trPr>
        <w:tc>
          <w:tcPr>
            <w:tcW w:w="9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31.1</w:t>
            </w:r>
          </w:p>
        </w:tc>
        <w:tc>
          <w:tcPr>
            <w:tcW w:w="9740" w:type="dxa"/>
            <w:vAlign w:val="bottom"/>
            <w:tcBorders>
              <w:top w:val="single" w:sz="8" w:color="0000FF"/>
            </w:tcBorders>
            <w:gridSpan w:val="4"/>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0000FF"/>
              </w:rPr>
              <w:t>Rule 13a-14(a)/15d-14(a) Certification of the Chief Executive Officer*</w:t>
            </w:r>
          </w:p>
        </w:tc>
        <w:tc>
          <w:tcPr>
            <w:tcW w:w="540" w:type="dxa"/>
            <w:vAlign w:val="bottom"/>
            <w:gridSpan w:val="3"/>
            <w:shd w:val="clear" w:color="auto" w:fill="CCEEFF"/>
          </w:tcPr>
          <w:p>
            <w:pPr>
              <w:spacing w:after="0"/>
              <w:rPr>
                <w:sz w:val="18"/>
                <w:szCs w:val="18"/>
                <w:color w:val="auto"/>
              </w:rPr>
            </w:pPr>
          </w:p>
        </w:tc>
      </w:tr>
      <w:tr>
        <w:trPr>
          <w:trHeight w:val="191"/>
        </w:trPr>
        <w:tc>
          <w:tcPr>
            <w:tcW w:w="960" w:type="dxa"/>
            <w:vAlign w:val="bottom"/>
            <w:tcBorders>
              <w:top w:val="single" w:sz="8" w:color="CCEEFF"/>
            </w:tcBorders>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4880" w:type="dxa"/>
            <w:vAlign w:val="bottom"/>
            <w:tcBorders>
              <w:top w:val="single" w:sz="8" w:color="0000FF"/>
              <w:bottom w:val="single" w:sz="8" w:color="0000FF"/>
            </w:tcBorders>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Rule 13a-14(a)/15d-14(a) Certification of the Chief Financial Officer*</w:t>
            </w:r>
          </w:p>
        </w:tc>
        <w:tc>
          <w:tcPr>
            <w:tcW w:w="40" w:type="dxa"/>
            <w:vAlign w:val="bottom"/>
            <w:tcBorders>
              <w:top w:val="single" w:sz="8" w:color="0000FF"/>
            </w:tcBorders>
          </w:tcPr>
          <w:p>
            <w:pPr>
              <w:spacing w:after="0"/>
              <w:rPr>
                <w:sz w:val="16"/>
                <w:szCs w:val="16"/>
                <w:color w:val="auto"/>
              </w:rPr>
            </w:pPr>
          </w:p>
        </w:tc>
        <w:tc>
          <w:tcPr>
            <w:tcW w:w="5360" w:type="dxa"/>
            <w:vAlign w:val="bottom"/>
            <w:tcBorders>
              <w:top w:val="single" w:sz="8" w:color="CCEEFF"/>
            </w:tcBorders>
            <w:gridSpan w:val="4"/>
          </w:tcPr>
          <w:p>
            <w:pPr>
              <w:spacing w:after="0"/>
              <w:rPr>
                <w:sz w:val="16"/>
                <w:szCs w:val="16"/>
                <w:color w:val="auto"/>
              </w:rPr>
            </w:pPr>
          </w:p>
        </w:tc>
      </w:tr>
      <w:tr>
        <w:trPr>
          <w:trHeight w:val="191"/>
        </w:trPr>
        <w:tc>
          <w:tcPr>
            <w:tcW w:w="9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32.1</w:t>
            </w:r>
          </w:p>
        </w:tc>
        <w:tc>
          <w:tcPr>
            <w:tcW w:w="10280" w:type="dxa"/>
            <w:vAlign w:val="bottom"/>
            <w:gridSpan w:val="7"/>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0000FF"/>
              </w:rPr>
              <w:t>Certification of the Chief Executive Officer required by Rule 13a-14(b) or Rule 15d-14(b) and Section 1350 of Chapter 63 of Title 18 of the United</w:t>
            </w:r>
          </w:p>
        </w:tc>
      </w:tr>
      <w:tr>
        <w:trPr>
          <w:trHeight w:val="149"/>
        </w:trPr>
        <w:tc>
          <w:tcPr>
            <w:tcW w:w="960" w:type="dxa"/>
            <w:vAlign w:val="bottom"/>
            <w:tcBorders>
              <w:top w:val="single" w:sz="8" w:color="CCEEFF"/>
            </w:tcBorders>
            <w:shd w:val="clear" w:color="auto" w:fill="CCEEFF"/>
          </w:tcPr>
          <w:p>
            <w:pPr>
              <w:spacing w:after="0"/>
              <w:rPr>
                <w:sz w:val="12"/>
                <w:szCs w:val="12"/>
                <w:color w:val="auto"/>
              </w:rPr>
            </w:pPr>
          </w:p>
        </w:tc>
        <w:tc>
          <w:tcPr>
            <w:tcW w:w="10200" w:type="dxa"/>
            <w:vAlign w:val="bottom"/>
            <w:tcBorders>
              <w:top w:val="single" w:sz="8" w:color="0000FF"/>
            </w:tcBorders>
            <w:gridSpan w:val="6"/>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80" w:type="dxa"/>
            <w:vAlign w:val="bottom"/>
            <w:tcBorders>
              <w:top w:val="single" w:sz="8" w:color="CCEEFF"/>
            </w:tcBorders>
            <w:shd w:val="clear" w:color="auto" w:fill="CCEEFF"/>
          </w:tcPr>
          <w:p>
            <w:pPr>
              <w:spacing w:after="0"/>
              <w:rPr>
                <w:sz w:val="12"/>
                <w:szCs w:val="12"/>
                <w:color w:val="auto"/>
              </w:rPr>
            </w:pPr>
          </w:p>
        </w:tc>
      </w:tr>
      <w:tr>
        <w:trPr>
          <w:trHeight w:val="32"/>
        </w:trPr>
        <w:tc>
          <w:tcPr>
            <w:tcW w:w="960" w:type="dxa"/>
            <w:vAlign w:val="bottom"/>
            <w:tcBorders>
              <w:top w:val="single" w:sz="8" w:color="CCEEFF"/>
            </w:tcBorders>
            <w:shd w:val="clear" w:color="auto" w:fill="CCEEFF"/>
          </w:tcPr>
          <w:p>
            <w:pPr>
              <w:spacing w:after="0"/>
              <w:rPr>
                <w:sz w:val="2"/>
                <w:szCs w:val="2"/>
                <w:color w:val="auto"/>
              </w:rPr>
            </w:pPr>
          </w:p>
        </w:tc>
        <w:tc>
          <w:tcPr>
            <w:tcW w:w="2140" w:type="dxa"/>
            <w:vAlign w:val="bottom"/>
            <w:tcBorders>
              <w:top w:val="single" w:sz="8" w:color="0000FF"/>
            </w:tcBorders>
            <w:shd w:val="clear" w:color="auto" w:fill="CCEEFF"/>
          </w:tcPr>
          <w:p>
            <w:pPr>
              <w:spacing w:after="0"/>
              <w:rPr>
                <w:sz w:val="2"/>
                <w:szCs w:val="2"/>
                <w:color w:val="auto"/>
              </w:rPr>
            </w:pPr>
          </w:p>
        </w:tc>
        <w:tc>
          <w:tcPr>
            <w:tcW w:w="2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182"/>
        </w:trPr>
        <w:tc>
          <w:tcPr>
            <w:tcW w:w="9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0280" w:type="dxa"/>
            <w:vAlign w:val="bottom"/>
            <w:gridSpan w:val="7"/>
          </w:tcPr>
          <w:p>
            <w:pPr>
              <w:spacing w:after="0" w:line="181" w:lineRule="exact"/>
              <w:rPr>
                <w:sz w:val="20"/>
                <w:szCs w:val="20"/>
                <w:color w:val="auto"/>
              </w:rPr>
            </w:pPr>
            <w:r>
              <w:rPr>
                <w:rFonts w:ascii="Times New Roman" w:cs="Times New Roman" w:eastAsia="Times New Roman" w:hAnsi="Times New Roman"/>
                <w:sz w:val="17"/>
                <w:szCs w:val="17"/>
                <w:color w:val="0000FF"/>
              </w:rPr>
              <w:t>Certification of the Chief Financial Officer required by Rule 13a-14(b) or Rule 15d-14(b) and Section 1350 of Chapter 63 of Title 18 of the United</w:t>
            </w:r>
          </w:p>
        </w:tc>
      </w:tr>
      <w:tr>
        <w:trPr>
          <w:trHeight w:val="149"/>
        </w:trPr>
        <w:tc>
          <w:tcPr>
            <w:tcW w:w="960" w:type="dxa"/>
            <w:vAlign w:val="bottom"/>
          </w:tcPr>
          <w:p>
            <w:pPr>
              <w:spacing w:after="0"/>
              <w:rPr>
                <w:sz w:val="12"/>
                <w:szCs w:val="12"/>
                <w:color w:val="auto"/>
              </w:rPr>
            </w:pPr>
          </w:p>
        </w:tc>
        <w:tc>
          <w:tcPr>
            <w:tcW w:w="10160" w:type="dxa"/>
            <w:vAlign w:val="bottom"/>
            <w:tcBorders>
              <w:top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7"/>
                <w:szCs w:val="17"/>
                <w:color w:val="0000FF"/>
              </w:rPr>
              <w:t>States Code (18 U.S.C. 1350)*</w:t>
            </w:r>
          </w:p>
        </w:tc>
        <w:tc>
          <w:tcPr>
            <w:tcW w:w="120" w:type="dxa"/>
            <w:vAlign w:val="bottom"/>
            <w:gridSpan w:val="2"/>
          </w:tcPr>
          <w:p>
            <w:pPr>
              <w:spacing w:after="0"/>
              <w:rPr>
                <w:sz w:val="12"/>
                <w:szCs w:val="12"/>
                <w:color w:val="auto"/>
              </w:rPr>
            </w:pPr>
          </w:p>
        </w:tc>
      </w:tr>
      <w:tr>
        <w:trPr>
          <w:trHeight w:val="20"/>
        </w:trPr>
        <w:tc>
          <w:tcPr>
            <w:tcW w:w="9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 w:lineRule="exact"/>
        <w:rPr>
          <w:rFonts w:ascii="Times New Roman" w:cs="Times New Roman" w:eastAsia="Times New Roman" w:hAnsi="Times New Roman"/>
          <w:sz w:val="17"/>
          <w:szCs w:val="17"/>
          <w:color w:val="auto"/>
        </w:rPr>
      </w:pPr>
    </w:p>
    <w:p>
      <w:pPr>
        <w:ind w:left="960" w:right="180" w:hanging="939"/>
        <w:spacing w:after="0" w:line="224" w:lineRule="auto"/>
        <w:tabs>
          <w:tab w:leader="none" w:pos="9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Booz Allen Hamilton Holding Corporation’s Quarterly Report on Form 10-Q for the three months ended June 30, 2025 formatted in Inline XBRL (eXtensible Business Reporting Language): (i) Condensed Consolidated Balance Sheets at June 30, 2025 and March 31, 2025; (ii) Condensed Consolidated Statements of Operations for the three months ended June 30, 2025 and 2024; (iii) Condensed Consolidated Statements of Comprehensive Income for the three months ended June 30, 2025 and 2024; (iv) Condensed Consolidated Statements of Cash Flows for the three months ended June 30, 2025 and 2024; and (v) Notes to Condensed Consolidated Financial Statements.</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2540</wp:posOffset>
            </wp:positionH>
            <wp:positionV relativeFrom="paragraph">
              <wp:posOffset>-575310</wp:posOffset>
            </wp:positionV>
            <wp:extent cx="7138035" cy="5848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8035" cy="584835"/>
                    </a:xfrm>
                    <a:prstGeom prst="rect">
                      <a:avLst/>
                    </a:prstGeom>
                    <a:noFill/>
                  </pic:spPr>
                </pic:pic>
              </a:graphicData>
            </a:graphic>
          </wp:anchor>
        </w:drawing>
      </w:r>
    </w:p>
    <w:p>
      <w:pPr>
        <w:ind w:left="20"/>
        <w:spacing w:after="0"/>
        <w:tabs>
          <w:tab w:leader="none" w:pos="9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103"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w:t>
      </w:r>
    </w:p>
    <w:p>
      <w:pPr>
        <w:spacing w:after="0" w:line="6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Filed electronically herewith.</w:t>
      </w:r>
    </w:p>
    <w:p>
      <w:pPr>
        <w:spacing w:after="0" w:line="64" w:lineRule="exact"/>
        <w:rPr>
          <w:rFonts w:ascii="Times New Roman" w:cs="Times New Roman" w:eastAsia="Times New Roman" w:hAnsi="Times New Roman"/>
          <w:sz w:val="17"/>
          <w:szCs w:val="17"/>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arrangement.</w:t>
      </w:r>
    </w:p>
    <w:p>
      <w:pPr>
        <w:spacing w:after="0" w:line="200" w:lineRule="exact"/>
        <w:rPr>
          <w:rFonts w:ascii="Times New Roman" w:cs="Times New Roman" w:eastAsia="Times New Roman" w:hAnsi="Times New Roman"/>
          <w:sz w:val="17"/>
          <w:szCs w:val="17"/>
          <w:color w:val="auto"/>
        </w:rPr>
      </w:pPr>
    </w:p>
    <w:p>
      <w:pPr>
        <w:spacing w:after="0" w:line="344"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-9525</wp:posOffset>
            </wp:positionH>
            <wp:positionV relativeFrom="paragraph">
              <wp:posOffset>72390</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888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8" w:lineRule="exact"/>
        <w:rPr>
          <w:sz w:val="20"/>
          <w:szCs w:val="20"/>
          <w:color w:val="auto"/>
        </w:rPr>
      </w:pPr>
    </w:p>
    <w:p>
      <w:pPr>
        <w:ind w:firstLine="389"/>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8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u w:val="single" w:color="auto"/>
          <w:color w:val="auto"/>
        </w:rPr>
        <w:t>Booz Allen Hamilton Holding Corporation</w:t>
      </w:r>
    </w:p>
    <w:p>
      <w:pPr>
        <w:spacing w:after="0" w:line="31"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7"/>
          <w:szCs w:val="17"/>
          <w:color w:val="auto"/>
        </w:rPr>
        <w:t>Registrant</w:t>
      </w: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4800" w:val="left"/>
          <w:tab w:leader="none" w:pos="5260" w:val="left"/>
        </w:tabs>
        <w:rPr>
          <w:sz w:val="20"/>
          <w:szCs w:val="20"/>
          <w:color w:val="auto"/>
        </w:rPr>
      </w:pPr>
      <w:r>
        <w:rPr>
          <w:rFonts w:ascii="Times New Roman" w:cs="Times New Roman" w:eastAsia="Times New Roman" w:hAnsi="Times New Roman"/>
          <w:sz w:val="17"/>
          <w:szCs w:val="17"/>
          <w:color w:val="auto"/>
        </w:rPr>
        <w:t>Date: July 25, 2025</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19050</wp:posOffset>
            </wp:positionV>
            <wp:extent cx="37871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78714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Matthew A. Calderone</w:t>
      </w:r>
    </w:p>
    <w:p>
      <w:pPr>
        <w:ind w:left="52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00"/>
          </w:cols>
          <w:pgMar w:left="320" w:top="121"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2023 EQUITY INCENTIVE PLAN OF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BOOZ ALLEN HAMILTON HOLDING CORPORATION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GRANT NOTICE</w:t>
      </w:r>
    </w:p>
    <w:p>
      <w:pPr>
        <w:spacing w:after="0" w:line="224" w:lineRule="exact"/>
        <w:rPr>
          <w:sz w:val="20"/>
          <w:szCs w:val="20"/>
          <w:color w:val="auto"/>
        </w:rPr>
      </w:pPr>
    </w:p>
    <w:p>
      <w:pPr>
        <w:ind w:right="220" w:firstLine="622"/>
        <w:spacing w:after="0" w:line="281"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2023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of Booz Allen Hamilton Holding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shall have the same defined meanings in this Performance Restricted Stock Unit Agreement, which includes the terms in this Grant Notice, including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Grant Notice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hereto, and any special terms and conditions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attached hereto with respect to your country of employment and/or residence (collectively,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ind w:firstLine="622"/>
        <w:spacing w:after="0" w:line="261" w:lineRule="auto"/>
        <w:rPr>
          <w:sz w:val="20"/>
          <w:szCs w:val="20"/>
          <w:color w:val="auto"/>
        </w:rPr>
      </w:pPr>
      <w:r>
        <w:rPr>
          <w:rFonts w:ascii="Times New Roman" w:cs="Times New Roman" w:eastAsia="Times New Roman" w:hAnsi="Times New Roman"/>
          <w:sz w:val="19"/>
          <w:szCs w:val="19"/>
          <w:color w:val="auto"/>
        </w:rPr>
        <w:t>You, #ParticipantName+C# (the “</w:t>
      </w:r>
      <w:r>
        <w:rPr>
          <w:rFonts w:ascii="Times New Roman" w:cs="Times New Roman" w:eastAsia="Times New Roman" w:hAnsi="Times New Roman"/>
          <w:sz w:val="19"/>
          <w:szCs w:val="19"/>
          <w:u w:val="single" w:color="auto"/>
          <w:color w:val="auto"/>
        </w:rPr>
        <w:t>Participant</w:t>
      </w:r>
      <w:r>
        <w:rPr>
          <w:rFonts w:ascii="Times New Roman" w:cs="Times New Roman" w:eastAsia="Times New Roman" w:hAnsi="Times New Roman"/>
          <w:sz w:val="19"/>
          <w:szCs w:val="19"/>
          <w:color w:val="auto"/>
        </w:rPr>
        <w:t>”), have been granted #QuantityGranted+C# target performance-based restricted stock units on #GrantDate+C# (the “</w:t>
      </w:r>
      <w:r>
        <w:rPr>
          <w:rFonts w:ascii="Times New Roman" w:cs="Times New Roman" w:eastAsia="Times New Roman" w:hAnsi="Times New Roman"/>
          <w:sz w:val="19"/>
          <w:szCs w:val="19"/>
          <w:u w:val="single" w:color="auto"/>
          <w:color w:val="auto"/>
        </w:rPr>
        <w:t>Grant Date</w:t>
      </w:r>
      <w:r>
        <w:rPr>
          <w:rFonts w:ascii="Times New Roman" w:cs="Times New Roman" w:eastAsia="Times New Roman" w:hAnsi="Times New Roman"/>
          <w:sz w:val="19"/>
          <w:szCs w:val="19"/>
          <w:color w:val="auto"/>
        </w:rPr>
        <w:t xml:space="preserve">”), in each case as set forth on the Fidelity NetBenefits system at </w:t>
      </w:r>
      <w:r>
        <w:rPr>
          <w:rFonts w:ascii="Times New Roman" w:cs="Times New Roman" w:eastAsia="Times New Roman" w:hAnsi="Times New Roman"/>
          <w:sz w:val="19"/>
          <w:szCs w:val="19"/>
          <w:u w:val="single" w:color="auto"/>
          <w:color w:val="0000FF"/>
        </w:rPr>
        <w:t>www.netbenefits.com</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Units</w:t>
      </w:r>
      <w:r>
        <w:rPr>
          <w:rFonts w:ascii="Times New Roman" w:cs="Times New Roman" w:eastAsia="Times New Roman" w:hAnsi="Times New Roman"/>
          <w:sz w:val="19"/>
          <w:szCs w:val="19"/>
          <w:color w:val="auto"/>
        </w:rPr>
        <w:t xml:space="preserve">”), subject to the terms and conditions of the Plan and this Agreement, including but not limited to the vesting schedule and the satisfaction of the performance goals for the applicable performance period as set forth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to this Agreement, as delivered and made available to you by the Company, which shall be deemed part of and incorporated by reference into this Grant Notice.</w:t>
      </w:r>
    </w:p>
    <w:p>
      <w:pPr>
        <w:spacing w:after="0" w:line="160" w:lineRule="exact"/>
        <w:rPr>
          <w:sz w:val="20"/>
          <w:szCs w:val="20"/>
          <w:color w:val="auto"/>
        </w:rPr>
      </w:pPr>
    </w:p>
    <w:p>
      <w:pPr>
        <w:ind w:right="140" w:firstLine="622"/>
        <w:spacing w:after="0" w:line="265" w:lineRule="auto"/>
        <w:rPr>
          <w:sz w:val="20"/>
          <w:szCs w:val="20"/>
          <w:color w:val="auto"/>
        </w:rPr>
      </w:pPr>
      <w:r>
        <w:rPr>
          <w:rFonts w:ascii="Times New Roman" w:cs="Times New Roman" w:eastAsia="Times New Roman" w:hAnsi="Times New Roman"/>
          <w:sz w:val="19"/>
          <w:szCs w:val="19"/>
          <w:color w:val="auto"/>
        </w:rPr>
        <w:t xml:space="preserve">Your acceptance of this grant indicates your agreement and understanding that the Restricted Stock Units granted herein are subject to the terms and conditions contained in the Agreement and the Plan. </w:t>
      </w:r>
      <w:r>
        <w:rPr>
          <w:rFonts w:ascii="Times New Roman" w:cs="Times New Roman" w:eastAsia="Times New Roman" w:hAnsi="Times New Roman"/>
          <w:sz w:val="19"/>
          <w:szCs w:val="19"/>
          <w:b w:val="1"/>
          <w:bCs w:val="1"/>
          <w:color w:val="auto"/>
        </w:rPr>
        <w:t>ACCORDINGLY, PLEASE BE SURE TO READ THE PLAN AND THE</w:t>
      </w:r>
    </w:p>
    <w:p>
      <w:pPr>
        <w:spacing w:after="0" w:line="257" w:lineRule="auto"/>
        <w:rPr>
          <w:sz w:val="20"/>
          <w:szCs w:val="20"/>
          <w:color w:val="auto"/>
        </w:rPr>
      </w:pPr>
      <w:r>
        <w:rPr>
          <w:rFonts w:ascii="Times New Roman" w:cs="Times New Roman" w:eastAsia="Times New Roman" w:hAnsi="Times New Roman"/>
          <w:sz w:val="19"/>
          <w:szCs w:val="19"/>
          <w:b w:val="1"/>
          <w:bCs w:val="1"/>
          <w:color w:val="auto"/>
        </w:rPr>
        <w:t xml:space="preserve">AGREEMENT, EACH OF WHICH CONTAINS THE SPECIFIC TERMS AND CONDITIONS OF THE RESTRICTED STOCK UNITS. </w:t>
      </w:r>
      <w:r>
        <w:rPr>
          <w:rFonts w:ascii="Times New Roman" w:cs="Times New Roman" w:eastAsia="Times New Roman" w:hAnsi="Times New Roman"/>
          <w:sz w:val="19"/>
          <w:szCs w:val="19"/>
          <w:color w:val="auto"/>
        </w:rPr>
        <w:t xml:space="preserve">In order to view the grant details and to accept this grant, please go to Fidelity NetBenefits at </w:t>
      </w:r>
      <w:r>
        <w:rPr>
          <w:rFonts w:ascii="Times New Roman" w:cs="Times New Roman" w:eastAsia="Times New Roman" w:hAnsi="Times New Roman"/>
          <w:sz w:val="19"/>
          <w:szCs w:val="19"/>
          <w:u w:val="single" w:color="auto"/>
          <w:color w:val="0000FF"/>
        </w:rPr>
        <w:t>www.netbenefits.com</w:t>
      </w:r>
      <w:r>
        <w:rPr>
          <w:rFonts w:ascii="Times New Roman" w:cs="Times New Roman" w:eastAsia="Times New Roman" w:hAnsi="Times New Roman"/>
          <w:sz w:val="19"/>
          <w:szCs w:val="19"/>
          <w:color w:val="auto"/>
        </w:rPr>
        <w:t xml:space="preserve"> and follow the instructions regarding this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1240"/>
          </w:cols>
          <w:pgMar w:left="320" w:top="26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APPENDIX A TO PERFORMANCE RESTRICTED STOCK UNIT AGREEMENT</w:t>
      </w:r>
    </w:p>
    <w:p>
      <w:pPr>
        <w:spacing w:after="0" w:line="185" w:lineRule="exact"/>
        <w:rPr>
          <w:sz w:val="20"/>
          <w:szCs w:val="20"/>
          <w:color w:val="auto"/>
        </w:rPr>
      </w:pPr>
    </w:p>
    <w:p>
      <w:pPr>
        <w:ind w:firstLine="626"/>
        <w:spacing w:after="0" w:line="215" w:lineRule="auto"/>
        <w:tabs>
          <w:tab w:leader="none" w:pos="12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Grant of Restricted Stock Units</w:t>
      </w:r>
      <w:r>
        <w:rPr>
          <w:rFonts w:ascii="Times New Roman" w:cs="Times New Roman" w:eastAsia="Times New Roman" w:hAnsi="Times New Roman"/>
          <w:sz w:val="19"/>
          <w:szCs w:val="19"/>
          <w:color w:val="auto"/>
        </w:rPr>
        <w:t xml:space="preserve">. Subject to the terms, conditions, and restrictions set forth in the Plan and this Agreement (including the Grant Notice and any special terms and conditions applicable to the Participant’s country set forth in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9"/>
          <w:szCs w:val="19"/>
          <w:color w:val="auto"/>
        </w:rPr>
        <w:t xml:space="preserve"> to this Agreement), the Company hereby evidences and confirms its grant to the Participant, effective as of the Grant Date, of the Restricted Stock Units specified in the Grant Notice. Each Restricted Stock Unit represents the right to receive a number of Shares (which could be less than or greater than one Share), subject to the terms and conditions set forth in the Plan and this Agreement (including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9"/>
          <w:szCs w:val="19"/>
          <w:color w:val="auto"/>
        </w:rPr>
        <w:t xml:space="preserve">). Except as otherwise provided in Section 3 below,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(the “</w:t>
      </w:r>
      <w:r>
        <w:rPr>
          <w:rFonts w:ascii="Times New Roman" w:cs="Times New Roman" w:eastAsia="Times New Roman" w:hAnsi="Times New Roman"/>
          <w:sz w:val="19"/>
          <w:szCs w:val="19"/>
          <w:u w:val="single" w:color="auto"/>
          <w:color w:val="auto"/>
        </w:rPr>
        <w:t>Performance Goals</w:t>
      </w:r>
      <w:r>
        <w:rPr>
          <w:rFonts w:ascii="Times New Roman" w:cs="Times New Roman" w:eastAsia="Times New Roman" w:hAnsi="Times New Roman"/>
          <w:sz w:val="19"/>
          <w:szCs w:val="19"/>
          <w:color w:val="auto"/>
        </w:rPr>
        <w:t>”). The Participant hereby agrees that, except as required or permitted by Applicable Law, the Participant will not disclose to any Person other than the Participant’s spouse and/or tax or financial advisor (if any) the grant of the Restricted Stock Units or any of the terms or provisions hereof without prior approval from the Administrator.</w:t>
      </w:r>
    </w:p>
    <w:p>
      <w:pPr>
        <w:spacing w:after="0" w:line="143" w:lineRule="exact"/>
        <w:rPr>
          <w:rFonts w:ascii="Times New Roman" w:cs="Times New Roman" w:eastAsia="Times New Roman" w:hAnsi="Times New Roman"/>
          <w:sz w:val="19"/>
          <w:szCs w:val="19"/>
          <w:color w:val="auto"/>
        </w:rPr>
      </w:pPr>
    </w:p>
    <w:p>
      <w:pPr>
        <w:ind w:right="340" w:firstLine="626"/>
        <w:spacing w:after="0" w:line="225" w:lineRule="auto"/>
        <w:tabs>
          <w:tab w:leader="none" w:pos="124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Restricted Stock Units Subject to Plan</w:t>
      </w:r>
      <w:r>
        <w:rPr>
          <w:rFonts w:ascii="Times New Roman" w:cs="Times New Roman" w:eastAsia="Times New Roman" w:hAnsi="Times New Roman"/>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153" w:lineRule="exact"/>
        <w:rPr>
          <w:rFonts w:ascii="Times New Roman" w:cs="Times New Roman" w:eastAsia="Times New Roman" w:hAnsi="Times New Roman"/>
          <w:sz w:val="19"/>
          <w:szCs w:val="19"/>
          <w:color w:val="auto"/>
        </w:rPr>
      </w:pPr>
    </w:p>
    <w:p>
      <w:pPr>
        <w:ind w:left="1240" w:hanging="614"/>
        <w:spacing w:after="0"/>
        <w:tabs>
          <w:tab w:leader="none" w:pos="124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 of Restricted Stock Units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right="80" w:firstLine="626"/>
        <w:spacing w:after="0" w:line="219" w:lineRule="auto"/>
        <w:tabs>
          <w:tab w:leader="none" w:pos="1235"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 For purposes of this Agreement, the term “</w:t>
      </w:r>
      <w:r>
        <w:rPr>
          <w:rFonts w:ascii="Times New Roman" w:cs="Times New Roman" w:eastAsia="Times New Roman" w:hAnsi="Times New Roman"/>
          <w:sz w:val="19"/>
          <w:szCs w:val="19"/>
          <w:u w:val="single" w:color="auto"/>
          <w:color w:val="auto"/>
        </w:rPr>
        <w:t>Performance Period</w:t>
      </w:r>
      <w:r>
        <w:rPr>
          <w:rFonts w:ascii="Times New Roman" w:cs="Times New Roman" w:eastAsia="Times New Roman" w:hAnsi="Times New Roman"/>
          <w:sz w:val="19"/>
          <w:szCs w:val="19"/>
          <w:color w:val="auto"/>
        </w:rPr>
        <w:t xml:space="preserve">” shall mean the period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Except as otherwise provided in this Section 3, the Restricted Stock Units shall become vested as of the vesting date specified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u w:val="single" w:color="auto"/>
          <w:color w:val="auto"/>
        </w:rPr>
        <w:t>Vesting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xml:space="preserve">”), subject to the continued employment or service of the Participant with the Company or any Subsidiary thereof through the Vesting Date, and to the achievement of the Performance Goals set forth in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for the Performance Period as determined by the Administrator pursuant to Section 4(a) of this Agreement. Restricted Stock Units that do not vest in accordance with this Section 3 shall be forfeited.</w:t>
      </w:r>
    </w:p>
    <w:p>
      <w:pPr>
        <w:spacing w:after="0" w:line="157" w:lineRule="exact"/>
        <w:rPr>
          <w:rFonts w:ascii="Times New Roman" w:cs="Times New Roman" w:eastAsia="Times New Roman" w:hAnsi="Times New Roman"/>
          <w:sz w:val="19"/>
          <w:szCs w:val="19"/>
          <w:color w:val="auto"/>
        </w:rPr>
      </w:pPr>
    </w:p>
    <w:p>
      <w:pPr>
        <w:ind w:left="1240" w:hanging="614"/>
        <w:spacing w:after="0"/>
        <w:tabs>
          <w:tab w:leader="none" w:pos="12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of Employment or Service</w:t>
      </w:r>
      <w:r>
        <w:rPr>
          <w:rFonts w:ascii="Times New Roman" w:cs="Times New Roman" w:eastAsia="Times New Roman" w:hAnsi="Times New Roman"/>
          <w:sz w:val="19"/>
          <w:szCs w:val="19"/>
          <w:color w:val="auto"/>
        </w:rPr>
        <w:t>.</w:t>
      </w:r>
    </w:p>
    <w:p>
      <w:pPr>
        <w:spacing w:after="0" w:line="170" w:lineRule="exact"/>
        <w:rPr>
          <w:rFonts w:ascii="Times New Roman" w:cs="Times New Roman" w:eastAsia="Times New Roman" w:hAnsi="Times New Roman"/>
          <w:sz w:val="19"/>
          <w:szCs w:val="19"/>
          <w:color w:val="auto"/>
        </w:rPr>
      </w:pPr>
    </w:p>
    <w:p>
      <w:pPr>
        <w:ind w:right="260" w:firstLine="1248"/>
        <w:spacing w:after="0" w:line="233" w:lineRule="auto"/>
        <w:tabs>
          <w:tab w:leader="none" w:pos="1865"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Due to Death</w:t>
      </w:r>
      <w:r>
        <w:rPr>
          <w:rFonts w:ascii="Times New Roman" w:cs="Times New Roman" w:eastAsia="Times New Roman" w:hAnsi="Times New Roman"/>
          <w:sz w:val="19"/>
          <w:szCs w:val="19"/>
          <w:color w:val="auto"/>
        </w:rPr>
        <w:t xml:space="preserve">. If a Participant’s employment or service terminates due to the Participant’s death prior to the Vesting Date, all unvested Restricted Stock Units shall vest on the effective date of such termination of employment or service at Target Award levels (as specified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Vested Restricted Stock Units shall be settled as set forth in Section 4.</w:t>
      </w:r>
    </w:p>
    <w:p>
      <w:pPr>
        <w:spacing w:after="0" w:line="141" w:lineRule="exact"/>
        <w:rPr>
          <w:rFonts w:ascii="Times New Roman" w:cs="Times New Roman" w:eastAsia="Times New Roman" w:hAnsi="Times New Roman"/>
          <w:sz w:val="19"/>
          <w:szCs w:val="19"/>
          <w:color w:val="auto"/>
        </w:rPr>
      </w:pPr>
    </w:p>
    <w:p>
      <w:pPr>
        <w:ind w:right="100" w:firstLine="1248"/>
        <w:spacing w:after="0" w:line="218" w:lineRule="auto"/>
        <w:tabs>
          <w:tab w:leader="none" w:pos="1865"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by Reason of Disability</w:t>
      </w:r>
      <w:r>
        <w:rPr>
          <w:rFonts w:ascii="Times New Roman" w:cs="Times New Roman" w:eastAsia="Times New Roman" w:hAnsi="Times New Roman"/>
          <w:sz w:val="19"/>
          <w:szCs w:val="19"/>
          <w:color w:val="auto"/>
        </w:rPr>
        <w:t xml:space="preserve">. If a Participant’s employment or service terminates prior to the Vesting Date by reason of the Participant’s Disability, all unvested Restricted Stock Units shall vest as of the Vesting Date in a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amount of the Restricted Stock Units that would have been earned and vested in accordance with Section 3(a)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any “transition period” (within the meaning of the Company’s Transition Policy, as may be amended from time to time) shall not be considered a period of employment or service for purposes of calculating the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9"/>
          <w:szCs w:val="19"/>
          <w:color w:val="auto"/>
        </w:rPr>
        <w:t xml:space="preserve"> amount. Vested Restricted Stock Units shall be settled as set forth in Section 4 of this Agreement.</w:t>
      </w:r>
    </w:p>
    <w:p>
      <w:pPr>
        <w:spacing w:after="0" w:line="153" w:lineRule="exact"/>
        <w:rPr>
          <w:rFonts w:ascii="Times New Roman" w:cs="Times New Roman" w:eastAsia="Times New Roman" w:hAnsi="Times New Roman"/>
          <w:sz w:val="19"/>
          <w:szCs w:val="19"/>
          <w:color w:val="auto"/>
        </w:rPr>
      </w:pPr>
    </w:p>
    <w:p>
      <w:pPr>
        <w:ind w:right="60" w:firstLine="1248"/>
        <w:spacing w:after="0" w:line="235" w:lineRule="auto"/>
        <w:tabs>
          <w:tab w:leader="none" w:pos="186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Retirement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If a Participant’s employment or service terminates prior to the Vesting Date by reason of a Participant’s Qualifying Permanent Retirement (as defined below),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termination occurs on or after March 31 (or if March 31 is not a business day, the last business day prior to March 31) of the first fiscal year of the Performance Period, the unvested Restricted Stock Units shall vest in accordance with Section 3(a) based on actual achievement of the Performance Goals as if the Participant’s employment or service had not terminated;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if a Participant’s employment or service terminates prior to March 31 (or if March 31 is not a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264"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day, the last business day prior to March 31) of the first fiscal year of the Performance Period by reason of a Participant’s retirement</w:t>
      </w:r>
    </w:p>
    <w:p>
      <w:pPr>
        <w:ind w:right="320"/>
        <w:spacing w:after="0" w:line="217" w:lineRule="auto"/>
        <w:rPr>
          <w:sz w:val="20"/>
          <w:szCs w:val="20"/>
          <w:color w:val="auto"/>
        </w:rPr>
      </w:pPr>
      <w:r>
        <w:rPr>
          <w:rFonts w:ascii="Times New Roman" w:cs="Times New Roman" w:eastAsia="Times New Roman" w:hAnsi="Times New Roman"/>
          <w:sz w:val="18"/>
          <w:szCs w:val="18"/>
          <w:color w:val="auto"/>
        </w:rPr>
        <w:t>(notwithstanding that such retirement may otherwise qualify as a Qualifying Permanent Retirement), all unvested Restricted Stock Units shall immediately be forfeited as of the termination date;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if a Participant’s employment or service terminates at any point prior to the Vesting</w:t>
      </w:r>
    </w:p>
    <w:p>
      <w:pPr>
        <w:spacing w:after="0" w:line="227" w:lineRule="auto"/>
        <w:rPr>
          <w:sz w:val="20"/>
          <w:szCs w:val="20"/>
          <w:color w:val="auto"/>
        </w:rPr>
      </w:pPr>
      <w:r>
        <w:rPr>
          <w:rFonts w:ascii="Times New Roman" w:cs="Times New Roman" w:eastAsia="Times New Roman" w:hAnsi="Times New Roman"/>
          <w:sz w:val="18"/>
          <w:szCs w:val="18"/>
          <w:color w:val="auto"/>
        </w:rPr>
        <w:t>Date by reason of a Participant’s retirement that at any point during the Performance Period does not constitute a Qualifying Permanent Retirement,</w:t>
      </w:r>
    </w:p>
    <w:p>
      <w:pPr>
        <w:ind w:right="80"/>
        <w:spacing w:after="0" w:line="217" w:lineRule="auto"/>
        <w:rPr>
          <w:sz w:val="20"/>
          <w:szCs w:val="20"/>
          <w:color w:val="auto"/>
        </w:rPr>
      </w:pPr>
      <w:r>
        <w:rPr>
          <w:rFonts w:ascii="Times New Roman" w:cs="Times New Roman" w:eastAsia="Times New Roman" w:hAnsi="Times New Roman"/>
          <w:sz w:val="18"/>
          <w:szCs w:val="18"/>
          <w:color w:val="auto"/>
        </w:rPr>
        <w:t>all unvested Restricted Stock Units shall immediately be forfeited as of the termination date or, if later, the date such retirement does not constitute a Qualifying Permanent Retirement. Vested Restricted Stock Units shall be settled as set forth in Section 4 of this Agreement. “</w:t>
      </w:r>
      <w:r>
        <w:rPr>
          <w:rFonts w:ascii="Times New Roman" w:cs="Times New Roman" w:eastAsia="Times New Roman" w:hAnsi="Times New Roman"/>
          <w:sz w:val="18"/>
          <w:szCs w:val="18"/>
          <w:u w:val="single" w:color="auto"/>
          <w:color w:val="auto"/>
        </w:rPr>
        <w:t>Qualifying</w:t>
      </w:r>
    </w:p>
    <w:p>
      <w:pPr>
        <w:spacing w:after="0" w:line="215" w:lineRule="auto"/>
        <w:rPr>
          <w:sz w:val="20"/>
          <w:szCs w:val="20"/>
          <w:color w:val="auto"/>
        </w:rPr>
      </w:pPr>
      <w:r>
        <w:rPr>
          <w:rFonts w:ascii="Times New Roman" w:cs="Times New Roman" w:eastAsia="Times New Roman" w:hAnsi="Times New Roman"/>
          <w:sz w:val="19"/>
          <w:szCs w:val="19"/>
          <w:u w:val="single" w:color="auto"/>
          <w:color w:val="auto"/>
        </w:rPr>
        <w:t>Permanent Retirement</w:t>
      </w:r>
      <w:r>
        <w:rPr>
          <w:rFonts w:ascii="Times New Roman" w:cs="Times New Roman" w:eastAsia="Times New Roman" w:hAnsi="Times New Roman"/>
          <w:sz w:val="19"/>
          <w:szCs w:val="19"/>
          <w:color w:val="auto"/>
        </w:rPr>
        <w:t>” means a termination of the Participant’s employment or service by reason of a retirement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in accordance with the</w:t>
      </w:r>
    </w:p>
    <w:p>
      <w:pPr>
        <w:ind w:right="260"/>
        <w:spacing w:after="0" w:line="206" w:lineRule="auto"/>
        <w:rPr>
          <w:sz w:val="20"/>
          <w:szCs w:val="20"/>
          <w:color w:val="auto"/>
        </w:rPr>
      </w:pPr>
      <w:r>
        <w:rPr>
          <w:rFonts w:ascii="Times New Roman" w:cs="Times New Roman" w:eastAsia="Times New Roman" w:hAnsi="Times New Roman"/>
          <w:sz w:val="19"/>
          <w:szCs w:val="19"/>
          <w:color w:val="auto"/>
        </w:rPr>
        <w:t>applicable Company retirement policy (as may be amended from time to time)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that is a permanent retirement from all current and future employment, including but not limited to self-employment, unless such employment is approved by the Company in writing in advance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Participant commencing such employment.</w:t>
      </w:r>
    </w:p>
    <w:p>
      <w:pPr>
        <w:spacing w:after="0" w:line="161" w:lineRule="exact"/>
        <w:rPr>
          <w:sz w:val="20"/>
          <w:szCs w:val="20"/>
          <w:color w:val="auto"/>
        </w:rPr>
      </w:pPr>
    </w:p>
    <w:p>
      <w:pPr>
        <w:ind w:right="20" w:firstLine="1248"/>
        <w:spacing w:after="0" w:line="218" w:lineRule="auto"/>
        <w:tabs>
          <w:tab w:leader="none" w:pos="1856"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Cause</w:t>
      </w:r>
      <w:r>
        <w:rPr>
          <w:rFonts w:ascii="Times New Roman" w:cs="Times New Roman" w:eastAsia="Times New Roman" w:hAnsi="Times New Roman"/>
          <w:sz w:val="19"/>
          <w:szCs w:val="19"/>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to the Participant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57" w:lineRule="exact"/>
        <w:rPr>
          <w:rFonts w:ascii="Times New Roman" w:cs="Times New Roman" w:eastAsia="Times New Roman" w:hAnsi="Times New Roman"/>
          <w:sz w:val="19"/>
          <w:szCs w:val="19"/>
          <w:color w:val="auto"/>
        </w:rPr>
      </w:pPr>
    </w:p>
    <w:p>
      <w:pPr>
        <w:ind w:right="40" w:firstLine="1248"/>
        <w:spacing w:after="0" w:line="228" w:lineRule="auto"/>
        <w:tabs>
          <w:tab w:leader="none" w:pos="1855"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Termination for Any Other Reason</w:t>
      </w:r>
      <w:r>
        <w:rPr>
          <w:rFonts w:ascii="Times New Roman" w:cs="Times New Roman" w:eastAsia="Times New Roman" w:hAnsi="Times New Roman"/>
          <w:sz w:val="19"/>
          <w:szCs w:val="19"/>
          <w:color w:val="auto"/>
        </w:rPr>
        <w:t>. If a Participant’s employment or service terminates for any reason other than death, Disability, in a Qualifying Permanent Retirement or by the Company or Employer for Cause, all unvested Restricted Stock Units shall immediately be forfeited and canceled, effective as of the date of the Participant’s termination of service.</w:t>
      </w:r>
    </w:p>
    <w:p>
      <w:pPr>
        <w:spacing w:after="0" w:line="142" w:lineRule="exact"/>
        <w:rPr>
          <w:rFonts w:ascii="Times New Roman" w:cs="Times New Roman" w:eastAsia="Times New Roman" w:hAnsi="Times New Roman"/>
          <w:sz w:val="19"/>
          <w:szCs w:val="19"/>
          <w:color w:val="auto"/>
        </w:rPr>
      </w:pPr>
    </w:p>
    <w:p>
      <w:pPr>
        <w:ind w:right="40" w:firstLine="626"/>
        <w:spacing w:after="0" w:line="218" w:lineRule="auto"/>
        <w:tabs>
          <w:tab w:leader="none" w:pos="123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in Control</w:t>
      </w:r>
      <w:r>
        <w:rPr>
          <w:rFonts w:ascii="Times New Roman" w:cs="Times New Roman" w:eastAsia="Times New Roman" w:hAnsi="Times New Roman"/>
          <w:sz w:val="19"/>
          <w:szCs w:val="19"/>
          <w:color w:val="auto"/>
        </w:rPr>
        <w:t xml:space="preserve">. In the event of a Change in Control prior to the Vesting Date, notwithstanding anything in Article XIII of the Plan to the contrary, an amount of Restricted Stock Units equal to the Target Award (as specified on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attached hereto) shall remain outstanding and shall vest on the Vesting Date, subject to the continued employment or service of the Participant with the Company, the Employer or any other Subsidiary through such date, but without regard to achievement of any Performance Goals;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9"/>
          <w:szCs w:val="19"/>
          <w:u w:val="single" w:color="auto"/>
          <w:color w:val="auto"/>
        </w:rPr>
        <w:t>Qualifying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CIC Termination</w:t>
      </w:r>
      <w:r>
        <w:rPr>
          <w:rFonts w:ascii="Times New Roman" w:cs="Times New Roman" w:eastAsia="Times New Roman" w:hAnsi="Times New Roman"/>
          <w:sz w:val="19"/>
          <w:szCs w:val="19"/>
          <w:color w:val="auto"/>
        </w:rPr>
        <w:t>”) within two (2) years following the effective date of the Change in Control, such outstanding Restricted Stock Units shall vest as of the date of such Qualifying CIC Termination. Vested Restricted Stock Units shall be settled as set forth in Section 4 of this Agreement.</w:t>
      </w:r>
    </w:p>
    <w:p>
      <w:pPr>
        <w:spacing w:after="0" w:line="153" w:lineRule="exact"/>
        <w:rPr>
          <w:rFonts w:ascii="Times New Roman" w:cs="Times New Roman" w:eastAsia="Times New Roman" w:hAnsi="Times New Roman"/>
          <w:sz w:val="19"/>
          <w:szCs w:val="19"/>
          <w:color w:val="auto"/>
        </w:rPr>
      </w:pPr>
    </w:p>
    <w:p>
      <w:pPr>
        <w:ind w:right="20" w:firstLine="626"/>
        <w:spacing w:after="0" w:line="215" w:lineRule="auto"/>
        <w:tabs>
          <w:tab w:leader="none" w:pos="1233"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Forfeiture Provisions</w:t>
      </w:r>
      <w:r>
        <w:rPr>
          <w:rFonts w:ascii="Times New Roman" w:cs="Times New Roman" w:eastAsia="Times New Roman" w:hAnsi="Times New Roman"/>
          <w:sz w:val="19"/>
          <w:szCs w:val="19"/>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in the event the Participant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materially violates any restrictive covenant agreement (or any other agreement containing restrictive covenants) that the Participant has entered into with the Company,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as required by Applicable Law or regulations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57" w:lineRule="exact"/>
        <w:rPr>
          <w:rFonts w:ascii="Times New Roman" w:cs="Times New Roman" w:eastAsia="Times New Roman" w:hAnsi="Times New Roman"/>
          <w:sz w:val="19"/>
          <w:szCs w:val="19"/>
          <w:color w:val="auto"/>
        </w:rPr>
      </w:pPr>
    </w:p>
    <w:p>
      <w:pPr>
        <w:ind w:right="60" w:firstLine="626"/>
        <w:spacing w:after="0" w:line="225" w:lineRule="auto"/>
        <w:tabs>
          <w:tab w:leader="none" w:pos="1235"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Discretion</w:t>
      </w:r>
      <w:r>
        <w:rPr>
          <w:rFonts w:ascii="Times New Roman" w:cs="Times New Roman" w:eastAsia="Times New Roman" w:hAnsi="Times New Roman"/>
          <w:sz w:val="19"/>
          <w:szCs w:val="19"/>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Times New Roman" w:cs="Times New Roman" w:eastAsia="Times New Roman" w:hAnsi="Times New Roman"/>
          <w:sz w:val="19"/>
          <w:szCs w:val="19"/>
          <w:u w:val="single" w:color="auto"/>
          <w:color w:val="auto"/>
        </w:rPr>
        <w:t>provided, however</w:t>
      </w:r>
      <w:r>
        <w:rPr>
          <w:rFonts w:ascii="Times New Roman" w:cs="Times New Roman" w:eastAsia="Times New Roman" w:hAnsi="Times New Roman"/>
          <w:sz w:val="19"/>
          <w:szCs w:val="19"/>
          <w:color w:val="auto"/>
        </w:rPr>
        <w:t>, that such waiver or acceleration of vesting shall not change the settlement date of the Restricted Stock Units provided in Section 4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264"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60" w:firstLine="626"/>
        <w:spacing w:after="0" w:line="215" w:lineRule="auto"/>
        <w:tabs>
          <w:tab w:leader="none" w:pos="124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Post-Termination Informational Requirements</w:t>
      </w:r>
      <w:r>
        <w:rPr>
          <w:rFonts w:ascii="Times New Roman" w:cs="Times New Roman" w:eastAsia="Times New Roman" w:hAnsi="Times New Roman"/>
          <w:sz w:val="19"/>
          <w:szCs w:val="19"/>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3(b)(iv) or 3(d) of this Agreement apply. Such representations and documents may include tax returns and all other relevant information and records from which the Administrator can determine the current or former employment status of the Participant during the Performance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ninety (90) calendar days after the issuance of a request from the Administrator for such information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December 31 of the calendar year in which the Vesting Date occurs.</w:t>
      </w:r>
    </w:p>
    <w:p>
      <w:pPr>
        <w:spacing w:after="0" w:line="157" w:lineRule="exact"/>
        <w:rPr>
          <w:sz w:val="20"/>
          <w:szCs w:val="20"/>
          <w:color w:val="auto"/>
        </w:rPr>
      </w:pPr>
    </w:p>
    <w:p>
      <w:pPr>
        <w:ind w:left="1240" w:hanging="614"/>
        <w:spacing w:after="0"/>
        <w:tabs>
          <w:tab w:leader="none" w:pos="12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Administrator Certification; Settlement of Restricted Stock Units</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1240" w:hanging="614"/>
        <w:spacing w:after="0"/>
        <w:tabs>
          <w:tab w:leader="none" w:pos="1240" w:val="left"/>
        </w:tabs>
        <w:numPr>
          <w:ilvl w:val="1"/>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Certification</w:t>
      </w:r>
      <w:r>
        <w:rPr>
          <w:rFonts w:ascii="Times New Roman" w:cs="Times New Roman" w:eastAsia="Times New Roman" w:hAnsi="Times New Roman"/>
          <w:sz w:val="19"/>
          <w:szCs w:val="19"/>
          <w:color w:val="auto"/>
        </w:rPr>
        <w:t>. As soon as practicable following completion of the Performance Period, the Administrator will review and determine</w:t>
      </w:r>
    </w:p>
    <w:p>
      <w:pPr>
        <w:ind w:right="160" w:firstLine="4"/>
        <w:spacing w:after="0" w:line="218" w:lineRule="auto"/>
        <w:tabs>
          <w:tab w:leader="none" w:pos="227"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whether, and to what extent, the Performance Goals for the Performance Period have been achieved, in whole or in part, 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the number of Restricted Stock Units that the Participant shall earn, if any, subject to compliance with the requirements of Section 3 (the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Certification</w:t>
      </w:r>
      <w:r>
        <w:rPr>
          <w:rFonts w:ascii="Times New Roman" w:cs="Times New Roman" w:eastAsia="Times New Roman" w:hAnsi="Times New Roman"/>
          <w:sz w:val="19"/>
          <w:szCs w:val="19"/>
          <w:color w:val="auto"/>
        </w:rPr>
        <w:t>”). All determinations of whether the Performance Goals have been achieved, the number of Restricted Stock Units earned by the Participant, and all other matters related to this Section 4(a) shall be made by the Administrator in its sole discretion and shall be final, conclusive and binding on the Participant.</w:t>
      </w:r>
    </w:p>
    <w:p>
      <w:pPr>
        <w:spacing w:after="0" w:line="152" w:lineRule="exact"/>
        <w:rPr>
          <w:rFonts w:ascii="Times New Roman" w:cs="Times New Roman" w:eastAsia="Times New Roman" w:hAnsi="Times New Roman"/>
          <w:sz w:val="19"/>
          <w:szCs w:val="19"/>
          <w:color w:val="auto"/>
        </w:rPr>
      </w:pPr>
    </w:p>
    <w:p>
      <w:pPr>
        <w:ind w:right="60" w:firstLine="626"/>
        <w:spacing w:after="0" w:line="213" w:lineRule="auto"/>
        <w:tabs>
          <w:tab w:leader="none" w:pos="1233"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Settlement of Restricted Stock Units</w:t>
      </w:r>
      <w:r>
        <w:rPr>
          <w:rFonts w:ascii="Times New Roman" w:cs="Times New Roman" w:eastAsia="Times New Roman" w:hAnsi="Times New Roman"/>
          <w:sz w:val="19"/>
          <w:szCs w:val="19"/>
          <w:color w:val="auto"/>
        </w:rPr>
        <w:t>. Subject to Section 3(f), Section 4(a) and Section 9 of this Agreement, the Company shall deliver to the Participant one (1) Share (or the value thereof) in settlement of each Restricted Stock Unit granted hereunder that has become earned and vested as provided in Section 3 on the first to occur of the following: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on or as soon as practicable following the date of the Administrator Certification (but in no event later than 2½ months after the Vesting Date);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in the event of a termination of employment or service due to death, as soon as practicable following the Participant’s termination of employment or service by reason of death; or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in the event of a Qualifying CIC Termination, within thirty (30) days following the effective date of the Participant’s Qualifying CIC Termination, in each case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in Company Common Stock by either, (</w:t>
      </w:r>
      <w:r>
        <w:rPr>
          <w:rFonts w:ascii="Times New Roman" w:cs="Times New Roman" w:eastAsia="Times New Roman" w:hAnsi="Times New Roman"/>
          <w:sz w:val="19"/>
          <w:szCs w:val="19"/>
          <w:u w:val="single" w:color="auto"/>
          <w:color w:val="auto"/>
        </w:rPr>
        <w:t>x</w:t>
      </w:r>
      <w:r>
        <w:rPr>
          <w:rFonts w:ascii="Times New Roman" w:cs="Times New Roman" w:eastAsia="Times New Roman" w:hAnsi="Times New Roman"/>
          <w:sz w:val="19"/>
          <w:szCs w:val="19"/>
          <w:color w:val="auto"/>
        </w:rPr>
        <w:t>) issuing one or more certificates evidencing the Company Common Stock to the Participant or (</w:t>
      </w:r>
      <w:r>
        <w:rPr>
          <w:rFonts w:ascii="Times New Roman" w:cs="Times New Roman" w:eastAsia="Times New Roman" w:hAnsi="Times New Roman"/>
          <w:sz w:val="19"/>
          <w:szCs w:val="19"/>
          <w:u w:val="single" w:color="auto"/>
          <w:color w:val="auto"/>
        </w:rPr>
        <w:t>y</w:t>
      </w:r>
      <w:r>
        <w:rPr>
          <w:rFonts w:ascii="Times New Roman" w:cs="Times New Roman" w:eastAsia="Times New Roman" w:hAnsi="Times New Roman"/>
          <w:sz w:val="19"/>
          <w:szCs w:val="19"/>
          <w:color w:val="auto"/>
        </w:rPr>
        <w:t>) registering the issuance of the Company Common Stock in the name of the Participant through a book entry credit in the records of the Company’s transfer agent,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Participant may not vest in more than the maximum number of Restricted Stock Units specified in the Grant Notice.</w:t>
      </w:r>
    </w:p>
    <w:p>
      <w:pPr>
        <w:spacing w:after="0" w:line="188" w:lineRule="exact"/>
        <w:rPr>
          <w:rFonts w:ascii="Times New Roman" w:cs="Times New Roman" w:eastAsia="Times New Roman" w:hAnsi="Times New Roman"/>
          <w:sz w:val="19"/>
          <w:szCs w:val="19"/>
          <w:color w:val="auto"/>
        </w:rPr>
      </w:pPr>
    </w:p>
    <w:p>
      <w:pPr>
        <w:ind w:firstLine="4"/>
        <w:spacing w:after="0" w:line="254" w:lineRule="auto"/>
        <w:tabs>
          <w:tab w:leader="none" w:pos="619"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Notwithstanding the foregoing, the Administrator,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66" w:lineRule="exact"/>
        <w:rPr>
          <w:sz w:val="20"/>
          <w:szCs w:val="20"/>
          <w:color w:val="auto"/>
        </w:rPr>
      </w:pPr>
    </w:p>
    <w:p>
      <w:pPr>
        <w:ind w:right="200" w:firstLine="626"/>
        <w:spacing w:after="0" w:line="219" w:lineRule="auto"/>
        <w:tabs>
          <w:tab w:leader="none" w:pos="1244"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Securities Law Compliance</w:t>
      </w:r>
      <w:r>
        <w:rPr>
          <w:rFonts w:ascii="Times New Roman" w:cs="Times New Roman" w:eastAsia="Times New Roman" w:hAnsi="Times New Roman"/>
          <w:sz w:val="19"/>
          <w:szCs w:val="19"/>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264"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40" w:hanging="614"/>
        <w:spacing w:after="0"/>
        <w:tabs>
          <w:tab w:leader="none" w:pos="124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Participant’s Rights with Respect to the Restricted Stock Units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right="20" w:firstLine="626"/>
        <w:spacing w:after="0" w:line="218" w:lineRule="auto"/>
        <w:tabs>
          <w:tab w:leader="none" w:pos="1235"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Restrictions on Transferability</w:t>
      </w:r>
      <w:r>
        <w:rPr>
          <w:rFonts w:ascii="Times New Roman" w:cs="Times New Roman" w:eastAsia="Times New Roman" w:hAnsi="Times New Roman"/>
          <w:sz w:val="19"/>
          <w:szCs w:val="19"/>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57" w:lineRule="exact"/>
        <w:rPr>
          <w:rFonts w:ascii="Times New Roman" w:cs="Times New Roman" w:eastAsia="Times New Roman" w:hAnsi="Times New Roman"/>
          <w:sz w:val="19"/>
          <w:szCs w:val="19"/>
          <w:color w:val="auto"/>
        </w:rPr>
      </w:pPr>
    </w:p>
    <w:p>
      <w:pPr>
        <w:ind w:right="80" w:firstLine="626"/>
        <w:spacing w:after="0" w:line="228" w:lineRule="auto"/>
        <w:tabs>
          <w:tab w:leader="none" w:pos="1233"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Rights as Stockholder</w:t>
      </w:r>
      <w:r>
        <w:rPr>
          <w:rFonts w:ascii="Times New Roman" w:cs="Times New Roman" w:eastAsia="Times New Roman" w:hAnsi="Times New Roman"/>
          <w:sz w:val="19"/>
          <w:szCs w:val="19"/>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155" w:lineRule="exact"/>
        <w:rPr>
          <w:rFonts w:ascii="Times New Roman" w:cs="Times New Roman" w:eastAsia="Times New Roman" w:hAnsi="Times New Roman"/>
          <w:sz w:val="19"/>
          <w:szCs w:val="19"/>
          <w:color w:val="auto"/>
        </w:rPr>
      </w:pPr>
    </w:p>
    <w:p>
      <w:pPr>
        <w:ind w:right="20" w:firstLine="626"/>
        <w:spacing w:after="0" w:line="227" w:lineRule="auto"/>
        <w:tabs>
          <w:tab w:leader="none" w:pos="12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Company declares a cash dividend on the Company Common Stock, then the Participant shall be credited with Dividend Equivalents in the form of a right to a cash payment equal to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the amount of the dividend declared and paid for each Share, multiplied by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the number of Restricted Stock Units earned by the Participant as determined by the Administrator pursuant to Section 4(a)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in the case of a termination of employment or service by reason of Death or a Qualifying CIC Termination, the number of Restricted Stock Units equal to the Target Award (as specified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Any Dividend Equivalents shall be subject to the same forfeiture restrictions as the Restricted Stock Units to which they are attributable and shall be paid on the same date the Restricted Stock Units to which they are attributable are settled in accordance with Section 4 hereof. Dividend Equivalents credited to a Participant’s account shall be distributed in cash or, at the discretion of the Administrator, in Shares having a Fair Market Value equal to the amount of the Dividend Equivalents, if any.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(d)</w:t>
      </w:r>
    </w:p>
    <w:p>
      <w:pPr>
        <w:spacing w:after="0" w:line="196" w:lineRule="exact"/>
        <w:rPr>
          <w:sz w:val="20"/>
          <w:szCs w:val="20"/>
          <w:color w:val="auto"/>
        </w:rPr>
      </w:pPr>
    </w:p>
    <w:p>
      <w:pPr>
        <w:ind w:left="1240" w:hanging="614"/>
        <w:spacing w:after="0"/>
        <w:tabs>
          <w:tab w:leader="none" w:pos="12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Participant’s Representations, Warranties and Covenants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right="40" w:firstLine="626"/>
        <w:spacing w:after="0" w:line="218" w:lineRule="auto"/>
        <w:tabs>
          <w:tab w:leader="none" w:pos="123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 Conflicts; No Consents</w:t>
      </w:r>
      <w:r>
        <w:rPr>
          <w:rFonts w:ascii="Times New Roman" w:cs="Times New Roman" w:eastAsia="Times New Roman" w:hAnsi="Times New Roman"/>
          <w:sz w:val="19"/>
          <w:szCs w:val="19"/>
          <w:color w:val="auto"/>
        </w:rPr>
        <w:t>. The execution and delivery by the Participant of this Agreement, the consummation of the transactions contemplated hereby and the performance of the Participant’s obligations hereunder do not and will not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materially conflict with or result in a material violation or breach of any term or provision of any law applicable to either the Participant or the Restricted Stock Units or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53" w:lineRule="exact"/>
        <w:rPr>
          <w:rFonts w:ascii="Times New Roman" w:cs="Times New Roman" w:eastAsia="Times New Roman" w:hAnsi="Times New Roman"/>
          <w:sz w:val="19"/>
          <w:szCs w:val="19"/>
          <w:color w:val="auto"/>
        </w:rPr>
      </w:pPr>
    </w:p>
    <w:p>
      <w:pPr>
        <w:ind w:right="100" w:firstLine="626"/>
        <w:spacing w:after="0" w:line="225" w:lineRule="auto"/>
        <w:tabs>
          <w:tab w:leader="none" w:pos="1233"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Compliance with Rule 144</w:t>
      </w:r>
      <w:r>
        <w:rPr>
          <w:rFonts w:ascii="Times New Roman" w:cs="Times New Roman" w:eastAsia="Times New Roman" w:hAnsi="Times New Roman"/>
          <w:sz w:val="19"/>
          <w:szCs w:val="19"/>
          <w:color w:val="auto"/>
        </w:rPr>
        <w:t>. If any Shares issued in respect of the Restricted Stock Units are to be disposed of in accordance with Rule 144 of the Securities Act, the Participant shall transmit to 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40" w:lineRule="exact"/>
        <w:rPr>
          <w:rFonts w:ascii="Times New Roman" w:cs="Times New Roman" w:eastAsia="Times New Roman" w:hAnsi="Times New Roman"/>
          <w:sz w:val="19"/>
          <w:szCs w:val="19"/>
          <w:color w:val="auto"/>
        </w:rPr>
      </w:pPr>
    </w:p>
    <w:p>
      <w:pPr>
        <w:ind w:right="180" w:firstLine="626"/>
        <w:spacing w:after="0" w:line="247" w:lineRule="auto"/>
        <w:tabs>
          <w:tab w:leader="none" w:pos="1235"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Participant Status</w:t>
      </w:r>
      <w:r>
        <w:rPr>
          <w:rFonts w:ascii="Times New Roman" w:cs="Times New Roman" w:eastAsia="Times New Roman" w:hAnsi="Times New Roman"/>
          <w:sz w:val="19"/>
          <w:szCs w:val="19"/>
          <w:color w:val="auto"/>
        </w:rPr>
        <w:t>. The Participant represents and warrants that, as of the date hereof, the Participant is an officer or other Service Provider of the Company, the Employer or a Subsidiary.</w:t>
      </w:r>
    </w:p>
    <w:p>
      <w:pPr>
        <w:spacing w:after="0" w:line="147" w:lineRule="exact"/>
        <w:rPr>
          <w:sz w:val="20"/>
          <w:szCs w:val="20"/>
          <w:color w:val="auto"/>
        </w:rPr>
      </w:pPr>
    </w:p>
    <w:p>
      <w:pPr>
        <w:ind w:right="200" w:firstLine="626"/>
        <w:spacing w:after="0" w:line="228" w:lineRule="auto"/>
        <w:tabs>
          <w:tab w:leader="none" w:pos="1244" w:val="left"/>
        </w:tabs>
        <w:numPr>
          <w:ilvl w:val="0"/>
          <w:numId w:val="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Adjustment in Capitalization</w:t>
      </w:r>
      <w:r>
        <w:rPr>
          <w:rFonts w:ascii="Times New Roman" w:cs="Times New Roman" w:eastAsia="Times New Roman" w:hAnsi="Times New Roman"/>
          <w:sz w:val="19"/>
          <w:szCs w:val="19"/>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26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9"/>
          <w:szCs w:val="19"/>
          <w:color w:val="auto"/>
        </w:rPr>
        <w:t>exchange of shares, liquidation or dissolution of the Company or other similar transaction affecting the Company Common Stock in such manner as it determines in its sole discretion.</w:t>
      </w:r>
    </w:p>
    <w:p>
      <w:pPr>
        <w:spacing w:after="0" w:line="134" w:lineRule="exact"/>
        <w:rPr>
          <w:sz w:val="20"/>
          <w:szCs w:val="20"/>
          <w:color w:val="auto"/>
        </w:rPr>
      </w:pPr>
    </w:p>
    <w:p>
      <w:pPr>
        <w:ind w:right="20" w:firstLine="626"/>
        <w:spacing w:after="0" w:line="215" w:lineRule="auto"/>
        <w:tabs>
          <w:tab w:leader="none" w:pos="124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19"/>
          <w:szCs w:val="19"/>
          <w:u w:val="single" w:color="auto"/>
          <w:color w:val="auto"/>
        </w:rPr>
        <w:t>Tax-Related Items</w:t>
      </w:r>
      <w:r>
        <w:rPr>
          <w:rFonts w:ascii="Times New Roman" w:cs="Times New Roman" w:eastAsia="Times New Roman" w:hAnsi="Times New Roman"/>
          <w:sz w:val="19"/>
          <w:szCs w:val="19"/>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Prior to any relevant taxable or tax withholding event, as applicable, the Participant agrees to make arrangements satisfactory to the</w:t>
      </w:r>
    </w:p>
    <w:p>
      <w:pPr>
        <w:spacing w:after="0" w:line="3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auto"/>
        </w:rPr>
        <w:t>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withholding from the Participant’s wages or other cash compensation payable to the Participant by the Company and/or the Employer,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withholding from proceeds of the sale of Shares under the Plan, either through a voluntary sale or through a mandatory sale arranged by the Company (on the Participant’s behalf pursuant to this authorization without further consent) to cover the Tax-Related Items required to be withheld, and (</w:t>
      </w:r>
      <w:r>
        <w:rPr>
          <w:rFonts w:ascii="Times New Roman" w:cs="Times New Roman" w:eastAsia="Times New Roman" w:hAnsi="Times New Roman"/>
          <w:sz w:val="19"/>
          <w:szCs w:val="19"/>
          <w:u w:val="single" w:color="auto"/>
          <w:color w:val="auto"/>
        </w:rPr>
        <w:t>c</w:t>
      </w:r>
      <w:r>
        <w:rPr>
          <w:rFonts w:ascii="Times New Roman" w:cs="Times New Roman" w:eastAsia="Times New Roman" w:hAnsi="Times New Roman"/>
          <w:sz w:val="19"/>
          <w:szCs w:val="19"/>
          <w:color w:val="auto"/>
        </w:rPr>
        <w:t>) withholding in Shares to be issued upon vesting of the Restricted Stock Units.</w:t>
      </w:r>
    </w:p>
    <w:p>
      <w:pPr>
        <w:spacing w:after="0" w:line="171" w:lineRule="exact"/>
        <w:rPr>
          <w:sz w:val="20"/>
          <w:szCs w:val="20"/>
          <w:color w:val="auto"/>
        </w:rPr>
      </w:pPr>
    </w:p>
    <w:p>
      <w:pPr>
        <w:ind w:right="40" w:firstLine="622"/>
        <w:spacing w:after="0" w:line="319" w:lineRule="auto"/>
        <w:rPr>
          <w:sz w:val="20"/>
          <w:szCs w:val="20"/>
          <w:color w:val="auto"/>
        </w:rPr>
      </w:pPr>
      <w:r>
        <w:rPr>
          <w:rFonts w:ascii="Times New Roman" w:cs="Times New Roman" w:eastAsia="Times New Roman" w:hAnsi="Times New Roman"/>
          <w:sz w:val="18"/>
          <w:szCs w:val="18"/>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24" w:lineRule="exact"/>
        <w:rPr>
          <w:sz w:val="20"/>
          <w:szCs w:val="20"/>
          <w:color w:val="auto"/>
        </w:rPr>
      </w:pPr>
    </w:p>
    <w:p>
      <w:pPr>
        <w:ind w:right="360" w:firstLine="622"/>
        <w:spacing w:after="0" w:line="266" w:lineRule="auto"/>
        <w:rPr>
          <w:sz w:val="20"/>
          <w:szCs w:val="20"/>
          <w:color w:val="auto"/>
        </w:rPr>
      </w:pPr>
      <w:r>
        <w:rPr>
          <w:rFonts w:ascii="Times New Roman" w:cs="Times New Roman" w:eastAsia="Times New Roman" w:hAnsi="Times New Roman"/>
          <w:sz w:val="19"/>
          <w:szCs w:val="19"/>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42" w:lineRule="exact"/>
        <w:rPr>
          <w:sz w:val="20"/>
          <w:szCs w:val="20"/>
          <w:color w:val="auto"/>
        </w:rPr>
      </w:pPr>
    </w:p>
    <w:p>
      <w:pPr>
        <w:ind w:left="1240" w:hanging="614"/>
        <w:spacing w:after="0"/>
        <w:tabs>
          <w:tab w:leader="none" w:pos="1240"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Nature of Grant</w:t>
      </w:r>
      <w:r>
        <w:rPr>
          <w:rFonts w:ascii="Times New Roman" w:cs="Times New Roman" w:eastAsia="Times New Roman" w:hAnsi="Times New Roman"/>
          <w:sz w:val="19"/>
          <w:szCs w:val="19"/>
          <w:color w:val="auto"/>
        </w:rPr>
        <w:t>. By accepting the Restricted Stock Units, the Participant acknowledges, understands and agrees that:</w:t>
      </w:r>
    </w:p>
    <w:p>
      <w:pPr>
        <w:spacing w:after="0" w:line="183" w:lineRule="exact"/>
        <w:rPr>
          <w:sz w:val="20"/>
          <w:szCs w:val="20"/>
          <w:color w:val="auto"/>
        </w:rPr>
      </w:pPr>
    </w:p>
    <w:p>
      <w:pPr>
        <w:ind w:right="200" w:firstLine="626"/>
        <w:spacing w:after="0" w:line="247" w:lineRule="auto"/>
        <w:tabs>
          <w:tab w:leader="none" w:pos="123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established voluntarily by the Company, it is discretionary in nature and it may be modified, terminated, suspended or amended by the Company at any time, to the extent permitted by the Plan;</w:t>
      </w:r>
    </w:p>
    <w:p>
      <w:pPr>
        <w:spacing w:after="0" w:line="133" w:lineRule="exact"/>
        <w:rPr>
          <w:rFonts w:ascii="Times New Roman" w:cs="Times New Roman" w:eastAsia="Times New Roman" w:hAnsi="Times New Roman"/>
          <w:sz w:val="19"/>
          <w:szCs w:val="19"/>
          <w:color w:val="auto"/>
        </w:rPr>
      </w:pPr>
    </w:p>
    <w:p>
      <w:pPr>
        <w:ind w:right="20" w:firstLine="626"/>
        <w:spacing w:after="0" w:line="233" w:lineRule="auto"/>
        <w:tabs>
          <w:tab w:leader="none" w:pos="1233"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Plan is operated and the Restricted Stock Units are granted solely by the Company and only the Company is a party to this Agreement; accordingly, any rights the Participant may have under this Agreement may be raised only against the Company but not any Subsidiary (including, but not limited to, the Employer);</w:t>
      </w:r>
    </w:p>
    <w:p>
      <w:pPr>
        <w:spacing w:after="0" w:line="141" w:lineRule="exact"/>
        <w:rPr>
          <w:rFonts w:ascii="Times New Roman" w:cs="Times New Roman" w:eastAsia="Times New Roman" w:hAnsi="Times New Roman"/>
          <w:sz w:val="19"/>
          <w:szCs w:val="19"/>
          <w:color w:val="auto"/>
        </w:rPr>
      </w:pPr>
    </w:p>
    <w:p>
      <w:pPr>
        <w:ind w:right="140" w:firstLine="626"/>
        <w:spacing w:after="0" w:line="247" w:lineRule="auto"/>
        <w:tabs>
          <w:tab w:leader="none" w:pos="1235"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Subsidiary (including, but not limited to, the Employer) has any obligation to make any payment of any kind to the Participant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264"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80" w:firstLine="626"/>
        <w:spacing w:after="0" w:line="247" w:lineRule="auto"/>
        <w:tabs>
          <w:tab w:leader="none" w:pos="123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Restricted Stock Units is exceptional, voluntary and occasional, and does not create any contractual or other right to receive future Restricted Stock Units or benefits in lieu of Restricted Stock Units, even if Restricted Stock Units have been granted in the past;</w:t>
      </w:r>
    </w:p>
    <w:p>
      <w:pPr>
        <w:spacing w:after="0" w:line="133" w:lineRule="exact"/>
        <w:rPr>
          <w:rFonts w:ascii="Times New Roman" w:cs="Times New Roman" w:eastAsia="Times New Roman" w:hAnsi="Times New Roman"/>
          <w:sz w:val="19"/>
          <w:szCs w:val="19"/>
          <w:color w:val="auto"/>
        </w:rPr>
      </w:pPr>
    </w:p>
    <w:p>
      <w:pPr>
        <w:ind w:left="1240" w:hanging="614"/>
        <w:spacing w:after="0"/>
        <w:tabs>
          <w:tab w:leader="none" w:pos="12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decisions with respect to future Restricted Stock Units or other grants, if any, will be at the sole discretion of the Administrator;</w:t>
      </w:r>
    </w:p>
    <w:p>
      <w:pPr>
        <w:spacing w:after="0" w:line="183" w:lineRule="exact"/>
        <w:rPr>
          <w:rFonts w:ascii="Times New Roman" w:cs="Times New Roman" w:eastAsia="Times New Roman" w:hAnsi="Times New Roman"/>
          <w:sz w:val="19"/>
          <w:szCs w:val="19"/>
          <w:color w:val="auto"/>
        </w:rPr>
      </w:pPr>
    </w:p>
    <w:p>
      <w:pPr>
        <w:jc w:val="both"/>
        <w:ind w:right="220" w:firstLine="626"/>
        <w:spacing w:after="0" w:line="225" w:lineRule="auto"/>
        <w:tabs>
          <w:tab w:leader="none" w:pos="12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grant of the Restricted Stock Units and the Participant’s participation in the Plan shall not create a right to employment or service or be interpreted as forming an employment or service contract with the Company, the Employer or any other Subsidiary and shall not interfere with the ability of the Company, the Employer or any other Subsidiary to terminate the Participant’s employment or service relationship (if any);</w:t>
      </w:r>
    </w:p>
    <w:p>
      <w:pPr>
        <w:spacing w:after="0" w:line="153" w:lineRule="exact"/>
        <w:rPr>
          <w:rFonts w:ascii="Times New Roman" w:cs="Times New Roman" w:eastAsia="Times New Roman" w:hAnsi="Times New Roman"/>
          <w:sz w:val="19"/>
          <w:szCs w:val="19"/>
          <w:color w:val="auto"/>
        </w:rPr>
      </w:pPr>
    </w:p>
    <w:p>
      <w:pPr>
        <w:ind w:left="1240" w:hanging="614"/>
        <w:spacing w:after="0"/>
        <w:tabs>
          <w:tab w:leader="none" w:pos="1240"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Participant is voluntarily participating in the Plan;</w:t>
      </w:r>
    </w:p>
    <w:p>
      <w:pPr>
        <w:spacing w:after="0" w:line="170" w:lineRule="exact"/>
        <w:rPr>
          <w:rFonts w:ascii="Times New Roman" w:cs="Times New Roman" w:eastAsia="Times New Roman" w:hAnsi="Times New Roman"/>
          <w:sz w:val="19"/>
          <w:szCs w:val="19"/>
          <w:color w:val="auto"/>
        </w:rPr>
      </w:pPr>
    </w:p>
    <w:p>
      <w:pPr>
        <w:ind w:right="120" w:firstLine="626"/>
        <w:spacing w:after="0" w:line="247" w:lineRule="auto"/>
        <w:tabs>
          <w:tab w:leader="none" w:pos="123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Restricted Stock Units and any Shares acquired pursuant to such Restricted Stock Units, and the income from and value of the same, are not intended to replace any pension rights or compensation;</w:t>
      </w:r>
    </w:p>
    <w:p>
      <w:pPr>
        <w:spacing w:after="0" w:line="146" w:lineRule="exact"/>
        <w:rPr>
          <w:rFonts w:ascii="Times New Roman" w:cs="Times New Roman" w:eastAsia="Times New Roman" w:hAnsi="Times New Roman"/>
          <w:sz w:val="19"/>
          <w:szCs w:val="19"/>
          <w:color w:val="auto"/>
        </w:rPr>
      </w:pPr>
    </w:p>
    <w:p>
      <w:pPr>
        <w:ind w:right="120" w:firstLine="626"/>
        <w:spacing w:after="0" w:line="225" w:lineRule="auto"/>
        <w:tabs>
          <w:tab w:leader="none" w:pos="124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or service and the Participant’s employment or service agreement, if any;</w:t>
      </w:r>
    </w:p>
    <w:p>
      <w:pPr>
        <w:spacing w:after="0" w:line="140" w:lineRule="exact"/>
        <w:rPr>
          <w:rFonts w:ascii="Times New Roman" w:cs="Times New Roman" w:eastAsia="Times New Roman" w:hAnsi="Times New Roman"/>
          <w:sz w:val="19"/>
          <w:szCs w:val="19"/>
          <w:color w:val="auto"/>
        </w:rPr>
      </w:pPr>
    </w:p>
    <w:p>
      <w:pPr>
        <w:ind w:right="120" w:firstLine="626"/>
        <w:spacing w:after="0" w:line="225" w:lineRule="auto"/>
        <w:tabs>
          <w:tab w:leader="none" w:pos="124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53" w:lineRule="exact"/>
        <w:rPr>
          <w:rFonts w:ascii="Times New Roman" w:cs="Times New Roman" w:eastAsia="Times New Roman" w:hAnsi="Times New Roman"/>
          <w:sz w:val="19"/>
          <w:szCs w:val="19"/>
          <w:color w:val="auto"/>
        </w:rPr>
      </w:pPr>
    </w:p>
    <w:p>
      <w:pPr>
        <w:ind w:right="460" w:firstLine="626"/>
        <w:spacing w:after="0" w:line="236" w:lineRule="auto"/>
        <w:tabs>
          <w:tab w:leader="none" w:pos="1233"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future value of the Shares underlying the Restricted Stock Units is unknown, indeterminable and cannot be predicted with certainty and the value of such Shares may increase or decrease in the future;</w:t>
      </w:r>
    </w:p>
    <w:p>
      <w:pPr>
        <w:spacing w:after="0" w:line="153" w:lineRule="exact"/>
        <w:rPr>
          <w:rFonts w:ascii="Times New Roman" w:cs="Times New Roman" w:eastAsia="Times New Roman" w:hAnsi="Times New Roman"/>
          <w:sz w:val="19"/>
          <w:szCs w:val="19"/>
          <w:color w:val="auto"/>
        </w:rPr>
      </w:pPr>
    </w:p>
    <w:p>
      <w:pPr>
        <w:ind w:right="100" w:firstLine="626"/>
        <w:spacing w:after="0" w:line="218" w:lineRule="auto"/>
        <w:tabs>
          <w:tab w:leader="none" w:pos="1242"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Times New Roman" w:cs="Times New Roman" w:eastAsia="Times New Roman" w:hAnsi="Times New Roman"/>
          <w:sz w:val="19"/>
          <w:szCs w:val="19"/>
          <w:u w:val="single" w:color="auto"/>
          <w:color w:val="auto"/>
        </w:rPr>
        <w:t>1</w:t>
      </w:r>
      <w:r>
        <w:rPr>
          <w:rFonts w:ascii="Times New Roman" w:cs="Times New Roman" w:eastAsia="Times New Roman" w:hAnsi="Times New Roman"/>
          <w:sz w:val="19"/>
          <w:szCs w:val="19"/>
          <w:color w:val="auto"/>
        </w:rPr>
        <w:t xml:space="preserve">) termination of the Participant’s employment or service (regardless of the reason for the termination and whether or not the termination is later found to be invalid or in breach of employment laws in the jurisdiction where the Participant is employed or the terms of the Participant’s employment or service agreement, if any) and/or (2) application of any Applicable Law or regulations, or any recoupment policy or any recovery </w:t>
      </w:r>
      <w:r>
        <w:rPr>
          <w:rFonts w:ascii="Times New Roman" w:cs="Times New Roman" w:eastAsia="Times New Roman" w:hAnsi="Times New Roman"/>
          <w:sz w:val="19"/>
          <w:szCs w:val="19"/>
          <w:color w:val="auto"/>
          <w:highlight w:val="white"/>
        </w:rPr>
        <w:t>or clawback policy maintained by the Company or otherwise required by Applicable Law</w:t>
      </w:r>
      <w:r>
        <w:rPr>
          <w:rFonts w:ascii="Times New Roman" w:cs="Times New Roman" w:eastAsia="Times New Roman" w:hAnsi="Times New Roman"/>
          <w:sz w:val="19"/>
          <w:szCs w:val="19"/>
          <w:color w:val="auto"/>
        </w:rPr>
        <w:t>; and</w:t>
      </w:r>
    </w:p>
    <w:p>
      <w:pPr>
        <w:spacing w:after="0" w:line="157" w:lineRule="exact"/>
        <w:rPr>
          <w:rFonts w:ascii="Times New Roman" w:cs="Times New Roman" w:eastAsia="Times New Roman" w:hAnsi="Times New Roman"/>
          <w:sz w:val="19"/>
          <w:szCs w:val="19"/>
          <w:color w:val="auto"/>
        </w:rPr>
      </w:pPr>
    </w:p>
    <w:p>
      <w:pPr>
        <w:jc w:val="both"/>
        <w:ind w:right="100" w:firstLine="626"/>
        <w:spacing w:after="0" w:line="228" w:lineRule="auto"/>
        <w:tabs>
          <w:tab w:leader="none" w:pos="1234"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55" w:lineRule="exact"/>
        <w:rPr>
          <w:sz w:val="20"/>
          <w:szCs w:val="20"/>
          <w:color w:val="auto"/>
        </w:rPr>
      </w:pPr>
    </w:p>
    <w:p>
      <w:pPr>
        <w:ind w:firstLine="626"/>
        <w:spacing w:after="0" w:line="218" w:lineRule="auto"/>
        <w:tabs>
          <w:tab w:leader="none" w:pos="1229"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Employee Data Privacy</w:t>
      </w:r>
      <w:r>
        <w:rPr>
          <w:rFonts w:ascii="Times New Roman" w:cs="Times New Roman" w:eastAsia="Times New Roman" w:hAnsi="Times New Roman"/>
          <w:sz w:val="19"/>
          <w:szCs w:val="19"/>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Times New Roman" w:cs="Times New Roman" w:eastAsia="Times New Roman" w:hAnsi="Times New Roman"/>
          <w:sz w:val="19"/>
          <w:szCs w:val="19"/>
          <w:u w:val="single" w:color="auto"/>
          <w:color w:val="auto"/>
        </w:rPr>
        <w:t>Privacy Notice</w:t>
      </w:r>
      <w:r>
        <w:rPr>
          <w:rFonts w:ascii="Times New Roman" w:cs="Times New Roman" w:eastAsia="Times New Roman" w:hAnsi="Times New Roman"/>
          <w:sz w:val="19"/>
          <w:szCs w:val="19"/>
          <w:color w:val="auto"/>
        </w:rPr>
        <w:t xml:space="preserve">”) that the Participant received in the course of his or her relationship with Company. The Participant understands that he or she may review the </w:t>
      </w:r>
      <w:r>
        <w:rPr>
          <w:rFonts w:ascii="Times New Roman" w:cs="Times New Roman" w:eastAsia="Times New Roman" w:hAnsi="Times New Roman"/>
          <w:sz w:val="19"/>
          <w:szCs w:val="19"/>
          <w:u w:val="single" w:color="auto"/>
          <w:color w:val="0000FF"/>
        </w:rPr>
        <w:t>Privacy Notice</w:t>
      </w:r>
      <w:r>
        <w:rPr>
          <w:rFonts w:ascii="Times New Roman" w:cs="Times New Roman" w:eastAsia="Times New Roman" w:hAnsi="Times New Roman"/>
          <w:sz w:val="19"/>
          <w:szCs w:val="19"/>
          <w:color w:val="auto"/>
        </w:rPr>
        <w:t xml:space="preserve"> or contact his or her local human resources representative to request a copy of the Privacy Notice. Please contact </w:t>
      </w:r>
      <w:r>
        <w:rPr>
          <w:rFonts w:ascii="Times New Roman" w:cs="Times New Roman" w:eastAsia="Times New Roman" w:hAnsi="Times New Roman"/>
          <w:sz w:val="19"/>
          <w:szCs w:val="19"/>
          <w:u w:val="single" w:color="auto"/>
          <w:color w:val="0000FF"/>
        </w:rPr>
        <w:t>ethics@bah.com</w:t>
      </w:r>
      <w:r>
        <w:rPr>
          <w:rFonts w:ascii="Times New Roman" w:cs="Times New Roman" w:eastAsia="Times New Roman" w:hAnsi="Times New Roman"/>
          <w:sz w:val="19"/>
          <w:szCs w:val="19"/>
          <w:color w:val="auto"/>
        </w:rPr>
        <w:t xml:space="preserve"> if the Participant has any questions or concerns about how the Company or its Subsidiaries and Affiliates process personally identifiable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26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40" w:hanging="614"/>
        <w:spacing w:after="0"/>
        <w:tabs>
          <w:tab w:leader="none" w:pos="1240" w:val="left"/>
        </w:tabs>
        <w:numPr>
          <w:ilvl w:val="0"/>
          <w:numId w:val="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right="160" w:firstLine="626"/>
        <w:spacing w:after="0" w:line="225" w:lineRule="auto"/>
        <w:tabs>
          <w:tab w:leader="none" w:pos="123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Binding Effect; Benefits</w:t>
      </w:r>
      <w:r>
        <w:rPr>
          <w:rFonts w:ascii="Times New Roman" w:cs="Times New Roman" w:eastAsia="Times New Roman" w:hAnsi="Times New Roman"/>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40" w:lineRule="exact"/>
        <w:rPr>
          <w:rFonts w:ascii="Times New Roman" w:cs="Times New Roman" w:eastAsia="Times New Roman" w:hAnsi="Times New Roman"/>
          <w:sz w:val="19"/>
          <w:szCs w:val="19"/>
          <w:color w:val="auto"/>
        </w:rPr>
      </w:pPr>
    </w:p>
    <w:p>
      <w:pPr>
        <w:ind w:firstLine="626"/>
        <w:spacing w:after="0" w:line="250" w:lineRule="auto"/>
        <w:tabs>
          <w:tab w:leader="none" w:pos="12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31" w:lineRule="exact"/>
        <w:rPr>
          <w:rFonts w:ascii="Times New Roman" w:cs="Times New Roman" w:eastAsia="Times New Roman" w:hAnsi="Times New Roman"/>
          <w:sz w:val="18"/>
          <w:szCs w:val="18"/>
          <w:color w:val="auto"/>
        </w:rPr>
      </w:pPr>
    </w:p>
    <w:p>
      <w:pPr>
        <w:ind w:right="40" w:firstLine="626"/>
        <w:spacing w:after="0" w:line="215" w:lineRule="auto"/>
        <w:tabs>
          <w:tab w:leader="none" w:pos="123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Interpretation</w:t>
      </w:r>
      <w:r>
        <w:rPr>
          <w:rFonts w:ascii="Times New Roman" w:cs="Times New Roman" w:eastAsia="Times New Roman" w:hAnsi="Times New Roman"/>
          <w:sz w:val="19"/>
          <w:szCs w:val="19"/>
          <w:color w:val="auto"/>
        </w:rPr>
        <w:t>. For purposes of this Agreement, if the Participant is not employed by the Company, “</w:t>
      </w:r>
      <w:r>
        <w:rPr>
          <w:rFonts w:ascii="Times New Roman" w:cs="Times New Roman" w:eastAsia="Times New Roman" w:hAnsi="Times New Roman"/>
          <w:sz w:val="19"/>
          <w:szCs w:val="19"/>
          <w:u w:val="single" w:color="auto"/>
          <w:color w:val="auto"/>
        </w:rPr>
        <w:t>Employer</w:t>
      </w:r>
      <w:r>
        <w:rPr>
          <w:rFonts w:ascii="Times New Roman" w:cs="Times New Roman" w:eastAsia="Times New Roman" w:hAnsi="Times New Roman"/>
          <w:sz w:val="19"/>
          <w:szCs w:val="19"/>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56" w:lineRule="exact"/>
        <w:rPr>
          <w:rFonts w:ascii="Times New Roman" w:cs="Times New Roman" w:eastAsia="Times New Roman" w:hAnsi="Times New Roman"/>
          <w:sz w:val="19"/>
          <w:szCs w:val="19"/>
          <w:color w:val="auto"/>
        </w:rPr>
      </w:pPr>
    </w:p>
    <w:p>
      <w:pPr>
        <w:ind w:right="280" w:firstLine="626"/>
        <w:spacing w:after="0" w:line="219" w:lineRule="auto"/>
        <w:tabs>
          <w:tab w:leader="none" w:pos="123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Country-Specific Provisions</w:t>
      </w:r>
      <w:r>
        <w:rPr>
          <w:rFonts w:ascii="Times New Roman" w:cs="Times New Roman" w:eastAsia="Times New Roman" w:hAnsi="Times New Roman"/>
          <w:sz w:val="19"/>
          <w:szCs w:val="19"/>
          <w:color w:val="auto"/>
        </w:rPr>
        <w:t xml:space="preserve">. The Participant’s participation in the Plan shall be subject to any additional or different terms and conditions set forth in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9"/>
          <w:szCs w:val="19"/>
          <w:color w:val="auto"/>
        </w:rPr>
        <w:t xml:space="preserve"> attached hereto applicable to the Participant’s country. Moreover, if the Participant relocates to one of the countries included in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9"/>
          <w:szCs w:val="19"/>
          <w:color w:val="auto"/>
        </w:rPr>
        <w:t xml:space="preserve">, the additional or different terms and conditions applicable to such country will apply to the 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9"/>
          <w:szCs w:val="19"/>
          <w:color w:val="auto"/>
        </w:rPr>
        <w:t xml:space="preserve"> constitutes a part of this Agreement.</w:t>
      </w:r>
    </w:p>
    <w:p>
      <w:pPr>
        <w:spacing w:after="0" w:line="157" w:lineRule="exact"/>
        <w:rPr>
          <w:rFonts w:ascii="Times New Roman" w:cs="Times New Roman" w:eastAsia="Times New Roman" w:hAnsi="Times New Roman"/>
          <w:sz w:val="19"/>
          <w:szCs w:val="19"/>
          <w:color w:val="auto"/>
        </w:rPr>
      </w:pPr>
    </w:p>
    <w:p>
      <w:pPr>
        <w:ind w:right="20" w:firstLine="626"/>
        <w:spacing w:after="0" w:line="225" w:lineRule="auto"/>
        <w:tabs>
          <w:tab w:leader="none" w:pos="1235"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Requirements</w:t>
      </w:r>
      <w:r>
        <w:rPr>
          <w:rFonts w:ascii="Times New Roman" w:cs="Times New Roman" w:eastAsia="Times New Roman" w:hAnsi="Times New Roman"/>
          <w:sz w:val="19"/>
          <w:szCs w:val="19"/>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53" w:lineRule="exact"/>
        <w:rPr>
          <w:rFonts w:ascii="Times New Roman" w:cs="Times New Roman" w:eastAsia="Times New Roman" w:hAnsi="Times New Roman"/>
          <w:sz w:val="19"/>
          <w:szCs w:val="19"/>
          <w:color w:val="auto"/>
        </w:rPr>
      </w:pPr>
    </w:p>
    <w:p>
      <w:pPr>
        <w:ind w:right="180" w:firstLine="626"/>
        <w:spacing w:after="0" w:line="228" w:lineRule="auto"/>
        <w:tabs>
          <w:tab w:leader="none" w:pos="1240"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Applicable Law</w:t>
      </w:r>
      <w:r>
        <w:rPr>
          <w:rFonts w:ascii="Times New Roman" w:cs="Times New Roman" w:eastAsia="Times New Roman" w:hAnsi="Times New Roman"/>
          <w:sz w:val="19"/>
          <w:szCs w:val="19"/>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55" w:lineRule="exact"/>
        <w:rPr>
          <w:rFonts w:ascii="Times New Roman" w:cs="Times New Roman" w:eastAsia="Times New Roman" w:hAnsi="Times New Roman"/>
          <w:sz w:val="19"/>
          <w:szCs w:val="19"/>
          <w:color w:val="auto"/>
        </w:rPr>
      </w:pPr>
    </w:p>
    <w:p>
      <w:pPr>
        <w:ind w:right="100" w:firstLine="626"/>
        <w:spacing w:after="0" w:line="215" w:lineRule="auto"/>
        <w:tabs>
          <w:tab w:leader="none" w:pos="1233"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Forum Selection</w:t>
      </w:r>
      <w:r>
        <w:rPr>
          <w:rFonts w:ascii="Times New Roman" w:cs="Times New Roman" w:eastAsia="Times New Roman" w:hAnsi="Times New Roman"/>
          <w:sz w:val="19"/>
          <w:szCs w:val="19"/>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26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80"/>
        <w:spacing w:after="0" w:line="247" w:lineRule="auto"/>
        <w:rPr>
          <w:sz w:val="20"/>
          <w:szCs w:val="20"/>
          <w:color w:val="auto"/>
        </w:rPr>
      </w:pPr>
      <w:r>
        <w:rPr>
          <w:rFonts w:ascii="Times New Roman" w:cs="Times New Roman" w:eastAsia="Times New Roman" w:hAnsi="Times New Roman"/>
          <w:sz w:val="19"/>
          <w:szCs w:val="19"/>
          <w:color w:val="auto"/>
        </w:rPr>
        <w:t>in any such action for breach or enforcement of this Agreement, no party will seek to challenge the validity or enforceability of any part of this Agreement.</w:t>
      </w:r>
    </w:p>
    <w:p>
      <w:pPr>
        <w:spacing w:after="0" w:line="134" w:lineRule="exact"/>
        <w:rPr>
          <w:sz w:val="20"/>
          <w:szCs w:val="20"/>
          <w:color w:val="auto"/>
        </w:rPr>
      </w:pPr>
    </w:p>
    <w:p>
      <w:pPr>
        <w:ind w:right="40" w:firstLine="626"/>
        <w:spacing w:after="0" w:line="247" w:lineRule="auto"/>
        <w:tabs>
          <w:tab w:leader="none" w:pos="12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This Agreement may not be amended, modified or supplemented orally, but only by a written instrument executed by the Participant and the Company.</w:t>
      </w:r>
    </w:p>
    <w:p>
      <w:pPr>
        <w:spacing w:after="0" w:line="146" w:lineRule="exact"/>
        <w:rPr>
          <w:rFonts w:ascii="Times New Roman" w:cs="Times New Roman" w:eastAsia="Times New Roman" w:hAnsi="Times New Roman"/>
          <w:sz w:val="19"/>
          <w:szCs w:val="19"/>
          <w:color w:val="auto"/>
        </w:rPr>
      </w:pPr>
    </w:p>
    <w:p>
      <w:pPr>
        <w:ind w:right="60" w:firstLine="626"/>
        <w:spacing w:after="0" w:line="228" w:lineRule="auto"/>
        <w:tabs>
          <w:tab w:leader="none" w:pos="124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Assignability</w:t>
      </w:r>
      <w:r>
        <w:rPr>
          <w:rFonts w:ascii="Times New Roman" w:cs="Times New Roman" w:eastAsia="Times New Roman" w:hAnsi="Times New Roman"/>
          <w:sz w:val="19"/>
          <w:szCs w:val="19"/>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the Company may assign all or any portion of its rights or obligations under this Agreement to one or more Persons or other entities designated by it.</w:t>
      </w:r>
    </w:p>
    <w:p>
      <w:pPr>
        <w:spacing w:after="0" w:line="155" w:lineRule="exact"/>
        <w:rPr>
          <w:rFonts w:ascii="Times New Roman" w:cs="Times New Roman" w:eastAsia="Times New Roman" w:hAnsi="Times New Roman"/>
          <w:sz w:val="19"/>
          <w:szCs w:val="19"/>
          <w:color w:val="auto"/>
        </w:rPr>
      </w:pPr>
    </w:p>
    <w:p>
      <w:pPr>
        <w:jc w:val="both"/>
        <w:ind w:right="120" w:firstLine="626"/>
        <w:spacing w:after="0" w:line="259" w:lineRule="auto"/>
        <w:tabs>
          <w:tab w:leader="none" w:pos="12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Blue Pencil</w:t>
      </w:r>
      <w:r>
        <w:rPr>
          <w:rFonts w:ascii="Times New Roman" w:cs="Times New Roman" w:eastAsia="Times New Roman" w:hAnsi="Times New Roman"/>
          <w:sz w:val="18"/>
          <w:szCs w:val="18"/>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36" w:lineRule="exact"/>
        <w:rPr>
          <w:rFonts w:ascii="Times New Roman" w:cs="Times New Roman" w:eastAsia="Times New Roman" w:hAnsi="Times New Roman"/>
          <w:sz w:val="18"/>
          <w:szCs w:val="18"/>
          <w:color w:val="auto"/>
        </w:rPr>
      </w:pPr>
    </w:p>
    <w:p>
      <w:pPr>
        <w:ind w:right="20" w:firstLine="626"/>
        <w:spacing w:after="0" w:line="222" w:lineRule="auto"/>
        <w:tabs>
          <w:tab w:leader="none" w:pos="12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Consent to Electronic Delivery</w:t>
      </w:r>
      <w:r>
        <w:rPr>
          <w:rFonts w:ascii="Times New Roman" w:cs="Times New Roman" w:eastAsia="Times New Roman" w:hAnsi="Times New Roman"/>
          <w:sz w:val="19"/>
          <w:szCs w:val="19"/>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43" w:lineRule="exact"/>
        <w:rPr>
          <w:rFonts w:ascii="Times New Roman" w:cs="Times New Roman" w:eastAsia="Times New Roman" w:hAnsi="Times New Roman"/>
          <w:sz w:val="19"/>
          <w:szCs w:val="19"/>
          <w:color w:val="auto"/>
        </w:rPr>
      </w:pPr>
    </w:p>
    <w:p>
      <w:pPr>
        <w:ind w:right="80" w:firstLine="626"/>
        <w:spacing w:after="0" w:line="218" w:lineRule="auto"/>
        <w:tabs>
          <w:tab w:leader="none" w:pos="1242"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Section 409A of the Code</w:t>
      </w:r>
      <w:r>
        <w:rPr>
          <w:rFonts w:ascii="Times New Roman" w:cs="Times New Roman" w:eastAsia="Times New Roman" w:hAnsi="Times New Roman"/>
          <w:sz w:val="19"/>
          <w:szCs w:val="19"/>
          <w:color w:val="auto"/>
        </w:rPr>
        <w:t>. This Agreement is intended to be administered in a manner consistent with the requirements, where applicable, of Section 409A of the Code and the regulations promulgated thereunder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53" w:lineRule="exact"/>
        <w:rPr>
          <w:rFonts w:ascii="Times New Roman" w:cs="Times New Roman" w:eastAsia="Times New Roman" w:hAnsi="Times New Roman"/>
          <w:sz w:val="19"/>
          <w:szCs w:val="19"/>
          <w:color w:val="auto"/>
        </w:rPr>
      </w:pPr>
    </w:p>
    <w:p>
      <w:pPr>
        <w:ind w:right="120" w:firstLine="626"/>
        <w:spacing w:after="0" w:line="224" w:lineRule="auto"/>
        <w:tabs>
          <w:tab w:leader="none" w:pos="12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Specified Employee Delay</w:t>
      </w:r>
      <w:r>
        <w:rPr>
          <w:rFonts w:ascii="Times New Roman" w:cs="Times New Roman" w:eastAsia="Times New Roman" w:hAnsi="Times New Roman"/>
          <w:sz w:val="18"/>
          <w:szCs w:val="18"/>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w:t>
      </w:r>
    </w:p>
    <w:p>
      <w:pPr>
        <w:spacing w:after="0" w:line="1" w:lineRule="exact"/>
        <w:rPr>
          <w:rFonts w:ascii="Times New Roman" w:cs="Times New Roman" w:eastAsia="Times New Roman" w:hAnsi="Times New Roman"/>
          <w:sz w:val="18"/>
          <w:szCs w:val="18"/>
          <w:color w:val="auto"/>
        </w:rPr>
      </w:pPr>
    </w:p>
    <w:p>
      <w:pPr>
        <w:ind w:right="20"/>
        <w:spacing w:after="0" w:line="21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w:t>
      </w:r>
      <w:r>
        <w:rPr>
          <w:rFonts w:ascii="Times New Roman" w:cs="Times New Roman" w:eastAsia="Times New Roman" w:hAnsi="Times New Roman"/>
          <w:sz w:val="19"/>
          <w:szCs w:val="19"/>
          <w:color w:val="auto"/>
        </w:rPr>
        <w:t>) the six (6)-month anniversary of the Participant’s termination of service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52" w:lineRule="exact"/>
        <w:rPr>
          <w:rFonts w:ascii="Times New Roman" w:cs="Times New Roman" w:eastAsia="Times New Roman" w:hAnsi="Times New Roman"/>
          <w:sz w:val="18"/>
          <w:szCs w:val="18"/>
          <w:color w:val="auto"/>
        </w:rPr>
      </w:pPr>
    </w:p>
    <w:p>
      <w:pPr>
        <w:ind w:right="160" w:firstLine="626"/>
        <w:spacing w:after="0" w:line="236" w:lineRule="auto"/>
        <w:tabs>
          <w:tab w:leader="none" w:pos="12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Headings and Captions</w:t>
      </w:r>
      <w:r>
        <w:rPr>
          <w:rFonts w:ascii="Times New Roman" w:cs="Times New Roman" w:eastAsia="Times New Roman" w:hAnsi="Times New Roman"/>
          <w:sz w:val="19"/>
          <w:szCs w:val="19"/>
          <w:color w:val="auto"/>
        </w:rPr>
        <w:t>. The section and other headings contained in this Agreement are for reference purposes only and shall not affect the meaning or interpretation of this Agreement.</w:t>
      </w:r>
    </w:p>
    <w:p>
      <w:pPr>
        <w:spacing w:after="0" w:line="153" w:lineRule="exact"/>
        <w:rPr>
          <w:rFonts w:ascii="Times New Roman" w:cs="Times New Roman" w:eastAsia="Times New Roman" w:hAnsi="Times New Roman"/>
          <w:sz w:val="19"/>
          <w:szCs w:val="19"/>
          <w:color w:val="auto"/>
        </w:rPr>
      </w:pPr>
    </w:p>
    <w:p>
      <w:pPr>
        <w:ind w:right="160" w:firstLine="626"/>
        <w:spacing w:after="0" w:line="225" w:lineRule="auto"/>
        <w:tabs>
          <w:tab w:leader="none" w:pos="1233"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under this Agreement shall be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delivered by hand, (</w:t>
      </w:r>
      <w:r>
        <w:rPr>
          <w:rFonts w:ascii="Times New Roman" w:cs="Times New Roman" w:eastAsia="Times New Roman" w:hAnsi="Times New Roman"/>
          <w:sz w:val="19"/>
          <w:szCs w:val="19"/>
          <w:u w:val="single" w:color="auto"/>
          <w:color w:val="auto"/>
        </w:rPr>
        <w:t>ii</w:t>
      </w:r>
      <w:r>
        <w:rPr>
          <w:rFonts w:ascii="Times New Roman" w:cs="Times New Roman" w:eastAsia="Times New Roman" w:hAnsi="Times New Roman"/>
          <w:sz w:val="19"/>
          <w:szCs w:val="19"/>
          <w:color w:val="auto"/>
        </w:rPr>
        <w:t>) sent by commercial overnight courier service, (</w:t>
      </w: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 sent by registered or certified mail, return receipt requested, and first-class postage prepaid, (</w:t>
      </w:r>
      <w:r>
        <w:rPr>
          <w:rFonts w:ascii="Times New Roman" w:cs="Times New Roman" w:eastAsia="Times New Roman" w:hAnsi="Times New Roman"/>
          <w:sz w:val="19"/>
          <w:szCs w:val="19"/>
          <w:u w:val="single" w:color="auto"/>
          <w:color w:val="auto"/>
        </w:rPr>
        <w:t>iv</w:t>
      </w:r>
      <w:r>
        <w:rPr>
          <w:rFonts w:ascii="Times New Roman" w:cs="Times New Roman" w:eastAsia="Times New Roman" w:hAnsi="Times New Roman"/>
          <w:sz w:val="19"/>
          <w:szCs w:val="19"/>
          <w:color w:val="auto"/>
        </w:rPr>
        <w:t>) sent by e-mail or any other form of electronic transfer or delivery approved by the Administrator, or (</w:t>
      </w:r>
      <w:r>
        <w:rPr>
          <w:rFonts w:ascii="Times New Roman" w:cs="Times New Roman" w:eastAsia="Times New Roman" w:hAnsi="Times New Roman"/>
          <w:sz w:val="19"/>
          <w:szCs w:val="19"/>
          <w:u w:val="single" w:color="auto"/>
          <w:color w:val="auto"/>
        </w:rPr>
        <w:t>v</w:t>
      </w:r>
      <w:r>
        <w:rPr>
          <w:rFonts w:ascii="Times New Roman" w:cs="Times New Roman" w:eastAsia="Times New Roman" w:hAnsi="Times New Roman"/>
          <w:sz w:val="19"/>
          <w:szCs w:val="19"/>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26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20" w:firstLine="626"/>
        <w:spacing w:after="0" w:line="247" w:lineRule="auto"/>
        <w:tabs>
          <w:tab w:leader="none" w:pos="1233"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Counterparts</w:t>
      </w:r>
      <w:r>
        <w:rPr>
          <w:rFonts w:ascii="Times New Roman" w:cs="Times New Roman" w:eastAsia="Times New Roman" w:hAnsi="Times New Roman"/>
          <w:sz w:val="19"/>
          <w:szCs w:val="19"/>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26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Horacio D. Rozanski, certify that:</w:t>
      </w:r>
    </w:p>
    <w:p>
      <w:pPr>
        <w:spacing w:after="0" w:line="168" w:lineRule="exact"/>
        <w:rPr>
          <w:sz w:val="20"/>
          <w:szCs w:val="20"/>
          <w:color w:val="auto"/>
        </w:rPr>
      </w:pPr>
    </w:p>
    <w:p>
      <w:pPr>
        <w:ind w:left="180" w:hanging="176"/>
        <w:spacing w:after="0"/>
        <w:tabs>
          <w:tab w:leader="none" w:pos="1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6960" w:val="left"/>
          <w:tab w:leader="none" w:pos="7420" w:val="left"/>
        </w:tabs>
        <w:rPr>
          <w:sz w:val="20"/>
          <w:szCs w:val="20"/>
          <w:color w:val="auto"/>
        </w:rPr>
      </w:pPr>
      <w:r>
        <w:rPr>
          <w:rFonts w:ascii="Times New Roman" w:cs="Times New Roman" w:eastAsia="Times New Roman" w:hAnsi="Times New Roman"/>
          <w:sz w:val="17"/>
          <w:szCs w:val="17"/>
          <w:color w:val="auto"/>
        </w:rPr>
        <w:t>Date: July 25, 2025</w:t>
      </w:r>
      <w:r>
        <w:rPr>
          <w:sz w:val="20"/>
          <w:szCs w:val="20"/>
          <w:color w:val="auto"/>
        </w:rPr>
        <w:tab/>
      </w:r>
      <w:r>
        <w:rPr>
          <w:rFonts w:ascii="Times New Roman" w:cs="Times New Roman" w:eastAsia="Times New Roman" w:hAnsi="Times New Roman"/>
          <w:sz w:val="17"/>
          <w:szCs w:val="17"/>
          <w:color w:val="auto"/>
        </w:rPr>
        <w:t>By:</w:t>
        <w:tab/>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19050</wp:posOffset>
            </wp:positionV>
            <wp:extent cx="2412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412365" cy="8255"/>
                    </a:xfrm>
                    <a:prstGeom prst="rect">
                      <a:avLst/>
                    </a:prstGeom>
                    <a:noFill/>
                  </pic:spPr>
                </pic:pic>
              </a:graphicData>
            </a:graphic>
          </wp:anchor>
        </w:drawing>
      </w:r>
    </w:p>
    <w:p>
      <w:pPr>
        <w:spacing w:after="0" w:line="1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Horacio D. Rozanski</w:t>
      </w:r>
    </w:p>
    <w:p>
      <w:pPr>
        <w:ind w:left="744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58"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 PURSUANT TO RULE 13A-14(A) OF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 AS AMENDED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Matthew A. Calderone, certify that:</w:t>
      </w:r>
    </w:p>
    <w:p>
      <w:pPr>
        <w:spacing w:after="0" w:line="168" w:lineRule="exact"/>
        <w:rPr>
          <w:sz w:val="20"/>
          <w:szCs w:val="20"/>
          <w:color w:val="auto"/>
        </w:rPr>
      </w:pPr>
    </w:p>
    <w:p>
      <w:pPr>
        <w:ind w:left="180" w:hanging="176"/>
        <w:spacing w:after="0"/>
        <w:tabs>
          <w:tab w:leader="none" w:pos="1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Booz Allen Hamilton Holding Corporation.</w:t>
      </w:r>
    </w:p>
    <w:p>
      <w:pPr>
        <w:spacing w:after="0" w:line="167" w:lineRule="exact"/>
        <w:rPr>
          <w:rFonts w:ascii="Times New Roman" w:cs="Times New Roman" w:eastAsia="Times New Roman" w:hAnsi="Times New Roman"/>
          <w:sz w:val="17"/>
          <w:szCs w:val="17"/>
          <w:color w:val="auto"/>
        </w:rPr>
      </w:pPr>
    </w:p>
    <w:p>
      <w:pPr>
        <w:ind w:right="240" w:firstLine="4"/>
        <w:spacing w:after="0" w:line="292" w:lineRule="auto"/>
        <w:tabs>
          <w:tab w:leader="none" w:pos="17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Times New Roman" w:cs="Times New Roman" w:eastAsia="Times New Roman" w:hAnsi="Times New Roman"/>
          <w:sz w:val="17"/>
          <w:szCs w:val="17"/>
          <w:color w:val="auto"/>
        </w:rPr>
      </w:pPr>
    </w:p>
    <w:p>
      <w:pPr>
        <w:ind w:right="320" w:firstLine="4"/>
        <w:spacing w:after="0" w:line="292" w:lineRule="auto"/>
        <w:tabs>
          <w:tab w:leader="none" w:pos="17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right="180" w:firstLine="4"/>
        <w:spacing w:after="0" w:line="273" w:lineRule="auto"/>
        <w:tabs>
          <w:tab w:leader="none" w:pos="17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1" w:lineRule="exact"/>
        <w:rPr>
          <w:sz w:val="20"/>
          <w:szCs w:val="20"/>
          <w:color w:val="auto"/>
        </w:rPr>
      </w:pPr>
    </w:p>
    <w:p>
      <w:pPr>
        <w:ind w:right="140" w:firstLine="4"/>
        <w:spacing w:after="0" w:line="273" w:lineRule="auto"/>
        <w:tabs>
          <w:tab w:leader="none" w:pos="2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7"/>
          <w:szCs w:val="17"/>
          <w:color w:val="auto"/>
        </w:rPr>
      </w:pPr>
    </w:p>
    <w:p>
      <w:pPr>
        <w:ind w:right="200" w:firstLine="4"/>
        <w:spacing w:after="0" w:line="273" w:lineRule="auto"/>
        <w:tabs>
          <w:tab w:leader="none" w:pos="24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7"/>
          <w:szCs w:val="17"/>
          <w:color w:val="auto"/>
        </w:rPr>
      </w:pPr>
    </w:p>
    <w:p>
      <w:pPr>
        <w:ind w:right="320" w:firstLine="4"/>
        <w:spacing w:after="0" w:line="292" w:lineRule="auto"/>
        <w:tabs>
          <w:tab w:leader="none" w:pos="2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w:t>
      </w:r>
    </w:p>
    <w:p>
      <w:pPr>
        <w:spacing w:after="0" w:line="30" w:lineRule="exact"/>
        <w:rPr>
          <w:rFonts w:ascii="Times New Roman" w:cs="Times New Roman" w:eastAsia="Times New Roman" w:hAnsi="Times New Roman"/>
          <w:sz w:val="17"/>
          <w:szCs w:val="17"/>
          <w:color w:val="auto"/>
        </w:rPr>
      </w:pPr>
    </w:p>
    <w:p>
      <w:pPr>
        <w:ind w:right="20"/>
        <w:spacing w:after="0" w:line="26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fourth fiscal quarter in the case of an annual report) that has materially affected, or is reasonably likely to materially affect, the registrant's internal control over financial reporting.</w:t>
      </w:r>
    </w:p>
    <w:p>
      <w:pPr>
        <w:spacing w:after="0" w:line="114" w:lineRule="exact"/>
        <w:rPr>
          <w:sz w:val="20"/>
          <w:szCs w:val="20"/>
          <w:color w:val="auto"/>
        </w:rPr>
      </w:pPr>
    </w:p>
    <w:p>
      <w:pPr>
        <w:ind w:right="120" w:firstLine="4"/>
        <w:spacing w:after="0" w:line="292" w:lineRule="auto"/>
        <w:tabs>
          <w:tab w:leader="none" w:pos="17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5" w:lineRule="exact"/>
        <w:rPr>
          <w:sz w:val="20"/>
          <w:szCs w:val="20"/>
          <w:color w:val="auto"/>
        </w:rPr>
      </w:pPr>
    </w:p>
    <w:p>
      <w:pPr>
        <w:ind w:right="480" w:firstLine="4"/>
        <w:spacing w:after="0" w:line="292" w:lineRule="auto"/>
        <w:tabs>
          <w:tab w:leader="none" w:pos="23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7"/>
          <w:szCs w:val="17"/>
          <w:color w:val="auto"/>
        </w:rPr>
      </w:pPr>
    </w:p>
    <w:p>
      <w:pPr>
        <w:ind w:right="80" w:firstLine="4"/>
        <w:spacing w:after="0" w:line="292" w:lineRule="auto"/>
        <w:tabs>
          <w:tab w:leader="none" w:pos="24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50" w:lineRule="exact"/>
        <w:rPr>
          <w:sz w:val="20"/>
          <w:szCs w:val="20"/>
          <w:color w:val="auto"/>
        </w:rPr>
      </w:pPr>
    </w:p>
    <w:p>
      <w:pPr>
        <w:ind w:left="2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July 25, 2025</w:t>
      </w:r>
      <w:r>
        <w:rPr>
          <w:sz w:val="20"/>
          <w:szCs w:val="20"/>
          <w:color w:val="auto"/>
        </w:rPr>
        <w:tab/>
      </w:r>
      <w:r>
        <w:rPr>
          <w:rFonts w:ascii="Times New Roman" w:cs="Times New Roman" w:eastAsia="Times New Roman" w:hAnsi="Times New Roman"/>
          <w:sz w:val="17"/>
          <w:szCs w:val="17"/>
          <w:color w:val="auto"/>
        </w:rPr>
        <w:t>By:</w:t>
        <w:tab/>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19050</wp:posOffset>
            </wp:positionV>
            <wp:extent cx="32683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326834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Matthew A. Calderone</w:t>
      </w:r>
    </w:p>
    <w:p>
      <w:pPr>
        <w:ind w:left="60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Officer)</w:t>
      </w:r>
    </w:p>
    <w:p>
      <w:pPr>
        <w:sectPr>
          <w:pgSz w:w="11900" w:h="16838" w:orient="portrait"/>
          <w:cols w:equalWidth="0" w:num="1">
            <w:col w:w="11240"/>
          </w:cols>
          <w:pgMar w:left="320" w:top="85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June 30, 2025,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6400" w:val="left"/>
        </w:tabs>
        <w:rPr>
          <w:sz w:val="20"/>
          <w:szCs w:val="20"/>
          <w:color w:val="auto"/>
        </w:rPr>
      </w:pPr>
      <w:r>
        <w:rPr>
          <w:rFonts w:ascii="Times New Roman" w:cs="Times New Roman" w:eastAsia="Times New Roman" w:hAnsi="Times New Roman"/>
          <w:sz w:val="17"/>
          <w:szCs w:val="17"/>
          <w:color w:val="auto"/>
        </w:rPr>
        <w:t>Date: July 25, 2025</w:t>
      </w:r>
      <w:r>
        <w:rPr>
          <w:sz w:val="20"/>
          <w:szCs w:val="20"/>
          <w:color w:val="auto"/>
        </w:rPr>
        <w:tab/>
      </w:r>
      <w:r>
        <w:rPr>
          <w:rFonts w:ascii="Times New Roman" w:cs="Times New Roman" w:eastAsia="Times New Roman" w:hAnsi="Times New Roman"/>
          <w:sz w:val="17"/>
          <w:szCs w:val="17"/>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4242435</wp:posOffset>
            </wp:positionH>
            <wp:positionV relativeFrom="paragraph">
              <wp:posOffset>19050</wp:posOffset>
            </wp:positionV>
            <wp:extent cx="28816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Horacio D. Rozanski</w:t>
      </w:r>
    </w:p>
    <w:p>
      <w:pPr>
        <w:ind w:left="6700"/>
        <w:spacing w:after="0" w:line="222"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9"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7"/>
          <w:szCs w:val="17"/>
          <w:color w:val="auto"/>
        </w:rPr>
        <w:t>In connection with the report on Form 10-Q of Booz Allen Hamilton Holding Corporation (the “Company”) for the fiscal quarter ended June 30, 2025,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111" w:lineRule="exact"/>
        <w:rPr>
          <w:sz w:val="20"/>
          <w:szCs w:val="20"/>
          <w:color w:val="auto"/>
        </w:rPr>
      </w:pPr>
    </w:p>
    <w:p>
      <w:pPr>
        <w:ind w:left="240" w:hanging="236"/>
        <w:spacing w:after="0"/>
        <w:tabs>
          <w:tab w:leader="none" w:pos="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w:t>
      </w:r>
    </w:p>
    <w:p>
      <w:pPr>
        <w:spacing w:after="0" w:line="167"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23" w:lineRule="exact"/>
        <w:rPr>
          <w:sz w:val="20"/>
          <w:szCs w:val="20"/>
          <w:color w:val="auto"/>
        </w:rPr>
      </w:pPr>
    </w:p>
    <w:p>
      <w:pPr>
        <w:ind w:left="20"/>
        <w:spacing w:after="0"/>
        <w:tabs>
          <w:tab w:leader="none" w:pos="5580" w:val="left"/>
        </w:tabs>
        <w:rPr>
          <w:sz w:val="20"/>
          <w:szCs w:val="20"/>
          <w:color w:val="auto"/>
        </w:rPr>
      </w:pPr>
      <w:r>
        <w:rPr>
          <w:rFonts w:ascii="Times New Roman" w:cs="Times New Roman" w:eastAsia="Times New Roman" w:hAnsi="Times New Roman"/>
          <w:sz w:val="17"/>
          <w:szCs w:val="17"/>
          <w:color w:val="auto"/>
        </w:rPr>
        <w:t>Date: July 25, 2025</w:t>
      </w:r>
      <w:r>
        <w:rPr>
          <w:sz w:val="20"/>
          <w:szCs w:val="20"/>
          <w:color w:val="auto"/>
        </w:rPr>
        <w:tab/>
      </w:r>
      <w:r>
        <w:rPr>
          <w:rFonts w:ascii="Times New Roman" w:cs="Times New Roman" w:eastAsia="Times New Roman" w:hAnsi="Times New Roman"/>
          <w:sz w:val="17"/>
          <w:szCs w:val="17"/>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3723640</wp:posOffset>
            </wp:positionH>
            <wp:positionV relativeFrom="paragraph">
              <wp:posOffset>19050</wp:posOffset>
            </wp:positionV>
            <wp:extent cx="33921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spacing w:after="0" w:line="1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Matthew A. Calderone</w:t>
      </w:r>
    </w:p>
    <w:p>
      <w:pPr>
        <w:ind w:left="5880"/>
        <w:spacing w:after="0" w:line="222"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 Financial</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7"/>
          <w:szCs w:val="17"/>
          <w:color w:val="auto"/>
        </w:rPr>
        <w:t>Officer)</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lvl w:ilvl="1">
      <w:lvlJc w:val="left"/>
      <w:lvlText w:val="(%2)"/>
      <w:numFmt w:val="decimal"/>
      <w:start w:val="1"/>
    </w:lvl>
  </w:abstractNum>
  <w:abstractNum w:abstractNumId="5">
    <w:nsid w:val="71F32454"/>
    <w:multiLevelType w:val="hybridMultilevel"/>
    <w:lvl w:ilvl="0">
      <w:lvlJc w:val="left"/>
      <w:lvlText w:val="%1."/>
      <w:numFmt w:val="decimal"/>
      <w:start w:val="11"/>
    </w:lvl>
    <w:lvl w:ilvl="1">
      <w:lvlJc w:val="left"/>
      <w:lvlText w:val="%2"/>
      <w:numFmt w:val="decimal"/>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1)"/>
      <w:numFmt w:val="lowerRoman"/>
      <w:start w:val="2"/>
    </w:lvl>
    <w:lvl w:ilvl="1">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1)"/>
      <w:numFmt w:val="decimal"/>
      <w:start w:val="1"/>
    </w:lvl>
  </w:abstractNum>
  <w:abstractNum w:abstractNumId="13">
    <w:nsid w:val="737B8DDC"/>
    <w:multiLevelType w:val="hybridMultilevel"/>
    <w:lvl w:ilvl="0">
      <w:lvlJc w:val="left"/>
      <w:lvlText w:val="%1"/>
      <w:numFmt w:val="decimal"/>
      <w:start w:val="22"/>
    </w:lvl>
  </w:abstractNum>
  <w:abstractNum w:abstractNumId="14">
    <w:nsid w:val="6CEAF087"/>
    <w:multiLevelType w:val="hybridMultilevel"/>
    <w:lvl w:ilvl="0">
      <w:lvlJc w:val="left"/>
      <w:lvlText w:val="%1"/>
      <w:numFmt w:val="decimal"/>
      <w:start w:val="10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lowerLetter"/>
      <w:start w:val="1"/>
    </w:lvl>
    <w:lvl w:ilvl="1">
      <w:lvlJc w:val="left"/>
      <w:lvlText w:val="(%2)"/>
      <w:numFmt w:val="lowerRoman"/>
      <w:start w:val="1"/>
    </w:lvl>
  </w:abstractNum>
  <w:abstractNum w:abstractNumId="17">
    <w:nsid w:val="3006C83E"/>
    <w:multiLevelType w:val="hybridMultilevel"/>
    <w:lvl w:ilvl="0">
      <w:lvlJc w:val="left"/>
      <w:lvlText w:val="%1"/>
      <w:numFmt w:val="lowerLetter"/>
      <w:start w:val="1"/>
    </w:lvl>
    <w:lvl w:ilvl="1">
      <w:lvlJc w:val="left"/>
      <w:lvlText w:val="(%2)"/>
      <w:numFmt w:val="lowerRoman"/>
      <w:start w:val="4"/>
    </w:lvl>
  </w:abstractNum>
  <w:abstractNum w:abstractNumId="18">
    <w:nsid w:val="614FD4A1"/>
    <w:multiLevelType w:val="hybridMultilevel"/>
    <w:lvl w:ilvl="0">
      <w:lvlJc w:val="left"/>
      <w:lvlText w:val="(%1)"/>
      <w:numFmt w:val="lowerLetter"/>
      <w:start w:val="3"/>
    </w:lvl>
    <w:lvl w:ilvl="1">
      <w:lvlJc w:val="left"/>
      <w:lvlText w:val="%2"/>
      <w:numFmt w:val="lowerRoman"/>
      <w:start w:val="1"/>
    </w:lvl>
  </w:abstractNum>
  <w:abstractNum w:abstractNumId="19">
    <w:nsid w:val="419AC241"/>
    <w:multiLevelType w:val="hybridMultilevel"/>
    <w:lvl w:ilvl="0">
      <w:lvlJc w:val="left"/>
      <w:lvlText w:val="(%1)"/>
      <w:numFmt w:val="lowerLetter"/>
      <w:start w:val="6"/>
    </w:lvl>
  </w:abstractNum>
  <w:abstractNum w:abstractNumId="20">
    <w:nsid w:val="5577F8E1"/>
    <w:multiLevelType w:val="hybridMultilevel"/>
    <w:lvl w:ilvl="0">
      <w:lvlJc w:val="left"/>
      <w:lvlText w:val="%1."/>
      <w:numFmt w:val="decimal"/>
      <w:start w:val="4"/>
    </w:lvl>
  </w:abstractNum>
  <w:abstractNum w:abstractNumId="21">
    <w:nsid w:val="440BADFC"/>
    <w:multiLevelType w:val="hybridMultilevel"/>
    <w:lvl w:ilvl="0">
      <w:lvlJc w:val="left"/>
      <w:lvlText w:val="%1"/>
      <w:numFmt w:val="lowerLetter"/>
      <w:start w:val="1"/>
    </w:lvl>
    <w:lvl w:ilvl="1">
      <w:lvlJc w:val="left"/>
      <w:lvlText w:val="(%2)"/>
      <w:numFmt w:val="lowerLetter"/>
      <w:start w:val="1"/>
    </w:lvl>
  </w:abstractNum>
  <w:abstractNum w:abstractNumId="22">
    <w:nsid w:val="5072367"/>
    <w:multiLevelType w:val="hybridMultilevel"/>
    <w:lvl w:ilvl="0">
      <w:lvlJc w:val="left"/>
      <w:lvlText w:val="(%1)"/>
      <w:numFmt w:val="lowerLetter"/>
      <w:start w:val="9"/>
    </w:lvl>
    <w:lvl w:ilvl="1">
      <w:lvlJc w:val="left"/>
      <w:lvlText w:val="(%2)"/>
      <w:numFmt w:val="lowerLetter"/>
      <w:start w:val="2"/>
    </w:lvl>
  </w:abstractNum>
  <w:abstractNum w:abstractNumId="23">
    <w:nsid w:val="3804823E"/>
    <w:multiLevelType w:val="hybridMultilevel"/>
    <w:lvl w:ilvl="0">
      <w:lvlJc w:val="left"/>
      <w:lvlText w:val="(%1)"/>
      <w:numFmt w:val="lowerLetter"/>
      <w:start w:val="3"/>
    </w:lvl>
    <w:lvl w:ilvl="1">
      <w:lvlJc w:val="left"/>
      <w:lvlText w:val="%2"/>
      <w:numFmt w:val="lowerLetter"/>
      <w:start w:val="1"/>
    </w:lvl>
  </w:abstractNum>
  <w:abstractNum w:abstractNumId="24">
    <w:nsid w:val="77465F01"/>
    <w:multiLevelType w:val="hybridMultilevel"/>
    <w:lvl w:ilvl="0">
      <w:lvlJc w:val="left"/>
      <w:lvlText w:val="%1."/>
      <w:numFmt w:val="decimal"/>
      <w:start w:val="5"/>
    </w:lvl>
  </w:abstractNum>
  <w:abstractNum w:abstractNumId="25">
    <w:nsid w:val="7724C67E"/>
    <w:multiLevelType w:val="hybridMultilevel"/>
    <w:lvl w:ilvl="0">
      <w:lvlJc w:val="left"/>
      <w:lvlText w:val="%1."/>
      <w:numFmt w:val="decimal"/>
      <w:start w:val="6"/>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decimal"/>
      <w:start w:val="7"/>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8"/>
    </w:lvl>
  </w:abstractNum>
  <w:abstractNum w:abstractNumId="30">
    <w:nsid w:val="2D517796"/>
    <w:multiLevelType w:val="hybridMultilevel"/>
    <w:lvl w:ilvl="0">
      <w:lvlJc w:val="left"/>
      <w:lvlText w:val="%1."/>
      <w:numFmt w:val="decimal"/>
      <w:start w:val="9"/>
    </w:lvl>
  </w:abstractNum>
  <w:abstractNum w:abstractNumId="31">
    <w:nsid w:val="580BD78F"/>
    <w:multiLevelType w:val="hybridMultilevel"/>
    <w:lvl w:ilvl="0">
      <w:lvlJc w:val="left"/>
      <w:lvlText w:val="%1."/>
      <w:numFmt w:val="decimal"/>
      <w:start w:val="10"/>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4"/>
    </w:lvl>
  </w:abstractNum>
  <w:abstractNum w:abstractNumId="34">
    <w:nsid w:val="70A64E2A"/>
    <w:multiLevelType w:val="hybridMultilevel"/>
    <w:lvl w:ilvl="0">
      <w:lvlJc w:val="left"/>
      <w:lvlText w:val="%1."/>
      <w:numFmt w:val="decimal"/>
      <w:start w:val="11"/>
    </w:lvl>
  </w:abstractNum>
  <w:abstractNum w:abstractNumId="35">
    <w:nsid w:val="6A2342EC"/>
    <w:multiLevelType w:val="hybridMultilevel"/>
    <w:lvl w:ilvl="0">
      <w:lvlJc w:val="left"/>
      <w:lvlText w:val="%1."/>
      <w:numFmt w:val="decimal"/>
      <w:start w:val="12"/>
    </w:lvl>
  </w:abstractNum>
  <w:abstractNum w:abstractNumId="36">
    <w:nsid w:val="2A487CB0"/>
    <w:multiLevelType w:val="hybridMultilevel"/>
    <w:lvl w:ilvl="0">
      <w:lvlJc w:val="left"/>
      <w:lvlText w:val="(%1)"/>
      <w:numFmt w:val="lowerLetter"/>
      <w:start w:val="1"/>
    </w:lvl>
  </w:abstractNum>
  <w:abstractNum w:abstractNumId="37">
    <w:nsid w:val="1D4ED43B"/>
    <w:multiLevelType w:val="hybridMultilevel"/>
    <w:lvl w:ilvl="0">
      <w:lvlJc w:val="left"/>
      <w:lvlText w:val="(%1)"/>
      <w:numFmt w:val="lowerLetter"/>
      <w:start w:val="8"/>
    </w:lvl>
  </w:abstractNum>
  <w:abstractNum w:abstractNumId="38">
    <w:nsid w:val="725A06FB"/>
    <w:multiLevelType w:val="hybridMultilevel"/>
    <w:lvl w:ilvl="0">
      <w:lvlJc w:val="left"/>
      <w:lvlText w:val="(%1)"/>
      <w:numFmt w:val="lowerLetter"/>
      <w:start w:val="16"/>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lowerLetter"/>
      <w:start w:val="1"/>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5"/>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62" Type="http://schemas.openxmlformats.org/officeDocument/2006/relationships/hyperlink" Target="https://www.sec.gov/Archives/edgar/data/1443646/000144364625000076/bah-ex22xq4fy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2025-07-25T05:55:19Z</dcterms:created>
  <dcterms:modified xsi:type="dcterms:W3CDTF">2025-07-25T05:55:19Z</dcterms:modified>
</cp:coreProperties>
</file>