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-220345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380"/>
          </w:cols>
          <w:pgMar w:left="240" w:top="916" w:right="279" w:bottom="1440" w:gutter="0" w:footer="0" w:header="0"/>
        </w:sectPr>
      </w:pPr>
    </w:p>
    <w:p>
      <w:pPr>
        <w:spacing w:after="0" w:line="200" w:lineRule="exact"/>
        <w:rPr>
          <w:sz w:val="24"/>
          <w:szCs w:val="24"/>
          <w:color w:val="auto"/>
        </w:rPr>
      </w:pPr>
    </w:p>
    <w:p>
      <w:pPr>
        <w:spacing w:after="0" w:line="328"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4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w:t>
      </w:r>
    </w:p>
    <w:p>
      <w:pPr>
        <w:spacing w:after="0" w:line="18" w:lineRule="exact"/>
        <w:rPr>
          <w:sz w:val="24"/>
          <w:szCs w:val="24"/>
          <w:color w:val="auto"/>
        </w:rPr>
      </w:pPr>
    </w:p>
    <w:p>
      <w:pPr>
        <w:sectPr>
          <w:pgSz w:w="11900" w:h="16838" w:orient="portrait"/>
          <w:cols w:equalWidth="0" w:num="2">
            <w:col w:w="200" w:space="640"/>
            <w:col w:w="10540"/>
          </w:cols>
          <w:pgMar w:left="240" w:top="916" w:right="279" w:bottom="1440" w:gutter="0" w:footer="0" w:header="0"/>
          <w:type w:val="continuous"/>
        </w:sect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OF 1934</w:t>
      </w:r>
    </w:p>
    <w:p>
      <w:pPr>
        <w:spacing w:after="0" w:line="214"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3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9" w:lineRule="exact"/>
        <w:rPr>
          <w:sz w:val="24"/>
          <w:szCs w:val="24"/>
          <w:color w:val="auto"/>
        </w:rPr>
      </w:pPr>
    </w:p>
    <w:p>
      <w:pPr>
        <w:ind w:left="1820"/>
        <w:spacing w:after="0"/>
        <w:tabs>
          <w:tab w:leader="none" w:pos="90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26-2634160</w:t>
      </w:r>
    </w:p>
    <w:p>
      <w:pPr>
        <w:spacing w:after="0" w:line="61" w:lineRule="exact"/>
        <w:rPr>
          <w:sz w:val="24"/>
          <w:szCs w:val="24"/>
          <w:color w:val="auto"/>
        </w:rPr>
      </w:pPr>
    </w:p>
    <w:p>
      <w:pPr>
        <w:ind w:left="128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ind w:left="1240"/>
        <w:spacing w:after="0"/>
        <w:tabs>
          <w:tab w:leader="none" w:pos="89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148" w:lineRule="exact"/>
        <w:rPr>
          <w:sz w:val="24"/>
          <w:szCs w:val="24"/>
          <w:color w:val="auto"/>
        </w:rPr>
      </w:pPr>
    </w:p>
    <w:p>
      <w:pPr>
        <w:ind w:left="300"/>
        <w:spacing w:after="0"/>
        <w:tabs>
          <w:tab w:leader="none" w:pos="2560" w:val="left"/>
          <w:tab w:leader="none" w:pos="3560" w:val="left"/>
          <w:tab w:leader="none" w:pos="9300" w:val="left"/>
        </w:tabs>
        <w:rPr>
          <w:sz w:val="20"/>
          <w:szCs w:val="20"/>
          <w:color w:val="auto"/>
        </w:rPr>
      </w:pPr>
      <w:r>
        <w:rPr>
          <w:rFonts w:ascii="Times New Roman" w:cs="Times New Roman" w:eastAsia="Times New Roman" w:hAnsi="Times New Roman"/>
          <w:sz w:val="18"/>
          <w:szCs w:val="18"/>
          <w:b w:val="1"/>
          <w:bCs w:val="1"/>
          <w:color w:val="auto"/>
        </w:rPr>
        <w:t>8283 Greensboro Drive,</w:t>
      </w:r>
      <w:r>
        <w:rPr>
          <w:sz w:val="20"/>
          <w:szCs w:val="20"/>
          <w:color w:val="auto"/>
        </w:rPr>
        <w:tab/>
      </w:r>
      <w:r>
        <w:rPr>
          <w:rFonts w:ascii="Times New Roman" w:cs="Times New Roman" w:eastAsia="Times New Roman" w:hAnsi="Times New Roman"/>
          <w:sz w:val="18"/>
          <w:szCs w:val="18"/>
          <w:b w:val="1"/>
          <w:bCs w:val="1"/>
          <w:color w:val="auto"/>
        </w:rPr>
        <w:t>McLean,</w:t>
      </w:r>
      <w:r>
        <w:rPr>
          <w:sz w:val="20"/>
          <w:szCs w:val="20"/>
          <w:color w:val="auto"/>
        </w:rPr>
        <w:tab/>
      </w:r>
      <w:r>
        <w:rPr>
          <w:rFonts w:ascii="Times New Roman" w:cs="Times New Roman" w:eastAsia="Times New Roman" w:hAnsi="Times New Roman"/>
          <w:sz w:val="18"/>
          <w:szCs w:val="18"/>
          <w:b w:val="1"/>
          <w:bCs w:val="1"/>
          <w:color w:val="auto"/>
        </w:rPr>
        <w:t>Virginia</w:t>
      </w:r>
      <w:r>
        <w:rPr>
          <w:sz w:val="20"/>
          <w:szCs w:val="20"/>
          <w:color w:val="auto"/>
        </w:rPr>
        <w:tab/>
      </w:r>
      <w:r>
        <w:rPr>
          <w:rFonts w:ascii="Times New Roman" w:cs="Times New Roman" w:eastAsia="Times New Roman" w:hAnsi="Times New Roman"/>
          <w:sz w:val="17"/>
          <w:szCs w:val="17"/>
          <w:b w:val="1"/>
          <w:bCs w:val="1"/>
          <w:color w:val="auto"/>
        </w:rPr>
        <w:t>22102</w:t>
      </w:r>
    </w:p>
    <w:p>
      <w:pPr>
        <w:spacing w:after="0" w:line="61" w:lineRule="exact"/>
        <w:rPr>
          <w:sz w:val="24"/>
          <w:szCs w:val="24"/>
          <w:color w:val="auto"/>
        </w:rPr>
      </w:pPr>
    </w:p>
    <w:p>
      <w:pPr>
        <w:ind w:left="1000"/>
        <w:spacing w:after="0"/>
        <w:tabs>
          <w:tab w:leader="none" w:pos="91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(703) 902-5000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8" w:lineRule="exact"/>
        <w:rPr>
          <w:sz w:val="24"/>
          <w:szCs w:val="24"/>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100" w:type="dxa"/>
            <w:vAlign w:val="bottom"/>
          </w:tcPr>
          <w:p>
            <w:pPr>
              <w:spacing w:after="0"/>
              <w:rPr>
                <w:sz w:val="13"/>
                <w:szCs w:val="13"/>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81"/>
        </w:trPr>
        <w:tc>
          <w:tcPr>
            <w:tcW w:w="32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10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BAH</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00"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1" w:lineRule="exact"/>
        <w:rPr>
          <w:sz w:val="24"/>
          <w:szCs w:val="24"/>
          <w:color w:val="auto"/>
        </w:rPr>
      </w:pPr>
    </w:p>
    <w:p>
      <w:pPr>
        <w:ind w:right="5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79" w:lineRule="exact"/>
        <w:rPr>
          <w:sz w:val="24"/>
          <w:szCs w:val="24"/>
          <w:color w:val="auto"/>
        </w:rPr>
      </w:pPr>
    </w:p>
    <w:p>
      <w:pPr>
        <w:ind w:left="360"/>
        <w:spacing w:after="0" w:line="361" w:lineRule="exact"/>
        <w:tabs>
          <w:tab w:leader="none" w:pos="2780" w:val="left"/>
          <w:tab w:leader="none" w:pos="7920" w:val="left"/>
          <w:tab w:leader="none" w:pos="109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36"/>
          <w:szCs w:val="36"/>
          <w:color w:val="auto"/>
          <w:vertAlign w:val="superscript"/>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87" w:lineRule="exact"/>
        <w:rPr>
          <w:sz w:val="24"/>
          <w:szCs w:val="24"/>
          <w:color w:val="auto"/>
        </w:rPr>
      </w:pPr>
    </w:p>
    <w:p>
      <w:pPr>
        <w:ind w:left="40"/>
        <w:spacing w:after="0" w:line="207" w:lineRule="exact"/>
        <w:tabs>
          <w:tab w:leader="none" w:pos="7920" w:val="left"/>
          <w:tab w:leader="none" w:pos="109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4" w:lineRule="exact"/>
        <w:rPr>
          <w:sz w:val="24"/>
          <w:szCs w:val="24"/>
          <w:color w:val="auto"/>
        </w:rPr>
      </w:pPr>
    </w:p>
    <w:p>
      <w:pPr>
        <w:ind w:left="794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0"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916"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8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p>
        </w:tc>
        <w:tc>
          <w:tcPr>
            <w:tcW w:w="2180" w:type="dxa"/>
            <w:vAlign w:val="bottom"/>
          </w:tcPr>
          <w:p>
            <w:pPr>
              <w:jc w:val="right"/>
              <w:ind w:right="1579"/>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0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180" w:type="dxa"/>
            <w:vAlign w:val="bottom"/>
          </w:tcPr>
          <w:p>
            <w:pPr>
              <w:spacing w:after="0"/>
              <w:rPr>
                <w:sz w:val="24"/>
                <w:szCs w:val="24"/>
                <w:color w:val="auto"/>
              </w:rPr>
            </w:pPr>
          </w:p>
        </w:tc>
      </w:tr>
      <w:tr>
        <w:trPr>
          <w:trHeight w:val="286"/>
        </w:trPr>
        <w:tc>
          <w:tcPr>
            <w:tcW w:w="88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195"/>
        </w:trPr>
        <w:tc>
          <w:tcPr>
            <w:tcW w:w="88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October 29, 2019</w:t>
            </w:r>
          </w:p>
        </w:tc>
      </w:tr>
      <w:tr>
        <w:trPr>
          <w:trHeight w:val="248"/>
        </w:trPr>
        <w:tc>
          <w:tcPr>
            <w:tcW w:w="8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A Common Stock</w:t>
            </w:r>
          </w:p>
        </w:tc>
        <w:tc>
          <w:tcPr>
            <w:tcW w:w="2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140,380,260</w:t>
            </w:r>
          </w:p>
        </w:tc>
      </w:tr>
      <w:tr>
        <w:trPr>
          <w:trHeight w:val="27"/>
        </w:trPr>
        <w:tc>
          <w:tcPr>
            <w:tcW w:w="88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ectPr>
          <w:pgSz w:w="11900" w:h="16838" w:orient="portrait"/>
          <w:cols w:equalWidth="0" w:num="1">
            <w:col w:w="11060"/>
          </w:cols>
          <w:pgMar w:left="240" w:top="606"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Financial Information</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4">
              <w:r>
                <w:rPr>
                  <w:rFonts w:ascii="Times New Roman" w:cs="Times New Roman" w:eastAsia="Times New Roman" w:hAnsi="Times New Roman"/>
                  <w:sz w:val="18"/>
                  <w:szCs w:val="18"/>
                  <w:b w:val="1"/>
                  <w:bCs w:val="1"/>
                  <w:color w:val="0000EE"/>
                  <w:w w:val="88"/>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Borders>
              <w:bottom w:val="single" w:sz="8" w:color="0000EE"/>
            </w:tcBorders>
            <w:gridSpan w:val="12"/>
          </w:tcPr>
          <w:p>
            <w:pPr>
              <w:spacing w:after="0"/>
              <w:rPr>
                <w:rFonts w:ascii="Times New Roman" w:cs="Times New Roman" w:eastAsia="Times New Roman" w:hAnsi="Times New Roman"/>
                <w:sz w:val="18"/>
                <w:szCs w:val="18"/>
                <w:b w:val="1"/>
                <w:bCs w:val="1"/>
                <w:color w:val="0000EE"/>
                <w:w w:val="99"/>
              </w:rPr>
            </w:pPr>
            <w:hyperlink w:anchor="page28">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28">
              <w:r>
                <w:rPr>
                  <w:rFonts w:ascii="Times New Roman" w:cs="Times New Roman" w:eastAsia="Times New Roman" w:hAnsi="Times New Roman"/>
                  <w:sz w:val="18"/>
                  <w:szCs w:val="18"/>
                  <w:b w:val="1"/>
                  <w:bCs w:val="1"/>
                  <w:color w:val="0000EE"/>
                  <w:w w:val="88"/>
                </w:rPr>
                <w:t>25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80" w:type="dxa"/>
            <w:vAlign w:val="bottom"/>
            <w:gridSpan w:val="13"/>
          </w:tcPr>
          <w:p>
            <w:pPr>
              <w:spacing w:after="0"/>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47">
              <w:r>
                <w:rPr>
                  <w:rFonts w:ascii="Times New Roman" w:cs="Times New Roman" w:eastAsia="Times New Roman" w:hAnsi="Times New Roman"/>
                  <w:sz w:val="18"/>
                  <w:szCs w:val="18"/>
                  <w:b w:val="1"/>
                  <w:bCs w:val="1"/>
                  <w:color w:val="0000EE"/>
                  <w:w w:val="88"/>
                </w:rPr>
                <w:t>44</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47">
              <w:r>
                <w:rPr>
                  <w:rFonts w:ascii="Times New Roman" w:cs="Times New Roman" w:eastAsia="Times New Roman" w:hAnsi="Times New Roman"/>
                  <w:sz w:val="18"/>
                  <w:szCs w:val="18"/>
                  <w:b w:val="1"/>
                  <w:bCs w:val="1"/>
                  <w:color w:val="0000EE"/>
                  <w:w w:val="9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7">
              <w:r>
                <w:rPr>
                  <w:rFonts w:ascii="Times New Roman" w:cs="Times New Roman" w:eastAsia="Times New Roman" w:hAnsi="Times New Roman"/>
                  <w:sz w:val="18"/>
                  <w:szCs w:val="18"/>
                  <w:b w:val="1"/>
                  <w:bCs w:val="1"/>
                  <w:color w:val="0000EE"/>
                  <w:w w:val="88"/>
                </w:rPr>
                <w:t>44</w:t>
              </w:r>
            </w:hyperlink>
          </w:p>
        </w:tc>
      </w:tr>
      <w:tr>
        <w:trPr>
          <w:trHeight w:val="372"/>
        </w:trPr>
        <w:tc>
          <w:tcPr>
            <w:tcW w:w="11220" w:type="dxa"/>
            <w:vAlign w:val="bottom"/>
            <w:gridSpan w:val="15"/>
          </w:tcPr>
          <w:p>
            <w:pPr>
              <w:ind w:left="40"/>
              <w:spacing w:after="0"/>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PART II. Other Information</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48">
              <w:r>
                <w:rPr>
                  <w:rFonts w:ascii="Times New Roman" w:cs="Times New Roman" w:eastAsia="Times New Roman" w:hAnsi="Times New Roman"/>
                  <w:sz w:val="18"/>
                  <w:szCs w:val="18"/>
                  <w:b w:val="1"/>
                  <w:bCs w:val="1"/>
                  <w:color w:val="0000EE"/>
                  <w:w w:val="88"/>
                </w:rPr>
                <w:t>45</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80" w:type="dxa"/>
            <w:vAlign w:val="bottom"/>
            <w:gridSpan w:val="13"/>
          </w:tcPr>
          <w:p>
            <w:pPr>
              <w:spacing w:after="0"/>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48">
              <w:r>
                <w:rPr>
                  <w:rFonts w:ascii="Times New Roman" w:cs="Times New Roman" w:eastAsia="Times New Roman" w:hAnsi="Times New Roman"/>
                  <w:sz w:val="18"/>
                  <w:szCs w:val="18"/>
                  <w:b w:val="1"/>
                  <w:bCs w:val="1"/>
                  <w:color w:val="0000EE"/>
                  <w:w w:val="88"/>
                </w:rPr>
                <w:t>45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49">
              <w:r>
                <w:rPr>
                  <w:rFonts w:ascii="Times New Roman" w:cs="Times New Roman" w:eastAsia="Times New Roman" w:hAnsi="Times New Roman"/>
                  <w:sz w:val="18"/>
                  <w:szCs w:val="18"/>
                  <w:b w:val="1"/>
                  <w:bCs w:val="1"/>
                  <w:color w:val="0000EE"/>
                  <w:w w:val="9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9">
              <w:r>
                <w:rPr>
                  <w:rFonts w:ascii="Times New Roman" w:cs="Times New Roman" w:eastAsia="Times New Roman" w:hAnsi="Times New Roman"/>
                  <w:sz w:val="18"/>
                  <w:szCs w:val="18"/>
                  <w:b w:val="1"/>
                  <w:bCs w:val="1"/>
                  <w:color w:val="0000EE"/>
                  <w:w w:val="88"/>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49">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50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9">
              <w:r>
                <w:rPr>
                  <w:rFonts w:ascii="Times New Roman" w:cs="Times New Roman" w:eastAsia="Times New Roman" w:hAnsi="Times New Roman"/>
                  <w:sz w:val="18"/>
                  <w:szCs w:val="18"/>
                  <w:b w:val="1"/>
                  <w:bCs w:val="1"/>
                  <w:color w:val="0000EE"/>
                  <w:w w:val="88"/>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80" w:type="dxa"/>
            <w:vAlign w:val="bottom"/>
            <w:gridSpan w:val="13"/>
          </w:tcPr>
          <w:p>
            <w:pPr>
              <w:spacing w:after="0"/>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Defaults Upon Senior Securities</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49">
              <w:r>
                <w:rPr>
                  <w:rFonts w:ascii="Times New Roman" w:cs="Times New Roman" w:eastAsia="Times New Roman" w:hAnsi="Times New Roman"/>
                  <w:sz w:val="18"/>
                  <w:szCs w:val="18"/>
                  <w:b w:val="1"/>
                  <w:bCs w:val="1"/>
                  <w:color w:val="0000EE"/>
                  <w:w w:val="88"/>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49">
              <w:r>
                <w:rPr>
                  <w:rFonts w:ascii="Times New Roman" w:cs="Times New Roman" w:eastAsia="Times New Roman" w:hAnsi="Times New Roman"/>
                  <w:sz w:val="18"/>
                  <w:szCs w:val="18"/>
                  <w:b w:val="1"/>
                  <w:bCs w:val="1"/>
                  <w:color w:val="0000EE"/>
                  <w:w w:val="98"/>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9">
              <w:r>
                <w:rPr>
                  <w:rFonts w:ascii="Times New Roman" w:cs="Times New Roman" w:eastAsia="Times New Roman" w:hAnsi="Times New Roman"/>
                  <w:sz w:val="18"/>
                  <w:szCs w:val="18"/>
                  <w:b w:val="1"/>
                  <w:bCs w:val="1"/>
                  <w:color w:val="0000EE"/>
                  <w:w w:val="88"/>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80" w:type="dxa"/>
            <w:vAlign w:val="bottom"/>
            <w:gridSpan w:val="13"/>
          </w:tcPr>
          <w:p>
            <w:pPr>
              <w:spacing w:after="0"/>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Other Information</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49">
              <w:r>
                <w:rPr>
                  <w:rFonts w:ascii="Times New Roman" w:cs="Times New Roman" w:eastAsia="Times New Roman" w:hAnsi="Times New Roman"/>
                  <w:sz w:val="18"/>
                  <w:szCs w:val="18"/>
                  <w:b w:val="1"/>
                  <w:bCs w:val="1"/>
                  <w:color w:val="0000EE"/>
                  <w:w w:val="88"/>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5"/>
          </w:tcPr>
          <w:p>
            <w:pPr>
              <w:spacing w:after="0"/>
              <w:rPr>
                <w:rFonts w:ascii="Times New Roman" w:cs="Times New Roman" w:eastAsia="Times New Roman" w:hAnsi="Times New Roman"/>
                <w:sz w:val="18"/>
                <w:szCs w:val="18"/>
                <w:b w:val="1"/>
                <w:bCs w:val="1"/>
                <w:color w:val="0000EE"/>
              </w:rPr>
            </w:pPr>
            <w:hyperlink w:anchor="page50">
              <w:r>
                <w:rPr>
                  <w:rFonts w:ascii="Times New Roman" w:cs="Times New Roman" w:eastAsia="Times New Roman" w:hAnsi="Times New Roman"/>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50">
              <w:r>
                <w:rPr>
                  <w:rFonts w:ascii="Times New Roman" w:cs="Times New Roman" w:eastAsia="Times New Roman" w:hAnsi="Times New Roman"/>
                  <w:sz w:val="18"/>
                  <w:szCs w:val="18"/>
                  <w:b w:val="1"/>
                  <w:bCs w:val="1"/>
                  <w:color w:val="0000EE"/>
                  <w:w w:val="88"/>
                </w:rPr>
                <w:t>47</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76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r>
              <w:rPr>
                <w:rFonts w:ascii="Times New Roman" w:cs="Times New Roman" w:eastAsia="Times New Roman" w:hAnsi="Times New Roman"/>
                <w:sz w:val="18"/>
                <w:szCs w:val="18"/>
                <w:b w:val="1"/>
                <w:bCs w:val="1"/>
                <w:i w:val="1"/>
                <w:iCs w:val="1"/>
                <w:color w:val="auto"/>
                <w:w w:val="96"/>
              </w:rPr>
              <w:t>.</w:t>
            </w: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0" w:type="dxa"/>
            <w:vAlign w:val="bottom"/>
          </w:tcPr>
          <w:p>
            <w:pPr>
              <w:spacing w:after="0"/>
              <w:rPr>
                <w:sz w:val="23"/>
                <w:szCs w:val="23"/>
                <w:color w:val="auto"/>
              </w:rPr>
            </w:pPr>
          </w:p>
        </w:tc>
        <w:tc>
          <w:tcPr>
            <w:tcW w:w="7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3"/>
                <w:szCs w:val="23"/>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(Amounts in thousands, except</w:t>
            </w: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share and per share data)</w:t>
            </w:r>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780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781,546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283,990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1,321,111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1,330,364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84,986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2,163,403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1,699,340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187,475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172,453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287,051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1,581,160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91,837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4,568,858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3,831,841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77,924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664,948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325,553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130,814</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1,210,569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1,179,239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2,044,821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1,701,837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275,399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3,728,675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3,156,475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Class A — $0.01 par value — authorized, 600,000,000 shares; issued, 160,400,357 shares at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2019 and 159,924,825 shares at March 31, 2019; outstanding, 140,373,450 shares at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2019 and 140,027,853 shares at March 31, 2019</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 20,026,907 shares at September 30, 2019 and 19,896,972 shares at March 31, 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(711,450)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401,596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1,161,674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994,811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840,183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675,366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4,568,858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3,831,841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60" w:type="dxa"/>
            <w:vAlign w:val="bottom"/>
          </w:tcPr>
          <w:p>
            <w:pPr>
              <w:spacing w:after="0"/>
              <w:rPr>
                <w:sz w:val="12"/>
                <w:szCs w:val="12"/>
                <w:color w:val="auto"/>
              </w:rPr>
            </w:pPr>
          </w:p>
        </w:tc>
        <w:tc>
          <w:tcPr>
            <w:tcW w:w="2700" w:type="dxa"/>
            <w:vAlign w:val="bottom"/>
            <w:gridSpan w:val="4"/>
          </w:tcPr>
          <w:p>
            <w:pPr>
              <w:jc w:val="center"/>
              <w:ind w:right="231"/>
              <w:spacing w:after="0" w:line="149"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1,819,577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1,613,997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3,644,753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3,260,845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843,942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748,570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1,684,596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1,534,382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539,846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1,091,021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955,784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244,122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478,402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432,737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19,632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1,647,542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1,470,246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3,293,672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2,955,482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172,035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143,751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351,081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305,363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148,177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304,007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257,254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33,852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72,296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60,337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114,325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231,711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196,917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(Note 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65" w:right="239" w:bottom="1440" w:gutter="0" w:footer="0" w:header="0"/>
        </w:sectPr>
      </w:pPr>
    </w:p>
    <w:bookmarkStart w:id="5" w:name="page6"/>
    <w:bookmarkEnd w:id="5"/>
    <w:p>
      <w:pPr>
        <w:jc w:val="center"/>
        <w:spacing w:after="0" w:line="322" w:lineRule="auto"/>
        <w:rPr>
          <w:sz w:val="20"/>
          <w:szCs w:val="20"/>
          <w:color w:val="auto"/>
        </w:rPr>
      </w:pPr>
      <w:r>
        <w:rPr>
          <w:rFonts w:ascii="Times New Roman" w:cs="Times New Roman" w:eastAsia="Times New Roman" w:hAnsi="Times New Roman"/>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0"/>
        </w:trPr>
        <w:tc>
          <w:tcPr>
            <w:tcW w:w="5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78"/>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gridSpan w:val="3"/>
          </w:tcPr>
          <w:p>
            <w:pPr>
              <w:jc w:val="center"/>
              <w:ind w:left="438"/>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5"/>
        </w:trPr>
        <w:tc>
          <w:tcPr>
            <w:tcW w:w="5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5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60" w:type="dxa"/>
            <w:vAlign w:val="bottom"/>
          </w:tcPr>
          <w:p>
            <w:pPr>
              <w:spacing w:after="0"/>
              <w:rPr>
                <w:sz w:val="21"/>
                <w:szCs w:val="21"/>
                <w:color w:val="auto"/>
              </w:rPr>
            </w:pPr>
          </w:p>
        </w:tc>
        <w:tc>
          <w:tcPr>
            <w:tcW w:w="258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114,325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92,713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231,711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196,917</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(loss) gain on derivatives designated as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 hedges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2,958</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36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831</w:t>
            </w:r>
          </w:p>
        </w:tc>
      </w:tr>
      <w:tr>
        <w:trPr>
          <w:trHeight w:val="27"/>
        </w:trPr>
        <w:tc>
          <w:tcPr>
            <w:tcW w:w="5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3,789</w:t>
            </w: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109,327</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94,175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211,782</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200,706</w:t>
            </w:r>
          </w:p>
        </w:tc>
      </w:tr>
      <w:tr>
        <w:trPr>
          <w:trHeight w:val="27"/>
        </w:trPr>
        <w:tc>
          <w:tcPr>
            <w:tcW w:w="5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8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231,711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196,917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6,920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 and income taxes receivable /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80,703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274,567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Payments for business acquisitions, net of cash acquired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290,855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286,958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342,586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74,275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76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65"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040" w:type="dxa"/>
            <w:vAlign w:val="bottom"/>
            <w:gridSpan w:val="2"/>
          </w:tcPr>
          <w:p>
            <w:pPr>
              <w:jc w:val="center"/>
              <w:ind w:left="521"/>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74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92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34"/>
        </w:trPr>
        <w:tc>
          <w:tcPr>
            <w:tcW w:w="4160" w:type="dxa"/>
            <w:vAlign w:val="bottom"/>
            <w:vMerge w:val="restart"/>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(Amounts in thousands, except</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2"/>
                <w:szCs w:val="2"/>
                <w:color w:val="auto"/>
              </w:rPr>
            </w:pPr>
          </w:p>
        </w:tc>
        <w:tc>
          <w:tcPr>
            <w:tcW w:w="8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81"/>
        </w:trPr>
        <w:tc>
          <w:tcPr>
            <w:tcW w:w="4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share data)</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57"/>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9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160,244,219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(20,026,100)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$413,293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6"/>
              </w:rPr>
              <w:t>1,079,785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$ 748,823</w:t>
            </w: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88,141</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3,670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3,671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 exercised</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67,997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1,532</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Recognition of liability related to future restricted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units vesting</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114,325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114,325</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of $0.23 per common share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(32,436)</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9,364</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9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160,400,357</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(20,026,907)</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$(719,793)</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$427,817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6"/>
              </w:rPr>
              <w:t>1,161,674</w:t>
            </w: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(31,119)</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$ 840,183</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159,924,825</w:t>
            </w:r>
          </w:p>
        </w:tc>
        <w:tc>
          <w:tcPr>
            <w:tcW w:w="100" w:type="dxa"/>
            <w:vAlign w:val="bottom"/>
          </w:tcPr>
          <w:p>
            <w:pPr>
              <w:spacing w:after="0"/>
              <w:rPr>
                <w:sz w:val="18"/>
                <w:szCs w:val="18"/>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(19,896,972)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$(711,450)</w:t>
            </w:r>
          </w:p>
        </w:tc>
        <w:tc>
          <w:tcPr>
            <w:tcW w:w="120" w:type="dxa"/>
            <w:vAlign w:val="bottom"/>
          </w:tcPr>
          <w:p>
            <w:pPr>
              <w:spacing w:after="0"/>
              <w:rPr>
                <w:sz w:val="18"/>
                <w:szCs w:val="18"/>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$401,596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994,811</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12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$ 675,366</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246,233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7,049</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exercised</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229,299</w:t>
            </w:r>
          </w:p>
        </w:tc>
        <w:tc>
          <w:tcPr>
            <w:tcW w:w="1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 (1)</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(129,935)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Recognition of liability related to future restricted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units vesting</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231,711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231,711</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(19,929)</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 of $0.46 per common share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(64,848)</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15,808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15,808</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160,400,357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(20,026,907)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$(719,793)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$427,817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6"/>
              </w:rPr>
              <w:t>1,161,674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(31,119)</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$ 840,183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September 30, 2019, the Company purchased 93 thousand shares of the Company’s Class A Common Stock in a series of open market transactions for $5.9 million. Additionally, the Company repurchased shares during the first and second quarters of fiscal 2020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040" w:type="dxa"/>
            <w:vAlign w:val="bottom"/>
            <w:gridSpan w:val="2"/>
          </w:tcPr>
          <w:p>
            <w:pPr>
              <w:jc w:val="center"/>
              <w:ind w:left="542"/>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74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92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34"/>
        </w:trPr>
        <w:tc>
          <w:tcPr>
            <w:tcW w:w="4240" w:type="dxa"/>
            <w:vAlign w:val="bottom"/>
            <w:vMerge w:val="restart"/>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(Amounts in thousands, except</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00" w:type="dxa"/>
            <w:vAlign w:val="bottom"/>
            <w:gridSpan w:val="2"/>
            <w:vMerge w:val="restart"/>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81"/>
        </w:trPr>
        <w:tc>
          <w:tcPr>
            <w:tcW w:w="42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share data)</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2018</w:t>
            </w:r>
          </w:p>
        </w:tc>
        <w:tc>
          <w:tcPr>
            <w:tcW w:w="9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158,794,015</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(15,672,079)</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$(509,521)</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$360,915</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$ 767,278</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(12,779)</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$ 607,481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97,091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exercised</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233,106</w:t>
            </w:r>
          </w:p>
        </w:tc>
        <w:tc>
          <w:tcPr>
            <w:tcW w:w="1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3,274</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3,276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(901,354)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(41,167)</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92,713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92,713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of $0.19 per common share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7,150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7,150</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September 30, 2018</w:t>
            </w:r>
          </w:p>
        </w:tc>
        <w:tc>
          <w:tcPr>
            <w:tcW w:w="9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159,124,212</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(16,573,433)</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$(550,688)</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$373,980</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$ 832,774</w:t>
            </w: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$ 646,340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2018</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158,028,673</w:t>
            </w:r>
          </w:p>
        </w:tc>
        <w:tc>
          <w:tcPr>
            <w:tcW w:w="100" w:type="dxa"/>
            <w:vAlign w:val="bottom"/>
          </w:tcPr>
          <w:p>
            <w:pPr>
              <w:spacing w:after="0"/>
              <w:rPr>
                <w:sz w:val="18"/>
                <w:szCs w:val="18"/>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(14,582,134)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$(461,457)</w:t>
            </w:r>
          </w:p>
        </w:tc>
        <w:tc>
          <w:tcPr>
            <w:tcW w:w="12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$346,958</w:t>
            </w:r>
          </w:p>
        </w:tc>
        <w:tc>
          <w:tcPr>
            <w:tcW w:w="10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$ 690,516</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120" w:type="dxa"/>
            <w:vAlign w:val="bottom"/>
          </w:tcPr>
          <w:p>
            <w:pPr>
              <w:spacing w:after="0"/>
              <w:rPr>
                <w:sz w:val="18"/>
                <w:szCs w:val="18"/>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$ 562,491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417,366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5,222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5,227</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exercised</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678,173</w:t>
            </w:r>
          </w:p>
        </w:tc>
        <w:tc>
          <w:tcPr>
            <w:tcW w:w="1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8,535</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8,541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 (2)</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(1,991,299)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(89,231)</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196,917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196,917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3,789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3,789</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of $.38 per common share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13,265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13,265</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September 30, 2018</w:t>
            </w:r>
          </w:p>
        </w:tc>
        <w:tc>
          <w:tcPr>
            <w:tcW w:w="9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159,124,212</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(16,573,433)</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$(550,688)</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$373,980</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$ 832,774</w:t>
            </w: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$ 646,340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right="300" w:firstLine="2"/>
        <w:spacing w:after="0" w:line="266"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September 30, 2018, the Company purchased 1.9 million shares of the Company’s Class A Common Stock in a series of open market transactions for $85.4 million. Additionally, the Company repurchased shares during the first quarter of fiscal 2019 to cover the minimum statutory withholding taxes on restricted stock units that vested on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84" w:right="2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2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27,000 employees as of September 30,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2019.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six months ended September 30, 2019 are not necessarily indicative of results to be expected for the full fiscal year.</w:t>
      </w:r>
    </w:p>
    <w:p>
      <w:pPr>
        <w:spacing w:after="0" w:line="7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66" w:lineRule="exact"/>
        <w:rPr>
          <w:sz w:val="20"/>
          <w:szCs w:val="20"/>
          <w:color w:val="auto"/>
        </w:rPr>
      </w:pPr>
    </w:p>
    <w:p>
      <w:pPr>
        <w:ind w:right="3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Effective April 1, 2019, the Company adopted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using the modified retrospective transition approach and, as a result, comparative information for the prior fiscal year has not been retrospectively adjusted.</w:t>
      </w:r>
    </w:p>
    <w:p>
      <w:pPr>
        <w:spacing w:after="0" w:line="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Certain amounts reported in the Company's prior year condensed consolidated financial statements have been reclassified to conform to the current year presentation.</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including the accrual of indirect costs, bonus and other incentive compensation, lease incremental borrowing rates,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to increase transparency and comparability of accounting for lease transactions. The new leasing standard requires lessees to recognize lease assets and lease liabilities on their balance sheet for all leases with a lease term greater than 12 months. Topic 842 is effective for fiscal years beginning after December 15, 2018, with early adoption permitted. In July 2018, the FASB provided an alternative transition method of adoption through ASU 2018-11, Targeted Improvements, which permits the recognition of a cumulative-effect adjustment to retained earnings on the date of adoption.</w:t>
      </w:r>
    </w:p>
    <w:p>
      <w:pPr>
        <w:spacing w:after="0" w:line="74"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adopted the standard on April 1, 2019 using the modified retrospective transition approach provided by ASU 2018-11, and, as a result, did not recast comparative prior period information. In addition, the Company elected certain practical expedients permitted under Topic 842, including the option not to apply lease recognition for short-term leases; an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522" w:right="299" w:bottom="1440" w:gutter="0" w:footer="0" w:header="0"/>
        </w:sectPr>
      </w:pPr>
    </w:p>
    <w:bookmarkStart w:id="10" w:name="page11"/>
    <w:bookmarkEnd w:id="10"/>
    <w:p>
      <w:pPr>
        <w:ind w:right="220"/>
        <w:spacing w:after="0" w:line="261" w:lineRule="auto"/>
        <w:rPr>
          <w:sz w:val="20"/>
          <w:szCs w:val="20"/>
          <w:color w:val="auto"/>
        </w:rPr>
      </w:pPr>
      <w:r>
        <w:rPr>
          <w:rFonts w:ascii="Times New Roman" w:cs="Times New Roman" w:eastAsia="Times New Roman" w:hAnsi="Times New Roman"/>
          <w:sz w:val="18"/>
          <w:szCs w:val="18"/>
          <w:color w:val="auto"/>
        </w:rPr>
        <w:t>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right-of-use (ROU) assets.</w:t>
      </w:r>
    </w:p>
    <w:p>
      <w:pPr>
        <w:spacing w:after="0" w:line="7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Upon the adoption of Topic 842, the Company recognized ROU assets of $268.8 million and lease liabilities of $330.6 million on the condensed consolidated balance sheets, inclusive of required conforming balance sheet reclassifications pertaining to accounts such as deferred rent, tenant allowances, and lease receivables. As required under Topic 842 transition guidance, the lease liabilities recognized were measured at the present value of remaining minimum rental payments pursuant to Topic 840 which include executory costs.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impact to the condensed consolidated balance sheet at April 1 for the adoption of Topic 842 is as follows: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120" w:type="dxa"/>
            <w:vAlign w:val="bottom"/>
          </w:tcPr>
          <w:p>
            <w:pPr>
              <w:spacing w:after="0"/>
              <w:rPr>
                <w:sz w:val="13"/>
                <w:szCs w:val="13"/>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Adoption adjustments for</w:t>
            </w:r>
          </w:p>
        </w:tc>
        <w:tc>
          <w:tcPr>
            <w:tcW w:w="140" w:type="dxa"/>
            <w:vAlign w:val="bottom"/>
          </w:tcPr>
          <w:p>
            <w:pPr>
              <w:spacing w:after="0"/>
              <w:rPr>
                <w:sz w:val="13"/>
                <w:szCs w:val="13"/>
                <w:color w:val="auto"/>
              </w:rPr>
            </w:pPr>
          </w:p>
        </w:tc>
        <w:tc>
          <w:tcPr>
            <w:tcW w:w="1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Balance at April 1, 2019</w:t>
            </w:r>
          </w:p>
        </w:tc>
        <w:tc>
          <w:tcPr>
            <w:tcW w:w="0" w:type="dxa"/>
            <w:vAlign w:val="bottom"/>
          </w:tcPr>
          <w:p>
            <w:pPr>
              <w:spacing w:after="0"/>
              <w:rPr>
                <w:sz w:val="1"/>
                <w:szCs w:val="1"/>
                <w:color w:val="auto"/>
              </w:rPr>
            </w:pPr>
          </w:p>
        </w:tc>
      </w:tr>
      <w:tr>
        <w:trPr>
          <w:trHeight w:val="195"/>
        </w:trPr>
        <w:tc>
          <w:tcPr>
            <w:tcW w:w="572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Topic 842</w:t>
            </w:r>
          </w:p>
        </w:tc>
        <w:tc>
          <w:tcPr>
            <w:tcW w:w="1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57,471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268,840</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87,218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664,948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649,751</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34,645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295,915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295,915</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196,742</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Further, at the adoption of Topic 842, the Company recognized a deferred tax liability corresponding to the operating lease right-of-use assets of $69 million and a deferred tax asset corresponding to the operating lease liabilities of $93 million, inclusive of a decrease to deferred tax assets for the deferred rent and tenant allowances of $24 million as of March 31, 2019. There was no cumulative impact to retained earnings and the April 1, 2019 adoption of Topic 842 did not have a material impact to either of the condensed consolidated statements of operations or cash flows.</w:t>
      </w:r>
    </w:p>
    <w:p>
      <w:pPr>
        <w:spacing w:after="0" w:line="72"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In March 2019, the SEC issued Final Rule Release No. 33-10618, FAST Act Modernization and Simplification of Regulation S-K, amending certain disclosure requirements in Regulation S-K, with the intent of improving the readability of filed documents and simplifying registrants' compliance efforts. The Company adopted certain aspects of this final rule in the fourth quarter of fiscal 2019 which did not have a material impact on the condensed consolidated financial statements. Other aspects not yet adopted are still being evaluated but are not expected to be material.</w:t>
      </w:r>
    </w:p>
    <w:p>
      <w:pPr>
        <w:spacing w:after="0" w:line="7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SEC issued Final Rule Release No. 33-10532, </w:t>
      </w: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required to be filed. The amendments became effective on November 5, 2018; however the SEC allows the filer’s first presentation of the changes in stockholders’ equity to be included in its Form 10-Q for the quarter that begins after the effective date of the amendments. Accordingly, the Company first presented the condensed consolidated statement of stockholders' equity in the Form 10-Q in the first quarter of fiscal 2020. The Company's adoption of this final rule did not have a material effect on the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34" w:right="2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Service Contract</w:t>
      </w:r>
      <w:r>
        <w:rPr>
          <w:rFonts w:ascii="Times New Roman" w:cs="Times New Roman" w:eastAsia="Times New Roman" w:hAnsi="Times New Roman"/>
          <w:sz w:val="18"/>
          <w:szCs w:val="18"/>
          <w:color w:val="auto"/>
        </w:rPr>
        <w:t>. This guidance requires a customer in a cloud computing arrangement that is a service contract to follow existing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Early adoption is permitted. The standard may be adopted either retrospectively or prospectively. The Company is currently assessing the future impact of this update on its consolidated financial statements and related disclosures.</w:t>
      </w:r>
    </w:p>
    <w:p>
      <w:pPr>
        <w:spacing w:after="0" w:line="77"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Other accounting and reporting pronouncements effective after September 30, 2019 and issued through the filing date are not expected to have a material impact on the Company's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time-and-materials contracts, and fixed-price contracts.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ind w:right="240" w:firstLine="405"/>
        <w:spacing w:after="0" w:line="254" w:lineRule="auto"/>
        <w:rPr>
          <w:sz w:val="20"/>
          <w:szCs w:val="20"/>
          <w:color w:val="auto"/>
        </w:rPr>
      </w:pPr>
      <w:r>
        <w:rPr>
          <w:rFonts w:ascii="Times New Roman" w:cs="Times New Roman" w:eastAsia="Times New Roman" w:hAnsi="Times New Roman"/>
          <w:sz w:val="18"/>
          <w:szCs w:val="18"/>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six months ended September 30, 2019 and 2018, the aggregate impact of adjustments in contract estimates was not material.</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by Contract Type: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7" w:lineRule="exact"/>
        <w:rPr>
          <w:sz w:val="20"/>
          <w:szCs w:val="20"/>
          <w:color w:val="auto"/>
        </w:rPr>
      </w:pPr>
    </w:p>
    <w:p>
      <w:pPr>
        <w:ind w:left="1960" w:right="940" w:hanging="655"/>
        <w:spacing w:after="0" w:line="313" w:lineRule="auto"/>
        <w:tabs>
          <w:tab w:leader="none" w:pos="1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30" w:lineRule="exact"/>
        <w:rPr>
          <w:rFonts w:ascii="Times New Roman" w:cs="Times New Roman" w:eastAsia="Times New Roman" w:hAnsi="Times New Roman"/>
          <w:sz w:val="17"/>
          <w:szCs w:val="17"/>
          <w:color w:val="auto"/>
        </w:rPr>
      </w:pPr>
    </w:p>
    <w:p>
      <w:pPr>
        <w:ind w:left="1960" w:right="380" w:hanging="655"/>
        <w:spacing w:after="0" w:line="261"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1" w:lineRule="exact"/>
        <w:rPr>
          <w:rFonts w:ascii="Times New Roman" w:cs="Times New Roman" w:eastAsia="Times New Roman" w:hAnsi="Times New Roman"/>
          <w:sz w:val="18"/>
          <w:szCs w:val="18"/>
          <w:color w:val="auto"/>
        </w:rPr>
      </w:pPr>
    </w:p>
    <w:p>
      <w:pPr>
        <w:ind w:left="1960" w:right="220" w:hanging="655"/>
        <w:spacing w:after="0" w:line="266"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30" w:right="2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color w:val="auto"/>
        </w:rPr>
        <w:t>The table below presents the total revenue for each type of contract: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8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Cost-reimbursable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1,026,055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851,394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2,052,648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1,711,278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Time-and-materials</w:t>
            </w:r>
          </w:p>
        </w:tc>
        <w:tc>
          <w:tcPr>
            <w:tcW w:w="220" w:type="dxa"/>
            <w:vAlign w:val="bottom"/>
          </w:tcPr>
          <w:p>
            <w:pPr>
              <w:spacing w:after="0"/>
              <w:rPr>
                <w:sz w:val="20"/>
                <w:szCs w:val="20"/>
                <w:color w:val="auto"/>
              </w:rPr>
            </w:pP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423,605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390,509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844,200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796,093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Fixed-price</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369,917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372,094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747,905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753,474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7"/>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1,819,577</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1,613,997</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3,644,753</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3,260,845</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3"/>
        </w:trPr>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Revenue by Customer Type:</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government: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Defense Clients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845,270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755,570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1,704,206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1,513,552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Intelligence Clients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405,220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385,733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824,287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783,213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2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Civil Clients</w:t>
            </w:r>
          </w:p>
        </w:tc>
        <w:tc>
          <w:tcPr>
            <w:tcW w:w="220" w:type="dxa"/>
            <w:vAlign w:val="bottom"/>
          </w:tcPr>
          <w:p>
            <w:pPr>
              <w:spacing w:after="0"/>
              <w:rPr>
                <w:sz w:val="20"/>
                <w:szCs w:val="20"/>
                <w:color w:val="auto"/>
              </w:rPr>
            </w:pP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511,012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417,636</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1,003,045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853,162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U.S. government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1,761,502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1,558,939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3,531,538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3,149,927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Global Commercial Clients</w:t>
            </w:r>
          </w:p>
        </w:tc>
        <w:tc>
          <w:tcPr>
            <w:tcW w:w="220" w:type="dxa"/>
            <w:vAlign w:val="bottom"/>
          </w:tcPr>
          <w:p>
            <w:pPr>
              <w:spacing w:after="0"/>
              <w:rPr>
                <w:sz w:val="20"/>
                <w:szCs w:val="20"/>
                <w:color w:val="auto"/>
              </w:rPr>
            </w:pP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58,075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55,058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113,215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110,918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1,819,577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1,613,997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3,644,753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3,260,845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by Whether the Company Acts as a Prime Contractor or a Sub-Contractor: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80" w:type="dxa"/>
            <w:vAlign w:val="bottom"/>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4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r>
      <w:tr>
        <w:trPr>
          <w:trHeight w:val="195"/>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r>
      <w:tr>
        <w:trPr>
          <w:trHeight w:val="264"/>
        </w:trPr>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49"/>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Prime Contractor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1,676,522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1,482,153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3,349,952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2,989,335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37"/>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Sub-contractor</w:t>
            </w:r>
          </w:p>
        </w:tc>
        <w:tc>
          <w:tcPr>
            <w:tcW w:w="220" w:type="dxa"/>
            <w:vAlign w:val="bottom"/>
          </w:tcPr>
          <w:p>
            <w:pPr>
              <w:spacing w:after="0"/>
              <w:rPr>
                <w:sz w:val="20"/>
                <w:szCs w:val="20"/>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143,055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131,844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294,801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271,510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1,819,577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1,613,997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3,644,753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3,260,845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6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2019 and March 31, 2019, the Company had $7.6 billion and $5.8 billion, respectively, of remaining performance obligations and we expect to recognize more than half of the remaining performance obligations as revenue over the next 12 months, and approximately three quarters over the next 24 months. The remainder is expected to be recognized thereafter.</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7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Topic 606.</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34" w:right="239" w:bottom="1440" w:gutter="0" w:footer="0" w:header="0"/>
        </w:sectPr>
      </w:pPr>
    </w:p>
    <w:bookmarkStart w:id="13" w:name="page14"/>
    <w:bookmarkEnd w:id="13"/>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contract balances recognized on the Company’s condensed consolidated balance sheets: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873,968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846,372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61,503</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61,391</w:t>
            </w:r>
          </w:p>
        </w:tc>
      </w:tr>
      <w:tr>
        <w:trPr>
          <w:trHeight w:val="237"/>
        </w:trPr>
        <w:tc>
          <w:tcPr>
            <w:tcW w:w="8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935,471</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907,763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 payments, billings in excess of costs incurred and deferred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22,822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21,316</w:t>
            </w:r>
          </w:p>
        </w:tc>
      </w:tr>
    </w:tbl>
    <w:p>
      <w:pPr>
        <w:spacing w:after="0" w:line="333"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Changes in contract assets and contract liabilities are primarily due to the timing difference between the Company’s performance of services and payments from customers. For the three months ended September 30, 2019 and 2018, we recognized revenue of $1.7 million and $2.1 million, respectively, and for the six months ended September 30, 2019 and 2018, we recognized revenue of $18.4 million and $21.9 million related to our contract liabilities on April 1, 2019 and 2018,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2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68"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and second quarters of fiscal 2020 and 2019.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for basic computations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113,725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230,492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195,681</w:t>
            </w:r>
          </w:p>
        </w:tc>
        <w:tc>
          <w:tcPr>
            <w:tcW w:w="0" w:type="dxa"/>
            <w:vAlign w:val="bottom"/>
          </w:tcPr>
          <w:p>
            <w:pPr>
              <w:spacing w:after="0"/>
              <w:rPr>
                <w:sz w:val="1"/>
                <w:szCs w:val="1"/>
                <w:color w:val="auto"/>
              </w:rPr>
            </w:pPr>
          </w:p>
        </w:tc>
      </w:tr>
      <w:tr>
        <w:trPr>
          <w:trHeight w:val="225"/>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computations</w:t>
            </w:r>
          </w:p>
        </w:tc>
        <w:tc>
          <w:tcPr>
            <w:tcW w:w="2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140,245,038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142,443,058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140,125,779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7"/>
              </w:rPr>
              <w:t>142,861,491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for diluted computations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113,728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230,499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195,690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2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1,117,098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1,265,851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1,127,138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1,353,582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8"/>
                <w:szCs w:val="18"/>
                <w:color w:val="auto"/>
              </w:rPr>
              <w:t>Weighted-average common shares outstanding for diluted</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computations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141,362,136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7"/>
              </w:rPr>
              <w:t>143,708,909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141,252,917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7"/>
              </w:rPr>
              <w:t>144,215,073</w:t>
            </w:r>
          </w:p>
        </w:tc>
        <w:tc>
          <w:tcPr>
            <w:tcW w:w="0" w:type="dxa"/>
            <w:vAlign w:val="bottom"/>
          </w:tcPr>
          <w:p>
            <w:pPr>
              <w:spacing w:after="0"/>
              <w:rPr>
                <w:sz w:val="1"/>
                <w:szCs w:val="1"/>
                <w:color w:val="auto"/>
              </w:rPr>
            </w:pPr>
          </w:p>
        </w:tc>
      </w:tr>
      <w:tr>
        <w:trPr>
          <w:trHeight w:val="22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right="20" w:hanging="332"/>
        <w:spacing w:after="0" w:line="255" w:lineRule="auto"/>
        <w:tabs>
          <w:tab w:leader="none" w:pos="2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2019 and 2018, approximately 0.7 million and 0.9 million participating securities, respectively, were paid dividends totaling $0.2 million in both periods. During the six months ended September 30, 2019 and 2018, approximately 0.7 million and 0.9 million participating securities, respectively, were paid dividends totaling $0.3 million in both periods. For the three months ended September 30, 2019 and 2018, there were undistributed earnings of $0.4 million allocated to the participating class of securities in both basic and diluted EPS in both periods. For the six months ended September 30, 2019 and 2018, there were undistributed earnings of $0.9 million allocated to the participating class of securities in both basic and diluted EPS in both periods. The allocated undistributed earnings and the dividends paid comprise the difference between net income presented on the condensed consolidated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34" w:right="2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statements of operations and earnings for basic and diluted computations for the three and six months ended September 30, 2019 and 2018.</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EPS calculation for the three and six months ended September 30, 2019 and 2018 excludes 0.2 million options as their impact was anti-dilutive.</w:t>
      </w:r>
    </w:p>
    <w:p>
      <w:pPr>
        <w:spacing w:after="0" w:line="329" w:lineRule="exact"/>
        <w:rPr>
          <w:sz w:val="20"/>
          <w:szCs w:val="20"/>
          <w:color w:val="auto"/>
        </w:rPr>
      </w:pPr>
    </w:p>
    <w:p>
      <w:pPr>
        <w:ind w:left="420" w:right="6280" w:hanging="412"/>
        <w:spacing w:after="0" w:line="450" w:lineRule="auto"/>
        <w:tabs>
          <w:tab w:leader="none" w:pos="19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ACCOUNTS RECEIVABLE, NET OF ALLOWANCE </w:t>
      </w:r>
      <w:r>
        <w:rPr>
          <w:rFonts w:ascii="Times New Roman" w:cs="Times New Roman" w:eastAsia="Times New Roman" w:hAnsi="Times New Roman"/>
          <w:sz w:val="17"/>
          <w:szCs w:val="17"/>
          <w:color w:val="auto"/>
        </w:rPr>
        <w:t>Accounts receivable, net of allowance consisted of the following:</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460,120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494,671</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873,968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846,372</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1,321,111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1,330,364</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61,503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61,391</w:t>
            </w:r>
          </w:p>
        </w:tc>
      </w:tr>
      <w:tr>
        <w:trPr>
          <w:trHeight w:val="237"/>
        </w:trPr>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1,382,614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1,391,755</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provision for doubtful accounts (including certain unbilled reserves) of $0.5 million and $10.6 million for the three months ended September 30, 2019 and 2018, respectively, and $1.3 million and $10.7 million for the six months ended September 30, 2019 and 2018, respectively.</w:t>
      </w:r>
    </w:p>
    <w:p>
      <w:pPr>
        <w:spacing w:after="0" w:line="8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4" w:lineRule="exact"/>
        <w:rPr>
          <w:sz w:val="20"/>
          <w:szCs w:val="20"/>
          <w:color w:val="auto"/>
        </w:rPr>
      </w:pPr>
    </w:p>
    <w:p>
      <w:pPr>
        <w:ind w:left="440" w:right="5680" w:hanging="432"/>
        <w:spacing w:after="0" w:line="405" w:lineRule="auto"/>
        <w:tabs>
          <w:tab w:leader="none" w:pos="18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OTHER ACCRUED EXPENSES </w:t>
      </w:r>
      <w:r>
        <w:rPr>
          <w:rFonts w:ascii="Times New Roman" w:cs="Times New Roman" w:eastAsia="Times New Roman" w:hAnsi="Times New Roman"/>
          <w:sz w:val="18"/>
          <w:szCs w:val="18"/>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50"/>
        </w:trPr>
        <w:tc>
          <w:tcPr>
            <w:tcW w:w="8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220" w:type="dxa"/>
            <w:vAlign w:val="bottom"/>
          </w:tcPr>
          <w:p>
            <w:pPr>
              <w:jc w:val="right"/>
              <w:ind w:right="357"/>
              <w:spacing w:after="0" w:line="150"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Vendor payables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398,727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417,648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285,647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247,300</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684,374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664,948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20" w:firstLine="432"/>
        <w:spacing w:after="0" w:line="282" w:lineRule="auto"/>
        <w:rPr>
          <w:sz w:val="20"/>
          <w:szCs w:val="20"/>
          <w:color w:val="auto"/>
        </w:rPr>
      </w:pPr>
      <w:r>
        <w:rPr>
          <w:rFonts w:ascii="Times New Roman" w:cs="Times New Roman" w:eastAsia="Times New Roman" w:hAnsi="Times New Roman"/>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634"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117,604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68,902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146,329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141,953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23,321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290,751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5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24"/>
                <w:szCs w:val="24"/>
                <w:color w:val="auto"/>
              </w:rPr>
            </w:pPr>
          </w:p>
        </w:tc>
        <w:tc>
          <w:tcPr>
            <w:tcW w:w="2880" w:type="dxa"/>
            <w:vAlign w:val="bottom"/>
            <w:tcBorders>
              <w:bottom w:val="single" w:sz="8" w:color="auto"/>
            </w:tcBorders>
            <w:gridSpan w:val="6"/>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2"/>
                <w:szCs w:val="12"/>
                <w:color w:val="auto"/>
              </w:rPr>
            </w:pPr>
          </w:p>
        </w:tc>
        <w:tc>
          <w:tcPr>
            <w:tcW w:w="1260" w:type="dxa"/>
            <w:vAlign w:val="bottom"/>
            <w:gridSpan w:val="2"/>
          </w:tcPr>
          <w:p>
            <w:pPr>
              <w:jc w:val="right"/>
              <w:ind w:right="345"/>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Pr>
          <w:p>
            <w:pPr>
              <w:spacing w:after="0"/>
              <w:rPr>
                <w:sz w:val="16"/>
                <w:szCs w:val="16"/>
                <w:color w:val="auto"/>
              </w:rPr>
            </w:pPr>
          </w:p>
        </w:tc>
        <w:tc>
          <w:tcPr>
            <w:tcW w:w="1260" w:type="dxa"/>
            <w:vAlign w:val="bottom"/>
            <w:gridSpan w:val="2"/>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1,400,726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1,037,713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389,075</w:t>
            </w: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391,050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2,122,745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1,759,761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(77,924)</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2,044,821</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1,701,837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Loans and Revolving Credit Facility</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provided for a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8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was available as the Delayed Draw Facility. On April 23, 2019, Booz Allen Hamilton drew down $400 million of the Delayed Draw Facility, the proceeds of which are expected to be used for general corporate purposes and other purposes not prohibited by the Credit Agreement.</w:t>
      </w:r>
    </w:p>
    <w:p>
      <w:pPr>
        <w:spacing w:after="0" w:line="76"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Prior to the Sixth Amendment, $500.0 million was available under the Revolving Credit Facility. Pursuant to the Sixth Amendment, certain lenders under the Credit Agreement converted their existing revolving commitments into a new tranche of revolving commitments (the "New Revolving Commitments" and the revolving credit loans made thereunder, the "New Revolving Loans") in an aggregate amount, along with New Revolving Commitments of certain new lenders, of $500.0 million.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630" w:right="259" w:bottom="1440" w:gutter="0" w:footer="0" w:header="0"/>
        </w:sectPr>
      </w:pPr>
    </w:p>
    <w:bookmarkStart w:id="16" w:name="page17"/>
    <w:bookmarkEnd w:id="16"/>
    <w:p>
      <w:pPr>
        <w:ind w:firstLine="405"/>
        <w:spacing w:after="0" w:line="254" w:lineRule="auto"/>
        <w:rPr>
          <w:sz w:val="20"/>
          <w:szCs w:val="20"/>
          <w:color w:val="auto"/>
        </w:rPr>
      </w:pPr>
      <w:r>
        <w:rPr>
          <w:rFonts w:ascii="Times New Roman" w:cs="Times New Roman" w:eastAsia="Times New Roman" w:hAnsi="Times New Roman"/>
          <w:sz w:val="18"/>
          <w:szCs w:val="18"/>
          <w:color w:val="auto"/>
        </w:rPr>
        <w:t>As of September 30, 2019, the Credit Agreement provided Booz Allen Hamilton with a $1,400.7 million Term Loan A, a $389.1 million Term Loan B, and $500.0 million in New Revolving Commitments with a sub-limit for letters of credit of $100.0 million. As of September 30, 2019,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78" w:lineRule="exact"/>
        <w:rPr>
          <w:sz w:val="20"/>
          <w:szCs w:val="20"/>
          <w:color w:val="auto"/>
        </w:rPr>
      </w:pPr>
    </w:p>
    <w:p>
      <w:pPr>
        <w:ind w:right="180" w:firstLine="405"/>
        <w:spacing w:after="0" w:line="276" w:lineRule="auto"/>
        <w:rPr>
          <w:sz w:val="20"/>
          <w:szCs w:val="20"/>
          <w:color w:val="auto"/>
        </w:rPr>
      </w:pPr>
      <w:r>
        <w:rPr>
          <w:rFonts w:ascii="Times New Roman" w:cs="Times New Roman" w:eastAsia="Times New Roman" w:hAnsi="Times New Roman"/>
          <w:sz w:val="17"/>
          <w:szCs w:val="17"/>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spacing w:after="0" w:line="1" w:lineRule="exact"/>
        <w:rPr>
          <w:sz w:val="20"/>
          <w:szCs w:val="20"/>
          <w:color w:val="auto"/>
        </w:rPr>
      </w:pPr>
    </w:p>
    <w:p>
      <w:pPr>
        <w:ind w:right="100"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8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occasionally borrows under the Revolving Credit Facility in anticipation of cash demands. During the first and second quarters of fiscal 2020, Booz Allen Hamilton accessed no amounts of its $500.0 million Revolving Credit Facility. During the first and second quarters of fiscal 2019, Booz Allen Hamilton accessed a total of $70.0 million of its $500.0 million Revolving Credit Facility. As of September 30, 2019 and March 31, 2019, there were no amounts outstanding under the Revolving Credit Facility.</w:t>
      </w:r>
    </w:p>
    <w:p>
      <w:pPr>
        <w:spacing w:after="0" w:line="7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54"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spacing w:after="0" w:line="2" w:lineRule="exact"/>
        <w:rPr>
          <w:sz w:val="20"/>
          <w:szCs w:val="20"/>
          <w:color w:val="auto"/>
        </w:rPr>
      </w:pPr>
    </w:p>
    <w:p>
      <w:pPr>
        <w:ind w:right="100" w:firstLine="8"/>
        <w:spacing w:after="0" w:line="251"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September 30, 2019 and March 31, 2019, Booz Allen Hamilton was in compliance with all financial covenants associated with its debt and debt-like instruments.</w:t>
      </w:r>
    </w:p>
    <w:p>
      <w:pPr>
        <w:spacing w:after="0" w:line="8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2018, interest payments of $13.9 million and $10.1 million were made for Term Loan A and $4.4 million and $4.0 million were made for Term Loan B, respectively. For the six months ended September 30, 2019 and 2018, interest payments of $27.2 million and $21.1 million were made for Term Loan A and $8.8 million and $8.0 million were made for Term Loan B, respectively.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634"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April 25, 2017, Booz Allen Hamilton issued $350 million aggregate principal amount of its 5.125% Senior Notes (the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Booz Allen Hamilton made interest payments of $9.0 million for the Senior Notes for each of the three and six months ended September 30, 2019 and 2018.</w:t>
      </w:r>
    </w:p>
    <w:p>
      <w:pPr>
        <w:spacing w:after="0" w:line="81"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8"/>
          <w:szCs w:val="18"/>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September 30, 2019, Booz Allen Hamilton had interest rate swaps with an aggregate notional amount of $1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9 in our condensed consolidated financial statements).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on debt and debt-like instruments consisted of the following:</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74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55"/>
        </w:trPr>
        <w:tc>
          <w:tcPr>
            <w:tcW w:w="4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60" w:type="dxa"/>
            <w:vAlign w:val="bottom"/>
            <w:gridSpan w:val="3"/>
            <w:shd w:val="clear" w:color="auto" w:fill="CCEEFF"/>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40" w:type="dxa"/>
            <w:vAlign w:val="bottom"/>
            <w:gridSpan w:val="3"/>
            <w:shd w:val="clear" w:color="auto" w:fill="CCEEFF"/>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shd w:val="clear" w:color="auto" w:fill="CCEEFF"/>
          </w:tcPr>
          <w:p>
            <w:pPr>
              <w:spacing w:after="0"/>
              <w:rPr>
                <w:sz w:val="22"/>
                <w:szCs w:val="22"/>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Interest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13,584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10,345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27,034</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21,187</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8,032</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Revolving Credit Facility</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8,969</w:t>
            </w:r>
          </w:p>
        </w:tc>
      </w:tr>
      <w:tr>
        <w:trPr>
          <w:trHeight w:val="270"/>
        </w:trPr>
        <w:tc>
          <w:tcPr>
            <w:tcW w:w="49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Deferred Payment Obligation Interest </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4,015</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 (DIC) and Original Issue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49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 xml:space="preserve">Discount (OID) </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2,618</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25,863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51,050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45,321</w:t>
            </w: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360" w:hanging="190"/>
        <w:spacing w:after="0"/>
        <w:tabs>
          <w:tab w:leader="none" w:pos="360" w:val="left"/>
        </w:tabs>
        <w:numPr>
          <w:ilvl w:val="1"/>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payments on the deferred payment obligation are made twice a year in January and July.</w:t>
      </w:r>
    </w:p>
    <w:p>
      <w:pPr>
        <w:spacing w:after="0" w:line="98" w:lineRule="exact"/>
        <w:rPr>
          <w:rFonts w:ascii="Times New Roman" w:cs="Times New Roman" w:eastAsia="Times New Roman" w:hAnsi="Times New Roman"/>
          <w:sz w:val="24"/>
          <w:szCs w:val="24"/>
          <w:color w:val="auto"/>
          <w:vertAlign w:val="superscript"/>
        </w:rPr>
      </w:pPr>
    </w:p>
    <w:p>
      <w:pPr>
        <w:ind w:left="180" w:right="140" w:hanging="10"/>
        <w:spacing w:after="0" w:line="225" w:lineRule="auto"/>
        <w:tabs>
          <w:tab w:leader="none" w:pos="372" w:val="left"/>
        </w:tabs>
        <w:numPr>
          <w:ilvl w:val="1"/>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302" w:lineRule="exact"/>
        <w:rPr>
          <w:rFonts w:ascii="Times New Roman" w:cs="Times New Roman" w:eastAsia="Times New Roman" w:hAnsi="Times New Roman"/>
          <w:sz w:val="25"/>
          <w:szCs w:val="25"/>
          <w:color w:val="auto"/>
          <w:vertAlign w:val="superscript"/>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240" w:firstLine="405"/>
        <w:spacing w:after="0" w:line="277" w:lineRule="auto"/>
        <w:rPr>
          <w:sz w:val="20"/>
          <w:szCs w:val="20"/>
          <w:color w:val="auto"/>
        </w:rPr>
      </w:pPr>
      <w:r>
        <w:rPr>
          <w:rFonts w:ascii="Times New Roman" w:cs="Times New Roman" w:eastAsia="Times New Roman" w:hAnsi="Times New Roman"/>
          <w:sz w:val="17"/>
          <w:szCs w:val="17"/>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During the first quarter of fiscal 2020, the Company entered into eight floating-to-fixed interest rate swap agreements with six financial institutions with a start date of April 30, 2019 with an aggregate notional amount of $400 million. The aggregate notional amount of all interest rate swap agreements increased to $1 billion as of September 30, 2019. The swaps have staggered maturities, ranging from June 30, 2021 to June 30, 2025.</w:t>
      </w:r>
    </w:p>
    <w:p>
      <w:pPr>
        <w:spacing w:after="0" w:line="6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32" w:right="239" w:bottom="1440" w:gutter="0" w:footer="0" w:header="0"/>
        </w:sectPr>
      </w:pPr>
    </w:p>
    <w:bookmarkStart w:id="18" w:name="page19"/>
    <w:bookmarkEnd w:id="18"/>
    <w:p>
      <w:pPr>
        <w:ind w:firstLine="405"/>
        <w:spacing w:after="0" w:line="261" w:lineRule="auto"/>
        <w:rPr>
          <w:sz w:val="20"/>
          <w:szCs w:val="20"/>
          <w:color w:val="auto"/>
        </w:rPr>
      </w:pPr>
      <w:r>
        <w:rPr>
          <w:rFonts w:ascii="Times New Roman" w:cs="Times New Roman" w:eastAsia="Times New Roman" w:hAnsi="Times New Roman"/>
          <w:sz w:val="18"/>
          <w:szCs w:val="18"/>
          <w:color w:val="auto"/>
        </w:rPr>
        <w:t>Derivative instruments are recorded in the condensed consolidated balance sheet on a gross basis at estimated fair value. As of September 30, 2019, $6.1 million and $23.8 million were classified as other current liabilities and other long-term liabilities, respectively, on the condensed consolidated balance sheet. As of March 31, 2019, $1.8 million, $0.6 million, $0.9 million, and $4.3 million were classified as other current assets, other long-term assets, other current liabilities, and other long-term liabilities, respectively, on the condensed consolidated balance sheet.</w:t>
      </w:r>
    </w:p>
    <w:p>
      <w:pPr>
        <w:spacing w:after="0" w:line="7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For interest rate swaps designated as cash flow hedges, the changes in the fair value of derivatives is recorded in Accumulated Other Comprehensive Income, or AOCI,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and six months ended September 30, 2019 and 2018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 of Gain or (Loss)</w:t>
            </w:r>
          </w:p>
        </w:tc>
        <w:tc>
          <w:tcPr>
            <w:tcW w:w="220" w:type="dxa"/>
            <w:vAlign w:val="bottom"/>
          </w:tcPr>
          <w:p>
            <w:pPr>
              <w:spacing w:after="0"/>
              <w:rPr>
                <w:sz w:val="12"/>
                <w:szCs w:val="12"/>
                <w:color w:val="auto"/>
              </w:rPr>
            </w:pPr>
          </w:p>
        </w:tc>
        <w:tc>
          <w:tcPr>
            <w:tcW w:w="2060" w:type="dxa"/>
            <w:vAlign w:val="bottom"/>
            <w:gridSpan w:val="3"/>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or (Loss)</w:t>
            </w:r>
          </w:p>
        </w:tc>
        <w:tc>
          <w:tcPr>
            <w:tcW w:w="160" w:type="dxa"/>
            <w:vAlign w:val="bottom"/>
          </w:tcPr>
          <w:p>
            <w:pPr>
              <w:spacing w:after="0"/>
              <w:rPr>
                <w:sz w:val="12"/>
                <w:szCs w:val="12"/>
                <w:color w:val="auto"/>
              </w:rPr>
            </w:pPr>
          </w:p>
        </w:tc>
        <w:tc>
          <w:tcPr>
            <w:tcW w:w="210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 Expense on Condensed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 into</w:t>
            </w:r>
          </w:p>
        </w:tc>
        <w:tc>
          <w:tcPr>
            <w:tcW w:w="160" w:type="dxa"/>
            <w:vAlign w:val="bottom"/>
          </w:tcPr>
          <w:p>
            <w:pPr>
              <w:spacing w:after="0"/>
              <w:rPr>
                <w:sz w:val="12"/>
                <w:szCs w:val="12"/>
                <w:color w:val="auto"/>
              </w:rPr>
            </w:pPr>
          </w:p>
        </w:tc>
        <w:tc>
          <w:tcPr>
            <w:tcW w:w="210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0" w:type="dxa"/>
            <w:vAlign w:val="bottom"/>
          </w:tcPr>
          <w:p>
            <w:pPr>
              <w:spacing w:after="0"/>
              <w:rPr>
                <w:sz w:val="1"/>
                <w:szCs w:val="1"/>
                <w:color w:val="auto"/>
              </w:rPr>
            </w:pPr>
          </w:p>
        </w:tc>
      </w:tr>
      <w:tr>
        <w:trPr>
          <w:trHeight w:val="200"/>
        </w:trPr>
        <w:tc>
          <w:tcPr>
            <w:tcW w:w="2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or Loss Recognized</w:t>
            </w: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AOCI on Derivatives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 on Derivatives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(6,837)  $</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1,522</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(25,863)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(22,247)</w:t>
            </w:r>
          </w:p>
        </w:tc>
        <w:tc>
          <w:tcPr>
            <w:tcW w:w="0" w:type="dxa"/>
            <w:vAlign w:val="bottom"/>
          </w:tcPr>
          <w:p>
            <w:pPr>
              <w:spacing w:after="0"/>
              <w:rPr>
                <w:sz w:val="1"/>
                <w:szCs w:val="1"/>
                <w:color w:val="auto"/>
              </w:rPr>
            </w:pPr>
          </w:p>
        </w:tc>
      </w:tr>
      <w:tr>
        <w:trPr>
          <w:trHeight w:val="508"/>
        </w:trPr>
        <w:tc>
          <w:tcPr>
            <w:tcW w:w="2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 of Gain or (Loss)</w:t>
            </w:r>
          </w:p>
        </w:tc>
        <w:tc>
          <w:tcPr>
            <w:tcW w:w="220" w:type="dxa"/>
            <w:vAlign w:val="bottom"/>
          </w:tcPr>
          <w:p>
            <w:pPr>
              <w:spacing w:after="0"/>
              <w:rPr>
                <w:sz w:val="12"/>
                <w:szCs w:val="12"/>
                <w:color w:val="auto"/>
              </w:rPr>
            </w:pPr>
          </w:p>
        </w:tc>
        <w:tc>
          <w:tcPr>
            <w:tcW w:w="2060" w:type="dxa"/>
            <w:vAlign w:val="bottom"/>
            <w:gridSpan w:val="3"/>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or (Loss)</w:t>
            </w:r>
          </w:p>
        </w:tc>
        <w:tc>
          <w:tcPr>
            <w:tcW w:w="160" w:type="dxa"/>
            <w:vAlign w:val="bottom"/>
          </w:tcPr>
          <w:p>
            <w:pPr>
              <w:spacing w:after="0"/>
              <w:rPr>
                <w:sz w:val="12"/>
                <w:szCs w:val="12"/>
                <w:color w:val="auto"/>
              </w:rPr>
            </w:pPr>
          </w:p>
        </w:tc>
        <w:tc>
          <w:tcPr>
            <w:tcW w:w="210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 Expense on Condensed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 into</w:t>
            </w:r>
          </w:p>
        </w:tc>
        <w:tc>
          <w:tcPr>
            <w:tcW w:w="160" w:type="dxa"/>
            <w:vAlign w:val="bottom"/>
          </w:tcPr>
          <w:p>
            <w:pPr>
              <w:spacing w:after="0"/>
              <w:rPr>
                <w:sz w:val="12"/>
                <w:szCs w:val="12"/>
                <w:color w:val="auto"/>
              </w:rPr>
            </w:pPr>
          </w:p>
        </w:tc>
        <w:tc>
          <w:tcPr>
            <w:tcW w:w="210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0" w:type="dxa"/>
            <w:vAlign w:val="bottom"/>
          </w:tcPr>
          <w:p>
            <w:pPr>
              <w:spacing w:after="0"/>
              <w:rPr>
                <w:sz w:val="1"/>
                <w:szCs w:val="1"/>
                <w:color w:val="auto"/>
              </w:rPr>
            </w:pPr>
          </w:p>
        </w:tc>
      </w:tr>
      <w:tr>
        <w:trPr>
          <w:trHeight w:val="200"/>
        </w:trPr>
        <w:tc>
          <w:tcPr>
            <w:tcW w:w="2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or Loss Recognized</w:t>
            </w: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AOCI on Derivatives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 on Derivatives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(26,585)  $</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4,090</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(51,050)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estimates that $6.2 million will be reclassified as an increase to interest expense. Cash flows associated with periodic settlements of interest rate swaps will be classified as operating activities in the condensed consolidated statement of cash flows.</w:t>
      </w:r>
    </w:p>
    <w:p>
      <w:pPr>
        <w:spacing w:after="0" w:line="54"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Under Topic 842, the Company determines whether the contract is, or contains, a lease, which exists when the contract conveys the right to control the use of identified property or equipment for a period of time in exchange for consideration. Operating leases are included in operating lease ROU assets, operating lease liabilities, and operating lease liabilities, net of current portion in our condensed consolidated balance sheets. Cash payments arising from operating leases are classified within operating activities in the condensed consolidated statement of cash flows. As of September 30, 2019, the Company had no finance leases.</w:t>
      </w:r>
    </w:p>
    <w:p>
      <w:pPr>
        <w:spacing w:after="0" w:line="103"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Company's leases are generally for facilities and office space and the Company recognizes operating lease ROU assets and operating lease liabilities at lease commencement date for those arrangements. The initial lease liability is equal to the present value of the future minimum lease payments over the lease term. The initial measurement of the right-of-use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maintenance costs, utilities, or other variable lease-related payments which are not included in measuring ROU assets and lease liabilities and are recorded as lease expense in the period incurred.</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permitted under Topic 842, the Company elected not to recognize ROU assets and lease liabilities for leases with an initial term of 12 months or less; lease expense from these leases are recognized on a straight-line basis over the lease term. As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34" w:right="239" w:bottom="1440" w:gutter="0" w:footer="0" w:header="0"/>
        </w:sectPr>
      </w:pPr>
    </w:p>
    <w:bookmarkStart w:id="19" w:name="page20"/>
    <w:bookmarkEnd w:id="19"/>
    <w:p>
      <w:pPr>
        <w:ind w:right="80"/>
        <w:spacing w:after="0" w:line="282" w:lineRule="auto"/>
        <w:rPr>
          <w:sz w:val="20"/>
          <w:szCs w:val="20"/>
          <w:color w:val="auto"/>
        </w:rPr>
      </w:pPr>
      <w:r>
        <w:rPr>
          <w:rFonts w:ascii="Times New Roman" w:cs="Times New Roman" w:eastAsia="Times New Roman" w:hAnsi="Times New Roman"/>
          <w:sz w:val="18"/>
          <w:szCs w:val="18"/>
          <w:color w:val="auto"/>
        </w:rPr>
        <w:t>further permitted under Topic 842, the Company elected to not separate lease components from non-lease components, accounting for both components as a single lease component.</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Company’s total lease cost is recorded primarily within general and administrative expenses on the condensed consolidated statement of operations and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September</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17,760</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35,720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spacing w:after="0"/>
              <w:rPr>
                <w:sz w:val="21"/>
                <w:szCs w:val="21"/>
                <w:color w:val="auto"/>
              </w:rPr>
            </w:pPr>
          </w:p>
        </w:tc>
        <w:tc>
          <w:tcPr>
            <w:tcW w:w="17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23,109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46,048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3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Future minimum operating lease payments for noncancelable operating leases as of September 30, 2019 are as follows: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For the Fiscal Year Ending March 31,</w:t>
            </w:r>
          </w:p>
        </w:tc>
        <w:tc>
          <w:tcPr>
            <w:tcW w:w="2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Operating Lease Payments</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2020</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19,899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59,993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60,883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55,868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48,057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130,040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374,740</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315,712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32,472</w:t>
            </w:r>
          </w:p>
        </w:tc>
        <w:tc>
          <w:tcPr>
            <w:tcW w:w="0" w:type="dxa"/>
            <w:vAlign w:val="bottom"/>
          </w:tcPr>
          <w:p>
            <w:pPr>
              <w:spacing w:after="0"/>
              <w:rPr>
                <w:sz w:val="1"/>
                <w:szCs w:val="1"/>
                <w:color w:val="auto"/>
              </w:rPr>
            </w:pPr>
          </w:p>
        </w:tc>
      </w:tr>
      <w:tr>
        <w:trPr>
          <w:trHeight w:val="341"/>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Operating lease liabilities arising from obtaining ROU assets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9,681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20" w:right="2980" w:hanging="7"/>
        <w:spacing w:after="0" w:line="466"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noncash increases and decreases arising from new or remeasured operating lease arrangements Other information related to leases was as follows:</w:t>
      </w:r>
    </w:p>
    <w:tbl>
      <w:tblPr>
        <w:tblLayout w:type="fixed"/>
        <w:tblInd w:w="0" w:type="dxa"/>
        <w:tblCellMar>
          <w:top w:w="0" w:type="dxa"/>
          <w:left w:w="0" w:type="dxa"/>
          <w:bottom w:w="0" w:type="dxa"/>
          <w:right w:w="0" w:type="dxa"/>
        </w:tblCellMar>
      </w:tblPr>
      <w:tr>
        <w:trPr>
          <w:trHeight w:val="149"/>
        </w:trPr>
        <w:tc>
          <w:tcPr>
            <w:tcW w:w="8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95"/>
        </w:trPr>
        <w:tc>
          <w:tcPr>
            <w:tcW w:w="844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46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6.28</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4.63%</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22.8% and 22.7% for the three months ended September 30, 2019 and 2018, respectively, and 23.8% and 23.5% for the six months ended September 30, 2019 and 2018, respectively. The effective tax rates of 22.8% and 23.8% for the three and six months ended September 30, 2019 differ from the federal statutory rate of 21.0% primarily due to the inclusion of state and foreign income taxes and permanent rate differences, which are predominantly related to meals and entertainment and certain executive compensation, partially offset by discrete tax items.</w:t>
      </w:r>
    </w:p>
    <w:p>
      <w:pPr>
        <w:spacing w:after="0" w:line="7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$11.4 million, net of associated tax benefits as of September 30, 2019. The Company has taken similar tax positions with respect to subsequent fiscal years, totaling in aggregate $33.5 million. As of September 30, 2019, the Company does not maintain reserves for any uncertain tax positions related to the contested tax benefits or the similar tax positions taken</w:t>
      </w:r>
    </w:p>
    <w:p>
      <w:pPr>
        <w:sectPr>
          <w:pgSz w:w="11900" w:h="16838" w:orient="portrait"/>
          <w:cols w:equalWidth="0" w:num="1">
            <w:col w:w="11340"/>
          </w:cols>
          <w:pgMar w:left="240" w:top="526" w:right="319" w:bottom="1440" w:gutter="0" w:footer="0" w:header="0"/>
        </w:sect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526" w:right="319" w:bottom="1440" w:gutter="0" w:footer="0" w:header="0"/>
          <w:type w:val="continuous"/>
        </w:sectPr>
      </w:pPr>
    </w:p>
    <w:bookmarkStart w:id="20" w:name="page21"/>
    <w:bookmarkEnd w:id="20"/>
    <w:p>
      <w:pPr>
        <w:ind w:right="260"/>
        <w:spacing w:after="0" w:line="282" w:lineRule="auto"/>
        <w:rPr>
          <w:sz w:val="20"/>
          <w:szCs w:val="20"/>
          <w:color w:val="auto"/>
        </w:rPr>
      </w:pPr>
      <w:r>
        <w:rPr>
          <w:rFonts w:ascii="Times New Roman" w:cs="Times New Roman" w:eastAsia="Times New Roman" w:hAnsi="Times New Roman"/>
          <w:sz w:val="18"/>
          <w:szCs w:val="18"/>
          <w:color w:val="auto"/>
        </w:rPr>
        <w:t>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5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 maintained a reserve of $10.2 million as of September 30, 2019 relating to the acquisition of eGov Holdings, Inc. (d/b/a Aquilent) in the fourth quarter of fiscal 2017 for pre-acquisition period tax return uncertain tax positions.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78,658</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127,877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124,925</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62,690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71,816</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190,567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275,399</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360" w:firstLine="8"/>
        <w:spacing w:after="0" w:line="28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rent balance was reclassified to operating lease right-of-use assets on the condensed consolidated balance sheet as a result of the adoption of Topic 842. See Notes 2 and 10, respectively to our condensed consolidated financial statements.</w:t>
      </w:r>
    </w:p>
    <w:p>
      <w:pPr>
        <w:spacing w:after="0" w:line="1" w:lineRule="exact"/>
        <w:rPr>
          <w:rFonts w:ascii="Times New Roman" w:cs="Times New Roman" w:eastAsia="Times New Roman" w:hAnsi="Times New Roman"/>
          <w:sz w:val="18"/>
          <w:szCs w:val="18"/>
          <w:color w:val="auto"/>
        </w:rPr>
      </w:pPr>
    </w:p>
    <w:p>
      <w:pPr>
        <w:ind w:right="30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condensed financial statement presentation, components of other long-term liabilities at September 30, 2019 and March 31, 2019 primarily include the Company's long-term disability obligation, the long-term liability portion of the Company's derivative instruments, income tax reserves and deferred tax liabilities.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21" w:lineRule="exact"/>
        <w:rPr>
          <w:sz w:val="20"/>
          <w:szCs w:val="20"/>
          <w:color w:val="auto"/>
        </w:rPr>
      </w:pPr>
    </w:p>
    <w:p>
      <w:pPr>
        <w:ind w:right="160" w:firstLine="405"/>
        <w:spacing w:after="0" w:line="270" w:lineRule="auto"/>
        <w:rPr>
          <w:sz w:val="20"/>
          <w:szCs w:val="20"/>
          <w:color w:val="auto"/>
        </w:rPr>
      </w:pPr>
      <w:r>
        <w:rPr>
          <w:rFonts w:ascii="Times New Roman" w:cs="Times New Roman" w:eastAsia="Times New Roman" w:hAnsi="Times New Roman"/>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The Company has an annual matching contribution of up to 6% of eligible annual income as determined by the Internal Revenue Code for the ECAP. Total expense recognized under ECAP was $36.2 million and $33.6 million for the three months ended September 30,</w:t>
      </w:r>
    </w:p>
    <w:p>
      <w:pPr>
        <w:spacing w:after="0" w:line="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2019 and 2018, respectively, and $73.1 million and $66.2 million for the six months ended September 30, 2019 and 2018, respectively. The Company-paid contributions were $22.1 million and $16.9 million for the three months ended September 30, 2019 and 2018, respectively, and $42.0 million and $34.4 million for the six months ended September 30, 2019 and 2018, respectively.</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and Other Postretirement Benefit Plans</w:t>
      </w:r>
    </w:p>
    <w:p>
      <w:pPr>
        <w:spacing w:after="0" w:line="121"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net postretirement medical expense for the Officer Medical Plan were as follows: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634"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36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8"/>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98"/>
              </w:rPr>
              <w:t>1,215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1,282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2,564</w:t>
            </w: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loss</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1,054</w:t>
            </w:r>
          </w:p>
        </w:tc>
      </w:tr>
      <w:tr>
        <w:trPr>
          <w:trHeight w:val="237"/>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postretirement medical expense</w:t>
            </w:r>
          </w:p>
        </w:tc>
        <w:tc>
          <w:tcPr>
            <w:tcW w:w="86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8"/>
              </w:rPr>
              <w:t>2,454</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3,297</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6,594</w:t>
            </w:r>
          </w:p>
        </w:tc>
      </w:tr>
      <w:tr>
        <w:trPr>
          <w:trHeight w:val="27"/>
        </w:trPr>
        <w:tc>
          <w:tcPr>
            <w:tcW w:w="5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condensed consolidated statements of operations.</w:t>
      </w:r>
    </w:p>
    <w:p>
      <w:pPr>
        <w:spacing w:after="0" w:line="284"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2019 and March 31, 2019, the unfunded status of the post-retirement medical plan was $123.3 million and $120.3 million, respectively, which is included in other long-term liabilities in the accompanying condensed consolidated balance sheets.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Disability Benefits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$11.6 million at both September 30, 2019 and March 31, 2019, and is presented in other long-term liabilities in the accompanying consolidated balance sheets.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plan investments and obligations at September 30, 2019 and March 31, 2019 were $6.7 million and $3.2 million, respectively, and were recorded in other long term assets and in other long term liabilities, respectively, in the condensed consolidated balance sheets.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7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300" w:type="dxa"/>
            <w:vAlign w:val="bottom"/>
          </w:tcPr>
          <w:p>
            <w:pPr>
              <w:spacing w:after="0"/>
              <w:rPr>
                <w:sz w:val="20"/>
                <w:szCs w:val="20"/>
                <w:color w:val="auto"/>
              </w:rPr>
            </w:pPr>
          </w:p>
        </w:tc>
        <w:tc>
          <w:tcPr>
            <w:tcW w:w="380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Six Months Ended September 30, 2019</w:t>
            </w:r>
          </w:p>
        </w:tc>
      </w:tr>
      <w:tr>
        <w:trPr>
          <w:trHeight w:val="27"/>
        </w:trPr>
        <w:tc>
          <w:tcPr>
            <w:tcW w:w="3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designated as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r>
      <w:tr>
        <w:trPr>
          <w:trHeight w:val="225"/>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 (1)</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1"/>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5"/>
        </w:trPr>
        <w:tc>
          <w:tcPr>
            <w:tcW w:w="320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3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(19,929)</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comprehensive loss before reclassification for derivatives designated as cash flow hedges are recorded net of tax benefits of $1.8 million and $7.0 million for the three and six months ended September 30, 2019,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300" w:type="dxa"/>
            <w:vAlign w:val="bottom"/>
          </w:tcPr>
          <w:p>
            <w:pPr>
              <w:spacing w:after="0"/>
              <w:rPr>
                <w:sz w:val="20"/>
                <w:szCs w:val="20"/>
                <w:color w:val="auto"/>
              </w:rPr>
            </w:pPr>
          </w:p>
        </w:tc>
        <w:tc>
          <w:tcPr>
            <w:tcW w:w="380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Six Months Ended September 30, 2018</w:t>
            </w:r>
          </w:p>
        </w:tc>
      </w:tr>
      <w:tr>
        <w:trPr>
          <w:trHeight w:val="27"/>
        </w:trPr>
        <w:tc>
          <w:tcPr>
            <w:tcW w:w="3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designated as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r>
      <w:tr>
        <w:trPr>
          <w:trHeight w:val="225"/>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reclassifications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3,019</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3,019</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1"/>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r>
      <w:tr>
        <w:trPr>
          <w:trHeight w:val="205"/>
        </w:trPr>
        <w:tc>
          <w:tcPr>
            <w:tcW w:w="320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3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2,958</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3,789</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comprehensive income (loss) before reclassification for derivatives designated as cash flow hedges are recorded net of tax expenses of $0.4 million and $1.1 million for the three and six months ended September 30, 2018,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30" w:right="2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reclassifications out of accumulated other comprehensive loss to net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Post-retirement plans (Note 13):</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net actuarial loss included in net periodic benefit</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benefit (expense)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Derivatives designated as cash flow hedges (Note 9):</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Reclassification of hedge (loss) gain</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benefit (expense)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97"/>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condensed consolidated statements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3,978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11,336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9,287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condensed consolidated statements of operations by the following types of equity awards: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919</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8,642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12,346</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2019, there was $47.7 million of total unrecognized compensation cost related to unvested stock-based compensation agreements. The unrecognized compensation cost as of September 30, 2019 is expected to be fully amortized over the next 4.50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34" w:right="23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149"/>
        </w:trPr>
        <w:tc>
          <w:tcPr>
            <w:tcW w:w="7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Remaining</w:t>
            </w:r>
          </w:p>
        </w:tc>
      </w:tr>
      <w:tr>
        <w:trPr>
          <w:trHeight w:val="195"/>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to be Recognized (in years)</w:t>
            </w:r>
          </w:p>
        </w:tc>
      </w:tr>
      <w:tr>
        <w:trPr>
          <w:trHeight w:val="249"/>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4,990</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42,711</w:t>
            </w:r>
          </w:p>
        </w:tc>
        <w:tc>
          <w:tcPr>
            <w:tcW w:w="2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47,701</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2019, there were 2,075,077 EIP options outstanding, of which 821,634 were unvested.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Grants of Restricted Stock Units and Class A Restricted Common Stock</w:t>
      </w:r>
    </w:p>
    <w:p>
      <w:pPr>
        <w:spacing w:after="0" w:line="11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the Board of Directors granted 11,271 restricted stock units to certain employees of the Company and granted 30,389 shares of Class A Restricted Common Stock to members of the Board of Directors. The aggregate value of these awards was $2.9 million based on the grant date stock price, which ranged from $67.80 to $72.94.</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For the quarterly offering period that closed on September 30, 2019, 54,408 Class A Common Stock shares were purchased by employees under the Company's Employee Stock Purchase Plan, or ESPP. Since the program's inception, 2,540,103 shares have been purchased by employees.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 term deferred compensation costs (2)</w:t>
            </w:r>
          </w:p>
        </w:tc>
        <w:tc>
          <w:tcPr>
            <w:tcW w:w="2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consideration liability (3)</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derivative instruments (1)</w:t>
            </w:r>
          </w:p>
        </w:tc>
        <w:tc>
          <w:tcPr>
            <w:tcW w:w="2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 term derivative instruments (1)</w:t>
            </w: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23,834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 term deferred compensation costs (2)</w:t>
            </w:r>
          </w:p>
        </w:tc>
        <w:tc>
          <w:tcPr>
            <w:tcW w:w="2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29,935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37,884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58" w:right="25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900" w:type="dxa"/>
            <w:vAlign w:val="bottom"/>
          </w:tcPr>
          <w:p>
            <w:pPr>
              <w:spacing w:after="0"/>
              <w:rPr>
                <w:sz w:val="18"/>
                <w:szCs w:val="18"/>
                <w:color w:val="auto"/>
              </w:rPr>
            </w:pPr>
          </w:p>
        </w:tc>
      </w:tr>
      <w:tr>
        <w:trPr>
          <w:trHeight w:val="238"/>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as of March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derivative instruments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1,790</w:t>
            </w: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 term derivative instruments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deferred compensation costs (2)</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3,169</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5,573</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derivative instruments (1)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 term derivative instruments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4,347</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deferred compensation costs (2)</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3,169</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9,669</w:t>
            </w: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for further discussion on the Company’s derivative instruments designated as cash flow hedges.</w:t>
      </w:r>
    </w:p>
    <w:p>
      <w:pPr>
        <w:spacing w:after="0" w:line="68" w:lineRule="exact"/>
        <w:rPr>
          <w:rFonts w:ascii="Times New Roman" w:cs="Times New Roman" w:eastAsia="Times New Roman" w:hAnsi="Times New Roman"/>
          <w:sz w:val="18"/>
          <w:szCs w:val="18"/>
          <w:color w:val="auto"/>
        </w:rPr>
      </w:pPr>
    </w:p>
    <w:p>
      <w:pPr>
        <w:ind w:right="140"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1" w:lineRule="exact"/>
        <w:rPr>
          <w:rFonts w:ascii="Times New Roman" w:cs="Times New Roman" w:eastAsia="Times New Roman" w:hAnsi="Times New Roman"/>
          <w:sz w:val="18"/>
          <w:szCs w:val="18"/>
          <w:color w:val="auto"/>
        </w:rPr>
      </w:pPr>
    </w:p>
    <w:p>
      <w:pPr>
        <w:ind w:right="40"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contingent consideration liability of $3.6 million in connection with its acquisition of Aquilent in fiscal 2017. As of both September 30, 2019 and March 31, 2019, the estimated fair value of the contingent consideration liability was $1.2 million, and was valued using probability-weighted cash flows, which is based on the use of Level 3 fair value measurement inputs.</w:t>
      </w:r>
    </w:p>
    <w:p>
      <w:pPr>
        <w:spacing w:after="0" w:line="6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fair value of the Company's cash and cash equivalents, which are primarily Level 1 inputs, approximated its carrying values at September 30, 2019 and March 31, 2019. The fair value of the Company's debt instruments approximated its carrying value at September 30, 2019 and March 31, 2019.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Two of our directors currently serve on the board of directors of a subcontractor to which the Company subcontracted $15.6 million and $39.8 million of services for the three and six months ended September 30, 2019,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2019 and March 31, 2019, the Company was contingently liable under open standby letters of credit and bank guarantees issued by our banks in favor of third parties that totaled $9.2 million and $9.5 million, respectively. These letters of credit and bank guarantees primarily support insurance and bid and performance obligations. At September 30, 2019 and March 31, 2019, approximately $0.9 million and $1.0 million, respectively, of these instruments reduced the available borrowings under the Revolving Credit Facility. The remainder is guaranteed under a separate $15.0 million facility established in fiscal 2015 of which $6.7 million and $6.5 million were available to the Company at September 30, 2019 and March 31, 2019, respectively.</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92" w:right="239" w:bottom="1440" w:gutter="0" w:footer="0" w:header="0"/>
        </w:sectPr>
      </w:pPr>
    </w:p>
    <w:bookmarkStart w:id="26" w:name="page27"/>
    <w:bookmarkEnd w:id="26"/>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2019 and 2018, approximately 97% and 96% of the Company's revenue, respectively, was generated from contracts where the end user was an agency or department of the U.S. government, including contracts where the Company performed either as a prime contractor or subcontractor, and regardless of the geographic location in which the work was performed. For both the six months ended September 30, 2019 and 2018, approximately 97% of the Company's revenue was generated from such contracts.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September 30, 2019 and March 31, 2019, the Company had recorded liabilities of approximately $207.9 million and $195.3 million, respectively, for its current best estimate of amounts to be refunded to customers for potential adjustments from audits or reviews of contract costs incurred subsequent to fiscal 2011, and for contracts not yet closed that are impacted by settlement of audits or reviews of contract costs incurred in prior fiscal years.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2019 and March 31, 2019, there were no material amounts accrued in the condensed consolidated financial statements related to these proceedings.</w:t>
      </w:r>
    </w:p>
    <w:p>
      <w:pPr>
        <w:spacing w:after="0" w:line="85"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34" w:right="239" w:bottom="1440" w:gutter="0" w:footer="0" w:header="0"/>
        </w:sectPr>
      </w:pPr>
    </w:p>
    <w:bookmarkStart w:id="27" w:name="page28"/>
    <w:bookmarkEnd w:id="27"/>
    <w:p>
      <w:pPr>
        <w:ind w:right="140"/>
        <w:spacing w:after="0" w:line="255" w:lineRule="auto"/>
        <w:rPr>
          <w:sz w:val="20"/>
          <w:szCs w:val="20"/>
          <w:color w:val="auto"/>
        </w:rPr>
      </w:pPr>
      <w:r>
        <w:rPr>
          <w:rFonts w:ascii="Times New Roman" w:cs="Times New Roman" w:eastAsia="Times New Roman" w:hAnsi="Times New Roman"/>
          <w:sz w:val="18"/>
          <w:szCs w:val="18"/>
          <w:color w:val="auto"/>
        </w:rPr>
        <w:t>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Securities Exchange Act of 1934, as amended, or the Exchange Act. On June 2, 2019, the United States District Court for the Southern District of New York granted defendants' motion to dismiss the amended complaint in its entirety. On July 11, 2019, the plaintiff filed a notice to appeal the ruling. On October 17, 2019, the plaintiff and the defendants reached an agreement to settle this matter. Pursuant to that agreement, the plaintiff is obligated to dismiss his appeal.</w:t>
      </w:r>
    </w:p>
    <w:p>
      <w:pPr>
        <w:spacing w:after="0" w:line="77" w:lineRule="exact"/>
        <w:rPr>
          <w:sz w:val="20"/>
          <w:szCs w:val="20"/>
          <w:color w:val="auto"/>
        </w:rPr>
      </w:pPr>
    </w:p>
    <w:p>
      <w:pPr>
        <w:ind w:firstLine="392"/>
        <w:spacing w:after="0" w:line="254" w:lineRule="auto"/>
        <w:rPr>
          <w:sz w:val="20"/>
          <w:szCs w:val="20"/>
          <w:color w:val="auto"/>
        </w:rPr>
      </w:pPr>
      <w:r>
        <w:rPr>
          <w:rFonts w:ascii="Times New Roman" w:cs="Times New Roman" w:eastAsia="Times New Roman" w:hAnsi="Times New Roman"/>
          <w:sz w:val="18"/>
          <w:szCs w:val="18"/>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8" w:lineRule="exact"/>
        <w:rPr>
          <w:sz w:val="20"/>
          <w:szCs w:val="20"/>
          <w:color w:val="auto"/>
        </w:rPr>
      </w:pPr>
    </w:p>
    <w:p>
      <w:pPr>
        <w:ind w:right="40" w:firstLine="392"/>
        <w:spacing w:after="0" w:line="254" w:lineRule="auto"/>
        <w:rPr>
          <w:sz w:val="20"/>
          <w:szCs w:val="20"/>
          <w:color w:val="auto"/>
        </w:rPr>
      </w:pPr>
      <w:r>
        <w:rPr>
          <w:rFonts w:ascii="Times New Roman" w:cs="Times New Roman" w:eastAsia="Times New Roman" w:hAnsi="Times New Roman"/>
          <w:sz w:val="18"/>
          <w:szCs w:val="18"/>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81" w:lineRule="exact"/>
        <w:rPr>
          <w:sz w:val="20"/>
          <w:szCs w:val="20"/>
          <w:color w:val="auto"/>
        </w:rPr>
      </w:pPr>
    </w:p>
    <w:p>
      <w:pPr>
        <w:ind w:right="60" w:firstLine="392"/>
        <w:spacing w:after="0" w:line="255"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a status conference on October 31, 2019, the court ordered the parties to meet and confer and submit a status report by November 29, 2019. At this stage of the lawsuit, the Company is not able to reasonably estimate the expected amount or range of cost or any loss associated with the lawsuit.</w:t>
      </w:r>
    </w:p>
    <w:p>
      <w:pPr>
        <w:spacing w:after="0" w:line="2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2019 filed with the Securities and Exchange Commission on May 28, 2019, or Annual Report, and under Part II, “Item 1A. Risk Factors,” and “— Special Note Regarding</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34" w:right="239" w:bottom="1440" w:gutter="0" w:footer="0" w:header="0"/>
        </w:sectPr>
      </w:pPr>
    </w:p>
    <w:bookmarkStart w:id="28" w:name="page29"/>
    <w:bookmarkEnd w:id="28"/>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Forward Looking Statements” of this Quarterly Report. Our actual results may differ materially from those contained in or implied by any forward-looking statements.</w:t>
      </w:r>
    </w:p>
    <w:p>
      <w:pPr>
        <w:spacing w:after="0" w:line="104" w:lineRule="exact"/>
        <w:rPr>
          <w:sz w:val="20"/>
          <w:szCs w:val="20"/>
          <w:color w:val="auto"/>
        </w:rPr>
      </w:pPr>
    </w:p>
    <w:p>
      <w:pPr>
        <w:ind w:right="8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8"/>
          <w:szCs w:val="18"/>
          <w:b w:val="1"/>
          <w:bCs w:val="1"/>
          <w:color w:val="auto"/>
        </w:rPr>
        <w:t>Overview</w:t>
      </w:r>
    </w:p>
    <w:p>
      <w:pPr>
        <w:spacing w:after="0" w:line="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a leading provider of management and technology consulting, analytics, digital solutions, engineering,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27,000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8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Southeast Asia.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121"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Effective April 1, 2019, the Company adopted Accounting Standard Codification (ASC) No. 842 Leases (Topic 842), using the modified retrospective transition approach and, as a result, comparative information for the prior fiscal year has not been retrospectively adjusted. See Note 2 to our accompanying condensed consolidated financial statements for more information on the impact of the adoption of this accounting standard.</w:t>
      </w:r>
    </w:p>
    <w:p>
      <w:pPr>
        <w:spacing w:after="0" w:line="6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2020, the Company generated year over year revenue growth, delivered improved earnings over the prior year period, increased client staff headcount, and achieved record backlog for a second quarter.</w:t>
      </w:r>
    </w:p>
    <w:p>
      <w:pPr>
        <w:spacing w:after="0" w:line="5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12.7% from the three months ended September 30, 2018 to the three months ended September 30, 2019 and increased 11.8% from the six months ended September 30, 2018 to the six months ended September 30, 2019 primarily driven by sustained strength in client demand and headcount growth. Revenue also benefited from higher billable expenses as compared to the prior year period.</w:t>
      </w:r>
    </w:p>
    <w:p>
      <w:pPr>
        <w:spacing w:after="0" w:line="6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Operating income increased 19.7% to $172.0 million in the three months ended September 30, 2019 from $143.8 million in the three months ended September 30, 2018, while operating margin increased to 9.5% from 8.9% in the comparable period. Operating income increased $45.7 million to $351.1 million in the six months ended September 30, 2019 from $305.4 million in the six months ended September 30, 2018, while operating margin increased to 9.6% from 9.4% in the comparable period. The increase in the current quarter operating income was primarily driven by the same factors as growth in revenue as well as improved contract performance compared to the prior year period. The Company also incurred incremental legal costs during the three and six months ended September 30, 2019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686"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98" w:lineRule="exact"/>
        <w:rPr>
          <w:sz w:val="20"/>
          <w:szCs w:val="20"/>
          <w:color w:val="auto"/>
        </w:rPr>
      </w:pPr>
    </w:p>
    <w:p>
      <w:pPr>
        <w:ind w:left="1300" w:right="10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represents operating income before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1" w:lineRule="exact"/>
        <w:rPr>
          <w:rFonts w:ascii="Times New Roman" w:cs="Times New Roman" w:eastAsia="Times New Roman" w:hAnsi="Times New Roman"/>
          <w:sz w:val="18"/>
          <w:szCs w:val="18"/>
          <w:color w:val="auto"/>
        </w:rPr>
      </w:pPr>
    </w:p>
    <w:p>
      <w:pPr>
        <w:ind w:left="1300" w:right="80" w:hanging="644"/>
        <w:spacing w:after="0" w:line="255"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81"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represents net income before: (i) transaction costs, fees, losses, and expenses, including fees associated with debt prepayments, (ii) amortization or write-off of debt issuance costs and write-off of original issue discount, (iii) release of income tax reserves, and (iv) re-measurement of deferred tax assets and liabilities as a result of the Tax Cuts and Jobs Act (the "2017 Tax Act") in each case net of the tax effect where appropriate calculated using an assumed effective tax rate. We prepare Adjusted Net Income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630" w:right="259" w:bottom="1440" w:gutter="0" w:footer="0" w:header="0"/>
        </w:sectPr>
      </w:pPr>
    </w:p>
    <w:bookmarkStart w:id="30" w:name="page31"/>
    <w:bookmarkEnd w:id="30"/>
    <w:p>
      <w:pPr>
        <w:ind w:left="644" w:right="40"/>
        <w:spacing w:after="0" w:line="305" w:lineRule="auto"/>
        <w:rPr>
          <w:sz w:val="20"/>
          <w:szCs w:val="20"/>
          <w:color w:val="auto"/>
        </w:rPr>
      </w:pPr>
      <w:r>
        <w:rPr>
          <w:rFonts w:ascii="Times New Roman" w:cs="Times New Roman" w:eastAsia="Times New Roman" w:hAnsi="Times New Roman"/>
          <w:sz w:val="18"/>
          <w:szCs w:val="18"/>
          <w:color w:val="auto"/>
        </w:rPr>
        <w:t>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49" w:lineRule="exact"/>
        <w:rPr>
          <w:sz w:val="20"/>
          <w:szCs w:val="20"/>
          <w:color w:val="auto"/>
        </w:rPr>
      </w:pPr>
    </w:p>
    <w:p>
      <w:pPr>
        <w:ind w:left="644" w:hanging="644"/>
        <w:spacing w:after="0" w:line="266"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68" w:lineRule="exact"/>
        <w:rPr>
          <w:rFonts w:ascii="Times New Roman" w:cs="Times New Roman" w:eastAsia="Times New Roman" w:hAnsi="Times New Roman"/>
          <w:sz w:val="18"/>
          <w:szCs w:val="18"/>
          <w:color w:val="auto"/>
        </w:rPr>
      </w:pPr>
    </w:p>
    <w:p>
      <w:pPr>
        <w:ind w:left="644" w:right="520" w:hanging="644"/>
        <w:spacing w:after="0" w:line="282"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equipment and software.</w:t>
      </w:r>
    </w:p>
    <w:p>
      <w:pPr>
        <w:spacing w:after="0" w:line="18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44"/>
          </w:cols>
          <w:pgMar w:left="896" w:top="661" w:right="259" w:bottom="1440" w:gutter="0" w:footer="0" w:header="0"/>
        </w:sectPr>
      </w:pPr>
    </w:p>
    <w:bookmarkStart w:id="31" w:name="page32"/>
    <w:bookmarkEnd w:id="31"/>
    <w:p>
      <w:pPr>
        <w:ind w:firstLine="405"/>
        <w:spacing w:after="0" w:line="266" w:lineRule="auto"/>
        <w:rPr>
          <w:sz w:val="20"/>
          <w:szCs w:val="20"/>
          <w:color w:val="auto"/>
        </w:rPr>
      </w:pPr>
      <w:r>
        <w:rPr>
          <w:rFonts w:ascii="Times New Roman" w:cs="Times New Roman" w:eastAsia="Times New Roman" w:hAnsi="Times New Roman"/>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900" w:type="dxa"/>
            <w:vAlign w:val="bottom"/>
            <w:gridSpan w:val="4"/>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3"/>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1,819,577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1,613,997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3,644,753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3,260,845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Billable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539,846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478,349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1,091,021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955,784</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 Excluding Billable Expenses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1,279,731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1,135,648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2,553,732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2,305,061</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172,035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143,751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351,081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305,363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Transaction expenses (a)</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172,035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147,411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351,081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309,023</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6480" w:type="dxa"/>
            <w:vAlign w:val="bottom"/>
            <w:gridSpan w:val="3"/>
            <w:shd w:val="clear" w:color="auto" w:fill="CCEEFF"/>
          </w:tcPr>
          <w:p>
            <w:pPr>
              <w:ind w:left="40"/>
              <w:spacing w:after="0" w:line="175" w:lineRule="exact"/>
              <w:rPr>
                <w:sz w:val="20"/>
                <w:szCs w:val="20"/>
                <w:color w:val="auto"/>
              </w:rPr>
            </w:pPr>
            <w:r>
              <w:rPr>
                <w:rFonts w:ascii="Times New Roman" w:cs="Times New Roman" w:eastAsia="Times New Roman" w:hAnsi="Times New Roman"/>
                <w:sz w:val="18"/>
                <w:szCs w:val="18"/>
                <w:b w:val="1"/>
                <w:bCs w:val="1"/>
                <w:i w:val="1"/>
                <w:iCs w:val="1"/>
                <w:color w:val="auto"/>
              </w:rPr>
              <w:t>EBITDA, Adjusted EBITDA, Adjusted EBITDA Margin on Revenue &amp; Adjusted</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EBITDA Margin on Revenue, Excluding Billable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114,325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92,713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231,711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196,917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33,852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72,296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60,337</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other, net (b)</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23,858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23,864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47,074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48,109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19,632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16,426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191,667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160,177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390,734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337,942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Transaction expenses (a)</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191,667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163,837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390,734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341,602</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Adjusted EBITDA Margin on Revenue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4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Adjusted EBITDA Margin on Revenue, Excluding Billable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114,325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92,713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231,711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196,917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Transaction expenses (a)</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Re-measurement of deferred tax assets/liabilities (c)</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or write-off of debt issuance costs and write-off of</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original issue discount</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Adjustments for tax effect (d)</w:t>
            </w: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114,771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97,377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232,495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202,072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141,362,136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9"/>
              </w:rPr>
              <w:t>143,708,909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141,252,917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144,215,073</w:t>
            </w:r>
          </w:p>
        </w:tc>
        <w:tc>
          <w:tcPr>
            <w:tcW w:w="0" w:type="dxa"/>
            <w:vAlign w:val="bottom"/>
          </w:tcPr>
          <w:p>
            <w:pPr>
              <w:spacing w:after="0"/>
              <w:rPr>
                <w:sz w:val="1"/>
                <w:szCs w:val="1"/>
                <w:color w:val="auto"/>
              </w:rPr>
            </w:pPr>
          </w:p>
        </w:tc>
      </w:tr>
      <w:tr>
        <w:trPr>
          <w:trHeight w:val="237"/>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Net Income Per Diluted Share (e)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215,696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301,604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266,679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274,567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Purchases of property, equipment and software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(32,642)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(39,672)</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183,054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282,397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206,701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234,895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debt refinancing costs incurred in connection with the refinancing transaction consummated on July 23, 2018.</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combination of Interest expense and Other income (expense), net from the condensed consolidated statement of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58" w:right="239" w:bottom="1440" w:gutter="0" w:footer="0" w:header="0"/>
        </w:sectPr>
      </w:pPr>
    </w:p>
    <w:bookmarkStart w:id="32" w:name="page33"/>
    <w:bookmarkEnd w:id="32"/>
    <w:p>
      <w:pPr>
        <w:ind w:left="652" w:hanging="65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made to the provisional income tax benefit associated with the re-measurement of the Company’s deferred tax assets and liabilities as a result of the 2017 Tax Act.</w:t>
      </w:r>
    </w:p>
    <w:p>
      <w:pPr>
        <w:spacing w:after="0" w:line="53" w:lineRule="exact"/>
        <w:rPr>
          <w:rFonts w:ascii="Times New Roman" w:cs="Times New Roman" w:eastAsia="Times New Roman" w:hAnsi="Times New Roman"/>
          <w:sz w:val="18"/>
          <w:szCs w:val="18"/>
          <w:color w:val="auto"/>
        </w:rPr>
      </w:pPr>
    </w:p>
    <w:p>
      <w:pPr>
        <w:ind w:left="652" w:right="420" w:hanging="65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adjustments at an assumed effective tax rate of 26%, which approximates the blended federal and state tax rate and consistently excludes the impact of other tax credits and incentive benefits realized.</w:t>
      </w:r>
    </w:p>
    <w:p>
      <w:pPr>
        <w:spacing w:after="0" w:line="53" w:lineRule="exact"/>
        <w:rPr>
          <w:rFonts w:ascii="Times New Roman" w:cs="Times New Roman" w:eastAsia="Times New Roman" w:hAnsi="Times New Roman"/>
          <w:sz w:val="18"/>
          <w:szCs w:val="18"/>
          <w:color w:val="auto"/>
        </w:rPr>
      </w:pPr>
    </w:p>
    <w:p>
      <w:pPr>
        <w:ind w:left="652" w:right="60" w:hanging="65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of approximately $0.6 million and $1.2 million of net earnings for the three and six months ended September 30, 2019 and 2018, respectively, associated with the application of the two-class method for computing diluted earnings per share.</w:t>
      </w:r>
    </w:p>
    <w:p>
      <w:pPr>
        <w:spacing w:after="0" w:line="189"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52"/>
          </w:cols>
          <w:pgMar w:left="248" w:top="634"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54" w:lineRule="exact"/>
        <w:rPr>
          <w:sz w:val="20"/>
          <w:szCs w:val="20"/>
          <w:color w:val="auto"/>
        </w:rPr>
      </w:pPr>
    </w:p>
    <w:p>
      <w:pPr>
        <w:ind w:left="1300" w:right="80" w:hanging="644"/>
        <w:spacing w:after="0" w:line="25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 Payer Relief Act of 2012, the Bipartisan Budget Act of 2013, the Bipartisan Budget Act of 2015, and the Bipartisan Budget Act of 2018, and address the ability of Congress to determine how to allocate the available budget authority and pass appropriations bills to fund both U.S. government departments and agencies that are, and those that are not, subject to the caps;</w:t>
      </w:r>
    </w:p>
    <w:p>
      <w:pPr>
        <w:spacing w:after="0" w:line="79"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54"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81"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53"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1"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53"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630" w:right="259" w:bottom="1440" w:gutter="0" w:footer="0" w:header="0"/>
        </w:sectPr>
      </w:pPr>
    </w:p>
    <w:bookmarkStart w:id="34" w:name="page35"/>
    <w:bookmarkEnd w:id="34"/>
    <w:p>
      <w:pPr>
        <w:ind w:left="1300" w:right="16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53"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53"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68" w:lineRule="exact"/>
        <w:rPr>
          <w:rFonts w:ascii="Times New Roman" w:cs="Times New Roman" w:eastAsia="Times New Roman" w:hAnsi="Times New Roman"/>
          <w:sz w:val="18"/>
          <w:szCs w:val="18"/>
          <w:color w:val="auto"/>
        </w:rPr>
      </w:pPr>
    </w:p>
    <w:p>
      <w:pPr>
        <w:ind w:left="1300" w:right="200" w:hanging="644"/>
        <w:spacing w:after="0" w:line="289"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0" w:lineRule="exact"/>
        <w:rPr>
          <w:rFonts w:ascii="Times New Roman" w:cs="Times New Roman" w:eastAsia="Times New Roman" w:hAnsi="Times New Roman"/>
          <w:sz w:val="17"/>
          <w:szCs w:val="17"/>
          <w:color w:val="auto"/>
        </w:rPr>
      </w:pPr>
    </w:p>
    <w:p>
      <w:pPr>
        <w:ind w:left="1300" w:right="520" w:hanging="644"/>
        <w:spacing w:after="0" w:line="313"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30" w:lineRule="exact"/>
        <w:rPr>
          <w:rFonts w:ascii="Times New Roman" w:cs="Times New Roman" w:eastAsia="Times New Roman" w:hAnsi="Times New Roman"/>
          <w:sz w:val="17"/>
          <w:szCs w:val="17"/>
          <w:color w:val="auto"/>
        </w:rPr>
      </w:pPr>
    </w:p>
    <w:p>
      <w:pPr>
        <w:jc w:val="both"/>
        <w:ind w:left="1300" w:right="1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68" w:lineRule="exact"/>
        <w:rPr>
          <w:rFonts w:ascii="Times New Roman" w:cs="Times New Roman" w:eastAsia="Times New Roman" w:hAnsi="Times New Roman"/>
          <w:sz w:val="18"/>
          <w:szCs w:val="18"/>
          <w:color w:val="auto"/>
        </w:rPr>
      </w:pPr>
    </w:p>
    <w:p>
      <w:pPr>
        <w:jc w:val="both"/>
        <w:ind w:left="1300" w:right="46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and the Bipartisan Budget Act of 2018), provides for automatic spending cuts (referred to as sequestration) totaling approximately $1.2 trillion between 2013 and 2021, including an estimated $500 billion in federal defense spending cuts over this time period. The Bipartisan Budget Act of 2018 raised BCA spending caps on defense spending by $80 billion for government fiscal 2018, and $85 billion for government fiscal 2019. For non-defense funding, the Bipartisan Budget Act of 2018 raised BCA spending caps by $63 billion for government fiscal 2018 and $67 billion for government fiscal 2019. While the American Taxpayer Relief Act of 2012, the Bipartisan Budget Act of 2013, the Bipartisan Budget Act of 2015, and the Bipartisan Budget Act of 2018 all negated and raised budget limits put in place by the BCA for both defense and non-defense spending, those spending limits are due to return in fiscal 2020, and absent another budget deal, could result in significant cuts to the budget levels allowed by the Bipartisan Budget Act of 2018.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5" w:lineRule="exact"/>
        <w:rPr>
          <w:sz w:val="20"/>
          <w:szCs w:val="20"/>
          <w:color w:val="auto"/>
        </w:rPr>
      </w:pPr>
    </w:p>
    <w:p>
      <w:pPr>
        <w:ind w:left="1960" w:right="20" w:hanging="655"/>
        <w:spacing w:after="0" w:line="257" w:lineRule="auto"/>
        <w:tabs>
          <w:tab w:leader="none" w:pos="19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634" w:right="259" w:bottom="1440" w:gutter="0" w:footer="0" w:header="0"/>
        </w:sectPr>
      </w:pPr>
    </w:p>
    <w:bookmarkStart w:id="35" w:name="page36"/>
    <w:bookmarkEnd w:id="35"/>
    <w:p>
      <w:pPr>
        <w:ind w:left="1960" w:right="120"/>
        <w:spacing w:after="0" w:line="308" w:lineRule="auto"/>
        <w:rPr>
          <w:sz w:val="20"/>
          <w:szCs w:val="20"/>
          <w:color w:val="auto"/>
        </w:rPr>
      </w:pPr>
      <w:r>
        <w:rPr>
          <w:rFonts w:ascii="Times New Roman" w:cs="Times New Roman" w:eastAsia="Times New Roman" w:hAnsi="Times New Roman"/>
          <w:sz w:val="18"/>
          <w:szCs w:val="18"/>
          <w:color w:val="auto"/>
        </w:rPr>
        <w:t>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43" w:lineRule="exact"/>
        <w:rPr>
          <w:sz w:val="20"/>
          <w:szCs w:val="20"/>
          <w:color w:val="auto"/>
        </w:rPr>
      </w:pPr>
    </w:p>
    <w:p>
      <w:pPr>
        <w:ind w:left="1960" w:right="220" w:hanging="655"/>
        <w:spacing w:after="0" w:line="257" w:lineRule="auto"/>
        <w:tabs>
          <w:tab w:leader="none" w:pos="19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contracts in this category, we are paid a fixed hourly rate for each direct labor hour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4" w:lineRule="exact"/>
        <w:rPr>
          <w:rFonts w:ascii="Times New Roman" w:cs="Times New Roman" w:eastAsia="Times New Roman" w:hAnsi="Times New Roman"/>
          <w:sz w:val="18"/>
          <w:szCs w:val="18"/>
          <w:i w:val="1"/>
          <w:iCs w:val="1"/>
          <w:color w:val="auto"/>
        </w:rPr>
      </w:pPr>
    </w:p>
    <w:p>
      <w:pPr>
        <w:ind w:left="1960" w:right="140" w:hanging="655"/>
        <w:spacing w:after="0" w:line="257" w:lineRule="auto"/>
        <w:tabs>
          <w:tab w:leader="none" w:pos="19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77" w:lineRule="exact"/>
        <w:rPr>
          <w:sz w:val="20"/>
          <w:szCs w:val="20"/>
          <w:color w:val="auto"/>
        </w:rPr>
      </w:pPr>
    </w:p>
    <w:p>
      <w:pPr>
        <w:ind w:right="60" w:firstLine="405"/>
        <w:spacing w:after="0" w:line="270" w:lineRule="auto"/>
        <w:rPr>
          <w:sz w:val="20"/>
          <w:szCs w:val="20"/>
          <w:color w:val="auto"/>
        </w:rPr>
      </w:pPr>
      <w:r>
        <w:rPr>
          <w:rFonts w:ascii="Times New Roman" w:cs="Times New Roman" w:eastAsia="Times New Roman" w:hAnsi="Times New Roman"/>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2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120" w:type="dxa"/>
            <w:vAlign w:val="bottom"/>
            <w:gridSpan w:val="3"/>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2120" w:type="dxa"/>
            <w:vAlign w:val="bottom"/>
            <w:gridSpan w:val="3"/>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Cost-reimbursable</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6"/>
              </w:rPr>
              <w:t>57%</w:t>
            </w:r>
          </w:p>
        </w:tc>
        <w:tc>
          <w:tcPr>
            <w:tcW w:w="2080" w:type="dxa"/>
            <w:vAlign w:val="bottom"/>
            <w:tcBorders>
              <w:bottom w:val="single" w:sz="8" w:color="CCEEFF"/>
            </w:tcBorders>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6"/>
              </w:rPr>
              <w:t>53%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6"/>
              </w:rPr>
              <w:t>56%</w:t>
            </w:r>
          </w:p>
        </w:tc>
        <w:tc>
          <w:tcPr>
            <w:tcW w:w="2120" w:type="dxa"/>
            <w:vAlign w:val="bottom"/>
            <w:tcBorders>
              <w:bottom w:val="single" w:sz="8" w:color="CCEEFF"/>
            </w:tcBorders>
            <w:gridSpan w:val="3"/>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6"/>
              </w:rPr>
              <w:t>53%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Time-and-materials</w:t>
            </w:r>
          </w:p>
        </w:tc>
        <w:tc>
          <w:tcPr>
            <w:tcW w:w="1000" w:type="dxa"/>
            <w:vAlign w:val="bottom"/>
          </w:tcPr>
          <w:p>
            <w:pPr>
              <w:jc w:val="center"/>
              <w:ind w:left="397"/>
              <w:spacing w:after="0"/>
              <w:rPr>
                <w:sz w:val="20"/>
                <w:szCs w:val="20"/>
                <w:color w:val="auto"/>
              </w:rPr>
            </w:pPr>
            <w:r>
              <w:rPr>
                <w:rFonts w:ascii="Times New Roman" w:cs="Times New Roman" w:eastAsia="Times New Roman" w:hAnsi="Times New Roman"/>
                <w:sz w:val="18"/>
                <w:szCs w:val="18"/>
                <w:color w:val="auto"/>
                <w:w w:val="96"/>
              </w:rPr>
              <w:t>23%</w:t>
            </w:r>
          </w:p>
        </w:tc>
        <w:tc>
          <w:tcPr>
            <w:tcW w:w="2080" w:type="dxa"/>
            <w:vAlign w:val="bottom"/>
            <w:gridSpan w:val="3"/>
          </w:tcPr>
          <w:p>
            <w:pPr>
              <w:jc w:val="center"/>
              <w:ind w:left="514"/>
              <w:spacing w:after="0"/>
              <w:rPr>
                <w:sz w:val="20"/>
                <w:szCs w:val="20"/>
                <w:color w:val="auto"/>
              </w:rPr>
            </w:pPr>
            <w:r>
              <w:rPr>
                <w:rFonts w:ascii="Times New Roman" w:cs="Times New Roman" w:eastAsia="Times New Roman" w:hAnsi="Times New Roman"/>
                <w:sz w:val="18"/>
                <w:szCs w:val="18"/>
                <w:color w:val="auto"/>
                <w:w w:val="96"/>
              </w:rPr>
              <w:t>24%</w:t>
            </w:r>
          </w:p>
        </w:tc>
        <w:tc>
          <w:tcPr>
            <w:tcW w:w="120" w:type="dxa"/>
            <w:vAlign w:val="bottom"/>
          </w:tcPr>
          <w:p>
            <w:pPr>
              <w:spacing w:after="0"/>
              <w:rPr>
                <w:sz w:val="21"/>
                <w:szCs w:val="21"/>
                <w:color w:val="auto"/>
              </w:rPr>
            </w:pPr>
          </w:p>
        </w:tc>
        <w:tc>
          <w:tcPr>
            <w:tcW w:w="94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6"/>
              </w:rPr>
              <w:t>23%</w:t>
            </w:r>
          </w:p>
        </w:tc>
        <w:tc>
          <w:tcPr>
            <w:tcW w:w="2120" w:type="dxa"/>
            <w:vAlign w:val="bottom"/>
            <w:gridSpan w:val="3"/>
          </w:tcPr>
          <w:p>
            <w:pPr>
              <w:jc w:val="center"/>
              <w:ind w:left="557"/>
              <w:spacing w:after="0"/>
              <w:rPr>
                <w:sz w:val="20"/>
                <w:szCs w:val="20"/>
                <w:color w:val="auto"/>
              </w:rPr>
            </w:pPr>
            <w:r>
              <w:rPr>
                <w:rFonts w:ascii="Times New Roman" w:cs="Times New Roman" w:eastAsia="Times New Roman" w:hAnsi="Times New Roman"/>
                <w:sz w:val="18"/>
                <w:szCs w:val="18"/>
                <w:color w:val="auto"/>
                <w:w w:val="96"/>
              </w:rPr>
              <w:t>24%</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Fixed-price</w:t>
            </w:r>
          </w:p>
        </w:tc>
        <w:tc>
          <w:tcPr>
            <w:tcW w:w="100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6"/>
              </w:rPr>
              <w:t>20%</w:t>
            </w:r>
          </w:p>
        </w:tc>
        <w:tc>
          <w:tcPr>
            <w:tcW w:w="208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6"/>
              </w:rPr>
              <w:t>23%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6"/>
              </w:rPr>
              <w:t>21%</w:t>
            </w:r>
          </w:p>
        </w:tc>
        <w:tc>
          <w:tcPr>
            <w:tcW w:w="2120" w:type="dxa"/>
            <w:vAlign w:val="bottom"/>
            <w:gridSpan w:val="3"/>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6"/>
              </w:rPr>
              <w:t>23%</w:t>
            </w:r>
          </w:p>
        </w:tc>
      </w:tr>
      <w:tr>
        <w:trPr>
          <w:trHeight w:val="27"/>
        </w:trPr>
        <w:tc>
          <w:tcPr>
            <w:tcW w:w="5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61" w:right="239" w:bottom="1440" w:gutter="0" w:footer="0" w:header="0"/>
        </w:sectPr>
      </w:pPr>
    </w:p>
    <w:bookmarkStart w:id="36" w:name="page37"/>
    <w:bookmarkEnd w:id="36"/>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2019 and 2018, we employed approximately 27,000 and 25,300 people, respectively, of which approximately 24,100 and 22,800, respectively, were consulting staff.</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15" w:lineRule="exact"/>
        <w:rPr>
          <w:sz w:val="20"/>
          <w:szCs w:val="20"/>
          <w:color w:val="auto"/>
        </w:rPr>
      </w:pPr>
    </w:p>
    <w:p>
      <w:pPr>
        <w:ind w:left="1300" w:right="760" w:hanging="644"/>
        <w:spacing w:after="0" w:line="284" w:lineRule="auto"/>
        <w:tabs>
          <w:tab w:leader="none" w:pos="13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appropriated or otherwise authorized less revenue previously recognized on these contracts.</w:t>
      </w:r>
    </w:p>
    <w:p>
      <w:pPr>
        <w:spacing w:after="0" w:line="50" w:lineRule="exact"/>
        <w:rPr>
          <w:rFonts w:ascii="Times New Roman" w:cs="Times New Roman" w:eastAsia="Times New Roman" w:hAnsi="Times New Roman"/>
          <w:sz w:val="18"/>
          <w:szCs w:val="18"/>
          <w:i w:val="1"/>
          <w:iCs w:val="1"/>
          <w:color w:val="auto"/>
        </w:rPr>
      </w:pPr>
    </w:p>
    <w:p>
      <w:pPr>
        <w:ind w:left="1300" w:right="640" w:hanging="644"/>
        <w:spacing w:after="0" w:line="28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(including optional orders) for services under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for which funding has not been appropriated or otherwise authorized.</w:t>
      </w:r>
    </w:p>
    <w:p>
      <w:pPr>
        <w:spacing w:after="0" w:line="50"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exercised at our clients’ option and for which funding has not been appropriated or otherwise authorized.</w:t>
      </w:r>
    </w:p>
    <w:p>
      <w:pPr>
        <w:spacing w:after="0" w:line="52"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at the respective dates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172085</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66"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5" w:lineRule="exact"/>
        <w:rPr>
          <w:sz w:val="20"/>
          <w:szCs w:val="20"/>
          <w:color w:val="auto"/>
        </w:rPr>
      </w:pPr>
    </w:p>
    <w:p>
      <w:pPr>
        <w:ind w:left="87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Backlog: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Funded</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4,183</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4,777</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Priced options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12,412</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backlog</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21,372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total backlog consists of remaining performance obligations, certain orders under contracts for which the period of performance has expired, and unexercised option periods and other unexercised optional orders. As of September 30, 2019, the Company had $7.6 billion of remaining performance obligations and we expect to recognize more than half of the remaining performance obligations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2019,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8"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We view growth in total backlog and consulting staff headcount as the two key measures of our potential business growth. Growing and deploying consulting staff is the primary means by which we are able to achieve profitable revenue growth. To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34" w:right="23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t>extent that we are able to hire additional consulting staff and deploy them against funded backlog, we generally recognize increased revenue. Total backlog increased by 7.2% from September 30, 2018 to September 30, 2019. Additions to funded backlog during the twelve months ended September 30, 2019 totaled $7.3 billion in comparison to $7.0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8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5.2% of total backlog as of September 30, 2019 and any of the four preceding fiscal quarters.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0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15" w:lineRule="exact"/>
        <w:rPr>
          <w:sz w:val="20"/>
          <w:szCs w:val="20"/>
          <w:color w:val="auto"/>
        </w:rPr>
      </w:pPr>
    </w:p>
    <w:p>
      <w:pPr>
        <w:ind w:left="1300" w:right="580" w:hanging="644"/>
        <w:spacing w:after="0" w:line="284"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indirect labor relating to infrastructure, management and administration, and other expenses.</w:t>
      </w:r>
    </w:p>
    <w:p>
      <w:pPr>
        <w:spacing w:after="0" w:line="50" w:lineRule="exact"/>
        <w:rPr>
          <w:rFonts w:ascii="Times New Roman" w:cs="Times New Roman" w:eastAsia="Times New Roman" w:hAnsi="Times New Roman"/>
          <w:sz w:val="18"/>
          <w:szCs w:val="18"/>
          <w:color w:val="auto"/>
        </w:rPr>
      </w:pPr>
    </w:p>
    <w:p>
      <w:pPr>
        <w:ind w:left="1300" w:right="400" w:hanging="644"/>
        <w:spacing w:after="0" w:line="284"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w:t>
      </w:r>
    </w:p>
    <w:p>
      <w:pPr>
        <w:spacing w:after="0" w:line="50" w:lineRule="exact"/>
        <w:rPr>
          <w:rFonts w:ascii="Times New Roman" w:cs="Times New Roman" w:eastAsia="Times New Roman" w:hAnsi="Times New Roman"/>
          <w:sz w:val="18"/>
          <w:szCs w:val="18"/>
          <w:color w:val="auto"/>
        </w:rPr>
      </w:pPr>
    </w:p>
    <w:p>
      <w:pPr>
        <w:ind w:left="1300" w:right="140" w:hanging="644"/>
        <w:spacing w:after="0" w:line="284"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and other discretionary spending.</w:t>
      </w:r>
    </w:p>
    <w:p>
      <w:pPr>
        <w:spacing w:after="0" w:line="50" w:lineRule="exact"/>
        <w:rPr>
          <w:rFonts w:ascii="Times New Roman" w:cs="Times New Roman" w:eastAsia="Times New Roman" w:hAnsi="Times New Roman"/>
          <w:sz w:val="18"/>
          <w:szCs w:val="18"/>
          <w:color w:val="auto"/>
        </w:rPr>
      </w:pPr>
    </w:p>
    <w:p>
      <w:pPr>
        <w:ind w:left="1300" w:right="200" w:hanging="644"/>
        <w:spacing w:after="0" w:line="267"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the depreciation of computers, leasehold improvements, furniture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It is also common for the expiration of periods of performance under U.S. government contracts to correspond to the end of the U.S. government’s fiscal year, which may result in us not recognizing revenue for such associated backlog thereafter. In addition, we also have historically experienced higher bid and proposal costs in the months leading up to the U.S. government's fiscal year end as we pursue new contract opportunities being awarded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34" w:right="239" w:bottom="1440" w:gutter="0" w:footer="0" w:header="0"/>
        </w:sectPr>
      </w:pPr>
    </w:p>
    <w:bookmarkStart w:id="38" w:name="page39"/>
    <w:bookmarkEnd w:id="38"/>
    <w:p>
      <w:pPr>
        <w:ind w:right="100"/>
        <w:spacing w:after="0" w:line="261" w:lineRule="auto"/>
        <w:rPr>
          <w:sz w:val="20"/>
          <w:szCs w:val="20"/>
          <w:color w:val="auto"/>
        </w:rPr>
      </w:pPr>
      <w:r>
        <w:rPr>
          <w:rFonts w:ascii="Times New Roman" w:cs="Times New Roman" w:eastAsia="Times New Roman" w:hAnsi="Times New Roman"/>
          <w:sz w:val="18"/>
          <w:szCs w:val="18"/>
          <w:color w:val="auto"/>
        </w:rPr>
        <w:t>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2019. Effective April 1, 2019, we adopted Topic 842 using the modified retrospective transition approach. Refer to Note 2 and Note 10 to our accompanying condensed consolidated financial statements for information related to our adoption of new accounting standards and for additional information related to leases. There were no other material changes to our critical accounting policies, estimates or judgments that occurred in the quarterly period covered by this report.</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items from our condensed consolidated statements of operations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Borders>
              <w:right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3"/>
                <w:szCs w:val="13"/>
                <w:color w:val="auto"/>
              </w:rPr>
            </w:pPr>
          </w:p>
        </w:tc>
        <w:tc>
          <w:tcPr>
            <w:tcW w:w="2260" w:type="dxa"/>
            <w:vAlign w:val="bottom"/>
            <w:tcBorders>
              <w:right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40" w:type="dxa"/>
            <w:vAlign w:val="bottom"/>
            <w:tcBorders>
              <w:right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tcBorders>
              <w:right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1,819,577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1,613,997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3,644,753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3,260,845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843,942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748,570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1,684,596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1,534,382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Billable expenses</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539,846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478,349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1,091,021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955,784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244,122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226,901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478,402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432,737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19,632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32,579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1,647,542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1,470,246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3,293,672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2,955,482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172,035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143,751</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351,081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305,363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148,177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119,887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257,254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27,174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60,337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114,325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92,713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231,711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196,917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r>
        <w:rPr>
          <w:rFonts w:ascii="Times New Roman" w:cs="Times New Roman" w:eastAsia="Times New Roman" w:hAnsi="Times New Roman"/>
          <w:sz w:val="18"/>
          <w:szCs w:val="18"/>
          <w:i w:val="1"/>
          <w:iCs w:val="1"/>
          <w:color w:val="auto"/>
        </w:rPr>
        <w:t>.</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Compared to Three Months Ended September 30, 2018</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to $1,819.6 million from $1,614.0 million, or a 12.7% increase, primarily driven by sustained strength in client demand, headcount growth, and an extra workday compared to the prior year period. Revenue also benefited from higher billable expenses as compared to the prior year period. Total headcount as of September 30, 2019 increased approximately 1,600 compared to September 30, 2018.</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Cost of revenue increased to $843.9 million from $748.6 million, or a 12.7% increase. The increase was primarily due to increases in salaries and salary-related benefits of $67.0 million and higher incentive compensation of $5.0 million. The increase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634" w:right="279" w:bottom="1440" w:gutter="0" w:footer="0" w:header="0"/>
        </w:sectPr>
      </w:pPr>
    </w:p>
    <w:bookmarkStart w:id="39" w:name="page40"/>
    <w:bookmarkEnd w:id="39"/>
    <w:p>
      <w:pPr>
        <w:ind w:right="300"/>
        <w:spacing w:after="0" w:line="282" w:lineRule="auto"/>
        <w:rPr>
          <w:sz w:val="20"/>
          <w:szCs w:val="20"/>
          <w:color w:val="auto"/>
        </w:rPr>
      </w:pPr>
      <w:r>
        <w:rPr>
          <w:rFonts w:ascii="Times New Roman" w:cs="Times New Roman" w:eastAsia="Times New Roman" w:hAnsi="Times New Roman"/>
          <w:sz w:val="18"/>
          <w:szCs w:val="18"/>
          <w:color w:val="auto"/>
        </w:rPr>
        <w:t>in salaries and salary-related benefits was driven by increased headcount and annual base salary increases. Cost of revenue as a percentage of revenue was 46.4% for both the three months ended September 30, 2019 and 2018.</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Billable expenses increased to $539.8 million from $478.3 million, or a 12.9% increase, primarily attributable to an increase in the use of subcontractors in the current quarter driven by client demand and an increase in contracts which require the Company to incur direct expenses on behalf of clients over the prior year period. Billable expenses as a percentage of revenue were 29.7% and 29.6% for the three months ended September 30, 2019 and 2018, respectively.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to $244.1 million from $226.9 million, or a 7.6% increase, primarily due to increases in salaries and salary-related benefits of $11.5 million, driven by an increase in headcount growth as well as annual base salary increases and an increase in other business expenses and professional fees of $3.1 million. General and administrative expenses as a percentage of revenue were 13.4% and 14.1% for the three months ended September 30, 2019 and 2018, respectively.</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$19.6 million from $16.4 million, or a 19.5% increase, primarily due to increases in depreciation expense resulting from the effects of higher capital expenditures in fiscal 2019.</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to $25.9 million from $22.2 million, or a 16.3% increase, primarily as a result of increases in interest expense related to the $400 million Delayed Draw Facility (as defined below) which the Company drew down in April 2019.</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Income tax expense increased to $33.9 million from $27.2 million, or a 24.6% increase, primarily due to an increase in pre-tax income as compared to the prior year period. The effective tax rate increased to 22.8% for the three months ended September 30, 2019 from 22.7% for the three months ended September 30, 2018.</w:t>
      </w:r>
    </w:p>
    <w:p>
      <w:pPr>
        <w:spacing w:after="0" w:line="388" w:lineRule="exact"/>
        <w:rPr>
          <w:sz w:val="20"/>
          <w:szCs w:val="20"/>
          <w:color w:val="auto"/>
        </w:rPr>
      </w:pPr>
    </w:p>
    <w:p>
      <w:pPr>
        <w:ind w:left="260" w:right="43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Six Months Ended September 30, 2019 Compared to Six Months Ended September 30, 2018 </w:t>
      </w:r>
      <w:r>
        <w:rPr>
          <w:rFonts w:ascii="Times New Roman" w:cs="Times New Roman" w:eastAsia="Times New Roman" w:hAnsi="Times New Roman"/>
          <w:sz w:val="18"/>
          <w:szCs w:val="18"/>
          <w:i w:val="1"/>
          <w:iCs w:val="1"/>
          <w:color w:val="auto"/>
        </w:rPr>
        <w:t>Revenue</w:t>
      </w: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Revenue increased to $3,644.8 million from $3,260.8 million, or an 11.8% increase, primarily driven by sustained strength in client demand and headcount growth. Revenue also benefited from higher billable expenses as compared to the prior year period.</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Cost of revenue increased to $1,684.6 million from $1,534.4 million or a 9.8% increase. The increase was primarily due to increases in salaries and salary-related benefits of $122.2 million driven by increased headcount and annual base salary increases, and higher incentive compensation of $10.9 million. Cost of revenue as a percentage of revenue was 46.2% and 47.1% for the six months ended September 30, 2019 and 2018, respectively.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Billable expenses increased to $1,091.0 million from $955.8 million or a 14.1% increase, primarily attributable to an increase in the use of subcontractors in the current year driven by client demand and an increase in contracts which require the Company to incur direct expenses on behalf of clients over the prior year period. Billable expenses as a percentage of revenue were 29.9% and 29.3% for the six months ended September 30, 2019 and 2018, respectively.</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to $478.4 million from $432.7 million, or a 10.6% increase, primarily due to increases in salaries and salary-related benefits of $28.6 million, driven by an increase in headcount growth as well as annual base salary increases, and an increase in other business expenses and professional fees of $14.4 million. General and administrative expenses as a percentage of revenue were 13.1% and 13.3% for the six months ended September 30, 2019 and 2018,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34" w:right="23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$39.7 million from $32.6 million, or a 21.7% increase, primarily due to increases in depreciation expense resulting from the effects of higher capital expenditures in fiscal 2019.</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to $51.1 million from $45.3 million, or a 12.6% increase, primarily as a result of increases in interest expense related to the $400 million Delayed Draw Facility which the Company drew down in April 2019.</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Income tax expense increased to $72.3 million from $60.3 million, or a 19.8% increase, primarily due to an increase in pre-tax income as compared to the prior year period. The effective tax rate increased to 23.8% from 23.5% for the six months ended September 30, 2019 and 2018,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Indebtedness</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as of September 30, 2019 and March 31, 2019 and for the first six months of fiscal 2020 and 2019:</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3"/>
                <w:szCs w:val="13"/>
                <w:color w:val="auto"/>
              </w:rPr>
            </w:pPr>
          </w:p>
        </w:tc>
        <w:tc>
          <w:tcPr>
            <w:tcW w:w="1340" w:type="dxa"/>
            <w:vAlign w:val="bottom"/>
          </w:tcPr>
          <w:p>
            <w:pPr>
              <w:jc w:val="center"/>
              <w:ind w:right="53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97"/>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5"/>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8"/>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center"/>
              <w:ind w:left="9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8"/>
                <w:szCs w:val="18"/>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781,546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283,990</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2,122,745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1,759,761</w:t>
            </w:r>
          </w:p>
        </w:tc>
      </w:tr>
      <w:tr>
        <w:trPr>
          <w:trHeight w:val="475"/>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center"/>
              <w:ind w:left="9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40" w:type="dxa"/>
            <w:vAlign w:val="bottom"/>
          </w:tcPr>
          <w:p>
            <w:pPr>
              <w:spacing w:after="0"/>
              <w:rPr>
                <w:sz w:val="24"/>
                <w:szCs w:val="24"/>
                <w:color w:val="auto"/>
              </w:rPr>
            </w:pPr>
          </w:p>
        </w:tc>
      </w:t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97"/>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5"/>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21"/>
                <w:szCs w:val="21"/>
                <w:color w:val="auto"/>
              </w:rPr>
            </w:pPr>
          </w:p>
        </w:tc>
        <w:tc>
          <w:tcPr>
            <w:tcW w:w="1340" w:type="dxa"/>
            <w:vAlign w:val="bottom"/>
          </w:tcPr>
          <w:p>
            <w:pPr>
              <w:jc w:val="center"/>
              <w:ind w:right="517"/>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75"/>
        </w:trPr>
        <w:tc>
          <w:tcPr>
            <w:tcW w:w="7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gridSpan w:val="3"/>
          </w:tcPr>
          <w:p>
            <w:pPr>
              <w:jc w:val="center"/>
              <w:ind w:left="9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23"/>
                <w:szCs w:val="23"/>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266,679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274,567</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(39,692)</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290,855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(179,247)</w:t>
            </w: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497,556</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55,628</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4"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the Revolving Credit Facility will be sufficient to meet our anticipated cash requirements for the next twelve months, which primarily include:</w:t>
      </w:r>
    </w:p>
    <w:p>
      <w:pPr>
        <w:spacing w:after="0" w:line="189"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the growth of our business;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32" w:right="239" w:bottom="1440" w:gutter="0" w:footer="0" w:header="0"/>
        </w:sectPr>
      </w:pPr>
    </w:p>
    <w:bookmarkStart w:id="41" w:name="page42"/>
    <w:bookmarkEnd w:id="41"/>
    <w:p>
      <w:pPr>
        <w:ind w:left="1300" w:right="56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build-out, testing, and potential implementation and operation of new financial management systems;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Secured Credit Facility and interest payments for the Senior Notes;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11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Our ability to fund our operating needs depends, in part, on our ability to continue to generate positive cash flows from operations or, if necessary, raise cash in the capital markets.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8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$266.7 million in the six months ended September 30, 2019 compared to $274.6 million in the prior year period, or a 2.9% decrease. The decrease in operating cash flows was primarily due to a decrease in accounts payable associated with the timing of vendor payments and increased tax payments, partially offset by collection of our revenue and net income growth.</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22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$60.0 million in the six months ended September 30, 2019 compared to $39.7 million in the prior year period, or a 51.1% increase. The increase in net cash used in investing activities was primarily due to an increase in capital expenditures over the prior period primarily related to investments in our facilities and infrastructure and information technology.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$290.9 million in the six months ended September 30, 2019 compared to $179.2 million net cash used in financing activities in the prior year period. The increase in net cash provided by financing activities was primarily due to proceeds of $400 million from drawing down on our Delayed Draw Facility and an $83.7 million decrease in share repurchases compared to the prior year period.</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On November 1, 2019, the Company announced a regular quarterly cash dividend in the amount of $0.27 per share. The quarterly dividend is payable on December 2, 2019 to stockholders of record on November 14, 2019.</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634" w:right="259" w:bottom="1440" w:gutter="0" w:footer="0" w:header="0"/>
        </w:sectPr>
      </w:pPr>
    </w:p>
    <w:bookmarkStart w:id="42" w:name="page43"/>
    <w:bookmarkEnd w:id="42"/>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cash distributions recognized in the condensed consolidated statement of cash flows:</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32,436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64,848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54,659</w:t>
            </w: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equivalents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distributions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32,436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64,848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54,926</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quarterly dividends of $0.23 per share and $0.19 per share that were declared and paid during fiscal 2020 and fiscal 2019, respectively.</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are distributions made to option holders equal to the previously declared special dividends.</w:t>
      </w:r>
    </w:p>
    <w:p>
      <w:pPr>
        <w:spacing w:after="0" w:line="3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The Company may repurchase shares pursuant to the program by means of open market repurchases, directly negotiated repurchases or through agents acting pursuant to negotiated repurchase agreements. During the first quarter of fiscal 2020, the Company purchased 93 thousand shares of the Company's Class A Common Stock for an aggregate of $5.9 million. Following the aforementioned repurchases, as of September 30, 2019, the Company had $652.3 million remaining under the repurchase program.</w:t>
      </w:r>
    </w:p>
    <w:p>
      <w:pPr>
        <w:spacing w:after="0" w:line="80"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0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provided for a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8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was available as the Delayed Draw Facility. On April 23, 2019, Booz Allen Hamilton drew down $400 million of the Delayed Draw Facility, the proceeds of which are expected to be used for general corporate purposes and other purposes not prohibited by the Credit Agreement.</w:t>
      </w:r>
    </w:p>
    <w:p>
      <w:pPr>
        <w:spacing w:after="0" w:line="76"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Prior to the Sixth Amendment, $500.0 million was available under the Revolving Credit Facility. Pursuant to the Sixth Amendment, certain lenders under the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$500.0 million.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634" w:right="259" w:bottom="1440" w:gutter="0" w:footer="0" w:header="0"/>
        </w:sectPr>
      </w:pPr>
    </w:p>
    <w:bookmarkStart w:id="43" w:name="page44"/>
    <w:bookmarkEnd w:id="43"/>
    <w:p>
      <w:pPr>
        <w:ind w:firstLine="405"/>
        <w:spacing w:after="0" w:line="254" w:lineRule="auto"/>
        <w:rPr>
          <w:sz w:val="20"/>
          <w:szCs w:val="20"/>
          <w:color w:val="auto"/>
        </w:rPr>
      </w:pPr>
      <w:r>
        <w:rPr>
          <w:rFonts w:ascii="Times New Roman" w:cs="Times New Roman" w:eastAsia="Times New Roman" w:hAnsi="Times New Roman"/>
          <w:sz w:val="18"/>
          <w:szCs w:val="18"/>
          <w:color w:val="auto"/>
        </w:rPr>
        <w:t>As of September 30, 2019, the Credit Agreement provided Booz Allen Hamilton with a $1,400.7 million Term Loan A, a $389.1 million Term Loan B, and $500.0 million in New Revolving Commitments with a sub-limit for letters of credit of $100.0 million. As of September 30, 2019,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159"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00" w:firstLine="8"/>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16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occasionally borrows under the Revolving Credit Facility in anticipation of cash demands. During the first and second quarters of fiscal 2020, Booz Allen Hamilton accessed no amounts of its $500.0 million Revolving Credit Facility. During the first and second quarters of fiscal 2019, Booz Allen Hamilton accessed a total of $70.0 million of its $500.0 million Revolving Credit Facility. As of September 30, 2019 and March 31, 2019, there were no amounts outstanding under the Revolving Credit Facility.</w:t>
      </w:r>
    </w:p>
    <w:p>
      <w:pPr>
        <w:spacing w:after="0" w:line="72"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Booz Allen Hamilton also has agreed to pay customary letter of credit and agency fees. As of September 30, 2019 and March 31, 2019, Booz Allen Hamilton was contingently liable under open standby letters of credit and bank guarantees issued by its banks in favor of third parties that totaled $9.2 million and $9.5 million, respectively. These letters of credit and bank guarantees primarily support insurance and bid and performance obligations. At September 30, 2019 and March 31, 2019, approximately $0.9 million and $1.0 million, respectively, of these instruments reduced the available borrowings under the Revolving Credit Facility. The remainder is guaranteed under a separate $15.0 million facility established in fiscal 2015 of which $6.7 million and $6.5 million, respectively, was available to Booz Allen Hamilton at September 30, 2019 and March 31, 2019. As of September 30, 2019, Booz Allen Hamilton had $499.0 million of capacity available for additional borrowings under the Revolving Credit Facility.</w:t>
      </w:r>
    </w:p>
    <w:p>
      <w:pPr>
        <w:spacing w:after="0" w:line="81"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spacing w:after="0" w:line="2" w:lineRule="exact"/>
        <w:rPr>
          <w:sz w:val="20"/>
          <w:szCs w:val="20"/>
          <w:color w:val="auto"/>
        </w:rPr>
      </w:pPr>
    </w:p>
    <w:p>
      <w:pPr>
        <w:ind w:right="60" w:firstLine="8"/>
        <w:spacing w:after="0" w:line="251" w:lineRule="auto"/>
        <w:tabs>
          <w:tab w:leader="none" w:pos="3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Booz Allen Hamilton is required to meet certain financial covenants at each quarter end, namely Consolidated Net Total Leverage and Consolidated Net Interest Coverage Ratios. As of September 30, 2019 and March 31, 2019, we were compliant with these covenants. In addition, from time to time we evaluate, and we currently are evaluating, conditions in the financing markets for opportunities to improve the terms of indebtedness, including indebtedness under the Credit Agreement. Such improvements could include a reduction of the effective interest, an extension of our maturity, or improvements to the covenants and other provisions governing our outstanding indebtedness.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634" w:right="259" w:bottom="1440" w:gutter="0" w:footer="0" w:header="0"/>
        </w:sectPr>
      </w:pPr>
    </w:p>
    <w:bookmarkStart w:id="44" w:name="page45"/>
    <w:bookmarkEnd w:id="44"/>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2018, interest payments of $13.9 million and $10.1 million were made for Term Loan A and $4.4 million and $4.0 million were made for Term Loan B, respectively. For the six months ended September 30, 2019 and 2018, interest payments of $27.2 million and $21.1 million were made for Term Loan A and $8.8 million and $8.0 million were made for Term Loan B,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April 25, 2017, Booz Allen Hamilton issued $350 million aggregate principal amount of its 5.125% Senior Notes (the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Booz Allen Hamilton made interest payments of $9.0 million for the Senior Notes for each of the three and six months ended September 30, 2019 and 2018, respectively.</w:t>
      </w:r>
    </w:p>
    <w:p>
      <w:pPr>
        <w:spacing w:after="0" w:line="18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September 30, 2019, Booz Allen Hamilton had interest rate swaps with an aggregate notional amount of $1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9 in our condensed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stockholders’ equity amounted to $840.2 million as of September 30, 2019, an increase of $164.8 million compared to stockholders’ equity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$675.4 million as of March 31, 2019. The increase was primarily due to net income of $231.7 million for the six months ended September 30, 2019,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compensation expense of $15.8 million, and issuance of common stock of $7.0 million, partially offset by $64.8 million in quarterly dividend payments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$8.3 million in treasury stock resulting from the repurchase of shares of our Class A Common Stock during the six months ended September 30, 2019.</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2019, we did not have any material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six months ended September 30, 2019 and 2018 were $60.0 million and $39.7 million, respectively. The increase in capital expenditures over the prior year primarily relates to investments in our facilities and infrastructure, and information technology. We expect capital expenditures for fiscal 2020 to increase from fiscal 2019 as a result of continuing investments in these areas.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77" w:lineRule="exact"/>
        <w:rPr>
          <w:sz w:val="20"/>
          <w:szCs w:val="20"/>
          <w:color w:val="auto"/>
        </w:rPr>
      </w:pPr>
    </w:p>
    <w:p>
      <w:pPr>
        <w:jc w:val="both"/>
        <w:ind w:left="660" w:right="14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Congress and other U.S. government bodies to reduce U.S. government spending and address budgetary constraints, including automatic sequestration required by the Budget Control Act of 2011 (as subsequently amended) and the U.S. deficit, as well as associated uncertainty around the timing, extent, nature and effect of such efforts;</w:t>
      </w:r>
    </w:p>
    <w:p>
      <w:pPr>
        <w:spacing w:after="0" w:line="6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funding of our contracts due to uncertainty relating to funding of the U.S. government and a possible failure of Congressional efforts to approve such funding and to craft a long-term agreement on the U.S. government’s ability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634" w:right="279" w:bottom="1440" w:gutter="0" w:footer="0" w:header="0"/>
        </w:sectPr>
      </w:pPr>
    </w:p>
    <w:bookmarkStart w:id="45" w:name="page46"/>
    <w:bookmarkEnd w:id="45"/>
    <w:p>
      <w:pPr>
        <w:ind w:left="328" w:right="620"/>
        <w:spacing w:after="0" w:line="329" w:lineRule="auto"/>
        <w:rPr>
          <w:sz w:val="20"/>
          <w:szCs w:val="20"/>
          <w:color w:val="auto"/>
        </w:rPr>
      </w:pPr>
      <w:r>
        <w:rPr>
          <w:rFonts w:ascii="Times New Roman" w:cs="Times New Roman" w:eastAsia="Times New Roman" w:hAnsi="Times New Roman"/>
          <w:sz w:val="18"/>
          <w:szCs w:val="18"/>
          <w:color w:val="auto"/>
        </w:rPr>
        <w:t>to incur indebtedness in excess of its current limits, or changes in the pattern or timing of government funding and spending (including those resulting from or related to cuts associated with sequestration);</w:t>
      </w:r>
    </w:p>
    <w:p>
      <w:pPr>
        <w:spacing w:after="0" w:line="27" w:lineRule="exact"/>
        <w:rPr>
          <w:sz w:val="20"/>
          <w:szCs w:val="20"/>
          <w:color w:val="auto"/>
        </w:rPr>
      </w:pPr>
    </w:p>
    <w:p>
      <w:pPr>
        <w:ind w:left="328" w:right="64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53" w:lineRule="exact"/>
        <w:rPr>
          <w:rFonts w:ascii="Times New Roman" w:cs="Times New Roman" w:eastAsia="Times New Roman" w:hAnsi="Times New Roman"/>
          <w:sz w:val="18"/>
          <w:szCs w:val="18"/>
          <w:color w:val="auto"/>
        </w:rPr>
      </w:pPr>
    </w:p>
    <w:p>
      <w:pPr>
        <w:ind w:left="328" w:right="36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as a result of the failure by elected officials to fund the government beyond November 21, 2019;</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117" w:lineRule="exact"/>
        <w:rPr>
          <w:rFonts w:ascii="Times New Roman" w:cs="Times New Roman" w:eastAsia="Times New Roman" w:hAnsi="Times New Roman"/>
          <w:sz w:val="18"/>
          <w:szCs w:val="18"/>
          <w:color w:val="auto"/>
        </w:rPr>
      </w:pPr>
    </w:p>
    <w:p>
      <w:pPr>
        <w:ind w:left="328" w:right="24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53"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53" w:lineRule="exact"/>
        <w:rPr>
          <w:rFonts w:ascii="Times New Roman" w:cs="Times New Roman" w:eastAsia="Times New Roman" w:hAnsi="Times New Roman"/>
          <w:sz w:val="18"/>
          <w:szCs w:val="18"/>
          <w:color w:val="auto"/>
        </w:rPr>
      </w:pPr>
    </w:p>
    <w:p>
      <w:pPr>
        <w:ind w:left="328" w:right="84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General Services Administration Multiple Award schedule contracts, or GSA schedules, or our position as prime contractor on government-wide acquisition contract vehicles, or GWACs;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117"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costs and other expenses or otherwise limit such reimbursements, and an increased risk of compensation being deemed unallowable or payments being withheld as a result of U.S. government audit, review, or investigation;</w:t>
      </w:r>
    </w:p>
    <w:p>
      <w:pPr>
        <w:spacing w:after="0" w:line="68" w:lineRule="exact"/>
        <w:rPr>
          <w:rFonts w:ascii="Times New Roman" w:cs="Times New Roman" w:eastAsia="Times New Roman" w:hAnsi="Times New Roman"/>
          <w:sz w:val="18"/>
          <w:szCs w:val="18"/>
          <w:color w:val="auto"/>
        </w:rPr>
      </w:pPr>
    </w:p>
    <w:p>
      <w:pPr>
        <w:ind w:left="328" w:right="38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generate revenue under certain of our contracts, and the timing of our receipt of revenue under contracts included in backlog;</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and experience;</w:t>
      </w:r>
    </w:p>
    <w:p>
      <w:pPr>
        <w:spacing w:after="0" w:line="117"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hire, assimilate and effectively utilize our employees, ensure that employees obtain and maintain necessary security clearances and/or effectively manage our cost structure;</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117" w:lineRule="exact"/>
        <w:rPr>
          <w:rFonts w:ascii="Times New Roman" w:cs="Times New Roman" w:eastAsia="Times New Roman" w:hAnsi="Times New Roman"/>
          <w:sz w:val="18"/>
          <w:szCs w:val="18"/>
          <w:color w:val="auto"/>
        </w:rPr>
      </w:pPr>
    </w:p>
    <w:p>
      <w:pPr>
        <w:ind w:left="328" w:right="46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or subcontractors, including the improper use or release of our clients' sensitive or classified information;</w:t>
      </w:r>
    </w:p>
    <w:p>
      <w:pPr>
        <w:spacing w:after="0" w:line="53"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117" w:lineRule="exact"/>
        <w:rPr>
          <w:rFonts w:ascii="Times New Roman" w:cs="Times New Roman" w:eastAsia="Times New Roman" w:hAnsi="Times New Roman"/>
          <w:sz w:val="18"/>
          <w:szCs w:val="18"/>
          <w:color w:val="auto"/>
        </w:rPr>
      </w:pPr>
    </w:p>
    <w:p>
      <w:pPr>
        <w:ind w:left="328" w:right="68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5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68"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or internal cyber attacks on our network and internal systems;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potential implementation and operation of new financial management systems;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government contracting environment;</w:t>
      </w:r>
    </w:p>
    <w:p>
      <w:pPr>
        <w:spacing w:after="0" w:line="117"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spacing w:after="0" w:line="18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8"/>
          </w:cols>
          <w:pgMar w:left="572" w:top="661" w:right="259" w:bottom="1440" w:gutter="0" w:footer="0" w:header="0"/>
        </w:sectPr>
      </w:pPr>
    </w:p>
    <w:bookmarkStart w:id="46" w:name="page47"/>
    <w:bookmarkEnd w:id="46"/>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competition, new relationships, clients, capabilities, and service offerings in our U.S. and international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by the U.S. government of new laws, rules, and regulations, such as those relating to organizational conflicts of interest issues or limits;</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completed and future acquisitions, including our ability to realize the expected benefits from such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utilize existing or future tax benefits for any reason, including as a result of a change in laws or regulations;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GSA schedules, blanket purchase agreements and indefinite delivery, indefinite quantity, or IDIQ, contracts;</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Quarterly Report.</w:t>
      </w:r>
    </w:p>
    <w:p>
      <w:pPr>
        <w:spacing w:after="0" w:line="11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2019 filed with the Securities and Exchange Commission on May 28, 2019.</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634" w:right="29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2019 and March 31, 2019, there were no material amounts accrued in the condensed consolidated financial statements related to these proceedings.</w:t>
      </w:r>
    </w:p>
    <w:p>
      <w:pPr>
        <w:spacing w:after="0" w:line="164"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June 2, 2019, the United States District Court for the Southern District of New York granted defendants' motion to dismiss the amended complaint in its entirety. On July 11, 2019, the plaintiff filed a notice to appeal the ruling. On October 17, 2019, the plaintiff and the defendants reached an agreement to settle this matter. Pursuant to that agreement, the plaintiff is obligated to dismiss his appeal.</w:t>
      </w:r>
    </w:p>
    <w:p>
      <w:pPr>
        <w:spacing w:after="0" w:line="163" w:lineRule="exact"/>
        <w:rPr>
          <w:sz w:val="20"/>
          <w:szCs w:val="20"/>
          <w:color w:val="auto"/>
        </w:rPr>
      </w:pPr>
    </w:p>
    <w:p>
      <w:pPr>
        <w:ind w:firstLine="392"/>
        <w:spacing w:after="0" w:line="254" w:lineRule="auto"/>
        <w:rPr>
          <w:sz w:val="20"/>
          <w:szCs w:val="20"/>
          <w:color w:val="auto"/>
        </w:rPr>
      </w:pPr>
      <w:r>
        <w:rPr>
          <w:rFonts w:ascii="Times New Roman" w:cs="Times New Roman" w:eastAsia="Times New Roman" w:hAnsi="Times New Roman"/>
          <w:sz w:val="18"/>
          <w:szCs w:val="18"/>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22" w:right="239" w:bottom="1440" w:gutter="0" w:footer="0" w:header="0"/>
        </w:sectPr>
      </w:pPr>
    </w:p>
    <w:bookmarkStart w:id="48" w:name="page49"/>
    <w:bookmarkEnd w:id="48"/>
    <w:p>
      <w:pPr>
        <w:ind w:firstLine="392"/>
        <w:spacing w:after="0" w:line="254" w:lineRule="auto"/>
        <w:rPr>
          <w:sz w:val="20"/>
          <w:szCs w:val="20"/>
          <w:color w:val="auto"/>
        </w:rPr>
      </w:pPr>
      <w:r>
        <w:rPr>
          <w:rFonts w:ascii="Times New Roman" w:cs="Times New Roman" w:eastAsia="Times New Roman" w:hAnsi="Times New Roman"/>
          <w:sz w:val="18"/>
          <w:szCs w:val="18"/>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81" w:lineRule="exact"/>
        <w:rPr>
          <w:sz w:val="20"/>
          <w:szCs w:val="20"/>
          <w:color w:val="auto"/>
        </w:rPr>
      </w:pPr>
    </w:p>
    <w:p>
      <w:pPr>
        <w:ind w:right="20" w:firstLine="392"/>
        <w:spacing w:after="0" w:line="255"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a status conference on October 31, 2019, the court ordered the parties to meet and confer and submit a status report by November 29, 2019. At this stage of the lawsuit, the Company is not able to reasonably estimate the expected amount or range of cost or any loss associated with the lawsuit.</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2019 filed with the Securities and Exchange Commission on May 28, 2019.</w:t>
      </w:r>
    </w:p>
    <w:p>
      <w:pPr>
        <w:spacing w:after="0" w:line="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634"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100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7"/>
              </w:rPr>
              <w:t>Number</w:t>
            </w:r>
          </w:p>
        </w:tc>
        <w:tc>
          <w:tcPr>
            <w:tcW w:w="320" w:type="dxa"/>
            <w:vAlign w:val="bottom"/>
          </w:tcPr>
          <w:p>
            <w:pPr>
              <w:spacing w:after="0"/>
              <w:rPr>
                <w:sz w:val="11"/>
                <w:szCs w:val="11"/>
                <w:color w:val="auto"/>
              </w:rPr>
            </w:pPr>
          </w:p>
        </w:tc>
        <w:tc>
          <w:tcPr>
            <w:tcW w:w="100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0080" w:type="dxa"/>
            <w:vAlign w:val="bottom"/>
            <w:gridSpan w:val="8"/>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Fourth Amended and Restated Certificate of Incorporation of Booz Allen Hamilton Holding Corporation*</w:t>
              </w:r>
            </w:hyperlink>
          </w:p>
        </w:tc>
        <w:tc>
          <w:tcPr>
            <w:tcW w:w="0" w:type="dxa"/>
            <w:vAlign w:val="bottom"/>
          </w:tcPr>
          <w:p>
            <w:pPr>
              <w:spacing w:after="0"/>
              <w:rPr>
                <w:sz w:val="1"/>
                <w:szCs w:val="1"/>
                <w:color w:val="auto"/>
              </w:rPr>
            </w:pPr>
          </w:p>
        </w:tc>
      </w:tr>
      <w:tr>
        <w:trPr>
          <w:trHeight w:val="372"/>
        </w:trPr>
        <w:tc>
          <w:tcPr>
            <w:tcW w:w="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10.1 †</w:t>
            </w:r>
          </w:p>
        </w:tc>
        <w:tc>
          <w:tcPr>
            <w:tcW w:w="764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First Amendment to the Booz Allen Hamilton Inc. Nonqualified Deferred Compensation Plan*</w:t>
              </w:r>
            </w:hyperlink>
          </w:p>
        </w:tc>
        <w:tc>
          <w:tcPr>
            <w:tcW w:w="2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63">
              <w:r>
                <w:rPr>
                  <w:rFonts w:ascii="Times New Roman" w:cs="Times New Roman" w:eastAsia="Times New Roman" w:hAnsi="Times New Roman"/>
                  <w:sz w:val="18"/>
                  <w:szCs w:val="18"/>
                  <w:color w:val="0000FF"/>
                  <w:w w:val="99"/>
                </w:rPr>
                <w:t>Rule 13a-14(a)/15d-14(a) Certification of the Chief Executive Officer*</w:t>
              </w:r>
            </w:hyperlink>
          </w:p>
        </w:tc>
        <w:tc>
          <w:tcPr>
            <w:tcW w:w="1720" w:type="dxa"/>
            <w:vAlign w:val="bottom"/>
            <w:tcBorders>
              <w:top w:val="single" w:sz="8" w:color="0000FF"/>
            </w:tcBorders>
          </w:tcPr>
          <w:p>
            <w:pPr>
              <w:spacing w:after="0"/>
              <w:rPr>
                <w:sz w:val="24"/>
                <w:szCs w:val="24"/>
                <w:color w:val="auto"/>
              </w:rPr>
            </w:pPr>
          </w:p>
        </w:tc>
        <w:tc>
          <w:tcPr>
            <w:tcW w:w="3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10080" w:type="dxa"/>
            <w:vAlign w:val="bottom"/>
            <w:gridSpan w:val="8"/>
          </w:tcPr>
          <w:p>
            <w:pPr>
              <w:spacing w:after="0"/>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65">
              <w:r>
                <w:rPr>
                  <w:rFonts w:ascii="Times New Roman" w:cs="Times New Roman" w:eastAsia="Times New Roman" w:hAnsi="Times New Roman"/>
                  <w:sz w:val="18"/>
                  <w:szCs w:val="18"/>
                  <w:color w:val="0000FF"/>
                  <w:w w:val="99"/>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65">
              <w:r>
                <w:rPr>
                  <w:rFonts w:ascii="Times New Roman" w:cs="Times New Roman" w:eastAsia="Times New Roman" w:hAnsi="Times New Roman"/>
                  <w:sz w:val="18"/>
                  <w:szCs w:val="18"/>
                  <w:color w:val="0000FF"/>
                  <w:w w:val="99"/>
                </w:rPr>
                <w:t>United States Code (18 U.S.C. 1350)*</w:t>
              </w:r>
            </w:hyperlink>
          </w:p>
        </w:tc>
        <w:tc>
          <w:tcPr>
            <w:tcW w:w="7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4"/>
                <w:szCs w:val="24"/>
                <w:color w:val="auto"/>
              </w:rPr>
            </w:pPr>
          </w:p>
        </w:tc>
        <w:tc>
          <w:tcPr>
            <w:tcW w:w="10080" w:type="dxa"/>
            <w:vAlign w:val="bottom"/>
            <w:gridSpan w:val="8"/>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66">
              <w:r>
                <w:rPr>
                  <w:rFonts w:ascii="Times New Roman" w:cs="Times New Roman" w:eastAsia="Times New Roman" w:hAnsi="Times New Roman"/>
                  <w:sz w:val="18"/>
                  <w:szCs w:val="18"/>
                  <w:color w:val="0000FF"/>
                  <w:w w:val="99"/>
                </w:rPr>
                <w:t>United States Code (18 U.S.C. 1350)*</w:t>
              </w:r>
            </w:hyperlink>
          </w:p>
        </w:tc>
        <w:tc>
          <w:tcPr>
            <w:tcW w:w="7260" w:type="dxa"/>
            <w:vAlign w:val="bottom"/>
            <w:tcBorders>
              <w:top w:val="single" w:sz="8" w:color="0000FF"/>
            </w:tcBorders>
            <w:gridSpan w:val="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60" w:hanging="925"/>
        <w:spacing w:after="0" w:line="255"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and six months ended September 30, 2019 formatted in Inline XBRL (eXtensible Business Reporting Language): (i) Condensed Consolidated Balance Sheets at September 30, 2019 and March 31, 2019; (ii) Condensed Consolidated Statements of Operations for the three and six months ended September 30, 2019 and 2018; (iii) Condensed Consolidated Statements of Comprehensive Income for the three and six months ended September 30, 2019 and 2018; (iv) Condensed Consolidated Statements of Cash Flows for the six months ended September 30, 2019 and 2018; and (v) Notes to Condensed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electronically herewith.</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20"/>
          </w:cols>
          <w:pgMar w:left="240" w:top="522" w:right="339" w:bottom="1440" w:gutter="0" w:footer="0" w:header="0"/>
        </w:sectPr>
      </w:pPr>
    </w:p>
    <w:bookmarkStart w:id="50" w:name="page51"/>
    <w:bookmarkEnd w:id="50"/>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63"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Times New Roman" w:cs="Times New Roman" w:eastAsia="Times New Roman" w:hAnsi="Times New Roman"/>
          <w:sz w:val="18"/>
          <w:szCs w:val="18"/>
          <w:color w:val="auto"/>
        </w:rPr>
        <w:t>Date: November 1,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Lloyd W. Howell, Jr.</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60"/>
          </w:cols>
          <w:pgMar w:left="240" w:top="522" w:right="8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FOURTH 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BOOZ ALLEN HAMILTON HOLDING CORPORATION</w:t>
      </w:r>
    </w:p>
    <w:p>
      <w:pPr>
        <w:spacing w:after="0" w:line="23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Booz Allen Hamilton Holding Corporation, a corporation organized and existing under the laws of the State of Delaware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hereby certifies as follows:</w:t>
      </w:r>
    </w:p>
    <w:p>
      <w:pPr>
        <w:spacing w:after="0" w:line="198" w:lineRule="exact"/>
        <w:rPr>
          <w:sz w:val="20"/>
          <w:szCs w:val="20"/>
          <w:color w:val="auto"/>
        </w:rPr>
      </w:pPr>
    </w:p>
    <w:p>
      <w:pPr>
        <w:ind w:left="1460" w:hanging="723"/>
        <w:spacing w:after="0"/>
        <w:tabs>
          <w:tab w:leader="none" w:pos="14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Booz Allen Hamilton Holding Corporation.</w:t>
      </w:r>
    </w:p>
    <w:p>
      <w:pPr>
        <w:spacing w:after="0" w:line="260" w:lineRule="exact"/>
        <w:rPr>
          <w:rFonts w:ascii="Times New Roman" w:cs="Times New Roman" w:eastAsia="Times New Roman" w:hAnsi="Times New Roman"/>
          <w:sz w:val="22"/>
          <w:szCs w:val="22"/>
          <w:color w:val="auto"/>
        </w:rPr>
      </w:pPr>
    </w:p>
    <w:p>
      <w:pPr>
        <w:jc w:val="both"/>
        <w:ind w:firstLine="737"/>
        <w:spacing w:after="0" w:line="248" w:lineRule="auto"/>
        <w:tabs>
          <w:tab w:leader="none" w:pos="144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was incorporated under the name Explorer Holding Corporation by the filing of its original Certificate of Incorporation with the Secretary of State of the State of Delaware (the “</w:t>
      </w:r>
      <w:r>
        <w:rPr>
          <w:rFonts w:ascii="Times New Roman" w:cs="Times New Roman" w:eastAsia="Times New Roman" w:hAnsi="Times New Roman"/>
          <w:sz w:val="22"/>
          <w:szCs w:val="22"/>
          <w:u w:val="single" w:color="auto"/>
          <w:color w:val="auto"/>
        </w:rPr>
        <w:t>Secretary of State</w:t>
      </w:r>
      <w:r>
        <w:rPr>
          <w:rFonts w:ascii="Times New Roman" w:cs="Times New Roman" w:eastAsia="Times New Roman" w:hAnsi="Times New Roman"/>
          <w:sz w:val="22"/>
          <w:szCs w:val="22"/>
          <w:color w:val="auto"/>
        </w:rPr>
        <w:t>”) on May 12, 2008. An Amended and Restated Certificate of Incorporation was filed with the Secretary of State on July 30, 2008. A Certificate of Amendment, changing the name of the Corporation from Explorer Holding Corporation to Booz Allen Hamilton Holding Corporation, was filed with the Secretary of State on September 25, 2009. A Second Amended and Restated Certificate of Incorporation was filed with the Secretary of State on November 8, 2010. A Third Amended and Restated Certificate of Incorporation was filed with the Secretary of State on August 13, 2014.</w:t>
      </w:r>
    </w:p>
    <w:p>
      <w:pPr>
        <w:spacing w:after="0" w:line="222" w:lineRule="exact"/>
        <w:rPr>
          <w:rFonts w:ascii="Times New Roman" w:cs="Times New Roman" w:eastAsia="Times New Roman" w:hAnsi="Times New Roman"/>
          <w:sz w:val="22"/>
          <w:szCs w:val="22"/>
          <w:color w:val="auto"/>
        </w:rPr>
      </w:pPr>
    </w:p>
    <w:p>
      <w:pPr>
        <w:jc w:val="both"/>
        <w:ind w:firstLine="737"/>
        <w:spacing w:after="0" w:line="252" w:lineRule="auto"/>
        <w:tabs>
          <w:tab w:leader="none" w:pos="144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Third Amended and Restated Certificate of Incorporation is hereby amended and restated pursuant to Sections 242 and 245 of the General Corporation Law of the State of Delaware, so as to read in its entirety in the form attached hereto as Exhibit A and incorporated herein by this reference (Exhibit A and this Certificate collectively constituting the Corporation’s Fourth Amended and Restated Certificate of Incorporation).</w:t>
      </w:r>
    </w:p>
    <w:p>
      <w:pPr>
        <w:spacing w:after="0" w:line="369" w:lineRule="exact"/>
        <w:rPr>
          <w:rFonts w:ascii="Times New Roman" w:cs="Times New Roman" w:eastAsia="Times New Roman" w:hAnsi="Times New Roman"/>
          <w:sz w:val="22"/>
          <w:szCs w:val="22"/>
          <w:color w:val="auto"/>
        </w:rPr>
      </w:pPr>
    </w:p>
    <w:p>
      <w:pPr>
        <w:jc w:val="both"/>
        <w:ind w:firstLine="737"/>
        <w:spacing w:after="0" w:line="248" w:lineRule="auto"/>
        <w:tabs>
          <w:tab w:leader="none" w:pos="144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and restatement of the Third Amended and Restated Certificate of Incorporation of the Corporation has been duly adopted in accordance with the provisions of Sections 228, 242 and 245 of the General Corporation Law of the State of Delaware, the Board of Directors of the Corporation having adopted resolutions setting forth such amendment and restatement, declaring its advisability, and directing that it be submitted to the stockholders of the Corporation for their approval; and the holders of outstanding stock having not less than the minimum number of votes that would be necessary to authorize or take such action at a meeting at which all shares entitled to vote thereon were present and voted having consented in writing to the adoption of such amendment and restatement.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2" w:right="239" w:bottom="1440" w:gutter="0" w:footer="0" w:header="0"/>
        </w:sectPr>
      </w:pPr>
    </w:p>
    <w:bookmarkStart w:id="52" w:name="page53"/>
    <w:bookmarkEnd w:id="5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officer of the Corporation has executed this Fourth Amended and Restated Certificate of Incorporation of the Corporation on the 26th day of July, 2019.</w:t>
      </w:r>
    </w:p>
    <w:p>
      <w:pPr>
        <w:spacing w:after="0" w:line="19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22"/>
          <w:szCs w:val="22"/>
          <w:color w:val="auto"/>
        </w:rPr>
        <w:t>BOOZ ALLEN HAMILTON HOLDING</w:t>
      </w:r>
    </w:p>
    <w:p>
      <w:pPr>
        <w:spacing w:after="0" w:line="28"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22"/>
          <w:szCs w:val="22"/>
          <w:color w:val="auto"/>
        </w:rPr>
        <w:t>CORPORATION</w:t>
      </w:r>
    </w:p>
    <w:p>
      <w:pPr>
        <w:spacing w:after="0" w:line="200" w:lineRule="exact"/>
        <w:rPr>
          <w:sz w:val="20"/>
          <w:szCs w:val="20"/>
          <w:color w:val="auto"/>
        </w:rPr>
      </w:pPr>
    </w:p>
    <w:p>
      <w:pPr>
        <w:spacing w:after="0" w:line="29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color w:val="auto"/>
        </w:rPr>
        <w:t>By: /s/ Nancy J. 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-13970</wp:posOffset>
            </wp:positionV>
            <wp:extent cx="1432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2560" cy="8890"/>
                    </a:xfrm>
                    <a:prstGeom prst="rect">
                      <a:avLst/>
                    </a:prstGeom>
                    <a:noFill/>
                  </pic:spPr>
                </pic:pic>
              </a:graphicData>
            </a:graphic>
          </wp:anchor>
        </w:drawing>
      </w:r>
    </w:p>
    <w:p>
      <w:pPr>
        <w:spacing w:after="0" w:line="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color w:val="auto"/>
        </w:rPr>
        <w:t>Name: Nancy J. Laben</w:t>
      </w:r>
    </w:p>
    <w:p>
      <w:pPr>
        <w:spacing w:after="0" w:line="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22"/>
          <w:szCs w:val="22"/>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9"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FOURTH AMENDED AND RESTATED</w:t>
      </w:r>
    </w:p>
    <w:p>
      <w:pPr>
        <w:spacing w:after="0" w:line="1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CERTIFICATE OF INCORPORATION</w:t>
      </w:r>
    </w:p>
    <w:p>
      <w:pPr>
        <w:spacing w:after="0" w:line="1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OF</w:t>
      </w:r>
    </w:p>
    <w:p>
      <w:pPr>
        <w:spacing w:after="0" w:line="1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BOOZ ALLEN HAMILTON HOLDING CORPORATION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 The name of the Corporation is Booz Allen Hamilton Holding Corporation (the “Corporation”).</w:t>
      </w:r>
    </w:p>
    <w:p>
      <w:pPr>
        <w:spacing w:after="0" w:line="301" w:lineRule="exact"/>
        <w:rPr>
          <w:sz w:val="20"/>
          <w:szCs w:val="20"/>
          <w:color w:val="auto"/>
        </w:rPr>
      </w:pPr>
    </w:p>
    <w:p>
      <w:pPr>
        <w:ind w:right="320" w:firstLine="648"/>
        <w:spacing w:after="0" w:line="361"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i w:val="1"/>
          <w:iCs w:val="1"/>
          <w:color w:val="auto"/>
        </w:rPr>
        <w:t>. Registered Office</w:t>
      </w:r>
      <w:r>
        <w:rPr>
          <w:rFonts w:ascii="Times New Roman" w:cs="Times New Roman" w:eastAsia="Times New Roman" w:hAnsi="Times New Roman"/>
          <w:sz w:val="22"/>
          <w:szCs w:val="22"/>
          <w:color w:val="auto"/>
        </w:rPr>
        <w:t>. The Corporation’s registered office in the State of Delaware is located at Corporation Trust Center, 1209 Orange Street in the City of Wilmington, County of New Castle 19801. The name of its registered agent at such address is The Corporation Trust Company.</w:t>
      </w:r>
    </w:p>
    <w:p>
      <w:pPr>
        <w:spacing w:after="0" w:line="168" w:lineRule="exact"/>
        <w:rPr>
          <w:sz w:val="20"/>
          <w:szCs w:val="20"/>
          <w:color w:val="auto"/>
        </w:rPr>
      </w:pPr>
    </w:p>
    <w:p>
      <w:pPr>
        <w:ind w:right="220" w:firstLine="648"/>
        <w:spacing w:after="0" w:line="377"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Purpose</w:t>
      </w:r>
      <w:r>
        <w:rPr>
          <w:rFonts w:ascii="Times New Roman" w:cs="Times New Roman" w:eastAsia="Times New Roman" w:hAnsi="Times New Roman"/>
          <w:sz w:val="22"/>
          <w:szCs w:val="22"/>
          <w:color w:val="auto"/>
        </w:rPr>
        <w:t>. The purpose of the Corporation is to engage in any lawful act or activity for which corporations may be organized under the General Corporation Law of the State of Delaware.</w:t>
      </w:r>
    </w:p>
    <w:p>
      <w:pPr>
        <w:spacing w:after="0" w:line="151" w:lineRule="exact"/>
        <w:rPr>
          <w:sz w:val="20"/>
          <w:szCs w:val="20"/>
          <w:color w:val="auto"/>
        </w:rPr>
      </w:pPr>
    </w:p>
    <w:p>
      <w:pPr>
        <w:ind w:firstLine="648"/>
        <w:spacing w:after="0" w:line="361"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Upon this Fourth Amended and Restated Certificate of Incorporation of the Corporation becoming effective pursuant to the General Corporation Law of the State of Delaware, the total number of shares of capital stock which the Corporation shall have authority to issue is 654,000,000, consisting of:</w:t>
      </w:r>
    </w:p>
    <w:p>
      <w:pPr>
        <w:spacing w:after="0" w:line="172" w:lineRule="exact"/>
        <w:rPr>
          <w:sz w:val="20"/>
          <w:szCs w:val="20"/>
          <w:color w:val="auto"/>
        </w:rPr>
      </w:pPr>
    </w:p>
    <w:p>
      <w:pPr>
        <w:ind w:left="1120" w:hanging="464"/>
        <w:spacing w:after="0"/>
        <w:tabs>
          <w:tab w:leader="none" w:pos="11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600,000,000 shares of Class A Common Stock, par value $0.01 per share; and</w:t>
      </w:r>
    </w:p>
    <w:p>
      <w:pPr>
        <w:spacing w:after="0" w:line="32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54,000,000 shares of Preferred Stock, par value $0.01 per share.</w:t>
      </w:r>
    </w:p>
    <w:p>
      <w:pPr>
        <w:spacing w:after="0" w:line="328" w:lineRule="exact"/>
        <w:rPr>
          <w:sz w:val="20"/>
          <w:szCs w:val="20"/>
          <w:color w:val="auto"/>
        </w:rPr>
      </w:pPr>
    </w:p>
    <w:p>
      <w:pPr>
        <w:ind w:right="780"/>
        <w:spacing w:after="0" w:line="373" w:lineRule="auto"/>
        <w:rPr>
          <w:sz w:val="20"/>
          <w:szCs w:val="20"/>
          <w:color w:val="auto"/>
        </w:rPr>
      </w:pPr>
      <w:r>
        <w:rPr>
          <w:rFonts w:ascii="Times New Roman" w:cs="Times New Roman" w:eastAsia="Times New Roman" w:hAnsi="Times New Roman"/>
          <w:sz w:val="22"/>
          <w:szCs w:val="22"/>
          <w:color w:val="auto"/>
        </w:rPr>
        <w:t>The stock described in subparagraph (a) above is hereinafter referred to as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the stock described in subparagraph (b) above is hereinafter referred to as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36" w:right="2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Common Stock.</w:t>
      </w:r>
      <w:r>
        <w:rPr>
          <w:rFonts w:ascii="Times New Roman" w:cs="Times New Roman" w:eastAsia="Times New Roman" w:hAnsi="Times New Roman"/>
          <w:sz w:val="22"/>
          <w:szCs w:val="22"/>
          <w:color w:val="auto"/>
        </w:rPr>
        <w:t xml:space="preserve"> The Common Stock shall have the following rights, powers and preferences:</w:t>
      </w:r>
    </w:p>
    <w:p>
      <w:pPr>
        <w:spacing w:after="0" w:line="332" w:lineRule="exact"/>
        <w:rPr>
          <w:sz w:val="20"/>
          <w:szCs w:val="20"/>
          <w:color w:val="auto"/>
        </w:rPr>
      </w:pPr>
    </w:p>
    <w:p>
      <w:pPr>
        <w:ind w:left="660" w:firstLine="645"/>
        <w:spacing w:after="0" w:line="352" w:lineRule="auto"/>
        <w:tabs>
          <w:tab w:leader="none" w:pos="176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 of Common Stock</w:t>
      </w:r>
      <w:r>
        <w:rPr>
          <w:rFonts w:ascii="Times New Roman" w:cs="Times New Roman" w:eastAsia="Times New Roman" w:hAnsi="Times New Roman"/>
          <w:sz w:val="22"/>
          <w:szCs w:val="22"/>
          <w:color w:val="auto"/>
        </w:rPr>
        <w:t>. Except as otherwise provided by (i) the General Corporation Law of the State of Delaware, or (ii) Article Sixth or any resolution of the Board of Directors fixing the relative powers (including voting powers, if any), preferences and rights of any series of Preferred Stock, and the qualifications, limitations or restrictions thereof, the entire voting power of the shares of the Corporation for the election of directors and for all other purposes shall be vested exclusively in the Common Stock.</w:t>
      </w:r>
    </w:p>
    <w:p>
      <w:pPr>
        <w:spacing w:after="0" w:line="184" w:lineRule="exact"/>
        <w:rPr>
          <w:rFonts w:ascii="Times New Roman" w:cs="Times New Roman" w:eastAsia="Times New Roman" w:hAnsi="Times New Roman"/>
          <w:sz w:val="22"/>
          <w:szCs w:val="22"/>
          <w:color w:val="auto"/>
        </w:rPr>
      </w:pPr>
    </w:p>
    <w:p>
      <w:pPr>
        <w:ind w:left="660" w:right="20" w:firstLine="645"/>
        <w:spacing w:after="0" w:line="348" w:lineRule="auto"/>
        <w:tabs>
          <w:tab w:leader="none" w:pos="177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and Liquidation Rights of Common Stock</w:t>
      </w:r>
      <w:r>
        <w:rPr>
          <w:rFonts w:ascii="Times New Roman" w:cs="Times New Roman" w:eastAsia="Times New Roman" w:hAnsi="Times New Roman"/>
          <w:sz w:val="22"/>
          <w:szCs w:val="22"/>
          <w:color w:val="auto"/>
        </w:rPr>
        <w:t>. Except as otherwise provided by (x) the General Corporation Law of the State of Delaware, or (y) Article Sixth or any resolution of the Board of Directors fixing the relative powers (including voting powers, if any), preferences and rights of any series of Preferred Stock, and the qualifications, limitations or restrictions thereof, (i) each share of Common Stock shall be entitled to participate equally in all dividends or other distributions declared on and payable with respect to the Common Stock, (ii) each share of Common Stock shall be entitled to share ratably, in proportion to its par value, until such time as there shall have been distributed an amount equal to each share’s par value, in the distribution of assets of the Corporation in the event of any voluntary or involuntary liquidation, dissolution or winding up of the affairs of the Corporation, or upon any distribution of all or substantially all of the assets of the Corporation, and (iii) each share of Common Stock shall be entitled to share equally in the distribution of assets of the Corporation remaining after the distribution described in clause (ii) above in the event of any voluntary or involuntary liquidation, dissolution or winding up of the affairs of the Corporation, or upon any distribution of all or substantially all of the assets of the Corporation. Upon any merger, recapitalization or like transaction, each share of Common Stock shall receive either the same consideration as each other such share.</w:t>
      </w:r>
    </w:p>
    <w:p>
      <w:pPr>
        <w:spacing w:after="0" w:line="346" w:lineRule="exact"/>
        <w:rPr>
          <w:sz w:val="20"/>
          <w:szCs w:val="20"/>
          <w:color w:val="auto"/>
        </w:rPr>
      </w:pPr>
    </w:p>
    <w:p>
      <w:pPr>
        <w:ind w:right="200" w:firstLine="648"/>
        <w:spacing w:after="0" w:line="377" w:lineRule="auto"/>
        <w:rPr>
          <w:sz w:val="20"/>
          <w:szCs w:val="20"/>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Preferred Stock</w:t>
      </w:r>
      <w:r>
        <w:rPr>
          <w:rFonts w:ascii="Times New Roman" w:cs="Times New Roman" w:eastAsia="Times New Roman" w:hAnsi="Times New Roman"/>
          <w:sz w:val="22"/>
          <w:szCs w:val="22"/>
          <w:color w:val="auto"/>
        </w:rPr>
        <w:t>. The Preferred Stock may be issued, from time to time, in one or more series as authorized by the Board of Directors. Prior to issuance of a series of Preferred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635" w:right="259" w:bottom="1440" w:gutter="0" w:footer="0" w:header="0"/>
        </w:sectPr>
      </w:pPr>
    </w:p>
    <w:bookmarkStart w:id="55" w:name="page56"/>
    <w:bookmarkEnd w:id="55"/>
    <w:p>
      <w:pPr>
        <w:spacing w:after="0" w:line="349" w:lineRule="auto"/>
        <w:rPr>
          <w:sz w:val="20"/>
          <w:szCs w:val="20"/>
          <w:color w:val="auto"/>
        </w:rPr>
      </w:pPr>
      <w:r>
        <w:rPr>
          <w:rFonts w:ascii="Times New Roman" w:cs="Times New Roman" w:eastAsia="Times New Roman" w:hAnsi="Times New Roman"/>
          <w:sz w:val="22"/>
          <w:szCs w:val="22"/>
          <w:color w:val="auto"/>
        </w:rPr>
        <w:t>Stock, the Board of Directors by resolution shall designate that series to distinguish it from other series and classes of stock of the Corporation, shall specify the number of shares to be included in the series, and shall fix the voting powers (full, limited or no voting powers) and the designations, preferences and relative participating, optional or other special rights of that series, and the qualifications limitations or restrictions thereof, including, without limitation any dividend rights and redemption, sinking fund and conversion rights. Subject to the express terms of any other series of Preferred Stock outstanding at the time, the Board of Directors may increase or decrease the number of shares or alter the designation or classify or reclassify any unissued shares of a particular series of Preferred Stock by fixing or altering in any one or more respects from time to time before issuing the shares any terms, rights, restrictions and qualifications of the shares.</w:t>
      </w:r>
    </w:p>
    <w:p>
      <w:pPr>
        <w:spacing w:after="0" w:line="186" w:lineRule="exact"/>
        <w:rPr>
          <w:sz w:val="20"/>
          <w:szCs w:val="20"/>
          <w:color w:val="auto"/>
        </w:rPr>
      </w:pPr>
    </w:p>
    <w:p>
      <w:pPr>
        <w:ind w:right="20" w:firstLine="648"/>
        <w:spacing w:after="0" w:line="361" w:lineRule="auto"/>
        <w:rPr>
          <w:sz w:val="20"/>
          <w:szCs w:val="20"/>
          <w:color w:val="auto"/>
        </w:rPr>
      </w:pPr>
      <w:r>
        <w:rPr>
          <w:rFonts w:ascii="Times New Roman" w:cs="Times New Roman" w:eastAsia="Times New Roman" w:hAnsi="Times New Roman"/>
          <w:sz w:val="22"/>
          <w:szCs w:val="22"/>
          <w:u w:val="single" w:color="auto"/>
          <w:color w:val="auto"/>
        </w:rPr>
        <w:t>SEVENTH</w:t>
      </w:r>
      <w:r>
        <w:rPr>
          <w:rFonts w:ascii="Times New Roman" w:cs="Times New Roman" w:eastAsia="Times New Roman" w:hAnsi="Times New Roman"/>
          <w:sz w:val="22"/>
          <w:szCs w:val="22"/>
          <w:i w:val="1"/>
          <w:iCs w:val="1"/>
          <w:color w:val="auto"/>
        </w:rPr>
        <w:t>. Management of Corporation</w:t>
      </w:r>
      <w:r>
        <w:rPr>
          <w:rFonts w:ascii="Times New Roman" w:cs="Times New Roman" w:eastAsia="Times New Roman" w:hAnsi="Times New Roman"/>
          <w:sz w:val="22"/>
          <w:szCs w:val="22"/>
          <w:color w:val="auto"/>
        </w:rPr>
        <w:t>.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172" w:lineRule="exact"/>
        <w:rPr>
          <w:sz w:val="20"/>
          <w:szCs w:val="20"/>
          <w:color w:val="auto"/>
        </w:rPr>
      </w:pPr>
    </w:p>
    <w:p>
      <w:pPr>
        <w:ind w:left="660" w:firstLine="645"/>
        <w:spacing w:after="0" w:line="366" w:lineRule="auto"/>
        <w:tabs>
          <w:tab w:leader="none" w:pos="17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directors of the Corporation, subject to any rights of the holders of shares of any class or series of Preferred Stock to elect directors, shall be classified with respect to the time for which they severally hold office into three classes, as nearly equal in number as possible. One class’s initial term will expire at the first annual meeting of the stockholders following the effectiveness of this Fourth Amended and Restated Certificate of Incorporation, another class’s initial term will expire at the second annual meeting of the stockholders following the effectiveness of this Fourth Amended and Restated Certificate of Incorporation and another class’s initial term will expire at the third annual meeting of stockholders following the effectiveness of this Fourth Amended and Restated Certificate of Incorporation, with directors of each class to hold office until their successors are duly elected and qualified,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of each director shall continue until the election and qualification of a successor and be subject to such director’s earlier death, resignation or removal. At each annual meeting of stockholders of the Corporation beginning with the first annual meeting of stockholders following the filing of this Fourth Amended and Restated Certificate of Incorporation, subject to any</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639" w:right="259" w:bottom="1440" w:gutter="0" w:footer="0" w:header="0"/>
        </w:sectPr>
      </w:pPr>
    </w:p>
    <w:bookmarkStart w:id="56" w:name="page57"/>
    <w:bookmarkEnd w:id="56"/>
    <w:p>
      <w:pPr>
        <w:ind w:right="20"/>
        <w:spacing w:after="0" w:line="352" w:lineRule="auto"/>
        <w:rPr>
          <w:sz w:val="20"/>
          <w:szCs w:val="20"/>
          <w:color w:val="auto"/>
        </w:rPr>
      </w:pPr>
      <w:r>
        <w:rPr>
          <w:rFonts w:ascii="Times New Roman" w:cs="Times New Roman" w:eastAsia="Times New Roman" w:hAnsi="Times New Roman"/>
          <w:sz w:val="22"/>
          <w:szCs w:val="22"/>
          <w:color w:val="auto"/>
        </w:rPr>
        <w:t>rights of the holders of shares of any class or series of Preferred Stock, the successors of the directors whose term expires at that meeting shall be elected to hold office for a term expiring at the annual meeting of stockholders held in the third year following the year of their election. In the case of any increase or decrease, from time to time, in the number of directors of the Corporation, the number of directors in each class shall be apportioned as nearly equal as possible. No decrease in the number of directors shall shorten the term of any incumbent director.</w:t>
      </w:r>
    </w:p>
    <w:p>
      <w:pPr>
        <w:spacing w:after="0" w:line="184" w:lineRule="exact"/>
        <w:rPr>
          <w:sz w:val="20"/>
          <w:szCs w:val="20"/>
          <w:color w:val="auto"/>
        </w:rPr>
      </w:pPr>
    </w:p>
    <w:p>
      <w:pPr>
        <w:ind w:right="260" w:firstLine="645"/>
        <w:spacing w:after="0" w:line="359" w:lineRule="auto"/>
        <w:tabs>
          <w:tab w:leader="none" w:pos="11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special rights of any holders of any class or series of Preferred Stock to elect directors, the precise number of directors of the Corporation shall be fixed, and may be altered from time to time, only by resolution of the Board of Directors.</w:t>
      </w:r>
    </w:p>
    <w:p>
      <w:pPr>
        <w:spacing w:after="0" w:line="336" w:lineRule="exact"/>
        <w:rPr>
          <w:rFonts w:ascii="Times New Roman" w:cs="Times New Roman" w:eastAsia="Times New Roman" w:hAnsi="Times New Roman"/>
          <w:sz w:val="22"/>
          <w:szCs w:val="22"/>
          <w:color w:val="auto"/>
        </w:rPr>
      </w:pPr>
    </w:p>
    <w:p>
      <w:pPr>
        <w:ind w:right="180" w:firstLine="645"/>
        <w:spacing w:after="0" w:line="359" w:lineRule="auto"/>
        <w:tabs>
          <w:tab w:leader="none" w:pos="110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Article Seventh, the election of directors may be conducted in any manner approved by the person presiding at a meeting of the stockholders or the directors, as the case may be, at the time when the election is held and need not be by written ballot.</w:t>
      </w:r>
    </w:p>
    <w:p>
      <w:pPr>
        <w:spacing w:after="0" w:line="174" w:lineRule="exact"/>
        <w:rPr>
          <w:rFonts w:ascii="Times New Roman" w:cs="Times New Roman" w:eastAsia="Times New Roman" w:hAnsi="Times New Roman"/>
          <w:sz w:val="22"/>
          <w:szCs w:val="22"/>
          <w:color w:val="auto"/>
        </w:rPr>
      </w:pPr>
    </w:p>
    <w:p>
      <w:pPr>
        <w:ind w:firstLine="645"/>
        <w:spacing w:after="0" w:line="349" w:lineRule="auto"/>
        <w:tabs>
          <w:tab w:leader="none" w:pos="11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rights of the holders of shares of any class or series of Preferred Stock, if any, to elect additional directors under specified circumstances, (i) until the first date (such date, the “Effective Date”) that a “group” (as defined under Section 13(d)(3) of the Securities Exchange Act of 1934, as amended (the “Exchange Act”)) no longer beneficially owns more than 50.0% of the outstanding shares of Common Stock, a director may be removed at any time, either for or without cause, upon affirmative vote of holders of at least a majority of the votes to which all the stockholders of the Corporation would be entitled to cast in any election of directors or class of directors and (ii) from and after the Effective Date, a director may be removed from office only for cause and only by the affirmative vote of holders of at least a majority of the votes to which all the stockholders of the Corporation would be entitled to cast in any election of directors or class of directors.</w:t>
      </w:r>
    </w:p>
    <w:p>
      <w:pPr>
        <w:spacing w:after="0" w:line="187" w:lineRule="exact"/>
        <w:rPr>
          <w:rFonts w:ascii="Times New Roman" w:cs="Times New Roman" w:eastAsia="Times New Roman" w:hAnsi="Times New Roman"/>
          <w:sz w:val="22"/>
          <w:szCs w:val="22"/>
          <w:color w:val="auto"/>
        </w:rPr>
      </w:pPr>
    </w:p>
    <w:p>
      <w:pPr>
        <w:ind w:right="20" w:firstLine="645"/>
        <w:spacing w:after="0" w:line="373" w:lineRule="auto"/>
        <w:tabs>
          <w:tab w:leader="none" w:pos="110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rights of the holders of shares of any class or series of Preferred Stock, if any, to elect additional directors under specified circumstances, and</w:t>
      </w:r>
    </w:p>
    <w:p>
      <w:pPr>
        <w:spacing w:after="0" w:line="1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900" w:top="639" w:right="279" w:bottom="1440" w:gutter="0" w:footer="0" w:header="0"/>
        </w:sectPr>
      </w:pPr>
    </w:p>
    <w:bookmarkStart w:id="57" w:name="page58"/>
    <w:bookmarkEnd w:id="57"/>
    <w:p>
      <w:pPr>
        <w:jc w:val="both"/>
        <w:ind w:left="4" w:right="120"/>
        <w:spacing w:after="0" w:line="355" w:lineRule="auto"/>
        <w:rPr>
          <w:sz w:val="20"/>
          <w:szCs w:val="20"/>
          <w:color w:val="auto"/>
        </w:rPr>
      </w:pPr>
      <w:r>
        <w:rPr>
          <w:rFonts w:ascii="Times New Roman" w:cs="Times New Roman" w:eastAsia="Times New Roman" w:hAnsi="Times New Roman"/>
          <w:sz w:val="22"/>
          <w:szCs w:val="22"/>
          <w:color w:val="auto"/>
        </w:rPr>
        <w:t>except as otherwise provided by law, any vacancy in the Board of Directors that results from an increase in the number of directors, from the death, disability, resignation, disqualification, removal of any director or from any other cause shall be filled solely by a majority of the total number of directors then in office, even if less than a quorum, or by a sole remaining director.</w:t>
      </w:r>
    </w:p>
    <w:p>
      <w:pPr>
        <w:spacing w:after="0" w:line="178" w:lineRule="exact"/>
        <w:rPr>
          <w:sz w:val="20"/>
          <w:szCs w:val="20"/>
          <w:color w:val="auto"/>
        </w:rPr>
      </w:pPr>
    </w:p>
    <w:p>
      <w:pPr>
        <w:ind w:left="4" w:right="60" w:firstLine="645"/>
        <w:spacing w:after="0" w:line="359" w:lineRule="auto"/>
        <w:tabs>
          <w:tab w:leader="none" w:pos="107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corporate powers and authority of the Corporation (except as at the time otherwise provided by law, by this Fourth Amended and Restated Certificate of Incorporation or by the Bylaws of the Corporation) shall be vested in and exercised by the Board of Directors.</w:t>
      </w:r>
    </w:p>
    <w:p>
      <w:pPr>
        <w:spacing w:after="0" w:line="174" w:lineRule="exact"/>
        <w:rPr>
          <w:rFonts w:ascii="Times New Roman" w:cs="Times New Roman" w:eastAsia="Times New Roman" w:hAnsi="Times New Roman"/>
          <w:sz w:val="22"/>
          <w:szCs w:val="22"/>
          <w:color w:val="auto"/>
        </w:rPr>
      </w:pPr>
    </w:p>
    <w:p>
      <w:pPr>
        <w:ind w:left="4" w:right="160" w:firstLine="645"/>
        <w:spacing w:after="0" w:line="359" w:lineRule="auto"/>
        <w:tabs>
          <w:tab w:leader="none" w:pos="111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have the power without the consent or vote of the stockholders to adopt, amend, alter or repeal the Bylaws of the Corporation, except to the extent that this Fourth Amended and Restated Certificate of Incorporation otherwise provide.</w:t>
      </w:r>
    </w:p>
    <w:p>
      <w:pPr>
        <w:spacing w:after="0" w:line="174" w:lineRule="exact"/>
        <w:rPr>
          <w:rFonts w:ascii="Times New Roman" w:cs="Times New Roman" w:eastAsia="Times New Roman" w:hAnsi="Times New Roman"/>
          <w:sz w:val="22"/>
          <w:szCs w:val="22"/>
          <w:color w:val="auto"/>
        </w:rPr>
      </w:pPr>
    </w:p>
    <w:p>
      <w:pPr>
        <w:ind w:left="4" w:right="140" w:firstLine="645"/>
        <w:spacing w:after="0" w:line="362" w:lineRule="auto"/>
        <w:tabs>
          <w:tab w:leader="none" w:pos="112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director of the Corporation shall be liable to the Corporation or its stockholders for monetary damages for breach of his or her fiduciary duty as a director,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contained in this Article Seventh shall eliminate or limit the liability of a director (i) for any breach of the director’s duty of loyalty to the Corporation or its stockholders,</w:t>
      </w:r>
    </w:p>
    <w:p>
      <w:pPr>
        <w:spacing w:after="0" w:line="1" w:lineRule="exact"/>
        <w:rPr>
          <w:rFonts w:ascii="Times New Roman" w:cs="Times New Roman" w:eastAsia="Times New Roman" w:hAnsi="Times New Roman"/>
          <w:sz w:val="21"/>
          <w:szCs w:val="21"/>
          <w:color w:val="auto"/>
        </w:rPr>
      </w:pPr>
    </w:p>
    <w:p>
      <w:pPr>
        <w:ind w:left="324" w:hanging="324"/>
        <w:spacing w:after="0"/>
        <w:tabs>
          <w:tab w:leader="none" w:pos="32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acts or omissions not in good faith or which involve intentional misconduct or a knowing violation of the law,</w:t>
      </w:r>
    </w:p>
    <w:p>
      <w:pPr>
        <w:spacing w:after="0" w:line="111" w:lineRule="exact"/>
        <w:rPr>
          <w:rFonts w:ascii="Times New Roman" w:cs="Times New Roman" w:eastAsia="Times New Roman" w:hAnsi="Times New Roman"/>
          <w:sz w:val="22"/>
          <w:szCs w:val="22"/>
          <w:color w:val="auto"/>
        </w:rPr>
      </w:pPr>
    </w:p>
    <w:p>
      <w:pPr>
        <w:ind w:left="4" w:hanging="4"/>
        <w:spacing w:after="0" w:line="372" w:lineRule="auto"/>
        <w:tabs>
          <w:tab w:leader="none" w:pos="38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Section 174 of the General Corporation Law of the State of Delaware or (iv) for any transaction from which the director derived an improper personal benefit. If the General Corporation Law of the State of Delaware is amended after the filing of this Fourth Amended and Restated Certificate of Incorporation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w:t>
      </w:r>
    </w:p>
    <w:p>
      <w:pPr>
        <w:spacing w:after="0" w:line="167" w:lineRule="exact"/>
        <w:rPr>
          <w:rFonts w:ascii="Times New Roman" w:cs="Times New Roman" w:eastAsia="Times New Roman" w:hAnsi="Times New Roman"/>
          <w:sz w:val="21"/>
          <w:szCs w:val="21"/>
          <w:color w:val="auto"/>
        </w:rPr>
      </w:pPr>
    </w:p>
    <w:p>
      <w:pPr>
        <w:ind w:left="4" w:right="140" w:firstLine="645"/>
        <w:spacing w:after="0" w:line="359" w:lineRule="auto"/>
        <w:tabs>
          <w:tab w:leader="none" w:pos="106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through its Bylaws or otherwise, indemnify to the fullest extent permitted under the General Corporation Law of the State of Delaware, as it now exists or as amended from time to time, any person who is or was a director or</w:t>
      </w:r>
    </w:p>
    <w:p>
      <w:pPr>
        <w:spacing w:after="0" w:line="30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4"/>
          </w:cols>
          <w:pgMar w:left="896" w:top="639" w:right="279" w:bottom="1440" w:gutter="0" w:footer="0" w:header="0"/>
        </w:sectPr>
      </w:pPr>
    </w:p>
    <w:bookmarkStart w:id="58" w:name="page59"/>
    <w:bookmarkEnd w:id="58"/>
    <w:p>
      <w:pPr>
        <w:ind w:left="660" w:right="100"/>
        <w:spacing w:after="0" w:line="382" w:lineRule="auto"/>
        <w:rPr>
          <w:sz w:val="20"/>
          <w:szCs w:val="20"/>
          <w:color w:val="auto"/>
        </w:rPr>
      </w:pPr>
      <w:r>
        <w:rPr>
          <w:rFonts w:ascii="Times New Roman" w:cs="Times New Roman" w:eastAsia="Times New Roman" w:hAnsi="Times New Roman"/>
          <w:sz w:val="21"/>
          <w:szCs w:val="21"/>
          <w:color w:val="auto"/>
        </w:rPr>
        <w:t>officer of the Corporation or its subsidiaries. The Corporation may, by action of its Board of Directors, provide rights to indemnification and to advancement of expenses to such other employees or agents of the Corporation or its subsidiaries to such extent and to such effect as the Board of Directors shall determine to be appropriate and authorized by Delaware Law.</w:t>
      </w:r>
    </w:p>
    <w:p>
      <w:pPr>
        <w:spacing w:after="0" w:line="315" w:lineRule="exact"/>
        <w:rPr>
          <w:sz w:val="20"/>
          <w:szCs w:val="20"/>
          <w:color w:val="auto"/>
        </w:rPr>
      </w:pPr>
    </w:p>
    <w:p>
      <w:pPr>
        <w:ind w:firstLine="648"/>
        <w:spacing w:after="0" w:line="353" w:lineRule="auto"/>
        <w:rPr>
          <w:sz w:val="20"/>
          <w:szCs w:val="20"/>
          <w:color w:val="auto"/>
        </w:rPr>
      </w:pPr>
      <w:r>
        <w:rPr>
          <w:rFonts w:ascii="Times New Roman" w:cs="Times New Roman" w:eastAsia="Times New Roman" w:hAnsi="Times New Roman"/>
          <w:sz w:val="22"/>
          <w:szCs w:val="22"/>
          <w:u w:val="single" w:color="auto"/>
          <w:color w:val="auto"/>
        </w:rPr>
        <w:t>EIGHTH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Stockholder Action by Written Consent</w:t>
      </w:r>
      <w:r>
        <w:rPr>
          <w:rFonts w:ascii="Times New Roman" w:cs="Times New Roman" w:eastAsia="Times New Roman" w:hAnsi="Times New Roman"/>
          <w:sz w:val="22"/>
          <w:szCs w:val="22"/>
          <w:color w:val="auto"/>
        </w:rPr>
        <w:t>. From and after the Effective Date, any action required or permitted to be taken at any annual or special meeting of stockholders of the Corporation may be taken only upon the vote of the stockholders at an annual or special meeting duly called and may not be taken by written consent of the stockholders. The Bylaws may establish procedures regulating the submission by stockholders of nominations and proposals for consideration at meetings of stockholders of the Corporation.</w:t>
      </w:r>
    </w:p>
    <w:p>
      <w:pPr>
        <w:spacing w:after="0" w:line="179" w:lineRule="exact"/>
        <w:rPr>
          <w:sz w:val="20"/>
          <w:szCs w:val="20"/>
          <w:color w:val="auto"/>
        </w:rPr>
      </w:pPr>
    </w:p>
    <w:p>
      <w:pPr>
        <w:ind w:right="320" w:firstLine="648"/>
        <w:spacing w:after="0" w:line="356" w:lineRule="auto"/>
        <w:rPr>
          <w:sz w:val="20"/>
          <w:szCs w:val="20"/>
          <w:color w:val="auto"/>
        </w:rPr>
      </w:pPr>
      <w:r>
        <w:rPr>
          <w:rFonts w:ascii="Times New Roman" w:cs="Times New Roman" w:eastAsia="Times New Roman" w:hAnsi="Times New Roman"/>
          <w:sz w:val="22"/>
          <w:szCs w:val="22"/>
          <w:u w:val="single" w:color="auto"/>
          <w:color w:val="auto"/>
        </w:rPr>
        <w:t>NINTH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Special Meetings</w:t>
      </w:r>
      <w:r>
        <w:rPr>
          <w:rFonts w:ascii="Times New Roman" w:cs="Times New Roman" w:eastAsia="Times New Roman" w:hAnsi="Times New Roman"/>
          <w:sz w:val="22"/>
          <w:szCs w:val="22"/>
          <w:color w:val="auto"/>
        </w:rPr>
        <w:t>. A special meeting of the stockholders of the Corporation for any purpose or purposes may be called only by or at the direction of the Board of Directors pursuant to a resolution adopted by a majority of the total number of directors then in office and any right of the stockholders of the Corporation to call a special meeting of the stockholders is specifically denied.</w:t>
      </w:r>
    </w:p>
    <w:p>
      <w:pPr>
        <w:spacing w:after="0" w:line="174" w:lineRule="exact"/>
        <w:rPr>
          <w:sz w:val="20"/>
          <w:szCs w:val="20"/>
          <w:color w:val="auto"/>
        </w:rPr>
      </w:pPr>
    </w:p>
    <w:p>
      <w:pPr>
        <w:ind w:right="20" w:firstLine="648"/>
        <w:spacing w:after="0" w:line="349" w:lineRule="auto"/>
        <w:rPr>
          <w:sz w:val="20"/>
          <w:szCs w:val="20"/>
          <w:color w:val="auto"/>
        </w:rPr>
      </w:pPr>
      <w:r>
        <w:rPr>
          <w:rFonts w:ascii="Times New Roman" w:cs="Times New Roman" w:eastAsia="Times New Roman" w:hAnsi="Times New Roman"/>
          <w:sz w:val="22"/>
          <w:szCs w:val="22"/>
          <w:u w:val="single" w:color="auto"/>
          <w:color w:val="auto"/>
        </w:rPr>
        <w:t>TENTH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Business Opportunities</w:t>
      </w:r>
      <w:r>
        <w:rPr>
          <w:rFonts w:ascii="Times New Roman" w:cs="Times New Roman" w:eastAsia="Times New Roman" w:hAnsi="Times New Roman"/>
          <w:sz w:val="22"/>
          <w:szCs w:val="22"/>
          <w:color w:val="auto"/>
        </w:rPr>
        <w:t>. To the fullest extent permitted by Section 122(17) of the General Corporation Law of the State of Delaware and except as may be otherwise expressly agreed in writing by the Corporation and Explorer Coinvest LLC, a Delaware limited liability company (“Explorer Coinvest”), the Corporation, on behalf of itself and its subsidiaries, renounces any interest or expectancy of the Corporation and its subsidiaries in, or in being offered an opportunity to participate in, business opportunities, that are from time to time presented to Explorer Coinvest or any of its respective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no such person shall be liable to the Corporation or any of its subsidiaries for breach of any fiduciary or other duty, as a director or officer or otherwise, by reason of the fact that such person pursues or acquires such business opportunity, directs such business opportunity to another</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639" w:right="259" w:bottom="1440" w:gutter="0" w:footer="0" w:header="0"/>
        </w:sectPr>
      </w:pPr>
    </w:p>
    <w:bookmarkStart w:id="59" w:name="page60"/>
    <w:bookmarkEnd w:id="59"/>
    <w:p>
      <w:pPr>
        <w:ind w:right="140"/>
        <w:spacing w:after="0" w:line="349" w:lineRule="auto"/>
        <w:rPr>
          <w:sz w:val="20"/>
          <w:szCs w:val="20"/>
          <w:color w:val="auto"/>
        </w:rPr>
      </w:pPr>
      <w:r>
        <w:rPr>
          <w:rFonts w:ascii="Times New Roman" w:cs="Times New Roman" w:eastAsia="Times New Roman" w:hAnsi="Times New Roman"/>
          <w:sz w:val="22"/>
          <w:szCs w:val="22"/>
          <w:color w:val="auto"/>
        </w:rPr>
        <w:t>person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Any person purchasing or otherwise acquiring any interest in any shares of stock of the Corporation shall be deemed to have notice of and consented to the provisions of this Article Tenth. Neither the alteration, amendment or repeal of this Article Tenth nor the adoption of any provision of this Fourth Amended and Restated Certificate of Incorporation inconsistent with this Article Tenth shall eliminate or reduce the effect of this Article Tenth in respect of any business opportunity first identified or any other matter occurring, or any cause of action, suit or claim that, but for this Article Tenth, would accrue or arise, prior to such alteration, amendment, repeal or adoption.</w:t>
      </w:r>
    </w:p>
    <w:p>
      <w:pPr>
        <w:spacing w:after="0" w:line="183" w:lineRule="exact"/>
        <w:rPr>
          <w:sz w:val="20"/>
          <w:szCs w:val="20"/>
          <w:color w:val="auto"/>
        </w:rPr>
      </w:pPr>
    </w:p>
    <w:p>
      <w:pPr>
        <w:ind w:right="40" w:firstLine="648"/>
        <w:spacing w:after="0" w:line="353" w:lineRule="auto"/>
        <w:rPr>
          <w:sz w:val="20"/>
          <w:szCs w:val="20"/>
          <w:color w:val="auto"/>
        </w:rPr>
      </w:pPr>
      <w:r>
        <w:rPr>
          <w:rFonts w:ascii="Times New Roman" w:cs="Times New Roman" w:eastAsia="Times New Roman" w:hAnsi="Times New Roman"/>
          <w:sz w:val="22"/>
          <w:szCs w:val="22"/>
          <w:u w:val="single" w:color="auto"/>
          <w:color w:val="auto"/>
        </w:rPr>
        <w:t>ELEVENTH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Section 203 of the General Corporation Law</w:t>
      </w:r>
      <w:r>
        <w:rPr>
          <w:rFonts w:ascii="Times New Roman" w:cs="Times New Roman" w:eastAsia="Times New Roman" w:hAnsi="Times New Roman"/>
          <w:sz w:val="22"/>
          <w:szCs w:val="22"/>
          <w:color w:val="auto"/>
        </w:rPr>
        <w:t>. The Corporation elects not to be governed by Section 203 of the General Corporation Law of the State of Delaware, “Business Combinations With Interested Stockholders” (“Section 203”), as permitted under and pursuant to subsection (b)(3) of Section 203, until the first date that Explorer Coinvest and its affiliates no longer beneficially own at least 20% of the outstanding shares of Common Stock. From and after such date, the Corporation shall be governed by Section 203 so long as Section 203 by its terms would apply to the Corporation.</w:t>
      </w:r>
    </w:p>
    <w:p>
      <w:pPr>
        <w:spacing w:after="0" w:line="179" w:lineRule="exact"/>
        <w:rPr>
          <w:sz w:val="20"/>
          <w:szCs w:val="20"/>
          <w:color w:val="auto"/>
        </w:rPr>
      </w:pPr>
    </w:p>
    <w:p>
      <w:pPr>
        <w:ind w:firstLine="648"/>
        <w:spacing w:after="0" w:line="352" w:lineRule="auto"/>
        <w:rPr>
          <w:sz w:val="20"/>
          <w:szCs w:val="20"/>
          <w:color w:val="auto"/>
        </w:rPr>
      </w:pPr>
      <w:r>
        <w:rPr>
          <w:rFonts w:ascii="Times New Roman" w:cs="Times New Roman" w:eastAsia="Times New Roman" w:hAnsi="Times New Roman"/>
          <w:sz w:val="22"/>
          <w:szCs w:val="22"/>
          <w:u w:val="single" w:color="auto"/>
          <w:color w:val="auto"/>
        </w:rPr>
        <w:t>TWELFTH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Forum</w:t>
      </w:r>
      <w:r>
        <w:rPr>
          <w:rFonts w:ascii="Times New Roman" w:cs="Times New Roman" w:eastAsia="Times New Roman" w:hAnsi="Times New Roman"/>
          <w:sz w:val="22"/>
          <w:szCs w:val="22"/>
          <w:color w:val="auto"/>
        </w:rPr>
        <w:t>.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the Corporation’s stockholders, (iii) any action asserting a claim against the Corporation arising pursuant to any provision of the General Corporation Law of the State of Delaware or the Corporation’s Fourth Amended and Restated Certificate of Incorporation or Bylaws, or (iv) any action asserting a claim against the Corporation governed by the internal affairs doctrine.</w:t>
      </w:r>
    </w:p>
    <w:p>
      <w:pPr>
        <w:spacing w:after="0" w:line="340" w:lineRule="exact"/>
        <w:rPr>
          <w:sz w:val="20"/>
          <w:szCs w:val="20"/>
          <w:color w:val="auto"/>
        </w:rPr>
      </w:pPr>
    </w:p>
    <w:p>
      <w:pPr>
        <w:ind w:right="260" w:firstLine="648"/>
        <w:spacing w:after="0" w:line="377" w:lineRule="auto"/>
        <w:rPr>
          <w:sz w:val="20"/>
          <w:szCs w:val="20"/>
          <w:color w:val="auto"/>
        </w:rPr>
      </w:pPr>
      <w:r>
        <w:rPr>
          <w:rFonts w:ascii="Times New Roman" w:cs="Times New Roman" w:eastAsia="Times New Roman" w:hAnsi="Times New Roman"/>
          <w:sz w:val="22"/>
          <w:szCs w:val="22"/>
          <w:u w:val="single" w:color="auto"/>
          <w:color w:val="auto"/>
        </w:rPr>
        <w:t>THIRTEENTH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The Corporation reserves the right to amend, alter or repeal any provision contained in this Fourth Amended and Restated Certificate of Incorporation</w:t>
      </w: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639" w:right="319" w:bottom="1440" w:gutter="0" w:footer="0" w:header="0"/>
        </w:sectPr>
      </w:pPr>
    </w:p>
    <w:bookmarkStart w:id="60" w:name="page61"/>
    <w:bookmarkEnd w:id="60"/>
    <w:p>
      <w:pPr>
        <w:spacing w:after="0" w:line="372" w:lineRule="auto"/>
        <w:rPr>
          <w:sz w:val="20"/>
          <w:szCs w:val="20"/>
          <w:color w:val="auto"/>
        </w:rPr>
      </w:pPr>
      <w:r>
        <w:rPr>
          <w:rFonts w:ascii="Times New Roman" w:cs="Times New Roman" w:eastAsia="Times New Roman" w:hAnsi="Times New Roman"/>
          <w:sz w:val="21"/>
          <w:szCs w:val="21"/>
          <w:color w:val="auto"/>
        </w:rPr>
        <w:t>in the manner now or hereafter prescribed by the laws of the State of Delaware, and all rights herein conferred upon stockholders or directors are granted subject to this reservation, provided, however, that any amendment, alteration or repeal of Article Seventh, Section (h) shall not adversely affect any right or protection existing under this Fourth Amended and Restated Certificate of Incorporation immediately prior to such amendment, alteration or repeal, including any right or protection of a director or officer thereunder in respect of any act or omission occurring prior to the time of such amendment, modification or repeal.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639" w:right="2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BOOZ ALLEN HAMILTON INC. NONQUALIFIED DEFERRED COMPENSATION PLAN</w:t>
      </w:r>
    </w:p>
    <w:p>
      <w:pPr>
        <w:spacing w:after="0" w:line="20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Booz Allen Hamilton Inc. (“</w:t>
      </w:r>
      <w:r>
        <w:rPr>
          <w:rFonts w:ascii="Times New Roman" w:cs="Times New Roman" w:eastAsia="Times New Roman" w:hAnsi="Times New Roman"/>
          <w:sz w:val="18"/>
          <w:szCs w:val="18"/>
          <w:u w:val="single" w:color="auto"/>
          <w:color w:val="auto"/>
        </w:rPr>
        <w:t>BAH</w:t>
      </w:r>
      <w:r>
        <w:rPr>
          <w:rFonts w:ascii="Times New Roman" w:cs="Times New Roman" w:eastAsia="Times New Roman" w:hAnsi="Times New Roman"/>
          <w:sz w:val="18"/>
          <w:szCs w:val="18"/>
          <w:color w:val="auto"/>
          <w:highlight w:val="white"/>
        </w:rPr>
        <w:t>”) has adopted and maintains the Booz Allen Hamilton Inc. Nonqualified Deferred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is intended to provide a select group of senior management and highly compensated employees of BAH and its “Affiliates” (as such term is defined in the Plan) with an opportunity to defer certain compensation;</w:t>
      </w:r>
    </w:p>
    <w:p>
      <w:pPr>
        <w:spacing w:after="0" w:line="171"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Article IX of the Plan, the compensation committee of the board of directors of the Company (the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highlight w:val="white"/>
        </w:rPr>
        <w:t>”) has the authority to amend the Plan at any time; provided that, any such amendment does not decrease the amounts credited to any participant’s</w:t>
      </w:r>
      <w:r>
        <w:rPr>
          <w:rFonts w:ascii="Times New Roman" w:cs="Times New Roman" w:eastAsia="Times New Roman" w:hAnsi="Times New Roman"/>
          <w:sz w:val="18"/>
          <w:szCs w:val="18"/>
          <w:color w:val="auto"/>
        </w:rPr>
        <w:t xml:space="preserve"> account under the Plan;</w:t>
      </w:r>
    </w:p>
    <w:p>
      <w:pPr>
        <w:spacing w:after="0" w:line="17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Compensation Committee has determined that it is advisable to amend the Plan to clarify the manner in which wage garnishments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processed under the Plan;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amendment will not decrease the amounts credited to any participant’s account under the Plan.</w:t>
      </w:r>
    </w:p>
    <w:p>
      <w:pPr>
        <w:spacing w:after="0" w:line="31"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effective July 24, 2019, Section 5.1(a) of the Plan is hereby amended to add the following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sentence at the end of the paragraph:</w:t>
      </w:r>
    </w:p>
    <w:p>
      <w:pPr>
        <w:spacing w:after="0" w:line="180"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A Participant’s deferral election will be applied with respect to the gross amount of such Participant’s Eligible Compensation; provided that, the amount by which a Participant’s Eligible Compensation may be reduced for crediting to a Participant’s Account shall not exceed the amount of a Participant’s Eligible Compensation that would be paid directly to the Participant by his or her employer after taking into account any and all other applicable withholdings and deductions.</w:t>
      </w:r>
    </w:p>
    <w:p>
      <w:pPr>
        <w:spacing w:after="0" w:line="176"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First Amendment is hereby executed by the Chief People Officer of the Company on behalf of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on July 24, 2019.</w:t>
      </w:r>
    </w:p>
    <w:p>
      <w:pPr>
        <w:spacing w:after="0" w:line="200" w:lineRule="exact"/>
        <w:rPr>
          <w:sz w:val="20"/>
          <w:szCs w:val="20"/>
          <w:color w:val="auto"/>
        </w:rPr>
      </w:pPr>
    </w:p>
    <w:p>
      <w:pPr>
        <w:spacing w:after="0" w:line="27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Booz Allen Hamilton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Elizabeth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-7620</wp:posOffset>
            </wp:positionV>
            <wp:extent cx="1571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1625" cy="8890"/>
                    </a:xfrm>
                    <a:prstGeom prst="rect">
                      <a:avLst/>
                    </a:prstGeom>
                    <a:noFill/>
                  </pic:spPr>
                </pic:pic>
              </a:graphicData>
            </a:graphic>
          </wp:anchor>
        </w:drawing>
      </w:r>
    </w:p>
    <w:p>
      <w:pPr>
        <w:spacing w:after="0" w:line="9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Elizabeth Thompson</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Title: EVP &amp; Chief People Officer</w:t>
      </w:r>
    </w:p>
    <w:p>
      <w:pPr>
        <w:sectPr>
          <w:pgSz w:w="11900" w:h="16838" w:orient="portrait"/>
          <w:cols w:equalWidth="0" w:num="1">
            <w:col w:w="11420"/>
          </w:cols>
          <w:pgMar w:left="240" w:top="122"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120" w:firstLine="8"/>
        <w:spacing w:after="0" w:line="266"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40" w:firstLine="8"/>
        <w:spacing w:after="0" w:line="282"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66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220" w:firstLine="8"/>
        <w:spacing w:after="0" w:line="282" w:lineRule="auto"/>
        <w:tabs>
          <w:tab w:leader="none" w:pos="2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7100" w:val="left"/>
          <w:tab w:leader="none" w:pos="7560" w:val="left"/>
        </w:tabs>
        <w:rPr>
          <w:sz w:val="20"/>
          <w:szCs w:val="20"/>
          <w:color w:val="auto"/>
        </w:rPr>
      </w:pPr>
      <w:r>
        <w:rPr>
          <w:rFonts w:ascii="Times New Roman" w:cs="Times New Roman" w:eastAsia="Times New Roman" w:hAnsi="Times New Roman"/>
          <w:sz w:val="18"/>
          <w:szCs w:val="18"/>
          <w:color w:val="auto"/>
        </w:rPr>
        <w:t>Date: November 1,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Horacio Rozanski</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120" w:firstLine="8"/>
        <w:spacing w:after="0" w:line="266"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40" w:firstLine="8"/>
        <w:spacing w:after="0" w:line="282"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66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220" w:firstLine="8"/>
        <w:spacing w:after="0" w:line="282"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 November 1,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Lloyd W. Howell, Jr.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September 30, 2019,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18"/>
          <w:szCs w:val="18"/>
          <w:color w:val="auto"/>
        </w:rPr>
        <w:t>Date: November 1, 2019</w:t>
      </w:r>
      <w:r>
        <w:rPr>
          <w:sz w:val="20"/>
          <w:szCs w:val="20"/>
          <w:color w:val="auto"/>
        </w:rPr>
        <w:tab/>
      </w:r>
      <w:r>
        <w:rPr>
          <w:rFonts w:ascii="Times New Roman" w:cs="Times New Roman" w:eastAsia="Times New Roman" w:hAnsi="Times New Roman"/>
          <w:sz w:val="18"/>
          <w:szCs w:val="18"/>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34290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Horacio Rozanski</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September 30, 2019,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November 1, 2019</w:t>
      </w:r>
      <w:r>
        <w:rPr>
          <w:sz w:val="20"/>
          <w:szCs w:val="20"/>
          <w:color w:val="auto"/>
        </w:rPr>
        <w:tab/>
      </w:r>
      <w:r>
        <w:rPr>
          <w:rFonts w:ascii="Times New Roman" w:cs="Times New Roman" w:eastAsia="Times New Roman" w:hAnsi="Times New Roman"/>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Lloyd W. Howell, Jr.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(Principal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2"/>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5"/>
    </w:lvl>
  </w:abstractNum>
  <w:abstractNum w:abstractNumId="6">
    <w:nsid w:val="8138641"/>
    <w:multiLevelType w:val="hybridMultilevel"/>
    <w:lvl w:ilvl="0">
      <w:lvlJc w:val="left"/>
      <w:lvlText w:val="%1."/>
      <w:numFmt w:val="decimal"/>
      <w:start w:val="6"/>
    </w:lvl>
  </w:abstractNum>
  <w:abstractNum w:abstractNumId="7">
    <w:nsid w:val="1E7FF521"/>
    <w:multiLevelType w:val="hybridMultilevel"/>
    <w:lvl w:ilvl="0">
      <w:lvlJc w:val="left"/>
      <w:lvlText w:val="(%1)"/>
      <w:numFmt w:val="lowerLetter"/>
      <w:start w:val="25"/>
    </w:lvl>
  </w:abstractNum>
  <w:abstractNum w:abstractNumId="8">
    <w:nsid w:val="7C3DBD3D"/>
    <w:multiLevelType w:val="hybridMultilevel"/>
    <w:lvl w:ilvl="0">
      <w:lvlJc w:val="left"/>
      <w:lvlText w:val="(%1)"/>
      <w:numFmt w:val="lowerRoman"/>
      <w:start w:val="6"/>
    </w:lvl>
  </w:abstractNum>
  <w:abstractNum w:abstractNumId="9">
    <w:nsid w:val="737B8DDC"/>
    <w:multiLevelType w:val="hybridMultilevel"/>
    <w:lvl w:ilvl="0">
      <w:lvlJc w:val="left"/>
      <w:lvlText w:val="%1"/>
      <w:numFmt w:val="decimal"/>
      <w:start w:val="1"/>
    </w:lvl>
    <w:lvl w:ilvl="1">
      <w:lvlJc w:val="left"/>
      <w:lvlText w:val="(%2)"/>
      <w:numFmt w:val="decimal"/>
      <w:start w:val="1"/>
    </w:lvl>
  </w:abstractNum>
  <w:abstractNum w:abstractNumId="10">
    <w:nsid w:val="6CEAF087"/>
    <w:multiLevelType w:val="hybridMultilevel"/>
    <w:lvl w:ilvl="0">
      <w:lvlJc w:val="left"/>
      <w:lvlText w:val="%1."/>
      <w:numFmt w:val="decimal"/>
      <w:start w:val="9"/>
    </w:lvl>
    <w:lvl w:ilvl="1">
      <w:lvlJc w:val="left"/>
      <w:lvlText w:val="%2"/>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2"/>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Letter"/>
      <w:start w:val="3"/>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lowerLetter"/>
      <w:start w:val="25"/>
    </w:lvl>
  </w:abstractNum>
  <w:abstractNum w:abstractNumId="30">
    <w:nsid w:val="70A64E2A"/>
    <w:multiLevelType w:val="hybridMultilevel"/>
    <w:lvl w:ilvl="0">
      <w:lvlJc w:val="left"/>
      <w:lvlText w:val="(%1)"/>
      <w:numFmt w:val="lowerRoman"/>
      <w:start w:val="6"/>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0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lowerRoman"/>
      <w:start w:val="1"/>
    </w:lvl>
    <w:lvl w:ilvl="1">
      <w:lvlJc w:val="left"/>
      <w:lvlText w:val="(%2)"/>
      <w:numFmt w:val="lowerLetter"/>
      <w:start w:val="6"/>
    </w:lvl>
  </w:abstractNum>
  <w:abstractNum w:abstractNumId="42">
    <w:nsid w:val="7644A45C"/>
    <w:multiLevelType w:val="hybridMultilevel"/>
    <w:lvl w:ilvl="0">
      <w:lvlJc w:val="left"/>
      <w:lvlText w:val="(%1)"/>
      <w:numFmt w:val="lowerRoman"/>
      <w:start w:val="2"/>
    </w:lvl>
    <w:lvl w:ilvl="1">
      <w:lvlJc w:val="left"/>
      <w:lvlText w:val="(%2)"/>
      <w:numFmt w:val="lowerLetter"/>
      <w:start w:val="9"/>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5"/>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2019-12-28T03:40:51Z</dcterms:created>
  <dcterms:modified xsi:type="dcterms:W3CDTF">2019-12-28T03:40:51Z</dcterms:modified>
</cp:coreProperties>
</file>