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rFonts w:ascii="Times New Roman;serif" w:hAnsi="Times New Roman;serif"/>
          <w:b w:val="false"/>
          <w:color w:val="000000"/>
          <w:sz w:val="12"/>
        </w:rPr>
        <w:t>___________________________________________________________</w:t>
      </w:r>
      <w:r>
        <w:rPr>
          <w:color w:val="000000"/>
        </w:rPr>
        <w:t> </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001-34972 </w:t>
      </w:r>
    </w:p>
    <w:p>
      <w:pPr>
        <w:pStyle w:val="TextBody"/>
        <w:bidi w:val="0"/>
        <w:spacing w:lineRule="auto" w:line="288" w:before="0" w:after="60"/>
        <w:jc w:val="center"/>
        <w:rPr>
          <w:color w:val="000000"/>
        </w:rPr>
      </w:pPr>
      <w:r>
        <w:rPr>
          <w:color w:val="000000"/>
        </w:rPr>
        <w:t> </w:t>
      </w:r>
      <w:r>
        <w:rPr>
          <w:rFonts w:ascii="Times New Roman;serif" w:hAnsi="Times New Roman;serif"/>
          <w:b w:val="false"/>
          <w:color w:val="000000"/>
          <w:sz w:val="12"/>
        </w:rPr>
        <w:t>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w:t>
      </w:r>
    </w:p>
    <w:tbl>
      <w:tblPr>
        <w:tblW w:w="5651"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902-5000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779" w:type="dxa"/>
        <w:jc w:val="center"/>
        <w:tblInd w:w="0" w:type="dxa"/>
        <w:tblLayout w:type="fixed"/>
        <w:tblCellMar>
          <w:top w:w="28" w:type="dxa"/>
          <w:left w:w="28" w:type="dxa"/>
          <w:bottom w:w="28" w:type="dxa"/>
          <w:right w:w="28" w:type="dxa"/>
        </w:tblCellMar>
      </w:tblPr>
      <w:tblGrid>
        <w:gridCol w:w="736"/>
        <w:gridCol w:w="650"/>
        <w:gridCol w:w="654"/>
        <w:gridCol w:w="424"/>
        <w:gridCol w:w="424"/>
        <w:gridCol w:w="426"/>
        <w:gridCol w:w="1014"/>
        <w:gridCol w:w="1014"/>
        <w:gridCol w:w="1437"/>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W w:w="6120"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6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 w:after="2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3841" w:type="dxa"/>
        <w:jc w:val="left"/>
        <w:tblInd w:w="0" w:type="dxa"/>
        <w:tblLayout w:type="fixed"/>
        <w:tblCellMar>
          <w:top w:w="28" w:type="dxa"/>
          <w:left w:w="28" w:type="dxa"/>
          <w:bottom w:w="28" w:type="dxa"/>
          <w:right w:w="28" w:type="dxa"/>
        </w:tblCellMar>
      </w:tblPr>
      <w:tblGrid>
        <w:gridCol w:w="738"/>
        <w:gridCol w:w="649"/>
        <w:gridCol w:w="653"/>
        <w:gridCol w:w="527"/>
        <w:gridCol w:w="527"/>
        <w:gridCol w:w="747"/>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Outstanding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7/20/2026</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8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120,284,973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531" w:type="dxa"/>
        <w:jc w:val="left"/>
        <w:tblInd w:w="0" w:type="dxa"/>
        <w:tblLayout w:type="fixed"/>
        <w:tblCellMar>
          <w:top w:w="28" w:type="dxa"/>
          <w:left w:w="28" w:type="dxa"/>
          <w:bottom w:w="28" w:type="dxa"/>
          <w:right w:w="28" w:type="dxa"/>
        </w:tblCellMar>
      </w:tblPr>
      <w:tblGrid>
        <w:gridCol w:w="508"/>
        <w:gridCol w:w="446"/>
        <w:gridCol w:w="446"/>
        <w:gridCol w:w="2512"/>
        <w:gridCol w:w="2512"/>
        <w:gridCol w:w="2536"/>
        <w:gridCol w:w="167"/>
        <w:gridCol w:w="167"/>
        <w:gridCol w:w="237"/>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0">
              <w:r>
                <w:rPr>
                  <w:rStyle w:val="InternetLink"/>
                  <w:rFonts w:ascii="Times New Roman;serif" w:hAnsi="Times New Roman;serif"/>
                  <w:b/>
                  <w:color w:val="0000FF"/>
                  <w:sz w:val="20"/>
                  <w:u w:val="single"/>
                </w:rPr>
                <w:t>PART I. 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7f51b7a30cc4a719edcf8656dc0d5b2_10">
              <w:r>
                <w:rPr>
                  <w:rStyle w:val="InternetLink"/>
                  <w:rFonts w:ascii="Times New Roman;serif" w:hAnsi="Times New Roman;serif"/>
                  <w:b/>
                  <w:color w:val="0000FF"/>
                  <w:sz w:val="20"/>
                  <w:u w:val="single"/>
                </w:rPr>
                <w:t>1</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3">
              <w:r>
                <w:rPr>
                  <w:rStyle w:val="InternetLink"/>
                  <w:rFonts w:ascii="Times New Roman;serif" w:hAnsi="Times New Roman;serif"/>
                  <w:b/>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3">
              <w:r>
                <w:rPr>
                  <w:rStyle w:val="InternetLink"/>
                  <w:rFonts w:ascii="Times New Roman;serif" w:hAnsi="Times New Roman;serif"/>
                  <w:b/>
                  <w:color w:val="0000FF"/>
                  <w:sz w:val="20"/>
                  <w:u w:val="single"/>
                </w:rPr>
                <w:t>1</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82">
              <w:r>
                <w:rPr>
                  <w:rStyle w:val="InternetLink"/>
                  <w:rFonts w:ascii="Times New Roman;serif" w:hAnsi="Times New Roman;serif"/>
                  <w:b/>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82">
              <w:r>
                <w:rPr>
                  <w:rStyle w:val="InternetLink"/>
                  <w:rFonts w:ascii="Times New Roman;serif" w:hAnsi="Times New Roman;serif"/>
                  <w:b/>
                  <w:color w:val="0000FF"/>
                  <w:sz w:val="20"/>
                  <w:u w:val="single"/>
                </w:rPr>
                <w:t>14</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12">
              <w:r>
                <w:rPr>
                  <w:rStyle w:val="InternetLink"/>
                  <w:rFonts w:ascii="Times New Roman;serif" w:hAnsi="Times New Roman;serif"/>
                  <w:b/>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12">
              <w:r>
                <w:rPr>
                  <w:rStyle w:val="InternetLink"/>
                  <w:rFonts w:ascii="Times New Roman;serif" w:hAnsi="Times New Roman;serif"/>
                  <w:b/>
                  <w:color w:val="0000FF"/>
                  <w:sz w:val="20"/>
                  <w:u w:val="single"/>
                </w:rPr>
                <w:t>22</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15">
              <w:r>
                <w:rPr>
                  <w:rStyle w:val="InternetLink"/>
                  <w:rFonts w:ascii="Times New Roman;serif" w:hAnsi="Times New Roman;serif"/>
                  <w:b/>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15">
              <w:r>
                <w:rPr>
                  <w:rStyle w:val="InternetLink"/>
                  <w:rFonts w:ascii="Times New Roman;serif" w:hAnsi="Times New Roman;serif"/>
                  <w:b/>
                  <w:color w:val="0000FF"/>
                  <w:sz w:val="20"/>
                  <w:u w:val="single"/>
                </w:rPr>
                <w:t>22</w:t>
              </w:r>
            </w:hyperlink>
          </w:p>
        </w:tc>
      </w:tr>
      <w:tr>
        <w:trPr/>
        <w:tc>
          <w:tcPr>
            <w:tcW w:w="89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18">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18">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21">
              <w:r>
                <w:rPr>
                  <w:rStyle w:val="InternetLink"/>
                  <w:rFonts w:ascii="Times New Roman;serif" w:hAnsi="Times New Roman;serif"/>
                  <w:b/>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21">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24">
              <w:r>
                <w:rPr>
                  <w:rStyle w:val="InternetLink"/>
                  <w:rFonts w:ascii="Times New Roman;serif" w:hAnsi="Times New Roman;serif"/>
                  <w:b/>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24">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27">
              <w:r>
                <w:rPr>
                  <w:rStyle w:val="InternetLink"/>
                  <w:rFonts w:ascii="Times New Roman;serif" w:hAnsi="Times New Roman;serif"/>
                  <w:b/>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27">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30">
              <w:r>
                <w:rPr>
                  <w:rStyle w:val="InternetLink"/>
                  <w:rFonts w:ascii="Times New Roman;serif" w:hAnsi="Times New Roman;serif"/>
                  <w:b/>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30">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33">
              <w:r>
                <w:rPr>
                  <w:rStyle w:val="InternetLink"/>
                  <w:rFonts w:ascii="Times New Roman;serif" w:hAnsi="Times New Roman;serif"/>
                  <w:b/>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33">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36">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36">
              <w:r>
                <w:rPr>
                  <w:rStyle w:val="InternetLink"/>
                  <w:rFonts w:ascii="Times New Roman;serif" w:hAnsi="Times New Roman;serif"/>
                  <w:b/>
                  <w:color w:val="0000FF"/>
                  <w:sz w:val="20"/>
                  <w:u w:val="single"/>
                </w:rPr>
                <w:t>23</w:t>
              </w:r>
            </w:hyperlink>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39">
              <w:r>
                <w:rPr>
                  <w:rStyle w:val="InternetLink"/>
                  <w:rFonts w:ascii="Times New Roman;serif" w:hAnsi="Times New Roman;serif"/>
                  <w:b/>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f51b7a30cc4a719edcf8656dc0d5b2_139">
              <w:r>
                <w:rPr>
                  <w:rStyle w:val="InternetLink"/>
                  <w:rFonts w:ascii="Times New Roman;serif" w:hAnsi="Times New Roman;serif"/>
                  <w:b/>
                  <w:color w:val="0000FF"/>
                  <w:sz w:val="20"/>
                  <w:u w:val="single"/>
                </w:rPr>
                <w:t>24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w:t>
      </w:r>
      <w:r>
        <w:rPr>
          <w:rFonts w:ascii="Times New Roman;serif" w:hAnsi="Times New Roman;serif"/>
          <w:b/>
          <w:i/>
          <w:color w:val="000000"/>
          <w:sz w:val="20"/>
        </w:rPr>
        <w:t>.    </w:t>
      </w:r>
      <w:r>
        <w:rPr>
          <w:rFonts w:ascii="Times New Roman;serif" w:hAnsi="Times New Roman;serif"/>
          <w:b/>
          <w:color w:val="000000"/>
          <w:sz w:val="20"/>
        </w:rPr>
        <w:t>Financial Statements</w:t>
      </w:r>
    </w:p>
    <w:p>
      <w:pPr>
        <w:pStyle w:val="TextBody"/>
        <w:bidi w:val="0"/>
        <w:spacing w:before="0" w:after="0"/>
        <w:ind w:left="0" w:right="0" w:hanging="1080"/>
        <w:jc w:val="left"/>
        <w:rPr/>
      </w:pPr>
      <w:r>
        <w:rPr/>
      </w:r>
    </w:p>
    <w:p>
      <w:pPr>
        <w:pStyle w:val="TextBody"/>
        <w:bidi w:val="0"/>
        <w:spacing w:lineRule="auto" w:line="288" w:before="0" w:after="0"/>
        <w:ind w:left="0" w:right="0" w:hanging="1080"/>
        <w:jc w:val="center"/>
        <w:rPr>
          <w:rFonts w:ascii="Times New Roman;serif" w:hAnsi="Times New Roman;serif"/>
          <w:b/>
          <w:color w:val="000000"/>
          <w:sz w:val="20"/>
        </w:rPr>
      </w:pPr>
      <w:r>
        <w:rPr>
          <w:rFonts w:ascii="Times New Roman;serif" w:hAnsi="Times New Roman;serif"/>
          <w:b/>
          <w:color w:val="000000"/>
          <w:sz w:val="20"/>
        </w:rPr>
        <w:t>INDEX TO THE UNAUDITED CONDENSED CONSOLIDATED FINANCIAL STATEMENTS</w:t>
      </w:r>
    </w:p>
    <w:tbl>
      <w:tblPr>
        <w:tblW w:w="6211" w:type="dxa"/>
        <w:jc w:val="center"/>
        <w:tblInd w:w="0" w:type="dxa"/>
        <w:tblLayout w:type="fixed"/>
        <w:tblCellMar>
          <w:top w:w="28" w:type="dxa"/>
          <w:left w:w="28" w:type="dxa"/>
          <w:bottom w:w="28" w:type="dxa"/>
          <w:right w:w="28" w:type="dxa"/>
        </w:tblCellMar>
      </w:tblPr>
      <w:tblGrid>
        <w:gridCol w:w="2043"/>
        <w:gridCol w:w="1796"/>
        <w:gridCol w:w="1801"/>
        <w:gridCol w:w="167"/>
        <w:gridCol w:w="167"/>
        <w:gridCol w:w="237"/>
      </w:tblGrid>
      <w:tr>
        <w:trPr/>
        <w:tc>
          <w:tcPr>
            <w:tcW w:w="204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6">
              <w:r>
                <w:rPr>
                  <w:rStyle w:val="InternetLink"/>
                  <w:rFonts w:ascii="Times New Roman;serif" w:hAnsi="Times New Roman;serif"/>
                  <w:b/>
                  <w:color w:val="0000FF"/>
                  <w:sz w:val="20"/>
                  <w:u w:val="single"/>
                </w:rPr>
                <w:t>Condensed Consolidated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7f51b7a30cc4a719edcf8656dc0d5b2_16">
              <w:r>
                <w:rPr>
                  <w:rStyle w:val="InternetLink"/>
                  <w:rFonts w:ascii="Times New Roman;serif" w:hAnsi="Times New Roman;serif"/>
                  <w:b/>
                  <w:color w:val="0000FF"/>
                  <w:sz w:val="20"/>
                  <w:u w:val="single"/>
                </w:rPr>
                <w:t>1</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19">
              <w:r>
                <w:rPr>
                  <w:rStyle w:val="InternetLink"/>
                  <w:rFonts w:ascii="Times New Roman;serif" w:hAnsi="Times New Roman;serif"/>
                  <w:b/>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19">
              <w:r>
                <w:rPr>
                  <w:rStyle w:val="InternetLink"/>
                  <w:rFonts w:ascii="Times New Roman;serif" w:hAnsi="Times New Roman;serif"/>
                  <w:b/>
                  <w:color w:val="0000FF"/>
                  <w:sz w:val="20"/>
                  <w:u w:val="single"/>
                </w:rPr>
                <w:t>2</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22">
              <w:r>
                <w:rPr>
                  <w:rStyle w:val="InternetLink"/>
                  <w:rFonts w:ascii="Times New Roman;serif" w:hAnsi="Times New Roman;serif"/>
                  <w:b/>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22">
              <w:r>
                <w:rPr>
                  <w:rStyle w:val="InternetLink"/>
                  <w:rFonts w:ascii="Times New Roman;serif" w:hAnsi="Times New Roman;serif"/>
                  <w:b/>
                  <w:color w:val="0000FF"/>
                  <w:sz w:val="20"/>
                  <w:u w:val="single"/>
                </w:rPr>
                <w:t>3</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25">
              <w:r>
                <w:rPr>
                  <w:rStyle w:val="InternetLink"/>
                  <w:rFonts w:ascii="Times New Roman;serif" w:hAnsi="Times New Roman;serif"/>
                  <w:b/>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25">
              <w:r>
                <w:rPr>
                  <w:rStyle w:val="InternetLink"/>
                  <w:rFonts w:ascii="Times New Roman;serif" w:hAnsi="Times New Roman;serif"/>
                  <w:b/>
                  <w:color w:val="0000FF"/>
                  <w:sz w:val="20"/>
                  <w:u w:val="single"/>
                </w:rPr>
                <w:t>4</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28">
              <w:r>
                <w:rPr>
                  <w:rStyle w:val="InternetLink"/>
                  <w:rFonts w:ascii="Times New Roman;serif" w:hAnsi="Times New Roman;serif"/>
                  <w:b/>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28">
              <w:r>
                <w:rPr>
                  <w:rStyle w:val="InternetLink"/>
                  <w:rFonts w:ascii="Times New Roman;serif" w:hAnsi="Times New Roman;serif"/>
                  <w:b/>
                  <w:color w:val="0000FF"/>
                  <w:sz w:val="20"/>
                  <w:u w:val="single"/>
                </w:rPr>
                <w:t>5</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37">
              <w:r>
                <w:rPr>
                  <w:rStyle w:val="InternetLink"/>
                  <w:rFonts w:ascii="Times New Roman;serif" w:hAnsi="Times New Roman;serif"/>
                  <w:b/>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37">
              <w:r>
                <w:rPr>
                  <w:rStyle w:val="InternetLink"/>
                  <w:rFonts w:ascii="Times New Roman;serif" w:hAnsi="Times New Roman;serif"/>
                  <w:b/>
                  <w:color w:val="0000FF"/>
                  <w:sz w:val="20"/>
                  <w:u w:val="single"/>
                </w:rPr>
                <w:t>6</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37">
              <w:r>
                <w:rPr>
                  <w:rStyle w:val="InternetLink"/>
                  <w:rFonts w:ascii="Times New Roman;serif" w:hAnsi="Times New Roman;serif"/>
                  <w:b/>
                  <w:color w:val="0000FF"/>
                  <w:sz w:val="20"/>
                  <w:u w:val="single"/>
                </w:rPr>
                <w:t>1. Business Overview</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37">
              <w:r>
                <w:rPr>
                  <w:rStyle w:val="InternetLink"/>
                  <w:rFonts w:ascii="Times New Roman;serif" w:hAnsi="Times New Roman;serif"/>
                  <w:b/>
                  <w:color w:val="0000FF"/>
                  <w:sz w:val="20"/>
                  <w:u w:val="single"/>
                </w:rPr>
                <w:t>6</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40">
              <w:r>
                <w:rPr>
                  <w:rStyle w:val="InternetLink"/>
                  <w:rFonts w:ascii="Times New Roman;serif" w:hAnsi="Times New Roman;serif"/>
                  <w:b/>
                  <w:color w:val="0000FF"/>
                  <w:sz w:val="20"/>
                  <w:u w:val="single"/>
                </w:rPr>
                <w:t>2. Basis of Presentation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40">
              <w:r>
                <w:rPr>
                  <w:rStyle w:val="InternetLink"/>
                  <w:rFonts w:ascii="Times New Roman;serif" w:hAnsi="Times New Roman;serif"/>
                  <w:b/>
                  <w:color w:val="0000FF"/>
                  <w:sz w:val="20"/>
                  <w:u w:val="single"/>
                </w:rPr>
                <w:t>6</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43">
              <w:r>
                <w:rPr>
                  <w:rStyle w:val="InternetLink"/>
                  <w:rFonts w:ascii="Times New Roman;serif" w:hAnsi="Times New Roman;serif"/>
                  <w:b/>
                  <w:color w:val="0000FF"/>
                  <w:sz w:val="20"/>
                  <w:u w:val="single"/>
                </w:rPr>
                <w:t>3. 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43">
              <w:r>
                <w:rPr>
                  <w:rStyle w:val="InternetLink"/>
                  <w:rFonts w:ascii="Times New Roman;serif" w:hAnsi="Times New Roman;serif"/>
                  <w:b/>
                  <w:color w:val="0000FF"/>
                  <w:sz w:val="20"/>
                  <w:u w:val="single"/>
                </w:rPr>
                <w:t>7</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46">
              <w:r>
                <w:rPr>
                  <w:rStyle w:val="InternetLink"/>
                  <w:rFonts w:ascii="Times New Roman;serif" w:hAnsi="Times New Roman;serif"/>
                  <w:b/>
                  <w:color w:val="0000FF"/>
                  <w:sz w:val="20"/>
                  <w:u w:val="single"/>
                </w:rPr>
                <w:t>4. 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46">
              <w:r>
                <w:rPr>
                  <w:rStyle w:val="InternetLink"/>
                  <w:rFonts w:ascii="Times New Roman;serif" w:hAnsi="Times New Roman;serif"/>
                  <w:b/>
                  <w:color w:val="0000FF"/>
                  <w:sz w:val="20"/>
                  <w:u w:val="single"/>
                </w:rPr>
                <w:t>8</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49">
              <w:r>
                <w:rPr>
                  <w:rStyle w:val="InternetLink"/>
                  <w:rFonts w:ascii="Times New Roman;serif" w:hAnsi="Times New Roman;serif"/>
                  <w:b/>
                  <w:color w:val="0000FF"/>
                  <w:sz w:val="20"/>
                  <w:u w:val="single"/>
                </w:rPr>
                <w:t>5. Acquisitions, Goodwill and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49">
              <w:r>
                <w:rPr>
                  <w:rStyle w:val="InternetLink"/>
                  <w:rFonts w:ascii="Times New Roman;serif" w:hAnsi="Times New Roman;serif"/>
                  <w:b/>
                  <w:color w:val="0000FF"/>
                  <w:sz w:val="20"/>
                  <w:u w:val="single"/>
                </w:rPr>
                <w:t>8</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52">
              <w:r>
                <w:rPr>
                  <w:rStyle w:val="InternetLink"/>
                  <w:rFonts w:ascii="Times New Roman;serif" w:hAnsi="Times New Roman;serif"/>
                  <w:b/>
                  <w:color w:val="0000FF"/>
                  <w:sz w:val="20"/>
                  <w:u w:val="single"/>
                </w:rPr>
                <w:t>6. Accounts Payable and Other Accrued Expenses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52">
              <w:r>
                <w:rPr>
                  <w:rStyle w:val="InternetLink"/>
                  <w:rFonts w:ascii="Times New Roman;serif" w:hAnsi="Times New Roman;serif"/>
                  <w:b/>
                  <w:color w:val="0000FF"/>
                  <w:sz w:val="20"/>
                  <w:u w:val="single"/>
                </w:rPr>
                <w:t>9</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55">
              <w:r>
                <w:rPr>
                  <w:rStyle w:val="InternetLink"/>
                  <w:rFonts w:ascii="Times New Roman;serif" w:hAnsi="Times New Roman;serif"/>
                  <w:b/>
                  <w:color w:val="0000FF"/>
                  <w:sz w:val="20"/>
                  <w:u w:val="single"/>
                </w:rPr>
                <w:t>7. Accrued Compensation and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55">
              <w:r>
                <w:rPr>
                  <w:rStyle w:val="InternetLink"/>
                  <w:rFonts w:ascii="Times New Roman;serif" w:hAnsi="Times New Roman;serif"/>
                  <w:b/>
                  <w:color w:val="0000FF"/>
                  <w:sz w:val="20"/>
                  <w:u w:val="single"/>
                </w:rPr>
                <w:t>9</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58">
              <w:r>
                <w:rPr>
                  <w:rStyle w:val="InternetLink"/>
                  <w:rFonts w:ascii="Times New Roman;serif" w:hAnsi="Times New Roman;serif"/>
                  <w:b/>
                  <w:color w:val="0000FF"/>
                  <w:sz w:val="20"/>
                  <w:u w:val="single"/>
                </w:rPr>
                <w:t>8. Debt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58">
              <w:r>
                <w:rPr>
                  <w:rStyle w:val="InternetLink"/>
                  <w:rFonts w:ascii="Times New Roman;serif" w:hAnsi="Times New Roman;serif"/>
                  <w:b/>
                  <w:color w:val="0000FF"/>
                  <w:sz w:val="20"/>
                  <w:u w:val="single"/>
                </w:rPr>
                <w:t>10</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E32E1"/>
                <w:sz w:val="20"/>
                <w:u w:val="single"/>
              </w:rPr>
              <w:t>9</w:t>
            </w:r>
            <w:hyperlink w:anchor="i97f51b7a30cc4a719edcf8656dc0d5b2_61">
              <w:r>
                <w:rPr>
                  <w:rStyle w:val="InternetLink"/>
                  <w:rFonts w:ascii="Times New Roman;serif" w:hAnsi="Times New Roman;serif"/>
                  <w:b/>
                  <w:color w:val="000080"/>
                  <w:sz w:val="20"/>
                  <w:u w:val="single"/>
                </w:rPr>
                <w:t xml:space="preserve">. </w:t>
              </w:r>
            </w:hyperlink>
            <w:hyperlink w:anchor="i97f51b7a30cc4a719edcf8656dc0d5b2_61">
              <w:r>
                <w:rPr>
                  <w:rStyle w:val="InternetLink"/>
                  <w:rFonts w:ascii="Times New Roman;serif" w:hAnsi="Times New Roman;serif"/>
                  <w:b/>
                  <w:color w:val="0000FF"/>
                  <w:sz w:val="20"/>
                  <w:u w:val="singl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61">
              <w:r>
                <w:rPr>
                  <w:rStyle w:val="InternetLink"/>
                  <w:rFonts w:ascii="Times New Roman;serif" w:hAnsi="Times New Roman;serif"/>
                  <w:b/>
                  <w:color w:val="0000FF"/>
                  <w:sz w:val="20"/>
                  <w:u w:val="single"/>
                </w:rPr>
                <w:t>10</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67">
              <w:r>
                <w:rPr>
                  <w:rStyle w:val="InternetLink"/>
                  <w:rFonts w:ascii="Times New Roman;serif" w:hAnsi="Times New Roman;serif"/>
                  <w:b/>
                  <w:color w:val="000080"/>
                  <w:sz w:val="20"/>
                  <w:u w:val="single"/>
                </w:rPr>
                <w:t>1</w:t>
              </w:r>
            </w:hyperlink>
            <w:hyperlink w:anchor="i97f51b7a30cc4a719edcf8656dc0d5b2_67">
              <w:r>
                <w:rPr>
                  <w:rStyle w:val="InternetLink"/>
                  <w:rFonts w:ascii="Times New Roman;serif" w:hAnsi="Times New Roman;serif"/>
                  <w:b/>
                  <w:color w:val="000080"/>
                  <w:sz w:val="20"/>
                  <w:u w:val="single"/>
                </w:rPr>
                <w:t>0</w:t>
              </w:r>
            </w:hyperlink>
            <w:hyperlink w:anchor="i97f51b7a30cc4a719edcf8656dc0d5b2_67">
              <w:r>
                <w:rPr>
                  <w:rStyle w:val="InternetLink"/>
                  <w:rFonts w:ascii="Times New Roman;serif" w:hAnsi="Times New Roman;serif"/>
                  <w:b/>
                  <w:color w:val="000080"/>
                  <w:sz w:val="20"/>
                  <w:u w:val="single"/>
                </w:rPr>
                <w:t xml:space="preserve">. </w:t>
              </w:r>
            </w:hyperlink>
            <w:hyperlink w:anchor="i97f51b7a30cc4a719edcf8656dc0d5b2_67">
              <w:r>
                <w:rPr>
                  <w:rStyle w:val="InternetLink"/>
                  <w:rFonts w:ascii="Times New Roman;serif" w:hAnsi="Times New Roman;serif"/>
                  <w:b/>
                  <w:color w:val="000080"/>
                  <w:sz w:val="20"/>
                  <w:u w:val="single"/>
                </w:rPr>
                <w:t>Investment</w:t>
              </w:r>
            </w:hyperlink>
            <w:hyperlink w:anchor="i97f51b7a30cc4a719edcf8656dc0d5b2_67">
              <w:r>
                <w:rPr>
                  <w:rStyle w:val="InternetLink"/>
                  <w:rFonts w:ascii="Times New Roman;serif" w:hAnsi="Times New Roman;serif"/>
                  <w:b/>
                  <w:color w:val="000080"/>
                  <w:sz w:val="20"/>
                  <w:u w:val="single"/>
                </w:rPr>
                <w:t xml:space="preserve">s and </w:t>
              </w:r>
            </w:hyperlink>
            <w:hyperlink w:anchor="i97f51b7a30cc4a719edcf8656dc0d5b2_67">
              <w:r>
                <w:rPr>
                  <w:rStyle w:val="InternetLink"/>
                  <w:rFonts w:ascii="Times New Roman;serif" w:hAnsi="Times New Roman;serif"/>
                  <w:b/>
                  <w:color w:val="000080"/>
                  <w:sz w:val="20"/>
                  <w:u w:val="singl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67">
              <w:r>
                <w:rPr>
                  <w:rStyle w:val="InternetLink"/>
                  <w:rFonts w:ascii="Times New Roman;serif" w:hAnsi="Times New Roman;serif"/>
                  <w:b/>
                  <w:color w:val="0000FF"/>
                  <w:sz w:val="20"/>
                  <w:u w:val="single"/>
                </w:rPr>
                <w:t>11</w:t>
              </w:r>
            </w:hyperlink>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f51b7a30cc4a719edcf8656dc0d5b2_70">
              <w:r>
                <w:rPr>
                  <w:rStyle w:val="InternetLink"/>
                  <w:rFonts w:ascii="Times New Roman;serif" w:hAnsi="Times New Roman;serif"/>
                  <w:b/>
                  <w:color w:val="000080"/>
                  <w:sz w:val="20"/>
                  <w:u w:val="single"/>
                </w:rPr>
                <w:t>1</w:t>
              </w:r>
            </w:hyperlink>
            <w:hyperlink w:anchor="i97f51b7a30cc4a719edcf8656dc0d5b2_70">
              <w:r>
                <w:rPr>
                  <w:rStyle w:val="InternetLink"/>
                  <w:rFonts w:ascii="Times New Roman;serif" w:hAnsi="Times New Roman;serif"/>
                  <w:b/>
                  <w:color w:val="000080"/>
                  <w:sz w:val="20"/>
                  <w:u w:val="single"/>
                </w:rPr>
                <w:t>1</w:t>
              </w:r>
            </w:hyperlink>
            <w:hyperlink w:anchor="i97f51b7a30cc4a719edcf8656dc0d5b2_70">
              <w:r>
                <w:rPr>
                  <w:rStyle w:val="InternetLink"/>
                  <w:rFonts w:ascii="Times New Roman;serif" w:hAnsi="Times New Roman;serif"/>
                  <w:b/>
                  <w:color w:val="000080"/>
                  <w:sz w:val="20"/>
                  <w:u w:val="single"/>
                </w:rPr>
                <w:t>. 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f51b7a30cc4a719edcf8656dc0d5b2_70">
              <w:r>
                <w:rPr>
                  <w:rStyle w:val="InternetLink"/>
                  <w:rFonts w:ascii="Times New Roman;serif" w:hAnsi="Times New Roman;serif"/>
                  <w:b/>
                  <w:color w:val="0000FF"/>
                  <w:sz w:val="20"/>
                  <w:u w:val="single"/>
                </w:rPr>
                <w:t>12</w:t>
              </w:r>
            </w:hyperlink>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 except share and per share data)</w:t>
      </w:r>
    </w:p>
    <w:tbl>
      <w:tblPr>
        <w:tblW w:w="10205" w:type="dxa"/>
        <w:jc w:val="left"/>
        <w:tblInd w:w="0" w:type="dxa"/>
        <w:tblLayout w:type="fixed"/>
        <w:tblCellMar>
          <w:top w:w="28" w:type="dxa"/>
          <w:left w:w="28" w:type="dxa"/>
          <w:bottom w:w="28" w:type="dxa"/>
          <w:right w:w="28" w:type="dxa"/>
        </w:tblCellMar>
      </w:tblPr>
      <w:tblGrid>
        <w:gridCol w:w="3190"/>
        <w:gridCol w:w="2390"/>
        <w:gridCol w:w="2364"/>
        <w:gridCol w:w="211"/>
        <w:gridCol w:w="616"/>
        <w:gridCol w:w="109"/>
        <w:gridCol w:w="109"/>
        <w:gridCol w:w="109"/>
        <w:gridCol w:w="109"/>
        <w:gridCol w:w="214"/>
        <w:gridCol w:w="626"/>
        <w:gridCol w:w="158"/>
      </w:tblGrid>
      <w:tr>
        <w:trPr/>
        <w:tc>
          <w:tcPr>
            <w:tcW w:w="319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Class A - $0.01 par value - authorized: 600,000,000 shares;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170,513,905 and 169,805,201 shares at June 30, 2026 and March 31, 2026, respectively; outstanding: 120,284,257 and 120,341,320 shares at June 30, 2026 and March 31, 2026,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- 50,229,648 and 49,463,881 shares at June 30, 2026 and March 31,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tbl>
      <w:tblPr>
        <w:tblW w:w="6055" w:type="dxa"/>
        <w:jc w:val="center"/>
        <w:tblInd w:w="0" w:type="dxa"/>
        <w:tblLayout w:type="fixed"/>
        <w:tblCellMar>
          <w:top w:w="28" w:type="dxa"/>
          <w:left w:w="28" w:type="dxa"/>
          <w:bottom w:w="28" w:type="dxa"/>
          <w:right w:w="28" w:type="dxa"/>
        </w:tblCellMar>
      </w:tblPr>
      <w:tblGrid>
        <w:gridCol w:w="1375"/>
        <w:gridCol w:w="1211"/>
        <w:gridCol w:w="1223"/>
        <w:gridCol w:w="211"/>
        <w:gridCol w:w="617"/>
        <w:gridCol w:w="109"/>
        <w:gridCol w:w="211"/>
        <w:gridCol w:w="617"/>
        <w:gridCol w:w="109"/>
        <w:gridCol w:w="109"/>
        <w:gridCol w:w="109"/>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Billable expenses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 (Note 4):</w:t>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(Amounts in millions)</w:t>
      </w:r>
    </w:p>
    <w:tbl>
      <w:tblPr>
        <w:tblW w:w="8755" w:type="dxa"/>
        <w:jc w:val="center"/>
        <w:tblInd w:w="0" w:type="dxa"/>
        <w:tblLayout w:type="fixed"/>
        <w:tblCellMar>
          <w:top w:w="28" w:type="dxa"/>
          <w:left w:w="28" w:type="dxa"/>
          <w:bottom w:w="28" w:type="dxa"/>
          <w:right w:w="28" w:type="dxa"/>
        </w:tblCellMar>
      </w:tblPr>
      <w:tblGrid>
        <w:gridCol w:w="2356"/>
        <w:gridCol w:w="2067"/>
        <w:gridCol w:w="2086"/>
        <w:gridCol w:w="251"/>
        <w:gridCol w:w="556"/>
        <w:gridCol w:w="130"/>
        <w:gridCol w:w="251"/>
        <w:gridCol w:w="556"/>
        <w:gridCol w:w="130"/>
        <w:gridCol w:w="109"/>
        <w:gridCol w:w="109"/>
        <w:gridCol w:w="154"/>
      </w:tblGrid>
      <w:tr>
        <w:trPr/>
        <w:tc>
          <w:tcPr>
            <w:tcW w:w="2356"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 net of tax:</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derivatives designated as cash flow hedges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gain (loss), net of tax</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8663" w:type="dxa"/>
        <w:jc w:val="center"/>
        <w:tblInd w:w="0" w:type="dxa"/>
        <w:tblLayout w:type="fixed"/>
        <w:tblCellMar>
          <w:top w:w="28" w:type="dxa"/>
          <w:left w:w="28" w:type="dxa"/>
          <w:bottom w:w="28" w:type="dxa"/>
          <w:right w:w="28" w:type="dxa"/>
        </w:tblCellMar>
      </w:tblPr>
      <w:tblGrid>
        <w:gridCol w:w="2432"/>
        <w:gridCol w:w="2136"/>
        <w:gridCol w:w="2151"/>
        <w:gridCol w:w="211"/>
        <w:gridCol w:w="466"/>
        <w:gridCol w:w="109"/>
        <w:gridCol w:w="109"/>
        <w:gridCol w:w="109"/>
        <w:gridCol w:w="109"/>
        <w:gridCol w:w="211"/>
        <w:gridCol w:w="466"/>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investments, dispositions,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income taxes receivable/payable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and long-term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software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acquisitions, net of cash acquired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for strategic investments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revolving credit facility, term loans, and Senior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payments (receipts) during the period for:</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and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transacted but not settled and paid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property, equipment, and software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before="0" w:after="0"/>
        <w:jc w:val="center"/>
        <w:rPr/>
      </w:pPr>
      <w:r>
        <w:rPr/>
      </w:r>
    </w:p>
    <w:tbl>
      <w:tblPr>
        <w:tblW w:w="10979" w:type="dxa"/>
        <w:jc w:val="center"/>
        <w:tblInd w:w="0" w:type="dxa"/>
        <w:tblLayout w:type="fixed"/>
        <w:tblCellMar>
          <w:top w:w="28" w:type="dxa"/>
          <w:left w:w="28" w:type="dxa"/>
          <w:bottom w:w="28" w:type="dxa"/>
          <w:right w:w="28" w:type="dxa"/>
        </w:tblCellMar>
      </w:tblPr>
      <w:tblGrid>
        <w:gridCol w:w="757"/>
        <w:gridCol w:w="296"/>
        <w:gridCol w:w="298"/>
        <w:gridCol w:w="109"/>
        <w:gridCol w:w="109"/>
        <w:gridCol w:w="109"/>
        <w:gridCol w:w="413"/>
        <w:gridCol w:w="413"/>
        <w:gridCol w:w="383"/>
        <w:gridCol w:w="327"/>
        <w:gridCol w:w="345"/>
        <w:gridCol w:w="109"/>
        <w:gridCol w:w="495"/>
        <w:gridCol w:w="496"/>
        <w:gridCol w:w="368"/>
        <w:gridCol w:w="211"/>
        <w:gridCol w:w="631"/>
        <w:gridCol w:w="109"/>
        <w:gridCol w:w="257"/>
        <w:gridCol w:w="640"/>
        <w:gridCol w:w="109"/>
        <w:gridCol w:w="211"/>
        <w:gridCol w:w="616"/>
        <w:gridCol w:w="109"/>
        <w:gridCol w:w="432"/>
        <w:gridCol w:w="770"/>
        <w:gridCol w:w="224"/>
        <w:gridCol w:w="109"/>
        <w:gridCol w:w="109"/>
        <w:gridCol w:w="109"/>
        <w:gridCol w:w="280"/>
        <w:gridCol w:w="820"/>
        <w:gridCol w:w="206"/>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6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BOOZ ALLEN HAMILTON HOLDING CORPORATION</w:t>
              <w:br/>
              <w:t>CONDENSED CONSOLIDATED STATEMENTS OF STOCKHOLDERS’ EQUITY</w:t>
              <w:br/>
              <w:t>(Unaudited)</w:t>
            </w:r>
          </w:p>
        </w:tc>
        <w:tc>
          <w:tcPr>
            <w:tcW w:w="1306" w:type="dxa"/>
            <w:gridSpan w:val="3"/>
            <w:tcBorders/>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br/>
              <w:t>Common Stock</w:t>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7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169,805,201</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(49,463,881)</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629,371</w:t>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79,333</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of common stock</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(765,767)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0.59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170,513,905</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(50,229,648)</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168,522,544</w:t>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(43,643,540)</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313,274 </w:t>
            </w:r>
          </w:p>
        </w:tc>
        <w:tc>
          <w:tcPr>
            <w:tcW w:w="3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of common stock</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(1,497,572)</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of 0.55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168,850,097</w:t>
            </w:r>
          </w:p>
        </w:tc>
        <w:tc>
          <w:tcPr>
            <w:tcW w:w="32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(45,141,112)</w:t>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0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three months ended June 30, 2026, the Company purchased 0.6 million shares of the Company’s Class A Common Stock for $50 million. Additionally, the Company’s repurchase of common stock for the three months ended June 30, 2026 includes $10 million to cover the minimum statutory taxes on repurchases and restricted stock units that vested on various dates during the period.</w:t>
      </w:r>
    </w:p>
    <w:p>
      <w:pPr>
        <w:pStyle w:val="TextBody"/>
        <w:bidi w:val="0"/>
        <w:spacing w:lineRule="auto" w:line="288" w:before="120" w:after="283"/>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During the three months ended June 30, 2025, the Company purchased 1.4 million shares of the Company’s Class A Common Stock for $154 million. Additionally, the Company’s repurchase of common stock for the three months ended June 30, 2025 includes $13 million to cover the minimum statutory taxes on repurchases and restricted stock units that vested on various dates during the period.</w:t>
      </w:r>
    </w:p>
    <w:p>
      <w:pPr>
        <w:pStyle w:val="TextBody"/>
        <w:bidi w:val="0"/>
        <w:spacing w:before="120" w:after="283"/>
        <w:ind w:left="0" w:right="0" w:hanging="180"/>
        <w:jc w:val="left"/>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Business Overview</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Booz Allen Hamilton Holding Corporation, including its wholly owned subsidiaries, or the Company, we, us, and our, was incorporated in Delaware in May 2008. We are an advanced technology company, building products and solutions for government and business. The Company is a leader at the forefront of the nation’s technology ecosystem, and invests in emerging technologies, talent, and new business models, including partnerships with leading technology companies, venture investments, and the development of military grade products. The Company is headquartered in McLean, Virginia, with approximately 30,900 employees as of June 30, 2026, and reports operating results and financial data in one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and should be read in conjunction with the information contained in the Company's Annual Report on Form 10-K for the year ended March 31, 2026. The interim period unaudited condensed consolidated financial statements are presented as described below. Certain information and disclosures normally required for annual financial statements have been condensed or omitted pursuant to U.S.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months ended June 30, 2026 are not necessarily indicative of results to be expected for the full fiscal year.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Accounting Estimates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interim consolidated financial statements in conformity with GAAP requires management to make estimates and assumptions that affect the reported amounts of assets, liabilities, revenue and expenses, and related disclosures. Actual results may differ from those estimates. There have been no material changes in the Company’s significant estimates from those disclosed in its Annual Report on Form 10-K for the year ended March 31,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6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results of operations or financial condition.</w:t>
      </w:r>
    </w:p>
    <w:p>
      <w:pPr>
        <w:pStyle w:val="TextBody"/>
        <w:bidi w:val="0"/>
        <w:spacing w:lineRule="auto" w:line="288" w:before="60" w:after="283"/>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to modernize the accounting for and disclosure of internal-use software costs. The guidance removes all references to project stages, defines the threshold to begin capitalizing costs, and clarifies the disclosure requirements of capitalized software costs. The ASU is effective for annual periods beginning after December 15, 2027, and interim periods within those fiscal years, and can be applied retrospectively, prospectively, or on a modified transition approach. Early adoption is permitted. The Company is currently assessing the impact of this update.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w:t>
      </w:r>
    </w:p>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tbl>
      <w:tblPr>
        <w:tblW w:w="6815" w:type="dxa"/>
        <w:jc w:val="left"/>
        <w:tblInd w:w="0" w:type="dxa"/>
        <w:tblLayout w:type="fixed"/>
        <w:tblCellMar>
          <w:top w:w="28" w:type="dxa"/>
          <w:left w:w="28" w:type="dxa"/>
          <w:bottom w:w="28" w:type="dxa"/>
          <w:right w:w="28" w:type="dxa"/>
        </w:tblCellMar>
      </w:tblPr>
      <w:tblGrid>
        <w:gridCol w:w="434"/>
        <w:gridCol w:w="382"/>
        <w:gridCol w:w="382"/>
        <w:gridCol w:w="555"/>
        <w:gridCol w:w="555"/>
        <w:gridCol w:w="571"/>
        <w:gridCol w:w="211"/>
        <w:gridCol w:w="616"/>
        <w:gridCol w:w="109"/>
        <w:gridCol w:w="232"/>
        <w:gridCol w:w="234"/>
        <w:gridCol w:w="271"/>
        <w:gridCol w:w="211"/>
        <w:gridCol w:w="616"/>
        <w:gridCol w:w="109"/>
        <w:gridCol w:w="232"/>
        <w:gridCol w:w="234"/>
        <w:gridCol w:w="271"/>
        <w:gridCol w:w="109"/>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by Contract Type:</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Cost-reimbursable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70" w:type="dxa"/>
        <w:jc w:val="left"/>
        <w:tblInd w:w="0" w:type="dxa"/>
        <w:tblLayout w:type="fixed"/>
        <w:tblCellMar>
          <w:top w:w="28" w:type="dxa"/>
          <w:left w:w="28" w:type="dxa"/>
          <w:bottom w:w="28" w:type="dxa"/>
          <w:right w:w="28" w:type="dxa"/>
        </w:tblCellMar>
      </w:tblPr>
      <w:tblGrid>
        <w:gridCol w:w="445"/>
        <w:gridCol w:w="392"/>
        <w:gridCol w:w="392"/>
        <w:gridCol w:w="632"/>
        <w:gridCol w:w="632"/>
        <w:gridCol w:w="641"/>
        <w:gridCol w:w="211"/>
        <w:gridCol w:w="616"/>
        <w:gridCol w:w="109"/>
        <w:gridCol w:w="232"/>
        <w:gridCol w:w="234"/>
        <w:gridCol w:w="271"/>
        <w:gridCol w:w="211"/>
        <w:gridCol w:w="616"/>
        <w:gridCol w:w="109"/>
        <w:gridCol w:w="232"/>
        <w:gridCol w:w="234"/>
        <w:gridCol w:w="271"/>
        <w:gridCol w:w="109"/>
        <w:gridCol w:w="1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i/>
                <w:color w:val="000000"/>
                <w:sz w:val="20"/>
              </w:rPr>
            </w:pPr>
            <w:r>
              <w:rPr>
                <w:rFonts w:ascii="Times New Roman;serif" w:hAnsi="Times New Roman;serif"/>
                <w:b/>
                <w:i/>
                <w:color w:val="000000"/>
                <w:sz w:val="20"/>
              </w:rPr>
              <w:t>Revenue by Customer Type:</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Security</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Civil and 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7"/>
        <w:gridCol w:w="1005"/>
        <w:gridCol w:w="1005"/>
        <w:gridCol w:w="1081"/>
        <w:gridCol w:w="1005"/>
        <w:gridCol w:w="1024"/>
        <w:gridCol w:w="211"/>
        <w:gridCol w:w="616"/>
        <w:gridCol w:w="109"/>
        <w:gridCol w:w="232"/>
        <w:gridCol w:w="234"/>
        <w:gridCol w:w="271"/>
        <w:gridCol w:w="211"/>
        <w:gridCol w:w="616"/>
        <w:gridCol w:w="109"/>
        <w:gridCol w:w="232"/>
        <w:gridCol w:w="234"/>
        <w:gridCol w:w="271"/>
        <w:gridCol w:w="109"/>
        <w:gridCol w:w="109"/>
        <w:gridCol w:w="109"/>
        <w:gridCol w:w="109"/>
        <w:gridCol w:w="156"/>
      </w:tblGrid>
      <w:tr>
        <w:trPr/>
        <w:tc>
          <w:tcPr>
            <w:tcW w:w="11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67"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i/>
                <w:color w:val="000000"/>
                <w:sz w:val="20"/>
              </w:rPr>
            </w:pPr>
            <w:r>
              <w:rPr>
                <w:rFonts w:ascii="Times New Roman;serif" w:hAnsi="Times New Roman;serif"/>
                <w:b/>
                <w:i/>
                <w:color w:val="000000"/>
                <w:sz w:val="20"/>
              </w:rPr>
              <w:t>Revenue by Whether the Company Acts as a Prime Contractor or a Subcontractor:</w:t>
            </w:r>
          </w:p>
        </w:tc>
        <w:tc>
          <w:tcPr>
            <w:tcW w:w="334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7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Contractor</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Performance Obligations </w:t>
      </w:r>
    </w:p>
    <w:p>
      <w:pPr>
        <w:pStyle w:val="TextBody"/>
        <w:bidi w:val="0"/>
        <w:spacing w:lineRule="auto" w:line="288" w:before="60" w:after="283"/>
        <w:jc w:val="left"/>
        <w:rPr/>
      </w:pPr>
      <w:r>
        <w:rPr>
          <w:rFonts w:ascii="Times New Roman;serif" w:hAnsi="Times New Roman;serif"/>
          <w:b w:val="false"/>
          <w:color w:val="000000"/>
          <w:sz w:val="20"/>
          <w:shd w:fill="FFFFFF" w:val="clear"/>
        </w:rPr>
        <w:t xml:space="preserve">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that was determined to be constrained. As of June 30, 2026 and March 31, 2026, the Company had </w:t>
      </w:r>
      <w:r>
        <w:rPr>
          <w:rFonts w:ascii="Times New Roman;serif" w:hAnsi="Times New Roman;serif"/>
          <w:b w:val="false"/>
          <w:color w:val="000000"/>
          <w:sz w:val="20"/>
        </w:rPr>
        <w:t>$11.1 billion</w:t>
      </w:r>
      <w:r>
        <w:rPr>
          <w:color w:val="000000"/>
          <w:shd w:fill="FFFFFF" w:val="clear"/>
        </w:rPr>
        <w:t xml:space="preserve"> </w:t>
      </w:r>
      <w:r>
        <w:rPr>
          <w:rFonts w:ascii="Times New Roman;serif" w:hAnsi="Times New Roman;serif"/>
          <w:b w:val="false"/>
          <w:color w:val="000000"/>
          <w:sz w:val="20"/>
          <w:shd w:fill="FFFFFF" w:val="clear"/>
        </w:rPr>
        <w:t xml:space="preserve">and $10.7 billion of remaining performance obligations, respectively. We expect to recognize approximately </w:t>
      </w:r>
      <w:r>
        <w:rPr>
          <w:rFonts w:ascii="Times New Roman;serif" w:hAnsi="Times New Roman;serif"/>
          <w:b w:val="false"/>
          <w:color w:val="000000"/>
          <w:sz w:val="20"/>
        </w:rPr>
        <w:t>65% of the remaining performance obligations at June 30, 2026 as revenue over the next 12 months, and approximately 75% over the next 24 months. The remainder is expected to be recognized thereafter.</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Related Balances</w:t>
      </w:r>
    </w:p>
    <w:p>
      <w:pPr>
        <w:pStyle w:val="TextBody"/>
        <w:bidi w:val="0"/>
        <w:spacing w:lineRule="auto" w:line="288" w:before="60" w:after="283"/>
        <w:jc w:val="left"/>
        <w:rPr/>
      </w:pPr>
      <w:r>
        <w:rPr>
          <w:rFonts w:ascii="Times New Roman;serif" w:hAnsi="Times New Roman;serif"/>
          <w:b w:val="false"/>
          <w:color w:val="000000"/>
          <w:sz w:val="20"/>
          <w:shd w:fill="FFFFFF" w:val="clear"/>
        </w:rPr>
        <w:t>Changes in contract assets and contract liabilities are primarily due to the timing difference between the Company’s performance of services and payments from customers; contract assets consist mainly of unbilled receivables (the amount of revenue recognized that exceeds the amount billed to the customer), and</w:t>
      </w:r>
      <w:r>
        <w:rPr>
          <w:color w:val="000000"/>
        </w:rPr>
        <w:t xml:space="preserve"> </w:t>
      </w:r>
      <w:r>
        <w:rPr>
          <w:rFonts w:ascii="Times New Roman;serif" w:hAnsi="Times New Roman;serif"/>
          <w:b w:val="false"/>
          <w:color w:val="000000"/>
          <w:sz w:val="20"/>
        </w:rPr>
        <w:t>contract liabilities consist mainly of d</w:t>
      </w:r>
      <w:r>
        <w:rPr>
          <w:rFonts w:ascii="Times New Roman;serif" w:hAnsi="Times New Roman;serif"/>
          <w:b w:val="false"/>
          <w:color w:val="000000"/>
          <w:sz w:val="20"/>
          <w:shd w:fill="FFFFFF" w:val="clear"/>
        </w:rPr>
        <w:t>eferred revenue (cash received prior to performance for programs and billings in excess of costs incurred). The following table summarizes the contract related balances recognized on the Company’s condensed consolidated balance sheets:</w:t>
      </w:r>
    </w:p>
    <w:tbl>
      <w:tblPr>
        <w:tblW w:w="8553" w:type="dxa"/>
        <w:jc w:val="left"/>
        <w:tblInd w:w="0" w:type="dxa"/>
        <w:tblLayout w:type="fixed"/>
        <w:tblCellMar>
          <w:top w:w="28" w:type="dxa"/>
          <w:left w:w="28" w:type="dxa"/>
          <w:bottom w:w="28" w:type="dxa"/>
          <w:right w:w="28" w:type="dxa"/>
        </w:tblCellMar>
      </w:tblPr>
      <w:tblGrid>
        <w:gridCol w:w="1489"/>
        <w:gridCol w:w="1308"/>
        <w:gridCol w:w="1313"/>
        <w:gridCol w:w="719"/>
        <w:gridCol w:w="719"/>
        <w:gridCol w:w="722"/>
        <w:gridCol w:w="211"/>
        <w:gridCol w:w="616"/>
        <w:gridCol w:w="109"/>
        <w:gridCol w:w="109"/>
        <w:gridCol w:w="109"/>
        <w:gridCol w:w="109"/>
        <w:gridCol w:w="219"/>
        <w:gridCol w:w="641"/>
        <w:gridCol w:w="160"/>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Contract Related Balance</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Line Item</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41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receivable–billed</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contract assets - unbilled receivables</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assets - unbilled receivables</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contract liabilities - deferred revenue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increase in contract assets relates to the acquisition of Defy Security in the first quarter of fiscal 2027. See Note 5, “Acquisitions, Goodwill, and Intangible Assets,” to the condensed consolidated financial statements for further details on the acquisition.</w:t>
      </w:r>
    </w:p>
    <w:p>
      <w:pPr>
        <w:pStyle w:val="TextBody"/>
        <w:bidi w:val="0"/>
        <w:spacing w:lineRule="auto" w:line="288" w:before="6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June 30, 2026 and 2025, we recognized revenue of $16 million and $11 million, respectively, related to our contract liabilities on April 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the income used to compute basic and diluted EPS for the periods presented</w:t>
      </w:r>
    </w:p>
    <w:tbl>
      <w:tblPr>
        <w:tblW w:w="7892" w:type="dxa"/>
        <w:jc w:val="left"/>
        <w:tblInd w:w="0" w:type="dxa"/>
        <w:tblLayout w:type="fixed"/>
        <w:tblCellMar>
          <w:top w:w="28" w:type="dxa"/>
          <w:left w:w="28" w:type="dxa"/>
          <w:bottom w:w="28" w:type="dxa"/>
          <w:right w:w="28" w:type="dxa"/>
        </w:tblCellMar>
      </w:tblPr>
      <w:tblGrid>
        <w:gridCol w:w="1835"/>
        <w:gridCol w:w="1613"/>
        <w:gridCol w:w="1622"/>
        <w:gridCol w:w="346"/>
        <w:gridCol w:w="840"/>
        <w:gridCol w:w="123"/>
        <w:gridCol w:w="289"/>
        <w:gridCol w:w="701"/>
        <w:gridCol w:w="151"/>
        <w:gridCol w:w="109"/>
        <w:gridCol w:w="109"/>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Numerator</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3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for basic computations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for diluted computations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afd3cec7ca6d4925843f7372452030cd_4-1-1-"/>
            <w:bookmarkEnd w:id="0"/>
            <w:r>
              <w:rPr>
                <w:rFonts w:ascii="Times New Roman;serif" w:hAnsi="Times New Roman;serif"/>
                <w:b w:val="false"/>
                <w:color w:val="000000"/>
                <w:sz w:val="20"/>
              </w:rPr>
              <w:t>196 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119,965,259 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124,114,149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 and restricted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shares outstanding,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120,185,147 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124,475,670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The difference between earnings for basic and diluted computations and net income presented on the condensed consolidated statements of operations is due to undistributed earnings and dividends allocated to the participating securities. There were approximately 1.1 million and 0.8 million shares, respectively, of participating securities for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Acquisitions, Goodwill, and Intangible Assets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Agreement to Acquire Ultra I&amp;C Mission Solutions Business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 June 19, 2026, the Company entered into a definitive agreement to acquire the Ultra I&amp;C Mission Solutions business (“Ultra Mission Solutions”) for $720 million, subject to certain customary adjustments. Ultra Mission Solutions is a defense technology business specializing in mission critical software, encryption, and edge compute products. Contingent upon customary closing conditions, including a regulatory approval, the transaction is expected to close during the second quarter of fiscal year 2027.</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Acquisition of Defy Security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6, 2026, the Company acquired Defy Security for $235 million subject to customary adjustments including net working capital. Defy Security will enable the Company to deliver end-to-end, tech-enabled cybersecurity solutions, and products for U.S. and foreign customers. The acquisition was funded with cash on hand.</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acquisition is accounted for under the acquisition method of accounting, which requires the total acquisition consideration to be allocated to the assets acquired and liabilities assumed based on an estimate of the acquisition date fair value, with the difference reflected in goodwill. The provisional goodwill of $129 million is primarily attributable to the expected synergies between the Company and Defy Security and is partially deductible for tax purposes.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provisionally recognized $86 million of intangible assets which consists primarily of contract related assets and are being amortized over the estimated useful life of eight years. The remaining net assets acquired are provisionally recognized at $20 million, which includes current billed and unbilled accounts receivable of $221 million and non</w:t>
        <w:noBreakHyphen/>
        <w:t>current unbilled receivables of $89 million, partially offset by current accounts payable and accrued expenses of $212 million and non</w:t>
        <w:noBreakHyphen/>
        <w:t>current accrued expenses of $80 million.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valuation of Defy Security’s assets acquired and liabilities assumed are provisional and based on valuation estimates and assumptions.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goodwill was $2,528 million and $2,399 million, respectively. The $129 million increase in the carrying amount of goodwill was attributable to the Company's acquisition of Defy Security.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 the periods presented below:</w:t>
      </w:r>
    </w:p>
    <w:tbl>
      <w:tblPr>
        <w:tblW w:w="10205" w:type="dxa"/>
        <w:jc w:val="center"/>
        <w:tblInd w:w="0" w:type="dxa"/>
        <w:tblLayout w:type="fixed"/>
        <w:tblCellMar>
          <w:top w:w="28" w:type="dxa"/>
          <w:left w:w="28" w:type="dxa"/>
          <w:bottom w:w="28" w:type="dxa"/>
          <w:right w:w="28" w:type="dxa"/>
        </w:tblCellMar>
      </w:tblPr>
      <w:tblGrid>
        <w:gridCol w:w="816"/>
        <w:gridCol w:w="579"/>
        <w:gridCol w:w="583"/>
        <w:gridCol w:w="109"/>
        <w:gridCol w:w="109"/>
        <w:gridCol w:w="109"/>
        <w:gridCol w:w="109"/>
        <w:gridCol w:w="258"/>
        <w:gridCol w:w="756"/>
        <w:gridCol w:w="133"/>
        <w:gridCol w:w="397"/>
        <w:gridCol w:w="877"/>
        <w:gridCol w:w="206"/>
        <w:gridCol w:w="288"/>
        <w:gridCol w:w="639"/>
        <w:gridCol w:w="150"/>
        <w:gridCol w:w="109"/>
        <w:gridCol w:w="109"/>
        <w:gridCol w:w="109"/>
        <w:gridCol w:w="258"/>
        <w:gridCol w:w="756"/>
        <w:gridCol w:w="133"/>
        <w:gridCol w:w="397"/>
        <w:gridCol w:w="877"/>
        <w:gridCol w:w="206"/>
        <w:gridCol w:w="284"/>
        <w:gridCol w:w="629"/>
        <w:gridCol w:w="220"/>
      </w:tblGrid>
      <w:tr>
        <w:trPr/>
        <w:tc>
          <w:tcPr>
            <w:tcW w:w="81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contracts and related customer relationships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Unamortizable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Accounts Payable and Other Accrued Expenses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 consisted of the following at the periods presented below:</w:t>
      </w:r>
    </w:p>
    <w:tbl>
      <w:tblPr>
        <w:tblW w:w="6557" w:type="dxa"/>
        <w:jc w:val="center"/>
        <w:tblInd w:w="0" w:type="dxa"/>
        <w:tblLayout w:type="fixed"/>
        <w:tblCellMar>
          <w:top w:w="28" w:type="dxa"/>
          <w:left w:w="28" w:type="dxa"/>
          <w:bottom w:w="28" w:type="dxa"/>
          <w:right w:w="28" w:type="dxa"/>
        </w:tblCellMar>
      </w:tblPr>
      <w:tblGrid>
        <w:gridCol w:w="1545"/>
        <w:gridCol w:w="1362"/>
        <w:gridCol w:w="1367"/>
        <w:gridCol w:w="211"/>
        <w:gridCol w:w="616"/>
        <w:gridCol w:w="109"/>
        <w:gridCol w:w="109"/>
        <w:gridCol w:w="109"/>
        <w:gridCol w:w="109"/>
        <w:gridCol w:w="259"/>
        <w:gridCol w:w="572"/>
        <w:gridCol w:w="189"/>
      </w:tblGrid>
      <w:tr>
        <w:trPr/>
        <w:tc>
          <w:tcPr>
            <w:tcW w:w="15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payables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claimed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expenses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shd w:fill="FFFFFF" w:val="clear"/>
        </w:rPr>
        <w:t xml:space="preserve">Accrued expenses for the period ending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include </w:t>
      </w:r>
      <w:r>
        <w:rPr>
          <w:rFonts w:ascii="Times New Roman;serif" w:hAnsi="Times New Roman;serif"/>
          <w:b w:val="false"/>
          <w:color w:val="000000"/>
          <w:sz w:val="20"/>
        </w:rPr>
        <w:t>$172 million</w:t>
      </w:r>
      <w:r>
        <w:rPr>
          <w:color w:val="000000"/>
          <w:shd w:fill="FFFFFF" w:val="clear"/>
        </w:rPr>
        <w:t xml:space="preserve"> </w:t>
      </w:r>
      <w:r>
        <w:rPr>
          <w:rFonts w:ascii="Times New Roman;serif" w:hAnsi="Times New Roman;serif"/>
          <w:b w:val="false"/>
          <w:color w:val="000000"/>
          <w:sz w:val="20"/>
          <w:shd w:fill="FFFFFF" w:val="clear"/>
        </w:rPr>
        <w:t>due to the acquisition of Defy Security.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11, “Commitments and Contingencies,” to the condensed consolidated financial statements for further discussion of the Company’s provision for claimed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Accrued Compensation and Benefits</w:t>
      </w:r>
    </w:p>
    <w:p>
      <w:pPr>
        <w:pStyle w:val="TextBody"/>
        <w:bidi w:val="0"/>
        <w:spacing w:lineRule="auto" w:line="288" w:before="60" w:after="283"/>
        <w:jc w:val="left"/>
        <w:rPr/>
      </w:pPr>
      <w:r>
        <w:rPr>
          <w:rFonts w:ascii="Times New Roman;serif" w:hAnsi="Times New Roman;serif"/>
          <w:b w:val="false"/>
          <w:color w:val="000000"/>
          <w:sz w:val="20"/>
        </w:rPr>
        <w:t>Accrued compensation and benefits consisted of the following at the periods presented below:</w:t>
      </w:r>
      <w:r>
        <w:rPr>
          <w:color w:val="000000"/>
        </w:rPr>
        <w:t> </w:t>
      </w:r>
    </w:p>
    <w:tbl>
      <w:tblPr>
        <w:tblW w:w="5605" w:type="dxa"/>
        <w:jc w:val="center"/>
        <w:tblInd w:w="0" w:type="dxa"/>
        <w:tblLayout w:type="fixed"/>
        <w:tblCellMar>
          <w:top w:w="28" w:type="dxa"/>
          <w:left w:w="28" w:type="dxa"/>
          <w:bottom w:w="28" w:type="dxa"/>
          <w:right w:w="28" w:type="dxa"/>
        </w:tblCellMar>
      </w:tblPr>
      <w:tblGrid>
        <w:gridCol w:w="1248"/>
        <w:gridCol w:w="1097"/>
        <w:gridCol w:w="1104"/>
        <w:gridCol w:w="217"/>
        <w:gridCol w:w="480"/>
        <w:gridCol w:w="112"/>
        <w:gridCol w:w="109"/>
        <w:gridCol w:w="109"/>
        <w:gridCol w:w="109"/>
        <w:gridCol w:w="259"/>
        <w:gridCol w:w="572"/>
        <w:gridCol w:w="189"/>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paid time off</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 and benefits</w:t>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60" w:after="283"/>
        <w:jc w:val="left"/>
        <w:rPr/>
      </w:pPr>
      <w:r>
        <w:rPr>
          <w:rFonts w:ascii="Times New Roman;serif" w:hAnsi="Times New Roman;serif"/>
          <w:b w:val="false"/>
          <w:color w:val="000000"/>
          <w:sz w:val="20"/>
        </w:rPr>
        <w:t>Debt consisted of the following at the periods presented below:</w:t>
      </w:r>
      <w:r>
        <w:rPr>
          <w:color w:val="000000"/>
        </w:rPr>
        <w:t> </w:t>
      </w:r>
    </w:p>
    <w:tbl>
      <w:tblPr>
        <w:tblW w:w="10205" w:type="dxa"/>
        <w:jc w:val="center"/>
        <w:tblInd w:w="0" w:type="dxa"/>
        <w:tblLayout w:type="fixed"/>
        <w:tblCellMar>
          <w:top w:w="28" w:type="dxa"/>
          <w:left w:w="28" w:type="dxa"/>
          <w:bottom w:w="28" w:type="dxa"/>
          <w:right w:w="28" w:type="dxa"/>
        </w:tblCellMar>
      </w:tblPr>
      <w:tblGrid>
        <w:gridCol w:w="1674"/>
        <w:gridCol w:w="1424"/>
        <w:gridCol w:w="1436"/>
        <w:gridCol w:w="315"/>
        <w:gridCol w:w="315"/>
        <w:gridCol w:w="317"/>
        <w:gridCol w:w="308"/>
        <w:gridCol w:w="308"/>
        <w:gridCol w:w="417"/>
        <w:gridCol w:w="257"/>
        <w:gridCol w:w="750"/>
        <w:gridCol w:w="134"/>
        <w:gridCol w:w="109"/>
        <w:gridCol w:w="109"/>
        <w:gridCol w:w="109"/>
        <w:gridCol w:w="308"/>
        <w:gridCol w:w="308"/>
        <w:gridCol w:w="417"/>
        <w:gridCol w:w="255"/>
        <w:gridCol w:w="744"/>
        <w:gridCol w:w="191"/>
      </w:tblGrid>
      <w:tr>
        <w:trPr/>
        <w:tc>
          <w:tcPr>
            <w:tcW w:w="167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11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9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9/7/2027</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A-2</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2/27/2031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2028</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9/1/2028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2029</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7/1/2029</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2033</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8/4/2033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2035</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4/15/2035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 on debt</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Inc., a wholly owned subsidiary of Booz Allen Hamilton Holding Corporation, as borrower, and Booz Allen Hamilton Holding Corporation, as guarantor, are parties to a Credit Agreement dated as of July 31, 2012, as amended, which as of June 30, 2026, provides the Company with facility term loans of $1,460 million and a $1,500 million revolving credit facility (the “Revolving Credit Facility”), with a sub-limit for letters of credit of $200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senior notes due 2035, senior notes due 2033, senior notes due 2029 and senior notes due 2028 (together, the “Senior Notes”) were issued by Booz Allen Hamilton in four separate and distinct tranches, which all bear interest at specified rates and have individual and separate maturity dates. All Senior Notes’ indentures contain certain covenants, events of default and other customary provisions.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occasionally borrows under the Revolving Credit Facility for our working capital needs. There were no borrowings during the three months ended June 30, 2026 and as of both June 30, 2026 and March 31, 2026, respectively, there was no outstanding balance on the Revolving Credit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Booz Allen Hamilton was in compliance with all financial covenants associated with its debt. For further information on the Company’s debt, including material terms, conditions, restrictions and redemption options, see Note 10, “Debt,” of the Company’s consolidated financial statements included in the fiscal 2026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9. Income Taxes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21.1% and (25.5)% for the three months ended June 30, 2026 and 2025, respectively. Our effective tax rates for these periods differ from the federal statutory rate of 21.0% primarily due to the inclusion of state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Foreign-Derived Deduction-Eligible Income deduction. In addition, the fiscal year 2026 effective tax rate was also lower related to adjustments to the Company’s uncertain tax position (UTP) reserves as outlined below.</w:t>
      </w:r>
    </w:p>
    <w:p>
      <w:pPr>
        <w:pStyle w:val="TextBody"/>
        <w:bidi w:val="0"/>
        <w:spacing w:lineRule="auto" w:line="288" w:before="60" w:after="283"/>
        <w:jc w:val="left"/>
        <w:rPr/>
      </w:pPr>
      <w:r>
        <w:rPr>
          <w:rFonts w:ascii="Times New Roman;serif" w:hAnsi="Times New Roman;serif"/>
          <w:b w:val="false"/>
          <w:color w:val="000000"/>
          <w:sz w:val="20"/>
        </w:rPr>
        <w:t>As of June 30, 2026</w:t>
      </w:r>
      <w:r>
        <w:rPr>
          <w:color w:val="000000"/>
          <w:shd w:fill="FFFFFF" w:val="clear"/>
        </w:rPr>
        <w:t xml:space="preserve"> </w:t>
      </w:r>
      <w:r>
        <w:rPr>
          <w:rFonts w:ascii="Times New Roman;serif" w:hAnsi="Times New Roman;serif"/>
          <w:b w:val="false"/>
          <w:color w:val="000000"/>
          <w:sz w:val="20"/>
          <w:shd w:fill="FFFFFF" w:val="clear"/>
        </w:rPr>
        <w:t xml:space="preserve">and March 31, 2026, the Company recorded $80 million and $75 million, respectively, of reserves for uncertain tax positions (“UTPs”) primarily related to research and development tax credits. During the quarter ended June 30, 2025, the Company reduced its UTPs by </w:t>
      </w:r>
      <w:r>
        <w:rPr>
          <w:rFonts w:ascii="Times New Roman;serif" w:hAnsi="Times New Roman;serif"/>
          <w:b w:val="false"/>
          <w:color w:val="000000"/>
          <w:sz w:val="20"/>
        </w:rPr>
        <w:t>$89 million</w:t>
      </w:r>
      <w:r>
        <w:rPr>
          <w:rFonts w:ascii="Times New Roman;serif" w:hAnsi="Times New Roman;serif"/>
          <w:b w:val="false"/>
          <w:color w:val="000000"/>
          <w:sz w:val="20"/>
          <w:shd w:fill="FFFFFF" w:val="clear"/>
        </w:rPr>
        <w:t xml:space="preserve">, primarily related to an </w:t>
      </w:r>
      <w:r>
        <w:rPr>
          <w:rFonts w:ascii="Times New Roman;serif" w:hAnsi="Times New Roman;serif"/>
          <w:b w:val="false"/>
          <w:color w:val="000000"/>
          <w:sz w:val="20"/>
        </w:rPr>
        <w:t>$86 million</w:t>
      </w:r>
      <w:r>
        <w:rPr>
          <w:color w:val="000000"/>
          <w:shd w:fill="FFFFFF" w:val="clear"/>
        </w:rPr>
        <w:t xml:space="preserve"> </w:t>
      </w:r>
      <w:r>
        <w:rPr>
          <w:rFonts w:ascii="Times New Roman;serif" w:hAnsi="Times New Roman;serif"/>
          <w:b w:val="false"/>
          <w:color w:val="000000"/>
          <w:sz w:val="20"/>
          <w:shd w:fill="FFFFFF" w:val="clear"/>
        </w:rPr>
        <w:t xml:space="preserve">adjustment from the completion of Internal Revenue Service (the “IRS”) examination procedures of the Company’s amended federal income tax returns through fiscal year 2021. No similar adjustment was recorded in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Due to the magnitude of the refund requested in the amended returns, the case will be referred to the Joint Committee on Taxation (the “JCT”) for further evaluation, as required by law for tax refunds or reductions exceeding $5 million. While the JCT has not yet reviewed this case, management does not anticipate that the resolution of this review will have a material adverse effect on the Company’s financial position or results of operations. In addition, the Company has accrued a tax benefit for interest income (net of tax effect) on the long-term receivable related to the refund requested on the amended returns of $1 million and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for the three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March 31, 2026, the Company recorded long-term income tax receivables of $180 million and $178 million, respectively, which represents the amended U.S. federal return refund claims related to the audits referenced above and remains classified as other long-term assets on the condensed consolidated balance sheet as the case is subject to JCT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Investments and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investments related to unconsolidated entities included in other long term assets of the Company’s consolidated balance sheets at June 30, 2026 and March 31, 2026 were:</w:t>
      </w:r>
    </w:p>
    <w:tbl>
      <w:tblPr>
        <w:tblW w:w="4511" w:type="dxa"/>
        <w:jc w:val="center"/>
        <w:tblInd w:w="0" w:type="dxa"/>
        <w:tblLayout w:type="fixed"/>
        <w:tblCellMar>
          <w:top w:w="28" w:type="dxa"/>
          <w:left w:w="28" w:type="dxa"/>
          <w:bottom w:w="28" w:type="dxa"/>
          <w:right w:w="28" w:type="dxa"/>
        </w:tblCellMar>
      </w:tblPr>
      <w:tblGrid>
        <w:gridCol w:w="853"/>
        <w:gridCol w:w="750"/>
        <w:gridCol w:w="752"/>
        <w:gridCol w:w="217"/>
        <w:gridCol w:w="480"/>
        <w:gridCol w:w="112"/>
        <w:gridCol w:w="109"/>
        <w:gridCol w:w="109"/>
        <w:gridCol w:w="109"/>
        <w:gridCol w:w="259"/>
        <w:gridCol w:w="572"/>
        <w:gridCol w:w="189"/>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Investments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283"/>
        <w:jc w:val="left"/>
        <w:rPr/>
      </w:pPr>
      <w:r>
        <w:rPr>
          <w:rFonts w:ascii="Times New Roman;serif" w:hAnsi="Times New Roman;serif"/>
          <w:b w:val="false"/>
          <w:color w:val="000000"/>
          <w:sz w:val="20"/>
        </w:rPr>
        <w:t xml:space="preserve">The Company’s equity method investments include investments in two venture capital funds that are considered related parties. The carrying value of these funds included in the table above as of </w:t>
      </w:r>
      <w:r>
        <w:rPr>
          <w:rFonts w:ascii="Times New Roman;serif" w:hAnsi="Times New Roman;serif"/>
          <w:b w:val="false"/>
          <w:color w:val="000000"/>
          <w:sz w:val="20"/>
          <w:shd w:fill="FFFFFF" w:val="clear"/>
        </w:rPr>
        <w:t xml:space="preserve">June 30, 2026 and March 31, 2026 </w:t>
      </w:r>
      <w:r>
        <w:rPr>
          <w:rFonts w:ascii="Times New Roman;serif" w:hAnsi="Times New Roman;serif"/>
          <w:b w:val="false"/>
          <w:color w:val="000000"/>
          <w:sz w:val="20"/>
        </w:rPr>
        <w:t xml:space="preserve">was $253 million and $178 million, respectively. The Company’s unfunded capital commitments as a limited partner in these funds at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was $247 million.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Investments - Nonrecurring Fair Value Measurements</w:t>
      </w:r>
    </w:p>
    <w:p>
      <w:pPr>
        <w:pStyle w:val="TextBody"/>
        <w:bidi w:val="0"/>
        <w:spacing w:lineRule="auto" w:line="288" w:before="12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total of our investments that are accounted for at fair value on a non-recurring basis under the measurement alternative were $178 million and $146 million, respectively. While these assets are not measured at fair value on an ongoing basis, they are subject to fair value adjustments in certain circumstances (e.g., observable price changes or impairment). Cumulative fair value adjustments on these investments through </w:t>
      </w:r>
      <w:r>
        <w:rPr>
          <w:rFonts w:ascii="Times New Roman;serif" w:hAnsi="Times New Roman;serif"/>
          <w:b w:val="false"/>
          <w:color w:val="000000"/>
          <w:sz w:val="20"/>
          <w:shd w:fill="FFFFFF" w:val="clear"/>
        </w:rPr>
        <w:t>June 30, 2026 were $51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financial instruments measured at fair value on a recurring basis in the accompanying condensed consolidated balance sheets consisted of the following at the periods presented below:</w:t>
      </w:r>
    </w:p>
    <w:tbl>
      <w:tblPr>
        <w:tblW w:w="9162" w:type="dxa"/>
        <w:jc w:val="center"/>
        <w:tblInd w:w="0" w:type="dxa"/>
        <w:tblLayout w:type="fixed"/>
        <w:tblCellMar>
          <w:top w:w="28" w:type="dxa"/>
          <w:left w:w="28" w:type="dxa"/>
          <w:bottom w:w="28" w:type="dxa"/>
          <w:right w:w="28" w:type="dxa"/>
        </w:tblCellMar>
      </w:tblPr>
      <w:tblGrid>
        <w:gridCol w:w="1430"/>
        <w:gridCol w:w="1256"/>
        <w:gridCol w:w="1274"/>
        <w:gridCol w:w="211"/>
        <w:gridCol w:w="466"/>
        <w:gridCol w:w="109"/>
        <w:gridCol w:w="213"/>
        <w:gridCol w:w="411"/>
        <w:gridCol w:w="110"/>
        <w:gridCol w:w="109"/>
        <w:gridCol w:w="211"/>
        <w:gridCol w:w="466"/>
        <w:gridCol w:w="109"/>
        <w:gridCol w:w="109"/>
        <w:gridCol w:w="109"/>
        <w:gridCol w:w="109"/>
        <w:gridCol w:w="211"/>
        <w:gridCol w:w="466"/>
        <w:gridCol w:w="109"/>
        <w:gridCol w:w="213"/>
        <w:gridCol w:w="411"/>
        <w:gridCol w:w="110"/>
        <w:gridCol w:w="109"/>
        <w:gridCol w:w="211"/>
        <w:gridCol w:w="46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940" w:type="dxa"/>
            <w:gridSpan w:val="4"/>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deferred compensation plan asset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deferred compensation plan liability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20"/>
        </w:rPr>
        <w:t xml:space="preserve">The Company did not have any Level 3 assets or liabilities as of June 30, 2026 or </w:t>
      </w:r>
      <w:r>
        <w:rPr>
          <w:rFonts w:ascii="Times New Roman;serif" w:hAnsi="Times New Roman;serif"/>
          <w:b w:val="false"/>
          <w:color w:val="000000"/>
          <w:sz w:val="20"/>
          <w:shd w:fill="FFFFFF" w:val="clear"/>
        </w:rPr>
        <w:t>March 31, 2026.</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Derivatives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interest rate derivative financial instruments, which were designated as cash flow hedges, to manage its exposure to interest rate risk related to its variable rate debt and reducing volatility of interest expense as the variable-to-fixed interest rate swaps effectively convert a portion of the variable rate debt into fixed interest rate debt. As of June 30, 2026, the Company’s outstanding interest rate swaps have a total notional amount of $200 million and mature on June 30,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interest rate swaps are considered over-the-counter derivatives which are recorded in the condensed consolidated balance sheet on a gross basis at estimated fair value. Fair value is estimated based on the present value of future cash flows using a model-derived valuation that uses Level 2 observable inputs such as interest rate yield curves. The changes in the fair value of interest rate swaps designated as cash flow hedges are recorded in AOCI, net of taxes, and are subsequently reclassified into interest expense, net in the period that the hedged forecasted interest payments are made on the Company's variable-rate debt. Over the next 12 months, the Company estimates that approximately $1 million will be reclassified as an increase to interest expense. Cash flows associated with periodic settlements of interest rate swaps are classified as operating activities in the condensed consolidated statement of cash flows.</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Deferred Compensation Plans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condensed consolidated balance sheets.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Company's cash and cash equivalents presented on the accompanying condensed consolidated balance sheets include the money market funds disclosed in the table above. As of both June 30, 2026 and March 31, 2026, the fair value of the Company’s cash and cash equivalents approximated its carrying value.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Company's long-term debt is carried at amortized cost and fair value is disclosed on a quarterly basis. The estimated fair value of debt is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 The estimated fair value of long-term debt as of June 30, 2026 and March 31, 2026 was $3,922 million and $3,937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11. Commitments and Contingencies</w:t>
      </w:r>
    </w:p>
    <w:p>
      <w:pPr>
        <w:pStyle w:val="TextBody"/>
        <w:bidi w:val="0"/>
        <w:spacing w:lineRule="auto" w:line="288" w:before="120" w:after="283"/>
        <w:ind w:left="0" w:right="0" w:hanging="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Government Contracting Matters - Provision for Claimed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it has recorded the appropriate provision for claimed costs for any audit, inquiry, or investigation of which it is aware that may be subject to any reductions and/or penalties. As of June 30, 2026 and March 31, 2026, the Company had recorded liabilities (included in accounts payable and other accrued expenses) of approximately $248 million for estimated adjustments to claimed costs based on its historical DCAA audit results, including the final resolution of such audits with the Defense Contract Management Agency (“DCMA”), for claimed costs incurred subsequent to fiscal 2011.</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 November 12, 2025, the Company entered into two separate 15-year lease agreements for two corporate office spaces in Reston, Virginia. The Company plans to relocate its headquarters to these office spaces in the fall of 2027, dependent upon the timing of the completion of various tenant improvements. Under these lease agreements, which were entered into by Booz Allen Hamilton and are guaranteed by the Company, the estimated total undiscounted base lease payments are $240 million and the agreements provide for up to $61 million in tenant improvement allowances as of June 30, 2026. For the quarter ended June 30, 2026, the total lease liabilities arising from obtaining right-of-use assets were $51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BOOZ ALLEN HAMILTON HOLDING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millions, except share and per share data or unless otherwise noted)</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2026 filed with the Securities and Exchange Commission on May 22, 2026, or Annual Report, and under Part II, “Item 1A. Risk Factors,” and “— Special Note Regarding Forward-Looking Statements” of this Quarterly Report. Our actual results may differ materially from those contained in or implied by any forward-looking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Our fiscal year ends March 31 and, unless otherwise noted, references to years or fiscal are for fiscal years ended March 31. See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 xml:space="preserve">Booz Allen is an advanced technology company, building products and solutions for government and business. We are a leader at the forefront of the nation’s technology ecosystem. </w:t>
      </w:r>
      <w:r>
        <w:rPr>
          <w:rFonts w:ascii="Times New Roman;serif" w:hAnsi="Times New Roman;serif"/>
          <w:b w:val="false"/>
          <w:color w:val="000000"/>
          <w:sz w:val="20"/>
          <w:shd w:fill="FFFFFF" w:val="clear"/>
        </w:rPr>
        <w:t xml:space="preserve">Our approximately </w:t>
      </w:r>
      <w:r>
        <w:rPr>
          <w:rFonts w:ascii="Times New Roman;serif" w:hAnsi="Times New Roman;serif"/>
          <w:b w:val="false"/>
          <w:color w:val="000000"/>
          <w:sz w:val="20"/>
        </w:rPr>
        <w:t xml:space="preserve">30,900 </w:t>
      </w:r>
      <w:r>
        <w:rPr>
          <w:rFonts w:ascii="Times New Roman;serif" w:hAnsi="Times New Roman;serif"/>
          <w:b w:val="false"/>
          <w:color w:val="000000"/>
          <w:sz w:val="20"/>
          <w:shd w:fill="FFFFFF" w:val="clear"/>
        </w:rPr>
        <w:t xml:space="preserve">employees build tech for a diverse base of federal government and commercial customers, </w:t>
      </w:r>
      <w:r>
        <w:rPr>
          <w:rFonts w:ascii="Times New Roman;serif" w:hAnsi="Times New Roman;serif"/>
          <w:b w:val="false"/>
          <w:color w:val="000000"/>
          <w:sz w:val="20"/>
        </w:rPr>
        <w:t xml:space="preserve">both domestically and in select foreign locations. By investing in emerging technologies, talent, and new business models, including partnerships with leading technology companies, venture investments, and the development of military grade products, we are accelerating the delivery of tech solutions.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Factors and Trends Affecting Our Results of Operations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been, and we expect them to continue to be, affected by the following factors, which may cause our future results of operations to differ from our historical results of operations discussed under “—Results of Operations.” </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 Budgetary and Regulatory Environment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U.S. continues to face an uncertain and evolving budgetary and regulatory environment, and we expect this uncertainty will continue. Additionally, we continue to see a slower procurement environment compared to prior fiscal years. Our business performance is affected by the overall level of U.S. government spending and the alignment of our offerings and capabilities with the spending priorities of the U.S. government.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U.S. government continues to review spending across U.S. government agencies to ensure it aligns with the administration’s priorities of maximizing governmental efficiency and productivity. Additionally, U.S. government agencies continue their own independent reviews of their contract portfolios and future procurements in response to recent executive orders focused on efficiency in government procurement. We have been, and will continue to be, subject to these reviews, and we have had, and may in the future have, certain of our contracts impacted, reduced or canceled or experience price adjustments and renegotiations, as a result of these reviews. There can be no assurance that these reviews will not ultimately have a material adverse impact on our business and financial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Efforts by the U.S. government to implement two specific executive orders that are intended to (i) simplify and accelerate the procurement process through a review and restructuring of the Federal Acquisition Regulation (“FAR”), and its supplements and (ii) modernize defense acquisitions by promoting commercial solutions, innovative acquisition authorities, and other existing streamlined processes remain ongoing. The FAR Council, the body responsible for issuing and maintaining the FAR, completed Phase 1 of FAR reform efforts and moved into Phase II of such efforts in June 2026. The formal rulemaking process remains ongoing, with only a portion of formal rules issued; however, proposed rules include changes that formalize the FAR's deviation-based approach and make certain streamlining shifts, as well as incorporating a number of other pending rules. Previously, in early November 2025, the Secretary of War announced and released an associated memorandum regarding a new acquisition strategy and directing certain reforms addressing Department of War purchases of military weapons. The Secretary’s accompanying memorandum and strategy outline a number of actions focused on rebuilding the Defense Industrial Base, elevating and empowering the acquisition workforce, maximizing acquisition flexibility, developing high performance systems, and improving effective lifecycle risk management. While the impact of the aforementioned changes remains uncertain, the new acquisition strategy and streamlined procurement processes have the potential to have positive impacts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Federal funding for fiscal year 2026 was subject to uncertainty for several months as Congress enacted appropriations in stages,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separate funding measures for the Department of Homeland Security and certain immigration-enforcement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funding for fiscal year 2026 has now been enacted, future federal funding levels remain subject to uncertainty,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delays or disruptions in the appropriations process, including a prolonged government shutdown, could adversely affect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National Defense Authorization Act (“NDAA”) was signed into law, which included a number of reforms that may also impact our business. Although the final bill did not adopt more narrow commercial preferences or expand the statutory definition of contractors who qualify as nontraditional contractors, it did exempt contractors who meet that definition from certain burdensome compliance requirements. The continued focus on removing barriers to new entrants and any related future legislation could reduce the likelihood of direct awards to companies like Booz Allen and effect our competitive position.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7, 2026, the President signed an executive order, “Prioritizing the Warfighter in Defense Contracting”, that, among other things, limits stock buybacks and the payment of dividends by certain defense contractors. This executive order directs the Secretary of War to identify defense contractors that are underperforming on their contracts, not investing their own capital into necessary production capacity, not sufficiently prioritizing United States Government contracts, or whose production speed is insufficient as determined by the Secretary, and that have, during the period of underperformance or insufficient prioritization, investment, or production speed, engaged in any stock buy-back or corporate distribution. If the Company is identified pursuant to this executive order, it may have a negative impact on our dividends, stock buyback programs, and our ability to attract and retain talented executives. Compliance with the requirements of this executive order may be complex, costly and time-consuming, and our subcontractors may not have the necessary resources to ensure compliance. In addition, in March 2026, certain Senators introduced the Warfighter in Defense Contracting Act of 2026, which would codify and go beyond this executive order by instituting, absent a waiver, a blanket prohibition on such dividends, buybacks, and executive compensation above certain levels. In addition, the Senate Armed Services Committee’s version of the NDAA for Fiscal Year 2027 includes a related provision that would require contractors to submit a qualified defense investment plan to increase production capacity or otherwise face restrictions on stockholder distributions. These proposed legislations far exceed the framework contemplated by the executive order and would introduce significant administrative burdens for us and other companies that could be subject to such legislation.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30, 2026, the President signed an executive order, “Promoting Efficiency, Accountability, and Performance in Federal Contracting,” which directs federal agencies, subject to certain exceptions, to increase the use of firm-fixed price contracts for new awards to the maximum extent consistent with law. Additionally, agencies are directed, to the maximum extent practicable and consistent with law, to seek to modify, restructure, or renegotiate, their top ten highest-dollar-value contracts issued on an other-than-fixed price basis. The Company is supportive of the recent focus by the administration on the increased usage of fixed-price and outcomes-based contracting (we refer to firm fixed price contracts where we deliver a specific outcome for a predetermined price as “outcomes-based contracting”). Compared to time-and-materials and cost-reimbursable contracts, outcomes-based contracting generally offers higher margin opportunities because we receive the benefits of any cost savings, but can involve greater financial risk because we bear the impact of any cost overruns. Additionally, we believe outcomes-based contracting results in more efficient contracting outcomes and potential savings for the U.S. government.</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define backlog to include the following three components: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Funded Backlog.</w:t>
      </w:r>
      <w:r>
        <w:rPr>
          <w:color w:val="000000"/>
        </w:rPr>
        <w:t xml:space="preserve"> </w:t>
      </w:r>
      <w:r>
        <w:rPr>
          <w:rFonts w:ascii="Times New Roman;serif" w:hAnsi="Times New Roman;serif"/>
          <w:b w:val="false"/>
          <w:color w:val="000000"/>
          <w:sz w:val="20"/>
        </w:rPr>
        <w:t>Funded backlog represents the value of orders for services under existing contracts for which funding is appropriated or otherwise authorized less revenue previously recognized on these contracts.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Unfunded Backlog.</w:t>
      </w:r>
      <w:r>
        <w:rPr>
          <w:color w:val="000000"/>
        </w:rPr>
        <w:t xml:space="preserve"> </w:t>
      </w:r>
      <w:r>
        <w:rPr>
          <w:rFonts w:ascii="Times New Roman;serif" w:hAnsi="Times New Roman;serif"/>
          <w:b w:val="false"/>
          <w:color w:val="000000"/>
          <w:sz w:val="20"/>
        </w:rPr>
        <w:t>Unfunded backlog represents the value of orders (including exercised optional orders) for services under existing contracts for which funding has not been appropriated or otherwise authorized.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Priced Options.</w:t>
      </w:r>
      <w:r>
        <w:rPr>
          <w:color w:val="000000"/>
        </w:rPr>
        <w:t xml:space="preserve"> </w:t>
      </w:r>
      <w:r>
        <w:rPr>
          <w:rFonts w:ascii="Times New Roman;serif" w:hAnsi="Times New Roman;serif"/>
          <w:b w:val="false"/>
          <w:color w:val="000000"/>
          <w:sz w:val="20"/>
        </w:rPr>
        <w:t>Priced contract options represent 100% of the value of all future contract option periods under existing contracts that may be exercised at our customers’ option and for which funding has not been appropriated or otherwise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backlog does not include contracts that have been awarded but are currently under protest and also does not include any task orders under indefinite delivery/indefinite quantity (“IDIQ”) contracts, General Services Administration (“GSA”) Multiple Award schedule contracts (“GSA schedules”) or other master agreement contract vehicles, except to the extent that task orders have been awarded to us under those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60" w:after="283"/>
        <w:jc w:val="left"/>
        <w:rPr/>
      </w:pPr>
      <w:r>
        <w:rPr>
          <w:rFonts w:ascii="Times New Roman;serif" w:hAnsi="Times New Roman;serif"/>
          <w:b w:val="false"/>
          <w:color w:val="000000"/>
          <w:sz w:val="20"/>
        </w:rPr>
        <w:t>The following table summarizes the value of our contract backlog as of the respective periods presented:</w:t>
      </w:r>
      <w:r>
        <w:rPr>
          <w:color w:val="000000"/>
        </w:rPr>
        <w:t> </w:t>
      </w:r>
    </w:p>
    <w:tbl>
      <w:tblPr>
        <w:tblW w:w="3744" w:type="dxa"/>
        <w:jc w:val="center"/>
        <w:tblInd w:w="0" w:type="dxa"/>
        <w:tblLayout w:type="fixed"/>
        <w:tblCellMar>
          <w:top w:w="28" w:type="dxa"/>
          <w:left w:w="28" w:type="dxa"/>
          <w:bottom w:w="28" w:type="dxa"/>
          <w:right w:w="28" w:type="dxa"/>
        </w:tblCellMar>
      </w:tblPr>
      <w:tblGrid>
        <w:gridCol w:w="467"/>
        <w:gridCol w:w="410"/>
        <w:gridCol w:w="413"/>
        <w:gridCol w:w="211"/>
        <w:gridCol w:w="721"/>
        <w:gridCol w:w="109"/>
        <w:gridCol w:w="109"/>
        <w:gridCol w:w="109"/>
        <w:gridCol w:w="109"/>
        <w:gridCol w:w="211"/>
        <w:gridCol w:w="72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Backlog:</w:t>
            </w:r>
            <w:r>
              <w:rPr>
                <w:color w:val="000000"/>
              </w:rPr>
              <w:t xml:space="preserve">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Unfunded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Priced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Our total backlog consists of contractual values which is inclusive of remaining performance obligations, and potential contract value from unexercised option periods and other unexercised optional orders. As of June 30, 2026 and March 31, 2026, the Company had $11.1 billion and $10.7 billion of remaining performance obligations, respectively, and we expect to recognize approximately 65% of the remaining performance obligations as of June 30, 2026 as revenue over the next 12 months, and approximately 75% over the next 24 months. The remainder is expected to be recognized thereafter. We also expect to recognize revenue from a substantial portion of funded backlog as of June 30, 2026, within the next twelve months. However, given the uncertainties discussed below, as well as the risks described in “Item 1A. Risk Factors” of our Annual Report on Form 10-K for the fiscal year ended March 31, 2026, we can give no assurance that we will be able to convert our performance obligations or funded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pStyle w:val="TextBody"/>
        <w:bidi w:val="0"/>
        <w:spacing w:lineRule="auto" w:line="288" w:before="120" w:after="283"/>
        <w:jc w:val="left"/>
        <w:rPr/>
      </w:pPr>
      <w:r>
        <w:rPr>
          <w:rFonts w:ascii="Times New Roman;serif" w:hAnsi="Times New Roman;serif"/>
          <w:b w:val="false"/>
          <w:color w:val="000000"/>
          <w:sz w:val="20"/>
        </w:rPr>
        <w:t>We view growth in total backlog as a key measure of our potential business growth. Total backlog increased by 3% from June 30, 2025 to June 30, 2026. Additions to funded backlog during the twelve months ended June 30, 2026 and 2025 totaled $11.7 billion and $11.5 billion, respectively, as</w:t>
      </w:r>
      <w:r>
        <w:rPr>
          <w:color w:val="000000"/>
          <w:shd w:fill="FFFFFF" w:val="clear"/>
        </w:rPr>
        <w:t xml:space="preserve"> </w:t>
      </w:r>
      <w:r>
        <w:rPr>
          <w:rFonts w:ascii="Times New Roman;serif" w:hAnsi="Times New Roman;serif"/>
          <w:b w:val="false"/>
          <w:color w:val="000000"/>
          <w:sz w:val="20"/>
          <w:shd w:fill="FFFFFF" w:val="clear"/>
        </w:rPr>
        <w:t>a result of the conversion of unfunded backlog to funded backlog, the award of new contracts and tas</w:t>
      </w:r>
      <w:r>
        <w:rPr>
          <w:rFonts w:ascii="Times New Roman;serif" w:hAnsi="Times New Roman;serif"/>
          <w:b w:val="false"/>
          <w:color w:val="000000"/>
          <w:sz w:val="20"/>
        </w:rPr>
        <w:t xml:space="preserve">k orders under which funding was appropriated, and the exercise and subsequent funding of priced options. </w:t>
      </w:r>
    </w:p>
    <w:p>
      <w:pPr>
        <w:pStyle w:val="TextBody"/>
        <w:bidi w:val="0"/>
        <w:spacing w:lineRule="auto" w:line="288" w:before="120" w:after="283"/>
        <w:jc w:val="left"/>
        <w:rPr/>
      </w:pPr>
      <w:r>
        <w:rPr>
          <w:rFonts w:ascii="Times New Roman;serif" w:hAnsi="Times New Roman;serif"/>
          <w:b w:val="false"/>
          <w:color w:val="000000"/>
          <w:sz w:val="20"/>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include: program schedule changes, contract modifications and our ability to assimilate and deploy new customer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and the other risks and factors listed under “</w:t>
      </w:r>
      <w:r>
        <w:rPr>
          <w:color w:val="000000"/>
        </w:rPr>
        <w:t xml:space="preserve">— </w:t>
      </w:r>
      <w:r>
        <w:rPr>
          <w:rFonts w:ascii="Times New Roman;serif" w:hAnsi="Times New Roman;serif"/>
          <w:b w:val="false"/>
          <w:color w:val="000000"/>
          <w:sz w:val="20"/>
        </w:rPr>
        <w:t>U.S. Budgetary and Regulatory Environment” in this Quarterly Report, as well as those listed under “Risk Factors” in our Annual Report on Form 10-K for the year ended March 31, 2026. In addition, the amount of our funded backlog is also subject to change due to these factors. In our recent experience, the slowed procurement environment and reductions in contract value have had a negative effect on our ability to convert backlog to revenue as of June 30, 2026, and could have additional impacts in the future to our business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 and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items from our condensed consolidated statements of operations for the respective periods shown: </w:t>
      </w:r>
    </w:p>
    <w:tbl>
      <w:tblPr>
        <w:tblW w:w="6717" w:type="dxa"/>
        <w:jc w:val="center"/>
        <w:tblInd w:w="0" w:type="dxa"/>
        <w:tblLayout w:type="fixed"/>
        <w:tblCellMar>
          <w:top w:w="28" w:type="dxa"/>
          <w:left w:w="28" w:type="dxa"/>
          <w:bottom w:w="28" w:type="dxa"/>
          <w:right w:w="28" w:type="dxa"/>
        </w:tblCellMar>
      </w:tblPr>
      <w:tblGrid>
        <w:gridCol w:w="1115"/>
        <w:gridCol w:w="982"/>
        <w:gridCol w:w="992"/>
        <w:gridCol w:w="246"/>
        <w:gridCol w:w="720"/>
        <w:gridCol w:w="129"/>
        <w:gridCol w:w="246"/>
        <w:gridCol w:w="720"/>
        <w:gridCol w:w="129"/>
        <w:gridCol w:w="268"/>
        <w:gridCol w:w="272"/>
        <w:gridCol w:w="417"/>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Billable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decreased 4% to $2,800 million for the three months ended June 30, 2026 compared to the prior year period. The decrease was primarily driven by the impact of slowed procurement which resulted in reduced headcount and billable expenses.</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Revenue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Costs associated with compensation and related expenses for our people are the most significant component of our operating costs and expenses. The principal factors that affect our costs are the increases or decreases in labor and employee related costs as we are awarded contracts, task orders, and additional work under our existing contracts, and the hiring of people with specific skill sets and security clearances.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Cost of revenue as a percentage of revenue was </w:t>
      </w:r>
      <w:r>
        <w:rPr>
          <w:rFonts w:ascii="Times New Roman;serif" w:hAnsi="Times New Roman;serif"/>
          <w:b w:val="false"/>
          <w:color w:val="000000"/>
          <w:sz w:val="20"/>
        </w:rPr>
        <w:t>48% and 49% for the three June 30, 2026 and 2025, respectively. Cost of revenue decreased 6% for the three months ended June 30, 2026 as compared to the three months ended June 30, 2025</w:t>
      </w:r>
      <w:r>
        <w:rPr>
          <w:rFonts w:ascii="Times New Roman;serif" w:hAnsi="Times New Roman;serif"/>
          <w:b w:val="false"/>
          <w:color w:val="000000"/>
          <w:sz w:val="20"/>
          <w:shd w:fill="FFFFFF" w:val="clear"/>
        </w:rPr>
        <w:t xml:space="preserve">. The decrease for the quarter-to-date period was primarily due to decreases in salaries and related benefits due to overall headcount reductions. The prior year also included </w:t>
      </w:r>
      <w:r>
        <w:rPr>
          <w:rFonts w:ascii="Times New Roman;serif" w:hAnsi="Times New Roman;serif"/>
          <w:b w:val="false"/>
          <w:color w:val="000000"/>
          <w:sz w:val="20"/>
        </w:rPr>
        <w:t>$30 million in costs related to employee severance and related charges, not present in the current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Billable Expenses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Billable expenses as a percentage of revenue were 30% for both the three months ended June 30, 2026 and 2025, respectively. Billable expenses decreased 5% for the three months ended June 30, 2026 compared to the three months ended June 30, 2025. The decreases were primarily attributable to decreases in other direct expenses and subcontractor expenses, driven by customer demand and timing of customer needs.</w:t>
      </w:r>
    </w:p>
    <w:p>
      <w:pPr>
        <w:pStyle w:val="TextBody"/>
        <w:bidi w:val="0"/>
        <w:spacing w:lineRule="auto" w:line="288" w:before="120" w:after="283"/>
        <w:jc w:val="left"/>
        <w:rPr/>
      </w:pPr>
      <w:r>
        <w:rPr>
          <w:rFonts w:ascii="Times New Roman;serif" w:hAnsi="Times New Roman;serif"/>
          <w:b w:val="false"/>
          <w:i/>
          <w:color w:val="000000"/>
          <w:sz w:val="20"/>
          <w:shd w:fill="FFFFFF" w:val="clear"/>
        </w:rPr>
        <w:t>Genera</w:t>
      </w:r>
      <w:r>
        <w:rPr>
          <w:rFonts w:ascii="Times New Roman;serif" w:hAnsi="Times New Roman;serif"/>
          <w:b w:val="false"/>
          <w:i/>
          <w:color w:val="000000"/>
          <w:sz w:val="20"/>
        </w:rPr>
        <w:t xml:space="preserve">l and Administrative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General and administrative expenses as a percentage of revenue were </w:t>
      </w:r>
      <w:r>
        <w:rPr>
          <w:rFonts w:ascii="Times New Roman;serif" w:hAnsi="Times New Roman;serif"/>
          <w:b w:val="false"/>
          <w:color w:val="000000"/>
          <w:sz w:val="20"/>
        </w:rPr>
        <w:t xml:space="preserve">11% for both the three months ended June 30, 2026 and 2025, respectively. </w:t>
      </w:r>
      <w:r>
        <w:rPr>
          <w:rFonts w:ascii="Times New Roman;serif" w:hAnsi="Times New Roman;serif"/>
          <w:b w:val="false"/>
          <w:color w:val="000000"/>
          <w:sz w:val="20"/>
          <w:shd w:fill="FFFFFF" w:val="clear"/>
        </w:rPr>
        <w:t>General and administrative expenses</w:t>
      </w:r>
      <w:r>
        <w:rPr>
          <w:color w:val="000000"/>
        </w:rPr>
        <w:t xml:space="preserve"> </w:t>
      </w:r>
      <w:r>
        <w:rPr>
          <w:rFonts w:ascii="Times New Roman;serif" w:hAnsi="Times New Roman;serif"/>
          <w:b w:val="false"/>
          <w:color w:val="000000"/>
          <w:sz w:val="20"/>
        </w:rPr>
        <w:t xml:space="preserve">decreased 6% for the three months ended June 30, 2026 compared to the three months ended June 30, 2025. </w:t>
      </w:r>
      <w:r>
        <w:rPr>
          <w:rFonts w:ascii="Times New Roman;serif" w:hAnsi="Times New Roman;serif"/>
          <w:b w:val="false"/>
          <w:color w:val="000000"/>
          <w:sz w:val="20"/>
          <w:shd w:fill="FFFFFF" w:val="clear"/>
        </w:rPr>
        <w:t xml:space="preserve">The decrease for the quarter-to-date period was primarily due to decreases in salaries and related benefits due to overall headcount reductions.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w:t>
      </w:r>
    </w:p>
    <w:p>
      <w:pPr>
        <w:pStyle w:val="TextBody"/>
        <w:bidi w:val="0"/>
        <w:spacing w:lineRule="auto" w:line="288" w:before="120" w:after="283"/>
        <w:jc w:val="left"/>
        <w:rPr/>
      </w:pPr>
      <w:r>
        <w:rPr>
          <w:rFonts w:ascii="Times New Roman;serif" w:hAnsi="Times New Roman;serif"/>
          <w:b w:val="false"/>
          <w:color w:val="000000"/>
          <w:sz w:val="20"/>
        </w:rPr>
        <w:t xml:space="preserve">Depreciation and amortization includes the depreciation of computers, leasehold improvements, furniture and other equipment, and the amortization of internally developed software, as well as third-party software that we use internally, and of identifiable long-lived intangible assets over their estimated useful lives. </w:t>
      </w:r>
      <w:r>
        <w:rPr>
          <w:rFonts w:ascii="Times New Roman;serif" w:hAnsi="Times New Roman;serif"/>
          <w:b w:val="false"/>
          <w:color w:val="000000"/>
          <w:sz w:val="20"/>
          <w:shd w:fill="FFFFFF" w:val="clear"/>
        </w:rPr>
        <w:t xml:space="preserve">Depreciation and amortization expense </w:t>
      </w:r>
      <w:r>
        <w:rPr>
          <w:rFonts w:ascii="Times New Roman;serif" w:hAnsi="Times New Roman;serif"/>
          <w:b w:val="false"/>
          <w:color w:val="000000"/>
          <w:sz w:val="20"/>
        </w:rPr>
        <w:t>increased 13%</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as compared to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 primarily due to the amortization of acquired intangible assets as a result of the Company’s acquisition of Defy Security.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Operating income </w:t>
      </w:r>
      <w:r>
        <w:rPr>
          <w:rFonts w:ascii="Times New Roman;serif" w:hAnsi="Times New Roman;serif"/>
          <w:b w:val="false"/>
          <w:color w:val="000000"/>
          <w:sz w:val="20"/>
        </w:rPr>
        <w:t>increased 9%</w:t>
      </w:r>
      <w:r>
        <w:rPr>
          <w:color w:val="000000"/>
          <w:shd w:fill="FFFFFF" w:val="clear"/>
        </w:rPr>
        <w:t xml:space="preserve"> </w:t>
      </w:r>
      <w:r>
        <w:rPr>
          <w:rFonts w:ascii="Times New Roman;serif" w:hAnsi="Times New Roman;serif"/>
          <w:b w:val="false"/>
          <w:color w:val="000000"/>
          <w:sz w:val="20"/>
          <w:shd w:fill="FFFFFF" w:val="clear"/>
        </w:rPr>
        <w:t xml:space="preserve">to $279 million </w:t>
      </w:r>
      <w:r>
        <w:rPr>
          <w:rFonts w:ascii="Times New Roman;serif" w:hAnsi="Times New Roman;serif"/>
          <w:b w:val="false"/>
          <w:color w:val="000000"/>
          <w:sz w:val="20"/>
        </w:rPr>
        <w:t xml:space="preserve">for the three months ended June 30, 2026 compared to the three months ended June 30, 2025, </w:t>
      </w:r>
      <w:r>
        <w:rPr>
          <w:rFonts w:ascii="Times New Roman;serif" w:hAnsi="Times New Roman;serif"/>
          <w:b w:val="false"/>
          <w:color w:val="000000"/>
          <w:sz w:val="20"/>
          <w:shd w:fill="FFFFFF" w:val="clear"/>
        </w:rPr>
        <w:t>reflecting an increase in operating margin from 9% to 10%. Operating income was driven by the decrease in expenses noted above, partially offset by lower declines in revenue.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Interest expense, net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9%</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driven by decreases in interest income from lower cash balances and lower rates, partially offset by lower interest rates on the Company’s term loans.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jc w:val="left"/>
        <w:rPr/>
      </w:pPr>
      <w:r>
        <w:rPr>
          <w:rFonts w:ascii="Times New Roman;serif" w:hAnsi="Times New Roman;serif"/>
          <w:b w:val="false"/>
          <w:color w:val="000000"/>
          <w:sz w:val="20"/>
        </w:rPr>
        <w:t>Other income</w:t>
      </w:r>
      <w:r>
        <w:rPr>
          <w:rFonts w:ascii="Times New Roman;serif" w:hAnsi="Times New Roman;serif"/>
          <w:b w:val="false"/>
          <w:color w:val="000000"/>
          <w:sz w:val="20"/>
          <w:shd w:fill="FFFFFF" w:val="clear"/>
        </w:rPr>
        <w:t xml:space="preserve">, increased to $20 million for the three months ended June 30, 2026 from $3 million for the three months ended June 30, 2025. The increase over the quarter-to-date period was primarily driven by larger increases in the fair value of the Company’s investments in fiscal 2027 as compared to fiscal 2026. </w:t>
      </w:r>
    </w:p>
    <w:p>
      <w:pPr>
        <w:pStyle w:val="TextBody"/>
        <w:bidi w:val="0"/>
        <w:spacing w:lineRule="auto" w:line="288" w:before="120" w:after="283"/>
        <w:jc w:val="left"/>
        <w:rPr/>
      </w:pPr>
      <w:r>
        <w:rPr>
          <w:rFonts w:ascii="Times New Roman;serif" w:hAnsi="Times New Roman;serif"/>
          <w:b w:val="false"/>
          <w:i/>
          <w:color w:val="000000"/>
          <w:sz w:val="20"/>
          <w:shd w:fill="FFFFFF" w:val="clear"/>
        </w:rPr>
        <w:t>Income Tax E</w:t>
      </w:r>
      <w:r>
        <w:rPr>
          <w:rFonts w:ascii="Times New Roman;serif" w:hAnsi="Times New Roman;serif"/>
          <w:b w:val="false"/>
          <w:i/>
          <w:color w:val="000000"/>
          <w:sz w:val="20"/>
        </w:rPr>
        <w:t>xpense</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Income tax expense </w:t>
      </w:r>
      <w:r>
        <w:rPr>
          <w:rFonts w:ascii="Times New Roman;serif" w:hAnsi="Times New Roman;serif"/>
          <w:b w:val="false"/>
          <w:color w:val="000000"/>
          <w:sz w:val="20"/>
        </w:rPr>
        <w:t>increased 196% for the three months ended June 30, 2026 as compared to the three months ended June 30, 2025. The e</w:t>
      </w:r>
      <w:r>
        <w:rPr>
          <w:rFonts w:ascii="Times New Roman;serif" w:hAnsi="Times New Roman;serif"/>
          <w:b w:val="false"/>
          <w:color w:val="000000"/>
          <w:sz w:val="20"/>
          <w:shd w:fill="FFFFFF" w:val="clear"/>
        </w:rPr>
        <w:t>ffective tax rate in</w:t>
      </w:r>
      <w:r>
        <w:rPr>
          <w:rFonts w:ascii="Times New Roman;serif" w:hAnsi="Times New Roman;serif"/>
          <w:b w:val="false"/>
          <w:color w:val="000000"/>
          <w:sz w:val="20"/>
        </w:rPr>
        <w:t>creased</w:t>
      </w:r>
      <w:r>
        <w:rPr>
          <w:color w:val="000000"/>
          <w:shd w:fill="FFFFFF" w:val="clear"/>
        </w:rPr>
        <w:t xml:space="preserve"> </w:t>
      </w:r>
      <w:r>
        <w:rPr>
          <w:rFonts w:ascii="Times New Roman;serif" w:hAnsi="Times New Roman;serif"/>
          <w:b w:val="false"/>
          <w:color w:val="000000"/>
          <w:sz w:val="20"/>
          <w:shd w:fill="FFFFFF" w:val="clear"/>
        </w:rPr>
        <w:t>to 21.1% from (25.5)% for the three month period. The increase in tax expense was primarily driven by an increase in pre-tax income and a decrease in the uncertain tax position reserve in the prior year that did not recur in the current period. See No</w:t>
      </w:r>
      <w:r>
        <w:rPr>
          <w:rFonts w:ascii="Times New Roman;serif" w:hAnsi="Times New Roman;serif"/>
          <w:b w:val="false"/>
          <w:color w:val="000000"/>
          <w:sz w:val="20"/>
        </w:rPr>
        <w:t xml:space="preserve">te </w:t>
      </w:r>
      <w:r>
        <w:rPr>
          <w:rFonts w:ascii="Times New Roman;serif" w:hAnsi="Times New Roman;serif"/>
          <w:b w:val="false"/>
          <w:color w:val="000000"/>
          <w:sz w:val="20"/>
          <w:shd w:fill="FFFFFF" w:val="clear"/>
        </w:rPr>
        <w:t>9</w:t>
      </w:r>
      <w:r>
        <w:rPr>
          <w:rFonts w:ascii="Times New Roman;serif" w:hAnsi="Times New Roman;serif"/>
          <w:b w:val="false"/>
          <w:color w:val="000000"/>
          <w:sz w:val="20"/>
        </w:rPr>
        <w:t>, “</w:t>
      </w:r>
      <w:r>
        <w:rPr>
          <w:rFonts w:ascii="Times New Roman;serif" w:hAnsi="Times New Roman;serif"/>
          <w:b w:val="false"/>
          <w:color w:val="000000"/>
          <w:sz w:val="20"/>
          <w:shd w:fill="FFFFFF" w:val="clear"/>
        </w:rPr>
        <w:t>Income Taxes</w:t>
      </w:r>
      <w:r>
        <w:rPr>
          <w:rFonts w:ascii="Times New Roman;serif" w:hAnsi="Times New Roman;serif"/>
          <w:b w:val="false"/>
          <w:color w:val="000000"/>
          <w:sz w:val="20"/>
        </w:rPr>
        <w:t>,” to the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283"/>
        <w:jc w:val="left"/>
        <w:rPr/>
      </w:pPr>
      <w:r>
        <w:rPr>
          <w:rFonts w:ascii="Times New Roman;serif" w:hAnsi="Times New Roman;serif"/>
          <w:b w:val="false"/>
          <w:color w:val="000000"/>
          <w:sz w:val="20"/>
        </w:rPr>
        <w:t xml:space="preserve">We publicly disclose certain non-GAAP financial measurements, including </w:t>
      </w:r>
      <w:r>
        <w:rPr>
          <w:rFonts w:ascii="Times New Roman;serif" w:hAnsi="Times New Roman;serif"/>
          <w:b w:val="false"/>
          <w:i/>
          <w:color w:val="000000"/>
          <w:sz w:val="20"/>
        </w:rPr>
        <w:t>Revenue, Excluding Billable Expenses</w:t>
      </w:r>
      <w:r>
        <w:rPr>
          <w:rFonts w:ascii="Times New Roman;serif" w:hAnsi="Times New Roman;serif"/>
          <w:b w:val="false"/>
          <w:color w:val="000000"/>
          <w:sz w:val="20"/>
        </w:rPr>
        <w:t xml:space="preserve">,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rFonts w:ascii="Times New Roman;serif" w:hAnsi="Times New Roman;serif"/>
          <w:b w:val="false"/>
          <w:color w:val="000000"/>
          <w:sz w:val="20"/>
        </w:rPr>
        <w:t xml:space="preserve">, because management uses these measures for business planning purposes, including to manage our business against internal projected results of operations and measure our performance. We view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w:t>
      </w:r>
      <w:r>
        <w:rPr>
          <w:rFonts w:ascii="Times New Roman;serif" w:hAnsi="Times New Roman;serif"/>
          <w:b w:val="false"/>
          <w:color w:val="000000"/>
          <w:sz w:val="20"/>
          <w:shd w:fill="FFFFFF" w:val="clear"/>
        </w:rPr>
        <w:t xml:space="preserve">ms. In addition, we use </w:t>
      </w:r>
      <w:r>
        <w:rPr>
          <w:rFonts w:ascii="Times New Roman;serif" w:hAnsi="Times New Roman;serif"/>
          <w:b w:val="false"/>
          <w:i/>
          <w:color w:val="000000"/>
          <w:sz w:val="20"/>
          <w:shd w:fill="FFFFFF" w:val="clear"/>
        </w:rPr>
        <w:t xml:space="preserve">Revenue, Excluding Billable Expenses </w:t>
      </w:r>
      <w:r>
        <w:rPr>
          <w:rFonts w:ascii="Times New Roman;serif" w:hAnsi="Times New Roman;serif"/>
          <w:b w:val="false"/>
          <w:color w:val="000000"/>
          <w:sz w:val="20"/>
          <w:shd w:fill="FFFFFF" w:val="clear"/>
        </w:rPr>
        <w:t>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business.These supplemental performance measurements may vary from and may not be comparable to similarly titled measures by other compani</w:t>
      </w:r>
      <w:r>
        <w:rPr>
          <w:rFonts w:ascii="Times New Roman;serif" w:hAnsi="Times New Roman;serif"/>
          <w:b w:val="false"/>
          <w:color w:val="000000"/>
          <w:sz w:val="20"/>
        </w:rPr>
        <w:t xml:space="preserve">es in our industry. </w:t>
      </w:r>
      <w:r>
        <w:rPr>
          <w:rFonts w:ascii="Times New Roman;serif" w:hAnsi="Times New Roman;serif"/>
          <w:b w:val="false"/>
          <w:i/>
          <w:color w:val="000000"/>
          <w:sz w:val="20"/>
        </w:rPr>
        <w:t xml:space="preserve">Revenue, Excluding Billable Expenses, EBITDA,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are not recognized measurements under accounting principles generally accepted in the United States (“GAAP”) and when analyzing our performance, investors should (i) evaluate each adjustment in our reconciliation of revenue to </w:t>
      </w:r>
      <w:r>
        <w:rPr>
          <w:rFonts w:ascii="Times New Roman;serif" w:hAnsi="Times New Roman;serif"/>
          <w:b w:val="false"/>
          <w:i/>
          <w:color w:val="000000"/>
          <w:sz w:val="20"/>
        </w:rPr>
        <w:t>Revenue, Excluding Billable Expenses</w:t>
      </w:r>
      <w:r>
        <w:rPr>
          <w:rFonts w:ascii="Times New Roman;serif" w:hAnsi="Times New Roman;serif"/>
          <w:b w:val="false"/>
          <w:color w:val="000000"/>
          <w:sz w:val="20"/>
        </w:rPr>
        <w:t xml:space="preserve">, net income to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 xml:space="preserve">and (ii) use </w:t>
      </w:r>
      <w:r>
        <w:rPr>
          <w:rFonts w:ascii="Times New Roman;serif" w:hAnsi="Times New Roman;serif"/>
          <w:b w:val="false"/>
          <w:i/>
          <w:color w:val="000000"/>
          <w:sz w:val="20"/>
        </w:rPr>
        <w:t>Revenue, Excluding Billable Expenses, 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in addition to, and not as an alternative to, revenue and net income, as measures of operating results, each as defined under GAAP. We have defined the aforementioned non-GAAP measures as follows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i/>
          <w:color w:val="000000"/>
          <w:sz w:val="20"/>
        </w:rPr>
        <w:t>Revenue, Excluding Billable Expenses</w:t>
      </w:r>
      <w:r>
        <w:rPr>
          <w:color w:val="000000"/>
        </w:rPr>
        <w:t xml:space="preserve"> </w:t>
      </w:r>
      <w:r>
        <w:rPr>
          <w:rFonts w:ascii="Times New Roman;serif" w:hAnsi="Times New Roman;serif"/>
          <w:b w:val="false"/>
          <w:color w:val="000000"/>
          <w:sz w:val="20"/>
        </w:rPr>
        <w:t>represents revenue less billable expenses.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represents net income before income taxes, interest expense, net and other income, and depreciation and amortization.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represents net income before income tax (benefit) expense, interest expense, net and other income, and depreciation and amortization and before certain other items, including other corporate expenses. The Company prepares</w:t>
      </w:r>
      <w:r>
        <w:rPr>
          <w:color w:val="000000"/>
        </w:rPr>
        <w:t xml:space="preserve">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to eliminate the impact of items it does not consider indicative of ongoing operating performance due to their inherent unusual, extraordinary or non-recurring nature or because they result from an event of a similar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left"/>
        <w:rPr/>
      </w:pPr>
      <w:r>
        <w:rPr>
          <w:rFonts w:ascii="Times New Roman;serif" w:hAnsi="Times New Roman;serif"/>
          <w:b w:val="false"/>
          <w:color w:val="000000"/>
          <w:sz w:val="20"/>
        </w:rPr>
        <w:t>Below is a reconciliation of</w:t>
      </w:r>
      <w:r>
        <w:rPr>
          <w:color w:val="000000"/>
        </w:rPr>
        <w:t xml:space="preserve"> </w:t>
      </w:r>
      <w:r>
        <w:rPr>
          <w:rFonts w:ascii="Times New Roman;serif" w:hAnsi="Times New Roman;serif"/>
          <w:b w:val="false"/>
          <w:color w:val="000000"/>
          <w:sz w:val="20"/>
        </w:rPr>
        <w:t xml:space="preserve">our most directly comparable GAAP measures to our non-GAAP measures, Revenue to </w:t>
      </w:r>
      <w:r>
        <w:rPr>
          <w:rFonts w:ascii="Times New Roman;serif" w:hAnsi="Times New Roman;serif"/>
          <w:b w:val="false"/>
          <w:i/>
          <w:color w:val="000000"/>
          <w:sz w:val="20"/>
        </w:rPr>
        <w:t xml:space="preserve">Revenue, Excluding Billable Expenses </w:t>
      </w:r>
      <w:r>
        <w:rPr>
          <w:rFonts w:ascii="Times New Roman;serif" w:hAnsi="Times New Roman;serif"/>
          <w:b w:val="false"/>
          <w:color w:val="000000"/>
          <w:sz w:val="20"/>
        </w:rPr>
        <w:t xml:space="preserve">and Net income to </w:t>
      </w:r>
      <w:r>
        <w:rPr>
          <w:rFonts w:ascii="Times New Roman;serif" w:hAnsi="Times New Roman;serif"/>
          <w:b w:val="false"/>
          <w:i/>
          <w:color w:val="000000"/>
          <w:sz w:val="20"/>
        </w:rPr>
        <w:t>EBITDA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w:t>
      </w:r>
      <w:r>
        <w:rPr>
          <w:rFonts w:ascii="Times New Roman;serif" w:hAnsi="Times New Roman;serif"/>
          <w:b w:val="false"/>
          <w:color w:val="000000"/>
          <w:sz w:val="20"/>
        </w:rPr>
        <w:t>, calculated and presented in accordance with GAAP:</w:t>
      </w:r>
    </w:p>
    <w:tbl>
      <w:tblPr>
        <w:tblW w:w="6351" w:type="dxa"/>
        <w:jc w:val="center"/>
        <w:tblInd w:w="0" w:type="dxa"/>
        <w:tblLayout w:type="fixed"/>
        <w:tblCellMar>
          <w:top w:w="28" w:type="dxa"/>
          <w:left w:w="28" w:type="dxa"/>
          <w:bottom w:w="28" w:type="dxa"/>
          <w:right w:w="28" w:type="dxa"/>
        </w:tblCellMar>
      </w:tblPr>
      <w:tblGrid>
        <w:gridCol w:w="1418"/>
        <w:gridCol w:w="1244"/>
        <w:gridCol w:w="1253"/>
        <w:gridCol w:w="461"/>
        <w:gridCol w:w="285"/>
        <w:gridCol w:w="286"/>
        <w:gridCol w:w="461"/>
        <w:gridCol w:w="285"/>
        <w:gridCol w:w="286"/>
        <w:gridCol w:w="109"/>
        <w:gridCol w:w="109"/>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share and per share data)</w:t>
            </w:r>
          </w:p>
        </w:tc>
        <w:tc>
          <w:tcPr>
            <w:tcW w:w="10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 Excluding Billable Expenses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Billable expenses</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Excluding Billable Expenses</w:t>
            </w:r>
          </w:p>
        </w:tc>
        <w:tc>
          <w:tcPr>
            <w:tcW w:w="4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4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tc>
        <w:tc>
          <w:tcPr>
            <w:tcW w:w="372" w:type="dxa"/>
            <w:gridSpan w:val="3"/>
            <w:tcBorders/>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and other income</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(a)</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In fiscal 2027, other corporate expenses consist primarily of acquisition related costs associated with the acquisition of Defy Security, and the agreement to acquire Ultra Mission Solutions.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our total liquidity was $2.0 billion, consisting of $540 million of cash and cash equivalents and $1.5 billion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for the respective periods shown:</w:t>
      </w:r>
    </w:p>
    <w:tbl>
      <w:tblPr>
        <w:tblW w:w="4586" w:type="dxa"/>
        <w:jc w:val="center"/>
        <w:tblInd w:w="0" w:type="dxa"/>
        <w:tblLayout w:type="fixed"/>
        <w:tblCellMar>
          <w:top w:w="28" w:type="dxa"/>
          <w:left w:w="28" w:type="dxa"/>
          <w:bottom w:w="28" w:type="dxa"/>
          <w:right w:w="28" w:type="dxa"/>
        </w:tblCellMar>
      </w:tblPr>
      <w:tblGrid>
        <w:gridCol w:w="820"/>
        <w:gridCol w:w="720"/>
        <w:gridCol w:w="724"/>
        <w:gridCol w:w="220"/>
        <w:gridCol w:w="642"/>
        <w:gridCol w:w="113"/>
        <w:gridCol w:w="109"/>
        <w:gridCol w:w="109"/>
        <w:gridCol w:w="109"/>
        <w:gridCol w:w="219"/>
        <w:gridCol w:w="641"/>
        <w:gridCol w:w="160"/>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5" w:type="dxa"/>
        <w:jc w:val="center"/>
        <w:tblInd w:w="0" w:type="dxa"/>
        <w:tblLayout w:type="fixed"/>
        <w:tblCellMar>
          <w:top w:w="28" w:type="dxa"/>
          <w:left w:w="28" w:type="dxa"/>
          <w:bottom w:w="28" w:type="dxa"/>
          <w:right w:w="28" w:type="dxa"/>
        </w:tblCellMar>
      </w:tblPr>
      <w:tblGrid>
        <w:gridCol w:w="1265"/>
        <w:gridCol w:w="1113"/>
        <w:gridCol w:w="1116"/>
        <w:gridCol w:w="256"/>
        <w:gridCol w:w="586"/>
        <w:gridCol w:w="133"/>
        <w:gridCol w:w="109"/>
        <w:gridCol w:w="109"/>
        <w:gridCol w:w="109"/>
        <w:gridCol w:w="253"/>
        <w:gridCol w:w="580"/>
        <w:gridCol w:w="186"/>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 </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operating expenses, including salaries;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working capital requirements to fund both organic and inorganic growth of our business;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capital expenditures which primarily relate to the purchase of computers, business systems, furniture and leasehold improvements to support our operations;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ongoing maintenance around all financial management systems;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commitments and other discretionary investments, including potential capital calls for venture capital investments;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debt service requirements for borrowings under our Credit Agreement and interest payments for the Senior Notes due 2028, Senior Notes due 2029, Senior Notes due 2033 and Senior Notes due 2035; and</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cash taxes to be paid.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evaluate conditions to opportunistically access the financing markets to secure additional debt capital resources and improve the terms of our indebtedness. Some of the possible uses of our remaining excess cash at any point in time may include funding strategic acquisitions and investments, debt repayment, further investment in our business and returning value to stockholders through share repurchases, quarterly dividends and special dividends.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Agreement to Acquire Ultra I&amp;C Mission Solutions Business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19, 2026, the Company entered into a definitive agreement to acquire the Ultra I&amp;C Mission Solutions business (“Ultra Mission Solutions”) for $720 million, subject to certain customary adjustments. Ultra Mission Solutions is a defense technology business specializing in mission critical software, encryption, and edge compute products. Contingent upon customary closing conditions, including a regulatory approval, the transaction is expected to close during the second quarter of fiscal year 2027. The Company believes that the combination of its liquidity position and financing options provides sufficient funds to complete the transaction.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Cash Flow</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operations was $281 million for the three months ended June 30, 2026 compared to $119 million in the prior year period. The increase in operating cash was primarily driven by strong working capital management and lower tax payments as compared to the prior year.</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Cash Flow</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was $328 million in the three months ended June 30, 2026 compared to $32 million in the prior year period. The increase in investing cash used over the prior year was primarily due to the Company's acquisition of Defy Security and an increase in the funding of strategic investments in the first quarter of fiscal 2027.</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Cash Flow</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financing activities was $141 million in the three months ended June 30, 2026 compared to $261 million in the prior year period. The decrease in financing cash used over the prior year was primarily due to a decrease in share repurchases year over year.</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 and Share Repurchases</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On July 24, 2026, the Company announced a regular quarterly cash dividend in the amount of $0.59 per share. The quarterly dividend is payable on August 28, 2026 to stockholders of record on August 14, 2026.</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 quarterly cash dividend of</w:t>
      </w:r>
      <w:r>
        <w:rPr>
          <w:color w:val="000000"/>
          <w:shd w:fill="FFFFFF" w:val="clear"/>
        </w:rPr>
        <w:t xml:space="preserve"> </w:t>
      </w:r>
      <w:r>
        <w:rPr>
          <w:rFonts w:ascii="Times New Roman;serif" w:hAnsi="Times New Roman;serif"/>
          <w:b w:val="false"/>
          <w:color w:val="000000"/>
          <w:sz w:val="20"/>
          <w:shd w:fill="FFFFFF" w:val="clear"/>
        </w:rPr>
        <w:t xml:space="preserve">$0.59 per share was declared and paid totaling </w:t>
      </w:r>
      <w:r>
        <w:rPr>
          <w:rFonts w:ascii="Times New Roman;serif" w:hAnsi="Times New Roman;serif"/>
          <w:b w:val="false"/>
          <w:color w:val="000000"/>
          <w:sz w:val="20"/>
        </w:rPr>
        <w:t>$73 million.</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76" w:before="120" w:after="283"/>
        <w:jc w:val="left"/>
        <w:rPr/>
      </w:pPr>
      <w:r>
        <w:rPr>
          <w:rFonts w:ascii="Times New Roman;serif" w:hAnsi="Times New Roman;serif"/>
          <w:b w:val="false"/>
          <w:color w:val="000000"/>
          <w:sz w:val="20"/>
        </w:rPr>
        <w:t xml:space="preserve">On December 12, 2011, the Board of Directors initially approved a share repurchase program, which was subsequently increased from time to time, and most recently increased by $500 million to $4,085 million on </w:t>
      </w:r>
      <w:r>
        <w:rPr>
          <w:rFonts w:ascii="Times New Roman;serif" w:hAnsi="Times New Roman;serif"/>
          <w:b w:val="false"/>
          <w:color w:val="000000"/>
          <w:sz w:val="20"/>
          <w:shd w:fill="FFFFFF" w:val="clear"/>
        </w:rPr>
        <w:t>October 22, 2025</w:t>
      </w:r>
      <w:r>
        <w:rPr>
          <w:rFonts w:ascii="Times New Roman;serif" w:hAnsi="Times New Roman;serif"/>
          <w:b w:val="false"/>
          <w:color w:val="000000"/>
          <w:sz w:val="20"/>
        </w:rPr>
        <w:t>. T</w:t>
      </w:r>
      <w:r>
        <w:rPr>
          <w:rFonts w:ascii="Times New Roman;serif" w:hAnsi="Times New Roman;serif"/>
          <w:b w:val="false"/>
          <w:color w:val="000000"/>
          <w:sz w:val="20"/>
          <w:shd w:fill="FFFFFF" w:val="clear"/>
        </w:rPr>
        <w:t xml:space="preserve">he Company may repurchase shares pursuant to the program by means of open market repurchases, directly negotiated repurchases or through agents acting pursuant to negotiated repurchase agreements. During the first three months of fiscal 2027, the Company purchased </w:t>
      </w:r>
      <w:r>
        <w:rPr>
          <w:rFonts w:ascii="Times New Roman;serif" w:hAnsi="Times New Roman;serif"/>
          <w:b w:val="false"/>
          <w:color w:val="000000"/>
          <w:sz w:val="20"/>
        </w:rPr>
        <w:t xml:space="preserve">0.6 million </w:t>
      </w:r>
      <w:r>
        <w:rPr>
          <w:rFonts w:ascii="Times New Roman;serif" w:hAnsi="Times New Roman;serif"/>
          <w:b w:val="false"/>
          <w:color w:val="000000"/>
          <w:sz w:val="20"/>
          <w:shd w:fill="FFFFFF" w:val="clear"/>
        </w:rPr>
        <w:t xml:space="preserve">shares of the Company's Class A Common Stock for an aggregate of $50 million. As of June 30, 2026, the Company had approximately $634 million remaining under the repurchase program.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Summarized Financial Information</w:t>
      </w:r>
    </w:p>
    <w:p>
      <w:pPr>
        <w:pStyle w:val="TextBody"/>
        <w:bidi w:val="0"/>
        <w:spacing w:lineRule="auto" w:line="288" w:before="120" w:after="283"/>
        <w:jc w:val="left"/>
        <w:rPr/>
      </w:pPr>
      <w:r>
        <w:rPr>
          <w:rFonts w:ascii="Times New Roman;serif" w:hAnsi="Times New Roman;serif"/>
          <w:b w:val="false"/>
          <w:color w:val="000000"/>
          <w:sz w:val="20"/>
          <w:shd w:fill="FFFFFF" w:val="clear"/>
        </w:rPr>
        <w:t>The Senior Notes due 2033 and Senior Notes due 2035 were issued by Booz Allen Hamilton pursuant to the respective Indenture, among Booz Allen Hamilton, the Company and U.S. Bank Trust Company, National Association, as trustee, as supplemented by the respective Supplemental Indenture and are fully and unconditionally guaranteed on an unsecured and unsubordinated basis by the Company</w:t>
      </w:r>
      <w:r>
        <w:rPr>
          <w:color w:val="000000"/>
        </w:rPr>
        <w:t xml:space="preserve"> </w:t>
      </w:r>
      <w:r>
        <w:rPr>
          <w:rFonts w:ascii="Times New Roman;serif" w:hAnsi="Times New Roman;serif"/>
          <w:b w:val="false"/>
          <w:color w:val="000000"/>
          <w:sz w:val="20"/>
        </w:rPr>
        <w:t>pursuant to the respective Indenture.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summarized financial information as combined for the Company and Booz Allen Hamilton as of March 31, 2026 and as of and for the three months ended June 30, 2026, after the elimination of intercompany transactions and balances between the Company and Booz Allen Hamilton and excluding the subsidiaries of both entities that are not issuers or guarantors of the Senior Notes due 2033 and Senior Notes due 2035,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Summarized Statements of Financial Condition</w:t>
      </w:r>
    </w:p>
    <w:tbl>
      <w:tblPr>
        <w:tblW w:w="8534" w:type="dxa"/>
        <w:jc w:val="center"/>
        <w:tblInd w:w="0" w:type="dxa"/>
        <w:tblLayout w:type="fixed"/>
        <w:tblCellMar>
          <w:top w:w="28" w:type="dxa"/>
          <w:left w:w="28" w:type="dxa"/>
          <w:bottom w:w="28" w:type="dxa"/>
          <w:right w:w="28" w:type="dxa"/>
        </w:tblCellMar>
      </w:tblPr>
      <w:tblGrid>
        <w:gridCol w:w="1934"/>
        <w:gridCol w:w="1695"/>
        <w:gridCol w:w="1711"/>
        <w:gridCol w:w="287"/>
        <w:gridCol w:w="839"/>
        <w:gridCol w:w="148"/>
        <w:gridCol w:w="109"/>
        <w:gridCol w:w="109"/>
        <w:gridCol w:w="109"/>
        <w:gridCol w:w="324"/>
        <w:gridCol w:w="948"/>
        <w:gridCol w:w="167"/>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receivables from non-guarantor subsidiaries</w:t>
            </w:r>
          </w:p>
        </w:tc>
        <w:tc>
          <w:tcPr>
            <w:tcW w:w="2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 of accumulated amortization</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payables to non-guarantor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Summarized Statement of Operations</w:t>
      </w:r>
    </w:p>
    <w:tbl>
      <w:tblPr>
        <w:tblW w:w="5878" w:type="dxa"/>
        <w:jc w:val="center"/>
        <w:tblInd w:w="0" w:type="dxa"/>
        <w:tblLayout w:type="fixed"/>
        <w:tblCellMar>
          <w:top w:w="28" w:type="dxa"/>
          <w:left w:w="28" w:type="dxa"/>
          <w:bottom w:w="28" w:type="dxa"/>
          <w:right w:w="28" w:type="dxa"/>
        </w:tblCellMar>
      </w:tblPr>
      <w:tblGrid>
        <w:gridCol w:w="1595"/>
        <w:gridCol w:w="1153"/>
        <w:gridCol w:w="1166"/>
        <w:gridCol w:w="422"/>
        <w:gridCol w:w="1234"/>
        <w:gridCol w:w="308"/>
      </w:tblGrid>
      <w:tr>
        <w:trPr/>
        <w:tc>
          <w:tcPr>
            <w:tcW w:w="159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3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non-guarantor subsidiaries</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from non-guarantor subsidiaries</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Obligor Group</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60" w:after="283"/>
        <w:jc w:val="left"/>
        <w:rPr/>
      </w:pPr>
      <w:r>
        <w:rPr>
          <w:rFonts w:ascii="Times New Roman;serif" w:hAnsi="Times New Roman;serif"/>
          <w:b w:val="false"/>
          <w:color w:val="000000"/>
          <w:sz w:val="20"/>
        </w:rPr>
        <w:t>We are subject to a number of reviews, investigations, claims, lawsuits, and other uncertainties related to our business. For a discussion of these items, refer to Note 11, “</w:t>
      </w:r>
      <w:r>
        <w:rPr>
          <w:rFonts w:ascii="Times New Roman;serif" w:hAnsi="Times New Roman;serif"/>
          <w:b w:val="false"/>
          <w:color w:val="000000"/>
          <w:sz w:val="20"/>
          <w:shd w:fill="FFFFFF" w:val="clear"/>
        </w:rPr>
        <w:t>Commitments and Contingencies,</w:t>
      </w:r>
      <w:r>
        <w:rPr>
          <w:color w:val="000000"/>
        </w:rPr>
        <w:t xml:space="preserve">” </w:t>
      </w:r>
      <w:r>
        <w:rPr>
          <w:rFonts w:ascii="Times New Roman;serif" w:hAnsi="Times New Roman;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or incorporated in this Quarterly Report on Form 10-Q (the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listed under “Item 1A. Risk Factors” and elsewhere in this Quarterly Report, as well as those listed under “Risk Factors” in our Annual Report on Form 10-K for the year ended March 31, 2026.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2026 filed with the Securities and Exchange Commission on May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240" w:after="180"/>
        <w:jc w:val="center"/>
        <w:rPr/>
      </w:pPr>
      <w:r>
        <w:rPr>
          <w:rFonts w:ascii="Times New Roman;serif" w:hAnsi="Times New Roman;serif"/>
          <w:b/>
          <w:color w:val="000000"/>
          <w:sz w:val="20"/>
        </w:rPr>
        <w:t>PART II.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pPr>
      <w:r>
        <w:rPr>
          <w:rFonts w:ascii="Times New Roman;serif" w:hAnsi="Times New Roman;serif"/>
          <w:b w:val="false"/>
          <w:color w:val="000000"/>
          <w:sz w:val="20"/>
        </w:rPr>
        <w:t xml:space="preserve">Disclosure concerning legal proceedings can be found in Part I, Item 1. “Financial Statements, Notes to Unaudited Condensed Consolidated Financial Statements, Note </w:t>
      </w:r>
      <w:r>
        <w:rPr>
          <w:rFonts w:ascii="Times New Roman;serif" w:hAnsi="Times New Roman;serif"/>
          <w:b w:val="false"/>
          <w:color w:val="000000"/>
          <w:sz w:val="20"/>
          <w:shd w:fill="FFFFFF" w:val="clear"/>
        </w:rPr>
        <w:t>11</w:t>
      </w:r>
      <w:r>
        <w:rPr>
          <w:rFonts w:ascii="Times New Roman;serif" w:hAnsi="Times New Roman;serif"/>
          <w:b w:val="false"/>
          <w:color w:val="000000"/>
          <w:sz w:val="20"/>
        </w:rPr>
        <w:t>, “</w:t>
      </w:r>
      <w:r>
        <w:rPr>
          <w:rFonts w:ascii="Times New Roman;serif" w:hAnsi="Times New Roman;serif"/>
          <w:b w:val="false"/>
          <w:color w:val="000000"/>
          <w:sz w:val="20"/>
          <w:shd w:fill="FFFFFF" w:val="clear"/>
        </w:rPr>
        <w:t>Commitments and Contingencies,</w:t>
      </w:r>
      <w:r>
        <w:rPr>
          <w:color w:val="000000"/>
        </w:rPr>
        <w:t xml:space="preserve">” </w:t>
      </w:r>
      <w:r>
        <w:rPr>
          <w:rFonts w:ascii="Times New Roman;serif" w:hAnsi="Times New Roman;serif"/>
          <w:b w:val="false"/>
          <w:color w:val="000000"/>
          <w:sz w:val="20"/>
        </w:rPr>
        <w:t>under the caption, “Litigation,” which is incorporated here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There have been no material changes during the period covered by this Quarterly Report on Form 10-Q to the risk factors disclosed in Part I, Item 1A, of our Annual Report on Form 10-K for the fiscal year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filed with the Securities and Exchange Commission on </w:t>
      </w:r>
      <w:r>
        <w:rPr>
          <w:rFonts w:ascii="Times New Roman;serif" w:hAnsi="Times New Roman;serif"/>
          <w:b w:val="false"/>
          <w:color w:val="000000"/>
          <w:sz w:val="20"/>
        </w:rPr>
        <w:t>May 22,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share repurchase activity for each of the three months in the quarter ended June 30, 2026:</w:t>
      </w:r>
    </w:p>
    <w:tbl>
      <w:tblPr>
        <w:tblW w:w="10205" w:type="dxa"/>
        <w:jc w:val="left"/>
        <w:tblInd w:w="0" w:type="dxa"/>
        <w:tblLayout w:type="fixed"/>
        <w:tblCellMar>
          <w:top w:w="28" w:type="dxa"/>
          <w:left w:w="28" w:type="dxa"/>
          <w:bottom w:w="28" w:type="dxa"/>
          <w:right w:w="28" w:type="dxa"/>
        </w:tblCellMar>
      </w:tblPr>
      <w:tblGrid>
        <w:gridCol w:w="284"/>
        <w:gridCol w:w="250"/>
        <w:gridCol w:w="251"/>
        <w:gridCol w:w="565"/>
        <w:gridCol w:w="565"/>
        <w:gridCol w:w="566"/>
        <w:gridCol w:w="455"/>
        <w:gridCol w:w="455"/>
        <w:gridCol w:w="457"/>
        <w:gridCol w:w="983"/>
        <w:gridCol w:w="983"/>
        <w:gridCol w:w="986"/>
        <w:gridCol w:w="993"/>
        <w:gridCol w:w="993"/>
        <w:gridCol w:w="1419"/>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as Part of Publicly Announced Plans or Programs </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w:t>
            </w:r>
            <w:r>
              <w:rPr>
                <w:rFonts w:ascii="Times New Roman;serif" w:hAnsi="Times New Roman;serif"/>
                <w:b/>
                <w:color w:val="000000"/>
                <w:sz w:val="13"/>
              </w:rPr>
              <w:t>(2)</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(in millions)</w:t>
            </w:r>
          </w:p>
        </w:tc>
      </w:tr>
      <w:tr>
        <w:trPr/>
        <w:tc>
          <w:tcPr>
            <w:tcW w:w="78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1696"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306,260</w:t>
            </w:r>
          </w:p>
        </w:tc>
        <w:tc>
          <w:tcPr>
            <w:tcW w:w="1367"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2952"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306,155</w:t>
            </w:r>
          </w:p>
        </w:tc>
        <w:tc>
          <w:tcPr>
            <w:tcW w:w="3405" w:type="dxa"/>
            <w:gridSpan w:val="3"/>
            <w:tcBorders>
              <w:top w:val="single" w:sz="4"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$659</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455,965</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329,380</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r>
        <w:trPr/>
        <w:tc>
          <w:tcPr>
            <w:tcW w:w="78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169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3,542</w:t>
            </w:r>
          </w:p>
        </w:tc>
        <w:tc>
          <w:tcPr>
            <w:tcW w:w="136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2952"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9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765,767</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635,535</w:t>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total number of shares purchased includes shares surrendered to satisfy minimum statutory tax withholding obligations related to the vesting of stock awards.</w:t>
      </w:r>
    </w:p>
    <w:p>
      <w:pPr>
        <w:pStyle w:val="TextBody"/>
        <w:bidi w:val="0"/>
        <w:spacing w:lineRule="auto" w:line="288" w:before="60" w:after="283"/>
        <w:ind w:left="0" w:right="0" w:hanging="27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On December 12, 2011, the Board of Directors initially approved a share repurchase program, which was subsequently increased from time to time, and most recently increased by $500 million to $4,085 million on October 22, 2025. A special committee of the Board of Directors was appointed to evaluate market conditions and other relevant factors and initiate repurchases under the program from time to time. </w:t>
      </w:r>
      <w:r>
        <w:rPr>
          <w:rFonts w:ascii="Times New Roman;serif" w:hAnsi="Times New Roman;serif"/>
          <w:b w:val="false"/>
          <w:color w:val="000000"/>
          <w:sz w:val="20"/>
          <w:shd w:fill="FFFFFF" w:val="clear"/>
        </w:rPr>
        <w:t>The share repurchase program may be suspended, modified or discontinued at any time at the Company’s discretion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043"/>
        <w:gridCol w:w="2888"/>
        <w:gridCol w:w="2916"/>
        <w:gridCol w:w="109"/>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Stock Purchase Agreement, dated June 19, 2026, among (i) Booz Allen Hamilton Inc., (ii) Ultra I&amp;C Holdings Limited, (iii) Ultra Electronics Holdings Limited, and (iv) Ultra Electronics Advanced Tactical Systems, Inc.</w:t>
              </w:r>
            </w:hyperlink>
            <w:hyperlink r:id="rId3">
              <w:r>
                <w:rPr>
                  <w:rStyle w:val="InternetLink"/>
                  <w:rFonts w:ascii="Times New Roman;serif" w:hAnsi="Times New Roman;serif"/>
                  <w:b w:val="false"/>
                  <w:color w:val="000080"/>
                  <w:sz w:val="20"/>
                  <w:u w:val="single"/>
                </w:rPr>
                <w:t xml:space="preserve"> (Incorporated by reference to Exhibit 2.1 t</w:t>
              </w:r>
            </w:hyperlink>
            <w:hyperlink r:id="rId4">
              <w:r>
                <w:rPr>
                  <w:rStyle w:val="InternetLink"/>
                  <w:rFonts w:ascii="Times New Roman;serif" w:hAnsi="Times New Roman;serif"/>
                  <w:b w:val="false"/>
                  <w:color w:val="000080"/>
                  <w:sz w:val="20"/>
                  <w:u w:val="single"/>
                </w:rPr>
                <w:t>o</w:t>
              </w:r>
            </w:hyperlink>
            <w:hyperlink r:id="rId5">
              <w:r>
                <w:rPr>
                  <w:rStyle w:val="InternetLink"/>
                  <w:rFonts w:ascii="Times New Roman;serif" w:hAnsi="Times New Roman;serif"/>
                  <w:b w:val="false"/>
                  <w:color w:val="000080"/>
                  <w:sz w:val="20"/>
                  <w:u w:val="single"/>
                </w:rPr>
                <w:t xml:space="preserve"> the Company</w:t>
              </w:r>
            </w:hyperlink>
            <w:hyperlink r:id="rId6">
              <w:r>
                <w:rPr>
                  <w:rStyle w:val="InternetLink"/>
                  <w:rFonts w:ascii="Times New Roman;serif" w:hAnsi="Times New Roman;serif"/>
                  <w:b w:val="false"/>
                  <w:color w:val="000080"/>
                  <w:sz w:val="20"/>
                  <w:u w:val="single"/>
                </w:rPr>
                <w:t>’</w:t>
              </w:r>
            </w:hyperlink>
            <w:hyperlink r:id="rId7">
              <w:r>
                <w:rPr>
                  <w:rStyle w:val="InternetLink"/>
                  <w:rFonts w:ascii="Times New Roman;serif" w:hAnsi="Times New Roman;serif"/>
                  <w:b w:val="false"/>
                  <w:color w:val="000080"/>
                  <w:sz w:val="20"/>
                  <w:u w:val="single"/>
                </w:rPr>
                <w:t>s Current Report</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 xml:space="preserve">on Form 8-K </w:t>
              </w:r>
            </w:hyperlink>
            <w:hyperlink r:id="rId10">
              <w:r>
                <w:rPr>
                  <w:rStyle w:val="InternetLink"/>
                  <w:rFonts w:ascii="Times New Roman;serif" w:hAnsi="Times New Roman;serif"/>
                  <w:b w:val="false"/>
                  <w:color w:val="000080"/>
                  <w:sz w:val="20"/>
                  <w:u w:val="single"/>
                </w:rPr>
                <w:t>filed on June 22, 2026 (File No. 001-34972))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List of Guarantors and Subsidiary Issuers of Guaranteed Securities (Incorporated by reference to Exhibit 22 to the Company’s Annual Report for the fiscal year ended March 31, 2025 on Form 10-K (File No. 001-34972))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1fy27.htm">
              <w:r>
                <w:rPr>
                  <w:rStyle w:val="InternetLink"/>
                  <w:rFonts w:ascii="Times New Roman;serif" w:hAnsi="Times New Roman;serif"/>
                  <w:b w:val="false"/>
                  <w:color w:val="0000FF"/>
                  <w:sz w:val="20"/>
                  <w:u w:val="single"/>
                </w:rPr>
                <w:t>Rule 13a-14(a)/15d-14(a) Certification of the Chief Executive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1fy27.htm">
              <w:r>
                <w:rPr>
                  <w:rStyle w:val="InternetLink"/>
                  <w:rFonts w:ascii="Times New Roman;serif" w:hAnsi="Times New Roman;serif"/>
                  <w:b w:val="false"/>
                  <w:color w:val="0000FF"/>
                  <w:sz w:val="20"/>
                  <w:u w:val="single"/>
                </w:rPr>
                <w:t>Rule 13a-14(a)/15d-14(a) Certification of the Chief Financial Officer*</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1fy27.htm">
              <w:r>
                <w:rPr>
                  <w:rStyle w:val="InternetLink"/>
                  <w:rFonts w:ascii="Times New Roman;serif" w:hAnsi="Times New Roman;serif"/>
                  <w:b w:val="false"/>
                  <w:color w:val="0000FF"/>
                  <w:sz w:val="20"/>
                  <w:u w:val="single"/>
                </w:rPr>
                <w:t>Certification of the Chief Executive Officer required by Rule 13a-14(b) or Rule 15d-14(b) and Section 1350 of Chapter 63 of Title 18 of the United States Code (18 U.S.C.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1fy27.htm">
              <w:r>
                <w:rPr>
                  <w:rStyle w:val="InternetLink"/>
                  <w:rFonts w:ascii="Times New Roman;serif" w:hAnsi="Times New Roman;serif"/>
                  <w:b w:val="false"/>
                  <w:color w:val="0000FF"/>
                  <w:sz w:val="20"/>
                  <w:u w:val="single"/>
                </w:rPr>
                <w:t>Certification of the Chief Financial Officer required by Rule 13a-14(b) or Rule 15d-14(b) and Section 1350 of Chapter 63 of Title 18 of the United States Code (18 U.S.C.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Booz Allen Hamilton Holding Corporation’s Quarterly Report on Form 10-Q for the three months ended June 30, 2026 formatted in Inline XBRL (eXtensible Business Reporting Language): (i) Condensed Consolidated Balance Sheets at June 30, 2026 and March 31, 2026; (ii) Condensed Consolidated Statements of Operations for the three months ended June 30, 2026 and 2025; (iii) Condensed Consolidated Statements of Comprehensive Income for the three months ended June 30, 2026 and 2025; (iv) Condensed Consolidated Statements of Cash Flows for the three months ended June 30, 2026 and 2025; and (v) Notes to Condensed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7f51b7a30cc4a719edcf8656dc0d5b2_7">
        <w:r>
          <w:rPr>
            <w:rStyle w:val="InternetLink"/>
            <w:rFonts w:ascii="Times New Roman;serif" w:hAnsi="Times New Roman;serif"/>
            <w:b w:val="false"/>
            <w:color w:val="000080"/>
            <w:sz w:val="20"/>
            <w:u w:val="single"/>
          </w:rPr>
          <w:t>Table of Contents</w:t>
        </w:r>
      </w:hyperlink>
      <w:hyperlink w:anchor="i97f51b7a30cc4a719edcf8656dc0d5b2_7">
        <w:r>
          <w:rPr>
            <w:rStyle w:val="InternetLink"/>
            <w:rFonts w:ascii="Times New Roman;serif" w:hAnsi="Times New Roman;serif"/>
            <w:b w:val="false"/>
            <w:color w:val="000080"/>
            <w:sz w:val="20"/>
            <w:u w:val="single"/>
          </w:rPr>
          <w:t>    </w:t>
        </w:r>
      </w:hyperlink>
      <w:r>
        <w:rPr>
          <w:color w:val="0000FF"/>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80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374"/>
        <w:gridCol w:w="1374"/>
        <w:gridCol w:w="194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Booz Allen Hamilton Holding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Metzfield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Metzfield</w:t>
              <w:br/>
              <w:t>Vice President, Controller and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Horacio D. Rozanski,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Booz Allen Hamilton Holding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58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24"/>
        <w:gridCol w:w="724"/>
        <w:gridCol w:w="102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Horacio D. Rozanski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Horacio D. Rozanski</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 RULE 13A-14(A)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Troy Lahr,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Booz Allen Hamilton Holding Corporation.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886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976"/>
        <w:gridCol w:w="1976"/>
        <w:gridCol w:w="279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report on Form 10-Q of Booz Allen Hamilton Holding Corporation (the “Company”) for the fiscal quarter ended June 30, 2026, as filed with the Securities and Exchange Commission on the date hereof (the “Report”), the undersigned Chief Executive Officer of the Company certifies, to the best of his knowledge and belief pursuant to 18 U.S.C. Section 1350, as adopted pursuant to Section 906 of the Sarbanes-Oxley Act of 2002,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58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24"/>
        <w:gridCol w:w="724"/>
        <w:gridCol w:w="102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Horacio D. Rozanski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Horacio D. Rozanski</w:t>
              <w:br/>
              <w:t>Chief Executive Officer</w:t>
              <w:br/>
              <w:t>(Principal Executive Officer)</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report on Form 10-Q of Booz Allen Hamilton Holding Corporation (the “Company”) for the fiscal quarter ended June 30, 2026,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886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976"/>
        <w:gridCol w:w="1976"/>
        <w:gridCol w:w="279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br/>
              <w:t>Executive Vice President and Chief Financial Officer (Principal Financial Officer)</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3646/000110465926076094/tm2618424d1_ex2-1.htm" TargetMode="External"/><Relationship Id="rId3" Type="http://schemas.openxmlformats.org/officeDocument/2006/relationships/hyperlink" Target="https://www.sec.gov/Archives/edgar/data/1443646/000110465926076094/tm2618424d1_ex2-1.htm" TargetMode="External"/><Relationship Id="rId4" Type="http://schemas.openxmlformats.org/officeDocument/2006/relationships/hyperlink" Target="https://www.sec.gov/Archives/edgar/data/1443646/000110465926076094/tm2618424d1_ex2-1.htm" TargetMode="External"/><Relationship Id="rId5" Type="http://schemas.openxmlformats.org/officeDocument/2006/relationships/hyperlink" Target="https://www.sec.gov/Archives/edgar/data/1443646/000110465926076094/tm2618424d1_ex2-1.htm" TargetMode="External"/><Relationship Id="rId6" Type="http://schemas.openxmlformats.org/officeDocument/2006/relationships/hyperlink" Target="https://www.sec.gov/Archives/edgar/data/1443646/000110465926076094/tm2618424d1_ex2-1.htm" TargetMode="External"/><Relationship Id="rId7" Type="http://schemas.openxmlformats.org/officeDocument/2006/relationships/hyperlink" Target="https://www.sec.gov/Archives/edgar/data/1443646/000110465926076094/tm2618424d1_ex2-1.htm" TargetMode="External"/><Relationship Id="rId8" Type="http://schemas.openxmlformats.org/officeDocument/2006/relationships/hyperlink" Target="https://www.sec.gov/Archives/edgar/data/1443646/000110465926076094/tm2618424d1_ex2-1.htm" TargetMode="External"/><Relationship Id="rId9" Type="http://schemas.openxmlformats.org/officeDocument/2006/relationships/hyperlink" Target="https://www.sec.gov/Archives/edgar/data/1443646/000110465926076094/tm2618424d1_ex2-1.htm" TargetMode="External"/><Relationship Id="rId10" Type="http://schemas.openxmlformats.org/officeDocument/2006/relationships/hyperlink" Target="https://www.sec.gov/Archives/edgar/data/1443646/000110465926076094/tm2618424d1_ex2-1.htm" TargetMode="External"/><Relationship Id="rId11" Type="http://schemas.openxmlformats.org/officeDocument/2006/relationships/hyperlink" Target="https://www.sec.gov/Archives/edgar/data/1443646/000144364625000076/bah-ex22xq4fy2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13773</Words>
  <Characters>76872</Characters>
  <CharactersWithSpaces>89781</CharactersWithSpaces>
  <Paragraphs>1732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