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252095</wp:posOffset>
            </wp:positionH>
            <wp:positionV relativeFrom="page">
              <wp:posOffset>577850</wp:posOffset>
            </wp:positionV>
            <wp:extent cx="7058025"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58025" cy="8890"/>
                    </a:xfrm>
                    <a:prstGeom prst="rect">
                      <a:avLst/>
                    </a:prstGeom>
                    <a:noFill/>
                  </pic:spPr>
                </pic:pic>
              </a:graphicData>
            </a:graphic>
          </wp:anchor>
        </w:drawing>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99695</wp:posOffset>
            </wp:positionH>
            <wp:positionV relativeFrom="paragraph">
              <wp:posOffset>-224155</wp:posOffset>
            </wp:positionV>
            <wp:extent cx="705802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58025" cy="8890"/>
                    </a:xfrm>
                    <a:prstGeom prst="rect">
                      <a:avLst/>
                    </a:prstGeom>
                    <a:noFill/>
                  </pic:spPr>
                </pic:pic>
              </a:graphicData>
            </a:graphic>
          </wp:anchor>
        </w:drawing>
      </w:r>
    </w:p>
    <w:p>
      <w:pPr>
        <w:spacing w:after="0" w:line="2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6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FORM 10-Q</w:t>
      </w:r>
    </w:p>
    <w:p>
      <w:pPr>
        <w:spacing w:after="0" w:line="34"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(Mark One)</w:t>
      </w:r>
    </w:p>
    <w:p>
      <w:pPr>
        <w:spacing w:after="0" w:line="142" w:lineRule="exact"/>
        <w:rPr>
          <w:sz w:val="24"/>
          <w:szCs w:val="24"/>
          <w:color w:val="auto"/>
        </w:rPr>
      </w:pPr>
    </w:p>
    <w:p>
      <w:pPr>
        <w:ind w:left="840" w:right="40" w:hanging="805"/>
        <w:spacing w:after="0" w:line="256" w:lineRule="auto"/>
        <w:tabs>
          <w:tab w:leader="none" w:pos="840" w:val="left"/>
        </w:tabs>
        <w:numPr>
          <w:ilvl w:val="0"/>
          <w:numId w:val="1"/>
        </w:numPr>
        <w:rPr>
          <w:rFonts w:ascii="MS PGothic" w:cs="MS PGothic" w:eastAsia="MS PGothic" w:hAnsi="MS PGothic"/>
          <w:sz w:val="20"/>
          <w:szCs w:val="20"/>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361"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For the quarterly period ended September 30, 2016</w:t>
      </w:r>
    </w:p>
    <w:p>
      <w:pPr>
        <w:spacing w:after="0" w:line="270" w:lineRule="exact"/>
        <w:rPr>
          <w:sz w:val="24"/>
          <w:szCs w:val="24"/>
          <w:color w:val="auto"/>
        </w:rPr>
      </w:pPr>
    </w:p>
    <w:p>
      <w:pPr>
        <w:ind w:left="840" w:right="380" w:hanging="805"/>
        <w:spacing w:after="0" w:line="256" w:lineRule="auto"/>
        <w:tabs>
          <w:tab w:leader="none" w:pos="840" w:val="left"/>
        </w:tabs>
        <w:numPr>
          <w:ilvl w:val="0"/>
          <w:numId w:val="2"/>
        </w:numPr>
        <w:rPr>
          <w:rFonts w:ascii="MS PGothic" w:cs="MS PGothic" w:eastAsia="MS PGothic" w:hAnsi="MS PGothic"/>
          <w:sz w:val="22"/>
          <w:szCs w:val="22"/>
          <w:color w:val="auto"/>
        </w:rPr>
      </w:pPr>
      <w:r>
        <w:rPr>
          <w:rFonts w:ascii="Arial" w:cs="Arial" w:eastAsia="Arial" w:hAnsi="Arial"/>
          <w:sz w:val="22"/>
          <w:szCs w:val="22"/>
          <w:b w:val="1"/>
          <w:bCs w:val="1"/>
          <w:color w:val="auto"/>
        </w:rPr>
        <w:t>TRANSITION REPORT PURSUANT TO SECTION 13 OR 15(D) OF THE SECURITIES EXCHANGE ACT OF 1934</w:t>
      </w:r>
    </w:p>
    <w:p>
      <w:pPr>
        <w:spacing w:after="0" w:line="199" w:lineRule="exact"/>
        <w:rPr>
          <w:sz w:val="24"/>
          <w:szCs w:val="24"/>
          <w:color w:val="auto"/>
        </w:rPr>
      </w:pPr>
    </w:p>
    <w:p>
      <w:pPr>
        <w:ind w:left="3900"/>
        <w:spacing w:after="0"/>
        <w:tabs>
          <w:tab w:leader="none" w:pos="678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9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No. 001-34972</w:t>
      </w:r>
    </w:p>
    <w:p>
      <w:pPr>
        <w:spacing w:after="0" w:line="2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Booz Allen Hamilton Holding Corporation</w:t>
      </w:r>
    </w:p>
    <w:p>
      <w:pPr>
        <w:spacing w:after="0" w:line="2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7" w:lineRule="exact"/>
        <w:rPr>
          <w:sz w:val="24"/>
          <w:szCs w:val="24"/>
          <w:color w:val="auto"/>
        </w:rPr>
      </w:pPr>
    </w:p>
    <w:p>
      <w:pPr>
        <w:ind w:left="4160"/>
        <w:spacing w:after="0"/>
        <w:rPr>
          <w:sz w:val="20"/>
          <w:szCs w:val="20"/>
          <w:color w:val="auto"/>
        </w:rPr>
      </w:pPr>
      <w:r>
        <w:rPr>
          <w:rFonts w:ascii="Arial" w:cs="Arial" w:eastAsia="Arial" w:hAnsi="Arial"/>
          <w:sz w:val="18"/>
          <w:szCs w:val="18"/>
          <w:color w:val="auto"/>
        </w:rPr>
        <w:t>___________________________________</w:t>
      </w:r>
    </w:p>
    <w:p>
      <w:pPr>
        <w:spacing w:after="0" w:line="153" w:lineRule="exact"/>
        <w:rPr>
          <w:sz w:val="24"/>
          <w:szCs w:val="24"/>
          <w:color w:val="auto"/>
        </w:rPr>
      </w:pPr>
    </w:p>
    <w:tbl>
      <w:tblPr>
        <w:tblLayout w:type="fixed"/>
        <w:tblInd w:w="1180" w:type="dxa"/>
        <w:tblCellMar>
          <w:top w:w="0" w:type="dxa"/>
          <w:left w:w="0" w:type="dxa"/>
          <w:bottom w:w="0" w:type="dxa"/>
          <w:right w:w="0" w:type="dxa"/>
        </w:tblCellMar>
      </w:tblPr>
      <w:tr>
        <w:trPr>
          <w:trHeight w:val="234"/>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1"/>
              </w:rPr>
              <w:t>Delaware</w:t>
            </w:r>
          </w:p>
        </w:tc>
        <w:tc>
          <w:tcPr>
            <w:tcW w:w="4500" w:type="dxa"/>
            <w:vAlign w:val="bottom"/>
          </w:tcPr>
          <w:p>
            <w:pPr>
              <w:jc w:val="right"/>
              <w:ind w:right="39"/>
              <w:spacing w:after="0"/>
              <w:rPr>
                <w:sz w:val="20"/>
                <w:szCs w:val="20"/>
                <w:color w:val="auto"/>
              </w:rPr>
            </w:pPr>
            <w:r>
              <w:rPr>
                <w:rFonts w:ascii="Arial" w:cs="Arial" w:eastAsia="Arial" w:hAnsi="Arial"/>
                <w:sz w:val="18"/>
                <w:szCs w:val="18"/>
                <w:b w:val="1"/>
                <w:bCs w:val="1"/>
                <w:color w:val="auto"/>
              </w:rPr>
              <w:t>26-2634160</w:t>
            </w:r>
          </w:p>
        </w:tc>
      </w:tr>
      <w:tr>
        <w:trPr>
          <w:trHeight w:val="180"/>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3"/>
              </w:rPr>
              <w:t>(State or other jurisdiction of</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6"/>
              </w:rPr>
              <w:t>(I.R.S. Employer</w:t>
            </w:r>
          </w:p>
        </w:tc>
      </w:tr>
      <w:tr>
        <w:trPr>
          <w:trHeight w:val="186"/>
        </w:trPr>
        <w:tc>
          <w:tcPr>
            <w:tcW w:w="3600" w:type="dxa"/>
            <w:vAlign w:val="bottom"/>
          </w:tcPr>
          <w:p>
            <w:pPr>
              <w:jc w:val="center"/>
              <w:ind w:right="281"/>
              <w:spacing w:after="0"/>
              <w:rPr>
                <w:sz w:val="20"/>
                <w:szCs w:val="20"/>
                <w:color w:val="auto"/>
              </w:rPr>
            </w:pPr>
            <w:r>
              <w:rPr>
                <w:rFonts w:ascii="Arial" w:cs="Arial" w:eastAsia="Arial" w:hAnsi="Arial"/>
                <w:sz w:val="14"/>
                <w:szCs w:val="14"/>
                <w:b w:val="1"/>
                <w:bCs w:val="1"/>
                <w:color w:val="auto"/>
                <w:w w:val="94"/>
              </w:rPr>
              <w:t>incorporation or organization)</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4"/>
              </w:rPr>
              <w:t>Identification No.)</w:t>
            </w:r>
          </w:p>
        </w:tc>
      </w:tr>
      <w:tr>
        <w:trPr>
          <w:trHeight w:val="377"/>
        </w:trPr>
        <w:tc>
          <w:tcPr>
            <w:tcW w:w="3600" w:type="dxa"/>
            <w:vAlign w:val="bottom"/>
          </w:tcPr>
          <w:p>
            <w:pPr>
              <w:jc w:val="center"/>
              <w:ind w:right="281"/>
              <w:spacing w:after="0"/>
              <w:rPr>
                <w:sz w:val="20"/>
                <w:szCs w:val="20"/>
                <w:color w:val="auto"/>
              </w:rPr>
            </w:pPr>
            <w:r>
              <w:rPr>
                <w:rFonts w:ascii="Arial" w:cs="Arial" w:eastAsia="Arial" w:hAnsi="Arial"/>
                <w:sz w:val="18"/>
                <w:szCs w:val="18"/>
                <w:b w:val="1"/>
                <w:bCs w:val="1"/>
                <w:color w:val="auto"/>
                <w:w w:val="92"/>
              </w:rPr>
              <w:t>8283 Greensboro Drive, McLean, Virginia</w:t>
            </w:r>
          </w:p>
        </w:tc>
        <w:tc>
          <w:tcPr>
            <w:tcW w:w="4500" w:type="dxa"/>
            <w:vAlign w:val="bottom"/>
          </w:tcPr>
          <w:p>
            <w:pPr>
              <w:jc w:val="right"/>
              <w:ind w:right="259"/>
              <w:spacing w:after="0"/>
              <w:rPr>
                <w:sz w:val="20"/>
                <w:szCs w:val="20"/>
                <w:color w:val="auto"/>
              </w:rPr>
            </w:pPr>
            <w:r>
              <w:rPr>
                <w:rFonts w:ascii="Arial" w:cs="Arial" w:eastAsia="Arial" w:hAnsi="Arial"/>
                <w:sz w:val="18"/>
                <w:szCs w:val="18"/>
                <w:b w:val="1"/>
                <w:bCs w:val="1"/>
                <w:color w:val="auto"/>
              </w:rPr>
              <w:t>22102</w:t>
            </w:r>
          </w:p>
        </w:tc>
      </w:tr>
      <w:tr>
        <w:trPr>
          <w:trHeight w:val="218"/>
        </w:trPr>
        <w:tc>
          <w:tcPr>
            <w:tcW w:w="3600" w:type="dxa"/>
            <w:vAlign w:val="bottom"/>
          </w:tcPr>
          <w:p>
            <w:pPr>
              <w:jc w:val="center"/>
              <w:ind w:right="261"/>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4500" w:type="dxa"/>
            <w:vAlign w:val="bottom"/>
          </w:tcPr>
          <w:p>
            <w:pPr>
              <w:jc w:val="center"/>
              <w:ind w:left="3299"/>
              <w:spacing w:after="0"/>
              <w:rPr>
                <w:sz w:val="20"/>
                <w:szCs w:val="20"/>
                <w:color w:val="auto"/>
              </w:rPr>
            </w:pPr>
            <w:r>
              <w:rPr>
                <w:rFonts w:ascii="Arial" w:cs="Arial" w:eastAsia="Arial" w:hAnsi="Arial"/>
                <w:sz w:val="14"/>
                <w:szCs w:val="14"/>
                <w:b w:val="1"/>
                <w:bCs w:val="1"/>
                <w:color w:val="auto"/>
                <w:w w:val="98"/>
              </w:rPr>
              <w:t>(Zip Code)</w:t>
            </w:r>
          </w:p>
        </w:tc>
      </w:tr>
      <w:tr>
        <w:trPr>
          <w:trHeight w:val="275"/>
        </w:trPr>
        <w:tc>
          <w:tcPr>
            <w:tcW w:w="3600" w:type="dxa"/>
            <w:vAlign w:val="bottom"/>
          </w:tcPr>
          <w:p>
            <w:pPr>
              <w:spacing w:after="0"/>
              <w:rPr>
                <w:sz w:val="23"/>
                <w:szCs w:val="23"/>
                <w:color w:val="auto"/>
              </w:rPr>
            </w:pPr>
          </w:p>
        </w:tc>
        <w:tc>
          <w:tcPr>
            <w:tcW w:w="4500" w:type="dxa"/>
            <w:vAlign w:val="bottom"/>
          </w:tcPr>
          <w:p>
            <w:pPr>
              <w:jc w:val="right"/>
              <w:ind w:right="2919"/>
              <w:spacing w:after="0"/>
              <w:rPr>
                <w:sz w:val="20"/>
                <w:szCs w:val="20"/>
                <w:color w:val="auto"/>
              </w:rPr>
            </w:pPr>
            <w:r>
              <w:rPr>
                <w:rFonts w:ascii="Arial" w:cs="Arial" w:eastAsia="Arial" w:hAnsi="Arial"/>
                <w:sz w:val="18"/>
                <w:szCs w:val="18"/>
                <w:b w:val="1"/>
                <w:bCs w:val="1"/>
                <w:color w:val="auto"/>
              </w:rPr>
              <w:t>(703) 902-5000</w:t>
            </w:r>
          </w:p>
        </w:tc>
      </w:tr>
    </w:tbl>
    <w:p>
      <w:pPr>
        <w:jc w:val="center"/>
        <w:ind w:right="-19"/>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(Former name, former address, and former fiscal year if changed since last report.)</w:t>
      </w:r>
    </w:p>
    <w:p>
      <w:pPr>
        <w:spacing w:after="0" w:line="9" w:lineRule="exact"/>
        <w:rPr>
          <w:sz w:val="24"/>
          <w:szCs w:val="24"/>
          <w:color w:val="auto"/>
        </w:rPr>
      </w:pPr>
    </w:p>
    <w:p>
      <w:pPr>
        <w:ind w:left="4120"/>
        <w:spacing w:after="0"/>
        <w:rPr>
          <w:sz w:val="20"/>
          <w:szCs w:val="20"/>
          <w:color w:val="auto"/>
        </w:rPr>
      </w:pPr>
      <w:r>
        <w:rPr>
          <w:rFonts w:ascii="Arial" w:cs="Arial" w:eastAsia="Arial" w:hAnsi="Arial"/>
          <w:sz w:val="18"/>
          <w:szCs w:val="18"/>
          <w:color w:val="auto"/>
        </w:rPr>
        <w:t>___________________________________</w:t>
      </w:r>
    </w:p>
    <w:p>
      <w:pPr>
        <w:spacing w:after="0" w:line="101" w:lineRule="exact"/>
        <w:rPr>
          <w:sz w:val="24"/>
          <w:szCs w:val="24"/>
          <w:color w:val="auto"/>
        </w:rPr>
      </w:pPr>
    </w:p>
    <w:p>
      <w:pPr>
        <w:ind w:right="480"/>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ind w:right="440"/>
        <w:spacing w:after="0" w:line="308"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or a smaller reporting company. See definition of “accelerated filer,” “large accelerated filer” and “smaller reporting company” in Rule 12b-2 of the Exchange Act.</w:t>
      </w:r>
    </w:p>
    <w:p>
      <w:pPr>
        <w:spacing w:after="0" w:line="60" w:lineRule="exact"/>
        <w:rPr>
          <w:sz w:val="24"/>
          <w:szCs w:val="24"/>
          <w:color w:val="auto"/>
        </w:rPr>
      </w:pPr>
    </w:p>
    <w:tbl>
      <w:tblPr>
        <w:tblLayout w:type="fixed"/>
        <w:tblInd w:w="0" w:type="dxa"/>
        <w:tblCellMar>
          <w:top w:w="0" w:type="dxa"/>
          <w:left w:w="0" w:type="dxa"/>
          <w:bottom w:w="0" w:type="dxa"/>
          <w:right w:w="0" w:type="dxa"/>
        </w:tblCellMar>
      </w:tblPr>
      <w:tr>
        <w:trPr>
          <w:trHeight w:val="351"/>
        </w:trPr>
        <w:tc>
          <w:tcPr>
            <w:tcW w:w="2060" w:type="dxa"/>
            <w:vAlign w:val="bottom"/>
          </w:tcPr>
          <w:p>
            <w:pPr>
              <w:ind w:left="40"/>
              <w:spacing w:after="0"/>
              <w:rPr>
                <w:sz w:val="20"/>
                <w:szCs w:val="20"/>
                <w:color w:val="auto"/>
              </w:rPr>
            </w:pPr>
            <w:r>
              <w:rPr>
                <w:rFonts w:ascii="Arial" w:cs="Arial" w:eastAsia="Arial" w:hAnsi="Arial"/>
                <w:sz w:val="18"/>
                <w:szCs w:val="18"/>
                <w:color w:val="auto"/>
              </w:rPr>
              <w:t>Large accelerated filer</w:t>
            </w:r>
          </w:p>
        </w:tc>
        <w:tc>
          <w:tcPr>
            <w:tcW w:w="4840" w:type="dxa"/>
            <w:vAlign w:val="bottom"/>
          </w:tcPr>
          <w:p>
            <w:pPr>
              <w:ind w:left="320"/>
              <w:spacing w:after="0" w:line="181" w:lineRule="exact"/>
              <w:rPr>
                <w:sz w:val="20"/>
                <w:szCs w:val="20"/>
                <w:color w:val="auto"/>
              </w:rPr>
            </w:pPr>
            <w:r>
              <w:rPr>
                <w:rFonts w:ascii="MS PGothic" w:cs="MS PGothic" w:eastAsia="MS PGothic" w:hAnsi="MS PGothic"/>
                <w:sz w:val="18"/>
                <w:szCs w:val="18"/>
                <w:color w:val="auto"/>
              </w:rPr>
              <w:t>☒</w:t>
            </w:r>
          </w:p>
        </w:tc>
        <w:tc>
          <w:tcPr>
            <w:tcW w:w="2280" w:type="dxa"/>
            <w:vAlign w:val="bottom"/>
          </w:tcPr>
          <w:p>
            <w:pPr>
              <w:ind w:left="920"/>
              <w:spacing w:after="0"/>
              <w:rPr>
                <w:sz w:val="20"/>
                <w:szCs w:val="20"/>
                <w:color w:val="auto"/>
              </w:rPr>
            </w:pPr>
            <w:r>
              <w:rPr>
                <w:rFonts w:ascii="Arial" w:cs="Arial" w:eastAsia="Arial" w:hAnsi="Arial"/>
                <w:sz w:val="18"/>
                <w:szCs w:val="18"/>
                <w:color w:val="auto"/>
              </w:rPr>
              <w:t>Accelerated filer</w:t>
            </w:r>
          </w:p>
        </w:tc>
        <w:tc>
          <w:tcPr>
            <w:tcW w:w="1480" w:type="dxa"/>
            <w:vAlign w:val="bottom"/>
          </w:tcPr>
          <w:p>
            <w:pPr>
              <w:spacing w:after="0"/>
              <w:rPr>
                <w:sz w:val="24"/>
                <w:szCs w:val="24"/>
                <w:color w:val="auto"/>
              </w:rPr>
            </w:pPr>
          </w:p>
        </w:tc>
        <w:tc>
          <w:tcPr>
            <w:tcW w:w="40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38"/>
        </w:trPr>
        <w:tc>
          <w:tcPr>
            <w:tcW w:w="2060" w:type="dxa"/>
            <w:vAlign w:val="bottom"/>
          </w:tcPr>
          <w:p>
            <w:pPr>
              <w:ind w:left="40"/>
              <w:spacing w:after="0"/>
              <w:rPr>
                <w:sz w:val="20"/>
                <w:szCs w:val="20"/>
                <w:color w:val="auto"/>
              </w:rPr>
            </w:pPr>
            <w:r>
              <w:rPr>
                <w:rFonts w:ascii="Arial" w:cs="Arial" w:eastAsia="Arial" w:hAnsi="Arial"/>
                <w:sz w:val="18"/>
                <w:szCs w:val="18"/>
                <w:color w:val="auto"/>
              </w:rPr>
              <w:t>Non-accelerated filer</w:t>
            </w:r>
          </w:p>
        </w:tc>
        <w:tc>
          <w:tcPr>
            <w:tcW w:w="4840" w:type="dxa"/>
            <w:vAlign w:val="bottom"/>
          </w:tcPr>
          <w:p>
            <w:pPr>
              <w:ind w:left="32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760" w:type="dxa"/>
            <w:vAlign w:val="bottom"/>
            <w:gridSpan w:val="2"/>
          </w:tcPr>
          <w:p>
            <w:pPr>
              <w:ind w:left="920"/>
              <w:spacing w:after="0"/>
              <w:rPr>
                <w:sz w:val="20"/>
                <w:szCs w:val="20"/>
                <w:color w:val="auto"/>
              </w:rPr>
            </w:pPr>
            <w:r>
              <w:rPr>
                <w:rFonts w:ascii="Arial" w:cs="Arial" w:eastAsia="Arial" w:hAnsi="Arial"/>
                <w:sz w:val="18"/>
                <w:szCs w:val="18"/>
                <w:color w:val="auto"/>
              </w:rPr>
              <w:t>Smaller reporting company</w:t>
            </w:r>
          </w:p>
        </w:tc>
        <w:tc>
          <w:tcPr>
            <w:tcW w:w="400" w:type="dxa"/>
            <w:vAlign w:val="bottom"/>
          </w:tcPr>
          <w:p>
            <w:pPr>
              <w:jc w:val="right"/>
              <w:ind w:right="130"/>
              <w:spacing w:after="0" w:line="181" w:lineRule="exact"/>
              <w:rPr>
                <w:sz w:val="20"/>
                <w:szCs w:val="20"/>
                <w:color w:val="auto"/>
              </w:rPr>
            </w:pPr>
            <w:r>
              <w:rPr>
                <w:rFonts w:ascii="MS PGothic" w:cs="MS PGothic" w:eastAsia="MS PGothic" w:hAnsi="MS PGothic"/>
                <w:sz w:val="18"/>
                <w:szCs w:val="18"/>
                <w:color w:val="auto"/>
                <w:w w:val="88"/>
              </w:rPr>
              <w:t>☐</w:t>
            </w:r>
          </w:p>
        </w:tc>
      </w:tr>
      <w:tr>
        <w:trPr>
          <w:trHeight w:val="351"/>
        </w:trPr>
        <w:tc>
          <w:tcPr>
            <w:tcW w:w="9180" w:type="dxa"/>
            <w:vAlign w:val="bottom"/>
            <w:gridSpan w:val="3"/>
          </w:tcPr>
          <w:p>
            <w:pPr>
              <w:spacing w:after="0" w:line="207" w:lineRule="exact"/>
              <w:rPr>
                <w:sz w:val="20"/>
                <w:szCs w:val="20"/>
                <w:color w:val="auto"/>
              </w:rPr>
            </w:pPr>
            <w:r>
              <w:rPr>
                <w:rFonts w:ascii="Arial" w:cs="Arial" w:eastAsia="Arial" w:hAnsi="Arial"/>
                <w:sz w:val="18"/>
                <w:szCs w:val="18"/>
                <w:color w:val="auto"/>
                <w:w w:val="92"/>
              </w:rPr>
              <w:t xml:space="preserve">Indicate by check mark whether the registrant is a shell company (as defined in Rule 12b-2 of the Exchange Act). Yes </w:t>
            </w:r>
            <w:r>
              <w:rPr>
                <w:rFonts w:ascii="MS PGothic" w:cs="MS PGothic" w:eastAsia="MS PGothic" w:hAnsi="MS PGothic"/>
                <w:sz w:val="18"/>
                <w:szCs w:val="18"/>
                <w:color w:val="auto"/>
                <w:w w:val="92"/>
              </w:rPr>
              <w:t>☐</w:t>
            </w:r>
            <w:r>
              <w:rPr>
                <w:rFonts w:ascii="Arial" w:cs="Arial" w:eastAsia="Arial" w:hAnsi="Arial"/>
                <w:sz w:val="18"/>
                <w:szCs w:val="18"/>
                <w:color w:val="auto"/>
                <w:w w:val="92"/>
              </w:rPr>
              <w:t xml:space="preserve"> No</w:t>
            </w:r>
          </w:p>
        </w:tc>
        <w:tc>
          <w:tcPr>
            <w:tcW w:w="1480" w:type="dxa"/>
            <w:vAlign w:val="bottom"/>
          </w:tcPr>
          <w:p>
            <w:pPr>
              <w:ind w:left="60"/>
              <w:spacing w:after="0" w:line="181" w:lineRule="exact"/>
              <w:rPr>
                <w:sz w:val="20"/>
                <w:szCs w:val="20"/>
                <w:color w:val="auto"/>
              </w:rPr>
            </w:pPr>
            <w:r>
              <w:rPr>
                <w:rFonts w:ascii="MS PGothic" w:cs="MS PGothic" w:eastAsia="MS PGothic" w:hAnsi="MS PGothic"/>
                <w:sz w:val="18"/>
                <w:szCs w:val="18"/>
                <w:color w:val="auto"/>
              </w:rPr>
              <w:t>☒</w:t>
            </w:r>
          </w:p>
        </w:tc>
        <w:tc>
          <w:tcPr>
            <w:tcW w:w="400" w:type="dxa"/>
            <w:vAlign w:val="bottom"/>
          </w:tcPr>
          <w:p>
            <w:pPr>
              <w:spacing w:after="0"/>
              <w:rPr>
                <w:sz w:val="24"/>
                <w:szCs w:val="24"/>
                <w:color w:val="auto"/>
              </w:rPr>
            </w:pPr>
          </w:p>
        </w:tc>
      </w:tr>
      <w:tr>
        <w:trPr>
          <w:trHeight w:val="304"/>
        </w:trPr>
        <w:tc>
          <w:tcPr>
            <w:tcW w:w="9180" w:type="dxa"/>
            <w:vAlign w:val="bottom"/>
            <w:gridSpan w:val="3"/>
          </w:tcPr>
          <w:p>
            <w:pPr>
              <w:spacing w:after="0"/>
              <w:rPr>
                <w:sz w:val="20"/>
                <w:szCs w:val="20"/>
                <w:color w:val="auto"/>
              </w:rPr>
            </w:pPr>
            <w:r>
              <w:rPr>
                <w:rFonts w:ascii="Arial" w:cs="Arial" w:eastAsia="Arial" w:hAnsi="Arial"/>
                <w:sz w:val="18"/>
                <w:szCs w:val="18"/>
                <w:color w:val="auto"/>
                <w:w w:val="92"/>
              </w:rPr>
              <w:t>Indicate the number of shares outstanding of each of the issuer’s classes of common stock, as of the latest practicable date.</w:t>
            </w:r>
          </w:p>
        </w:tc>
        <w:tc>
          <w:tcPr>
            <w:tcW w:w="148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88"/>
        </w:trPr>
        <w:tc>
          <w:tcPr>
            <w:tcW w:w="206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Shares Outstanding</w:t>
            </w:r>
          </w:p>
        </w:tc>
        <w:tc>
          <w:tcPr>
            <w:tcW w:w="400" w:type="dxa"/>
            <w:vAlign w:val="bottom"/>
          </w:tcPr>
          <w:p>
            <w:pPr>
              <w:spacing w:after="0"/>
              <w:rPr>
                <w:sz w:val="24"/>
                <w:szCs w:val="24"/>
                <w:color w:val="auto"/>
              </w:rPr>
            </w:pPr>
          </w:p>
        </w:tc>
      </w:tr>
      <w:tr>
        <w:trPr>
          <w:trHeight w:val="192"/>
        </w:trPr>
        <w:tc>
          <w:tcPr>
            <w:tcW w:w="2060" w:type="dxa"/>
            <w:vAlign w:val="bottom"/>
          </w:tcPr>
          <w:p>
            <w:pPr>
              <w:spacing w:after="0"/>
              <w:rPr>
                <w:sz w:val="16"/>
                <w:szCs w:val="16"/>
                <w:color w:val="auto"/>
              </w:rPr>
            </w:pPr>
          </w:p>
        </w:tc>
        <w:tc>
          <w:tcPr>
            <w:tcW w:w="4840" w:type="dxa"/>
            <w:vAlign w:val="bottom"/>
          </w:tcPr>
          <w:p>
            <w:pPr>
              <w:spacing w:after="0"/>
              <w:rPr>
                <w:sz w:val="16"/>
                <w:szCs w:val="16"/>
                <w:color w:val="auto"/>
              </w:rPr>
            </w:pPr>
          </w:p>
        </w:tc>
        <w:tc>
          <w:tcPr>
            <w:tcW w:w="2280" w:type="dxa"/>
            <w:vAlign w:val="bottom"/>
          </w:tcPr>
          <w:p>
            <w:pPr>
              <w:spacing w:after="0"/>
              <w:rPr>
                <w:sz w:val="16"/>
                <w:szCs w:val="16"/>
                <w:color w:val="auto"/>
              </w:rPr>
            </w:pPr>
          </w:p>
        </w:tc>
        <w:tc>
          <w:tcPr>
            <w:tcW w:w="1480" w:type="dxa"/>
            <w:vAlign w:val="bottom"/>
          </w:tcPr>
          <w:p>
            <w:pPr>
              <w:jc w:val="center"/>
              <w:spacing w:after="0"/>
              <w:rPr>
                <w:sz w:val="20"/>
                <w:szCs w:val="20"/>
                <w:color w:val="auto"/>
              </w:rPr>
            </w:pPr>
            <w:r>
              <w:rPr>
                <w:rFonts w:ascii="Arial" w:cs="Arial" w:eastAsia="Arial" w:hAnsi="Arial"/>
                <w:sz w:val="14"/>
                <w:szCs w:val="14"/>
                <w:b w:val="1"/>
                <w:bCs w:val="1"/>
                <w:color w:val="auto"/>
                <w:w w:val="91"/>
              </w:rPr>
              <w:t>as of October 28, 2016</w:t>
            </w:r>
          </w:p>
        </w:tc>
        <w:tc>
          <w:tcPr>
            <w:tcW w:w="400" w:type="dxa"/>
            <w:vAlign w:val="bottom"/>
          </w:tcPr>
          <w:p>
            <w:pPr>
              <w:spacing w:after="0"/>
              <w:rPr>
                <w:sz w:val="16"/>
                <w:szCs w:val="16"/>
                <w:color w:val="auto"/>
              </w:rPr>
            </w:pPr>
          </w:p>
        </w:tc>
      </w:tr>
      <w:tr>
        <w:trPr>
          <w:trHeight w:val="256"/>
        </w:trPr>
        <w:tc>
          <w:tcPr>
            <w:tcW w:w="2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Class A Common Stock</w:t>
            </w:r>
          </w:p>
        </w:tc>
        <w:tc>
          <w:tcPr>
            <w:tcW w:w="4840" w:type="dxa"/>
            <w:vAlign w:val="bottom"/>
            <w:tcBorders>
              <w:bottom w:val="single" w:sz="8" w:color="CCEEFF"/>
            </w:tcBorders>
            <w:shd w:val="clear" w:color="auto" w:fill="CCEEFF"/>
          </w:tcPr>
          <w:p>
            <w:pPr>
              <w:spacing w:after="0"/>
              <w:rPr>
                <w:sz w:val="22"/>
                <w:szCs w:val="22"/>
                <w:color w:val="auto"/>
              </w:rPr>
            </w:pPr>
          </w:p>
        </w:tc>
        <w:tc>
          <w:tcPr>
            <w:tcW w:w="2280" w:type="dxa"/>
            <w:vAlign w:val="bottom"/>
            <w:tcBorders>
              <w:bottom w:val="single" w:sz="8" w:color="CCEEFF"/>
            </w:tcBorders>
            <w:shd w:val="clear" w:color="auto" w:fill="CCEEFF"/>
          </w:tcPr>
          <w:p>
            <w:pPr>
              <w:spacing w:after="0"/>
              <w:rPr>
                <w:sz w:val="22"/>
                <w:szCs w:val="22"/>
                <w:color w:val="auto"/>
              </w:rPr>
            </w:pPr>
          </w:p>
        </w:tc>
        <w:tc>
          <w:tcPr>
            <w:tcW w:w="188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149,071,762</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B Non-Voting Common Stock</w:t>
            </w:r>
          </w:p>
        </w:tc>
        <w:tc>
          <w:tcPr>
            <w:tcW w:w="2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00" w:type="dxa"/>
            <w:vAlign w:val="bottom"/>
            <w:gridSpan w:val="2"/>
          </w:tcPr>
          <w:p>
            <w:pPr>
              <w:spacing w:after="0"/>
              <w:rPr>
                <w:sz w:val="2"/>
                <w:szCs w:val="2"/>
                <w:color w:val="auto"/>
              </w:rPr>
            </w:pPr>
          </w:p>
        </w:tc>
        <w:tc>
          <w:tcPr>
            <w:tcW w:w="22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400" w:type="dxa"/>
            <w:vAlign w:val="bottom"/>
          </w:tcPr>
          <w:p>
            <w:pPr>
              <w:spacing w:after="0"/>
              <w:rPr>
                <w:sz w:val="2"/>
                <w:szCs w:val="2"/>
                <w:color w:val="auto"/>
              </w:rPr>
            </w:pPr>
          </w:p>
        </w:tc>
      </w:tr>
      <w:tr>
        <w:trPr>
          <w:trHeight w:val="250"/>
        </w:trPr>
        <w:tc>
          <w:tcPr>
            <w:tcW w:w="6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Class C Restricted Common Stock</w:t>
            </w:r>
          </w:p>
        </w:tc>
        <w:tc>
          <w:tcPr>
            <w:tcW w:w="228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00" w:type="dxa"/>
            <w:vAlign w:val="bottom"/>
            <w:gridSpan w:val="2"/>
          </w:tcPr>
          <w:p>
            <w:pPr>
              <w:ind w:left="40"/>
              <w:spacing w:after="0"/>
              <w:rPr>
                <w:sz w:val="20"/>
                <w:szCs w:val="20"/>
                <w:color w:val="auto"/>
              </w:rPr>
            </w:pPr>
            <w:r>
              <w:rPr>
                <w:rFonts w:ascii="Arial" w:cs="Arial" w:eastAsia="Arial" w:hAnsi="Arial"/>
                <w:sz w:val="18"/>
                <w:szCs w:val="18"/>
                <w:color w:val="auto"/>
              </w:rPr>
              <w:t>Class E Special Voting Common Stock</w:t>
            </w:r>
          </w:p>
        </w:tc>
        <w:tc>
          <w:tcPr>
            <w:tcW w:w="228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w:t>
            </w:r>
          </w:p>
        </w:tc>
      </w:tr>
    </w:tbl>
    <w:p>
      <w:pPr>
        <w:sectPr>
          <w:pgSz w:w="11900" w:h="16838" w:orient="portrait"/>
          <w:cols w:equalWidth="0" w:num="1">
            <w:col w:w="11420"/>
          </w:cols>
          <w:pgMar w:left="240" w:top="922" w:right="239" w:bottom="144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220" w:type="dxa"/>
            <w:vAlign w:val="bottom"/>
            <w:gridSpan w:val="15"/>
          </w:tcPr>
          <w:p>
            <w:pPr>
              <w:spacing w:after="0"/>
              <w:rPr>
                <w:sz w:val="20"/>
                <w:szCs w:val="20"/>
                <w:color w:val="auto"/>
              </w:rPr>
            </w:pPr>
            <w:r>
              <w:rPr>
                <w:rFonts w:ascii="Arial" w:cs="Arial" w:eastAsia="Arial" w:hAnsi="Arial"/>
                <w:sz w:val="18"/>
                <w:szCs w:val="18"/>
                <w:b w:val="1"/>
                <w:bCs w:val="1"/>
                <w:color w:val="auto"/>
              </w:rPr>
              <w:t>TABLE OF CONTENTS</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527"/>
        </w:trPr>
        <w:tc>
          <w:tcPr>
            <w:tcW w:w="11220" w:type="dxa"/>
            <w:vAlign w:val="bottom"/>
            <w:gridSpan w:val="15"/>
          </w:tcPr>
          <w:p>
            <w:pPr>
              <w:ind w:left="40"/>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PART I. Financial Information</w:t>
              </w:r>
            </w:hyperlink>
          </w:p>
        </w:tc>
        <w:tc>
          <w:tcPr>
            <w:tcW w:w="180" w:type="dxa"/>
            <w:vAlign w:val="bottom"/>
            <w:gridSpan w:val="2"/>
          </w:tcPr>
          <w:p>
            <w:pPr>
              <w:jc w:val="right"/>
              <w:spacing w:after="0"/>
              <w:rPr>
                <w:rFonts w:ascii="Arial" w:cs="Arial" w:eastAsia="Arial" w:hAnsi="Arial"/>
                <w:sz w:val="18"/>
                <w:szCs w:val="18"/>
                <w:b w:val="1"/>
                <w:bCs w:val="1"/>
                <w:color w:val="0000EE"/>
              </w:rPr>
            </w:pPr>
            <w:hyperlink w:anchor="page3">
              <w:r>
                <w:rPr>
                  <w:rFonts w:ascii="Arial" w:cs="Arial" w:eastAsia="Arial" w:hAnsi="Arial"/>
                  <w:sz w:val="18"/>
                  <w:szCs w:val="18"/>
                  <w:b w:val="1"/>
                  <w:bCs w:val="1"/>
                  <w:color w:val="0000EE"/>
                </w:rPr>
                <w:t>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1620" w:type="dxa"/>
            <w:vAlign w:val="bottom"/>
            <w:tcBorders>
              <w:bottom w:val="single" w:sz="8" w:color="0000EE"/>
            </w:tcBorders>
            <w:gridSpan w:val="6"/>
          </w:tcPr>
          <w:p>
            <w:pPr>
              <w:spacing w:after="0"/>
              <w:rPr>
                <w:rFonts w:ascii="Arial" w:cs="Arial" w:eastAsia="Arial" w:hAnsi="Arial"/>
                <w:sz w:val="18"/>
                <w:szCs w:val="18"/>
                <w:b w:val="1"/>
                <w:bCs w:val="1"/>
                <w:color w:val="0000EE"/>
                <w:w w:val="88"/>
              </w:rPr>
            </w:pPr>
            <w:hyperlink w:anchor="page3">
              <w:r>
                <w:rPr>
                  <w:rFonts w:ascii="Arial" w:cs="Arial" w:eastAsia="Arial" w:hAnsi="Arial"/>
                  <w:sz w:val="18"/>
                  <w:szCs w:val="18"/>
                  <w:b w:val="1"/>
                  <w:bCs w:val="1"/>
                  <w:color w:val="0000EE"/>
                  <w:w w:val="88"/>
                </w:rPr>
                <w:t>Financial Statements</w:t>
              </w:r>
            </w:hyperlink>
          </w:p>
        </w:tc>
        <w:tc>
          <w:tcPr>
            <w:tcW w:w="7960" w:type="dxa"/>
            <w:vAlign w:val="bottom"/>
            <w:gridSpan w:val="7"/>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Borders>
              <w:bottom w:val="single" w:sz="8" w:color="0000EE"/>
            </w:tcBorders>
          </w:tcPr>
          <w:p>
            <w:pPr>
              <w:jc w:val="right"/>
              <w:spacing w:after="0"/>
              <w:rPr>
                <w:rFonts w:ascii="Arial" w:cs="Arial" w:eastAsia="Arial" w:hAnsi="Arial"/>
                <w:sz w:val="18"/>
                <w:szCs w:val="18"/>
                <w:b w:val="1"/>
                <w:bCs w:val="1"/>
                <w:color w:val="0000EE"/>
                <w:w w:val="79"/>
              </w:rPr>
            </w:pPr>
            <w:hyperlink w:anchor="page3">
              <w:r>
                <w:rPr>
                  <w:rFonts w:ascii="Arial" w:cs="Arial" w:eastAsia="Arial" w:hAnsi="Arial"/>
                  <w:sz w:val="18"/>
                  <w:szCs w:val="18"/>
                  <w:b w:val="1"/>
                  <w:bCs w:val="1"/>
                  <w:color w:val="0000EE"/>
                  <w:w w:val="79"/>
                </w:rPr>
                <w:t>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6840" w:type="dxa"/>
            <w:vAlign w:val="bottom"/>
            <w:tcBorders>
              <w:bottom w:val="single" w:sz="8" w:color="0000EE"/>
            </w:tcBorders>
            <w:gridSpan w:val="12"/>
          </w:tcPr>
          <w:p>
            <w:pPr>
              <w:spacing w:after="0"/>
              <w:rPr>
                <w:rFonts w:ascii="Arial" w:cs="Arial" w:eastAsia="Arial" w:hAnsi="Arial"/>
                <w:sz w:val="18"/>
                <w:szCs w:val="18"/>
                <w:b w:val="1"/>
                <w:bCs w:val="1"/>
                <w:color w:val="0000EE"/>
                <w:w w:val="89"/>
              </w:rPr>
            </w:pPr>
            <w:hyperlink w:anchor="page18">
              <w:r>
                <w:rPr>
                  <w:rFonts w:ascii="Arial" w:cs="Arial" w:eastAsia="Arial" w:hAnsi="Arial"/>
                  <w:sz w:val="18"/>
                  <w:szCs w:val="18"/>
                  <w:b w:val="1"/>
                  <w:bCs w:val="1"/>
                  <w:color w:val="0000EE"/>
                  <w:w w:val="89"/>
                </w:rPr>
                <w:t>Management's Discussion and Analysis of Financial Condition and Results of Operations</w:t>
              </w:r>
            </w:hyperlink>
          </w:p>
        </w:tc>
        <w:tc>
          <w:tcPr>
            <w:tcW w:w="2740" w:type="dxa"/>
            <w:vAlign w:val="bottom"/>
          </w:tcPr>
          <w:p>
            <w:pPr>
              <w:spacing w:after="0"/>
              <w:rPr>
                <w:sz w:val="24"/>
                <w:szCs w:val="24"/>
                <w:color w:val="auto"/>
              </w:rPr>
            </w:pPr>
          </w:p>
        </w:tc>
        <w:tc>
          <w:tcPr>
            <w:tcW w:w="180" w:type="dxa"/>
            <w:vAlign w:val="bottom"/>
            <w:tcBorders>
              <w:bottom w:val="single" w:sz="8" w:color="0000EE"/>
            </w:tcBorders>
            <w:gridSpan w:val="2"/>
          </w:tcPr>
          <w:p>
            <w:pPr>
              <w:jc w:val="right"/>
              <w:spacing w:after="0"/>
              <w:rPr>
                <w:rFonts w:ascii="Arial" w:cs="Arial" w:eastAsia="Arial" w:hAnsi="Arial"/>
                <w:sz w:val="18"/>
                <w:szCs w:val="18"/>
                <w:b w:val="1"/>
                <w:bCs w:val="1"/>
                <w:color w:val="0000EE"/>
                <w:w w:val="79"/>
              </w:rPr>
            </w:pPr>
            <w:hyperlink w:anchor="page18">
              <w:r>
                <w:rPr>
                  <w:rFonts w:ascii="Arial" w:cs="Arial" w:eastAsia="Arial" w:hAnsi="Arial"/>
                  <w:sz w:val="18"/>
                  <w:szCs w:val="18"/>
                  <w:b w:val="1"/>
                  <w:bCs w:val="1"/>
                  <w:color w:val="0000EE"/>
                  <w:w w:val="79"/>
                </w:rPr>
                <w:t>16</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9580" w:type="dxa"/>
            <w:vAlign w:val="bottom"/>
            <w:gridSpan w:val="13"/>
          </w:tcPr>
          <w:p>
            <w:pPr>
              <w:spacing w:after="0"/>
              <w:rPr>
                <w:rFonts w:ascii="Arial" w:cs="Arial" w:eastAsia="Arial" w:hAnsi="Arial"/>
                <w:sz w:val="18"/>
                <w:szCs w:val="18"/>
                <w:b w:val="1"/>
                <w:bCs w:val="1"/>
                <w:color w:val="0000EE"/>
              </w:rPr>
            </w:pPr>
            <w:hyperlink w:anchor="page32">
              <w:r>
                <w:rPr>
                  <w:rFonts w:ascii="Arial" w:cs="Arial" w:eastAsia="Arial" w:hAnsi="Arial"/>
                  <w:sz w:val="18"/>
                  <w:szCs w:val="18"/>
                  <w:b w:val="1"/>
                  <w:bCs w:val="1"/>
                  <w:color w:val="0000EE"/>
                </w:rPr>
                <w:t>Quantitative and Qualitative Disclosures About Market Risk</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920" w:type="dxa"/>
            <w:vAlign w:val="bottom"/>
            <w:tcBorders>
              <w:top w:val="single" w:sz="8" w:color="0000EE"/>
              <w:bottom w:val="single" w:sz="8" w:color="0000EE"/>
            </w:tcBorders>
            <w:gridSpan w:val="8"/>
          </w:tcPr>
          <w:p>
            <w:pPr>
              <w:spacing w:after="0"/>
              <w:rPr>
                <w:rFonts w:ascii="Arial" w:cs="Arial" w:eastAsia="Arial" w:hAnsi="Arial"/>
                <w:sz w:val="18"/>
                <w:szCs w:val="18"/>
                <w:b w:val="1"/>
                <w:bCs w:val="1"/>
                <w:color w:val="0000EE"/>
                <w:w w:val="88"/>
              </w:rPr>
            </w:pPr>
            <w:hyperlink w:anchor="page32">
              <w:r>
                <w:rPr>
                  <w:rFonts w:ascii="Arial" w:cs="Arial" w:eastAsia="Arial" w:hAnsi="Arial"/>
                  <w:sz w:val="18"/>
                  <w:szCs w:val="18"/>
                  <w:b w:val="1"/>
                  <w:bCs w:val="1"/>
                  <w:color w:val="0000EE"/>
                  <w:w w:val="88"/>
                </w:rPr>
                <w:t>Controls and Procedures</w:t>
              </w:r>
            </w:hyperlink>
          </w:p>
        </w:tc>
        <w:tc>
          <w:tcPr>
            <w:tcW w:w="2740" w:type="dxa"/>
            <w:vAlign w:val="bottom"/>
            <w:tcBorders>
              <w:top w:val="single" w:sz="8" w:color="0000EE"/>
            </w:tcBorders>
            <w:gridSpan w:val="3"/>
          </w:tcPr>
          <w:p>
            <w:pPr>
              <w:spacing w:after="0"/>
              <w:rPr>
                <w:sz w:val="24"/>
                <w:szCs w:val="24"/>
                <w:color w:val="auto"/>
              </w:rPr>
            </w:pPr>
          </w:p>
        </w:tc>
        <w:tc>
          <w:tcPr>
            <w:tcW w:w="4920" w:type="dxa"/>
            <w:vAlign w:val="bottom"/>
            <w:gridSpan w:val="2"/>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2">
              <w:r>
                <w:rPr>
                  <w:rFonts w:ascii="Arial" w:cs="Arial" w:eastAsia="Arial" w:hAnsi="Arial"/>
                  <w:sz w:val="18"/>
                  <w:szCs w:val="18"/>
                  <w:b w:val="1"/>
                  <w:bCs w:val="1"/>
                  <w:color w:val="0000EE"/>
                  <w:w w:val="79"/>
                </w:rPr>
                <w:t>30</w:t>
              </w:r>
            </w:hyperlink>
          </w:p>
        </w:tc>
      </w:tr>
      <w:tr>
        <w:trPr>
          <w:trHeight w:val="372"/>
        </w:trPr>
        <w:tc>
          <w:tcPr>
            <w:tcW w:w="11220" w:type="dxa"/>
            <w:vAlign w:val="bottom"/>
            <w:gridSpan w:val="15"/>
          </w:tcPr>
          <w:p>
            <w:pPr>
              <w:ind w:left="40"/>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PART II. 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20"/>
        </w:trPr>
        <w:tc>
          <w:tcPr>
            <w:tcW w:w="40" w:type="dxa"/>
            <w:vAlign w:val="bottom"/>
          </w:tcPr>
          <w:p>
            <w:pPr>
              <w:spacing w:after="0" w:line="20" w:lineRule="exact"/>
              <w:rPr>
                <w:sz w:val="1"/>
                <w:szCs w:val="1"/>
                <w:color w:val="auto"/>
              </w:rPr>
            </w:pPr>
          </w:p>
        </w:tc>
        <w:tc>
          <w:tcPr>
            <w:tcW w:w="160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960" w:type="dxa"/>
            <w:vAlign w:val="bottom"/>
            <w:gridSpan w:val="3"/>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w:t>
            </w:r>
          </w:p>
        </w:tc>
        <w:tc>
          <w:tcPr>
            <w:tcW w:w="9580" w:type="dxa"/>
            <w:vAlign w:val="bottom"/>
            <w:gridSpan w:val="1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Legal Proceedings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1A</w:t>
            </w:r>
          </w:p>
        </w:tc>
        <w:tc>
          <w:tcPr>
            <w:tcW w:w="980" w:type="dxa"/>
            <w:vAlign w:val="bottom"/>
            <w:tcBorders>
              <w:top w:val="single" w:sz="8" w:color="0000EE"/>
              <w:bottom w:val="single" w:sz="8" w:color="0000EE"/>
            </w:tcBorders>
            <w:gridSpan w:val="3"/>
          </w:tcPr>
          <w:p>
            <w:pPr>
              <w:spacing w:after="0"/>
              <w:rPr>
                <w:rFonts w:ascii="Arial" w:cs="Arial" w:eastAsia="Arial" w:hAnsi="Arial"/>
                <w:sz w:val="18"/>
                <w:szCs w:val="18"/>
                <w:b w:val="1"/>
                <w:bCs w:val="1"/>
                <w:color w:val="0000EE"/>
                <w:w w:val="88"/>
              </w:rPr>
            </w:pPr>
            <w:hyperlink w:anchor="page33">
              <w:r>
                <w:rPr>
                  <w:rFonts w:ascii="Arial" w:cs="Arial" w:eastAsia="Arial" w:hAnsi="Arial"/>
                  <w:sz w:val="18"/>
                  <w:szCs w:val="18"/>
                  <w:b w:val="1"/>
                  <w:bCs w:val="1"/>
                  <w:color w:val="0000EE"/>
                  <w:w w:val="88"/>
                </w:rPr>
                <w:t>Risk Factors</w:t>
              </w:r>
            </w:hyperlink>
          </w:p>
        </w:tc>
        <w:tc>
          <w:tcPr>
            <w:tcW w:w="420" w:type="dxa"/>
            <w:vAlign w:val="bottom"/>
            <w:tcBorders>
              <w:top w:val="single" w:sz="8" w:color="0000EE"/>
            </w:tcBorders>
          </w:tcPr>
          <w:p>
            <w:pPr>
              <w:spacing w:after="0"/>
              <w:rPr>
                <w:sz w:val="24"/>
                <w:szCs w:val="24"/>
                <w:color w:val="auto"/>
              </w:rPr>
            </w:pPr>
          </w:p>
        </w:tc>
        <w:tc>
          <w:tcPr>
            <w:tcW w:w="8180" w:type="dxa"/>
            <w:vAlign w:val="bottom"/>
            <w:gridSpan w:val="9"/>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2</w:t>
            </w:r>
          </w:p>
        </w:tc>
        <w:tc>
          <w:tcPr>
            <w:tcW w:w="9580" w:type="dxa"/>
            <w:vAlign w:val="bottom"/>
            <w:gridSpan w:val="13"/>
          </w:tcPr>
          <w:p>
            <w:pPr>
              <w:spacing w:after="0"/>
              <w:rPr>
                <w:rFonts w:ascii="Arial" w:cs="Arial" w:eastAsia="Arial" w:hAnsi="Arial"/>
                <w:sz w:val="18"/>
                <w:szCs w:val="18"/>
                <w:b w:val="1"/>
                <w:bCs w:val="1"/>
                <w:color w:val="0000EE"/>
              </w:rPr>
            </w:pPr>
            <w:hyperlink w:anchor="page33">
              <w:r>
                <w:rPr>
                  <w:rFonts w:ascii="Arial" w:cs="Arial" w:eastAsia="Arial" w:hAnsi="Arial"/>
                  <w:sz w:val="18"/>
                  <w:szCs w:val="18"/>
                  <w:b w:val="1"/>
                  <w:bCs w:val="1"/>
                  <w:color w:val="0000EE"/>
                </w:rPr>
                <w:t>Unregistered Sales of Equity Securities and Use Of Proceeds</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3">
              <w:r>
                <w:rPr>
                  <w:rFonts w:ascii="Arial" w:cs="Arial" w:eastAsia="Arial" w:hAnsi="Arial"/>
                  <w:sz w:val="18"/>
                  <w:szCs w:val="18"/>
                  <w:b w:val="1"/>
                  <w:bCs w:val="1"/>
                  <w:color w:val="0000EE"/>
                  <w:w w:val="79"/>
                </w:rPr>
                <w:t>31</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3</w:t>
            </w:r>
          </w:p>
        </w:tc>
        <w:tc>
          <w:tcPr>
            <w:tcW w:w="4620" w:type="dxa"/>
            <w:vAlign w:val="bottom"/>
            <w:tcBorders>
              <w:top w:val="single" w:sz="8" w:color="0000EE"/>
            </w:tcBorders>
            <w:gridSpan w:val="10"/>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Defaults Upon Senior Securities</w:t>
              </w:r>
            </w:hyperlink>
          </w:p>
        </w:tc>
        <w:tc>
          <w:tcPr>
            <w:tcW w:w="4960" w:type="dxa"/>
            <w:vAlign w:val="bottom"/>
            <w:gridSpan w:val="3"/>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4</w:t>
            </w:r>
          </w:p>
        </w:tc>
        <w:tc>
          <w:tcPr>
            <w:tcW w:w="1840" w:type="dxa"/>
            <w:vAlign w:val="bottom"/>
            <w:tcBorders>
              <w:top w:val="single" w:sz="8" w:color="0000EE"/>
              <w:bottom w:val="single" w:sz="8" w:color="0000EE"/>
            </w:tcBorders>
            <w:gridSpan w:val="7"/>
          </w:tcPr>
          <w:p>
            <w:pPr>
              <w:spacing w:after="0"/>
              <w:rPr>
                <w:rFonts w:ascii="Arial" w:cs="Arial" w:eastAsia="Arial" w:hAnsi="Arial"/>
                <w:sz w:val="18"/>
                <w:szCs w:val="18"/>
                <w:b w:val="1"/>
                <w:bCs w:val="1"/>
                <w:color w:val="0000EE"/>
                <w:w w:val="87"/>
              </w:rPr>
            </w:pPr>
            <w:hyperlink w:anchor="page34">
              <w:r>
                <w:rPr>
                  <w:rFonts w:ascii="Arial" w:cs="Arial" w:eastAsia="Arial" w:hAnsi="Arial"/>
                  <w:sz w:val="18"/>
                  <w:szCs w:val="18"/>
                  <w:b w:val="1"/>
                  <w:bCs w:val="1"/>
                  <w:color w:val="0000EE"/>
                  <w:w w:val="87"/>
                </w:rPr>
                <w:t>Mine Safety Disclosures</w:t>
              </w:r>
            </w:hyperlink>
          </w:p>
        </w:tc>
        <w:tc>
          <w:tcPr>
            <w:tcW w:w="600" w:type="dxa"/>
            <w:vAlign w:val="bottom"/>
            <w:tcBorders>
              <w:top w:val="single" w:sz="8" w:color="0000EE"/>
            </w:tcBorders>
            <w:gridSpan w:val="2"/>
          </w:tcPr>
          <w:p>
            <w:pPr>
              <w:spacing w:after="0"/>
              <w:rPr>
                <w:sz w:val="24"/>
                <w:szCs w:val="24"/>
                <w:color w:val="auto"/>
              </w:rPr>
            </w:pPr>
          </w:p>
        </w:tc>
        <w:tc>
          <w:tcPr>
            <w:tcW w:w="7140" w:type="dxa"/>
            <w:vAlign w:val="bottom"/>
            <w:gridSpan w:val="4"/>
          </w:tcPr>
          <w:p>
            <w:pPr>
              <w:spacing w:after="0"/>
              <w:rPr>
                <w:sz w:val="24"/>
                <w:szCs w:val="24"/>
                <w:color w:val="auto"/>
              </w:rPr>
            </w:pPr>
          </w:p>
        </w:tc>
        <w:tc>
          <w:tcPr>
            <w:tcW w:w="180" w:type="dxa"/>
            <w:vAlign w:val="bottom"/>
            <w:tcBorders>
              <w:top w:val="single" w:sz="8" w:color="0000EE"/>
              <w:bottom w:val="single" w:sz="8" w:color="0000EE"/>
            </w:tcBorders>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5</w:t>
            </w:r>
          </w:p>
        </w:tc>
        <w:tc>
          <w:tcPr>
            <w:tcW w:w="9580" w:type="dxa"/>
            <w:vAlign w:val="bottom"/>
            <w:gridSpan w:val="13"/>
          </w:tcPr>
          <w:p>
            <w:pPr>
              <w:spacing w:after="0"/>
              <w:rPr>
                <w:rFonts w:ascii="Arial" w:cs="Arial" w:eastAsia="Arial" w:hAnsi="Arial"/>
                <w:sz w:val="18"/>
                <w:szCs w:val="18"/>
                <w:b w:val="1"/>
                <w:bCs w:val="1"/>
                <w:color w:val="0000EE"/>
              </w:rPr>
            </w:pPr>
            <w:hyperlink w:anchor="page34">
              <w:r>
                <w:rPr>
                  <w:rFonts w:ascii="Arial" w:cs="Arial" w:eastAsia="Arial" w:hAnsi="Arial"/>
                  <w:sz w:val="18"/>
                  <w:szCs w:val="18"/>
                  <w:b w:val="1"/>
                  <w:bCs w:val="1"/>
                  <w:color w:val="0000EE"/>
                </w:rPr>
                <w:t>Other Information</w:t>
              </w:r>
            </w:hyperlink>
          </w:p>
        </w:tc>
        <w:tc>
          <w:tcPr>
            <w:tcW w:w="180" w:type="dxa"/>
            <w:vAlign w:val="bottom"/>
            <w:gridSpan w:val="2"/>
          </w:tcPr>
          <w:p>
            <w:pPr>
              <w:jc w:val="right"/>
              <w:spacing w:after="0"/>
              <w:rPr>
                <w:rFonts w:ascii="Arial" w:cs="Arial" w:eastAsia="Arial" w:hAnsi="Arial"/>
                <w:sz w:val="18"/>
                <w:szCs w:val="18"/>
                <w:b w:val="1"/>
                <w:bCs w:val="1"/>
                <w:color w:val="0000EE"/>
                <w:w w:val="79"/>
              </w:rPr>
            </w:pPr>
            <w:hyperlink w:anchor="page34">
              <w:r>
                <w:rPr>
                  <w:rFonts w:ascii="Arial" w:cs="Arial" w:eastAsia="Arial" w:hAnsi="Arial"/>
                  <w:sz w:val="18"/>
                  <w:szCs w:val="18"/>
                  <w:b w:val="1"/>
                  <w:bCs w:val="1"/>
                  <w:color w:val="0000EE"/>
                  <w:w w:val="79"/>
                </w:rPr>
                <w:t>32</w:t>
              </w:r>
            </w:hyperlink>
          </w:p>
        </w:tc>
      </w:tr>
      <w:tr>
        <w:trPr>
          <w:trHeight w:val="372"/>
        </w:trPr>
        <w:tc>
          <w:tcPr>
            <w:tcW w:w="40" w:type="dxa"/>
            <w:vAlign w:val="bottom"/>
          </w:tcPr>
          <w:p>
            <w:pPr>
              <w:spacing w:after="0"/>
              <w:rPr>
                <w:sz w:val="24"/>
                <w:szCs w:val="24"/>
                <w:color w:val="auto"/>
              </w:rPr>
            </w:pPr>
          </w:p>
        </w:tc>
        <w:tc>
          <w:tcPr>
            <w:tcW w:w="1600" w:type="dxa"/>
            <w:vAlign w:val="bottom"/>
          </w:tcPr>
          <w:p>
            <w:pPr>
              <w:ind w:left="340"/>
              <w:spacing w:after="0"/>
              <w:rPr>
                <w:sz w:val="20"/>
                <w:szCs w:val="20"/>
                <w:color w:val="auto"/>
              </w:rPr>
            </w:pPr>
            <w:r>
              <w:rPr>
                <w:rFonts w:ascii="Arial" w:cs="Arial" w:eastAsia="Arial" w:hAnsi="Arial"/>
                <w:sz w:val="18"/>
                <w:szCs w:val="18"/>
                <w:b w:val="1"/>
                <w:bCs w:val="1"/>
                <w:color w:val="auto"/>
              </w:rPr>
              <w:t>ITEM 6</w:t>
            </w:r>
          </w:p>
        </w:tc>
        <w:tc>
          <w:tcPr>
            <w:tcW w:w="1440" w:type="dxa"/>
            <w:vAlign w:val="bottom"/>
            <w:tcBorders>
              <w:top w:val="single" w:sz="8" w:color="0000EE"/>
            </w:tcBorders>
            <w:gridSpan w:val="5"/>
          </w:tcPr>
          <w:p>
            <w:pPr>
              <w:spacing w:after="0"/>
              <w:rPr>
                <w:rFonts w:ascii="Arial" w:cs="Arial" w:eastAsia="Arial" w:hAnsi="Arial"/>
                <w:sz w:val="18"/>
                <w:szCs w:val="18"/>
                <w:b w:val="1"/>
                <w:bCs w:val="1"/>
                <w:color w:val="0000EE"/>
              </w:rPr>
            </w:pPr>
            <w:hyperlink w:anchor="page35">
              <w:r>
                <w:rPr>
                  <w:rFonts w:ascii="Arial" w:cs="Arial" w:eastAsia="Arial" w:hAnsi="Arial"/>
                  <w:sz w:val="18"/>
                  <w:szCs w:val="18"/>
                  <w:b w:val="1"/>
                  <w:bCs w:val="1"/>
                  <w:color w:val="0000EE"/>
                </w:rPr>
                <w:t>Exhibits</w:t>
              </w:r>
            </w:hyperlink>
          </w:p>
        </w:tc>
        <w:tc>
          <w:tcPr>
            <w:tcW w:w="8140" w:type="dxa"/>
            <w:vAlign w:val="bottom"/>
            <w:gridSpan w:val="8"/>
          </w:tcPr>
          <w:p>
            <w:pPr>
              <w:spacing w:after="0"/>
              <w:rPr>
                <w:sz w:val="24"/>
                <w:szCs w:val="24"/>
                <w:color w:val="auto"/>
              </w:rPr>
            </w:pPr>
          </w:p>
        </w:tc>
        <w:tc>
          <w:tcPr>
            <w:tcW w:w="180" w:type="dxa"/>
            <w:vAlign w:val="bottom"/>
            <w:tcBorders>
              <w:top w:val="single" w:sz="8" w:color="0000EE"/>
            </w:tcBorders>
            <w:gridSpan w:val="2"/>
          </w:tcPr>
          <w:p>
            <w:pPr>
              <w:jc w:val="right"/>
              <w:spacing w:after="0"/>
              <w:rPr>
                <w:rFonts w:ascii="Arial" w:cs="Arial" w:eastAsia="Arial" w:hAnsi="Arial"/>
                <w:sz w:val="18"/>
                <w:szCs w:val="18"/>
                <w:b w:val="1"/>
                <w:bCs w:val="1"/>
                <w:color w:val="0000EE"/>
                <w:w w:val="79"/>
              </w:rPr>
            </w:pPr>
            <w:hyperlink w:anchor="page35">
              <w:r>
                <w:rPr>
                  <w:rFonts w:ascii="Arial" w:cs="Arial" w:eastAsia="Arial" w:hAnsi="Arial"/>
                  <w:sz w:val="18"/>
                  <w:szCs w:val="18"/>
                  <w:b w:val="1"/>
                  <w:bCs w:val="1"/>
                  <w:color w:val="0000EE"/>
                  <w:w w:val="79"/>
                </w:rPr>
                <w:t>33</w:t>
              </w:r>
            </w:hyperlink>
          </w:p>
        </w:tc>
      </w:tr>
      <w:tr>
        <w:trPr>
          <w:trHeight w:val="20"/>
        </w:trPr>
        <w:tc>
          <w:tcPr>
            <w:tcW w:w="4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r>
    </w:tbl>
    <w:p>
      <w:pPr>
        <w:sectPr>
          <w:pgSz w:w="11900" w:h="16838" w:orient="portrait"/>
          <w:cols w:equalWidth="0" w:num="1">
            <w:col w:w="11400"/>
          </w:cols>
          <w:pgMar w:left="240" w:top="1013" w:right="259" w:bottom="1440" w:gutter="0" w:footer="0" w:header="0"/>
        </w:sectPr>
      </w:pPr>
    </w:p>
    <w:bookmarkStart w:id="2" w:name="page3"/>
    <w:bookmarkEnd w:id="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40" w:type="dxa"/>
            <w:vAlign w:val="bottom"/>
          </w:tcPr>
          <w:p>
            <w:pPr>
              <w:spacing w:after="0"/>
              <w:rPr>
                <w:sz w:val="20"/>
                <w:szCs w:val="20"/>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540" w:type="dxa"/>
            <w:vAlign w:val="bottom"/>
          </w:tcPr>
          <w:p>
            <w:pPr>
              <w:spacing w:after="0"/>
              <w:rPr>
                <w:sz w:val="20"/>
                <w:szCs w:val="20"/>
                <w:color w:val="auto"/>
              </w:rPr>
            </w:pPr>
            <w:r>
              <w:rPr>
                <w:rFonts w:ascii="Arial" w:cs="Arial" w:eastAsia="Arial" w:hAnsi="Arial"/>
                <w:sz w:val="18"/>
                <w:szCs w:val="18"/>
                <w:b w:val="1"/>
                <w:bCs w:val="1"/>
                <w:color w:val="auto"/>
                <w:w w:val="91"/>
              </w:rPr>
              <w:t>Item 1</w:t>
            </w:r>
            <w:r>
              <w:rPr>
                <w:rFonts w:ascii="Arial" w:cs="Arial" w:eastAsia="Arial" w:hAnsi="Arial"/>
                <w:sz w:val="18"/>
                <w:szCs w:val="18"/>
                <w:b w:val="1"/>
                <w:bCs w:val="1"/>
                <w:i w:val="1"/>
                <w:iCs w:val="1"/>
                <w:color w:val="auto"/>
                <w:w w:val="91"/>
              </w:rPr>
              <w:t>.</w:t>
            </w:r>
          </w:p>
        </w:tc>
        <w:tc>
          <w:tcPr>
            <w:tcW w:w="7800" w:type="dxa"/>
            <w:vAlign w:val="bottom"/>
          </w:tcPr>
          <w:p>
            <w:pPr>
              <w:ind w:left="440"/>
              <w:spacing w:after="0"/>
              <w:rPr>
                <w:sz w:val="20"/>
                <w:szCs w:val="20"/>
                <w:color w:val="auto"/>
              </w:rPr>
            </w:pPr>
            <w:r>
              <w:rPr>
                <w:rFonts w:ascii="Arial" w:cs="Arial" w:eastAsia="Arial" w:hAnsi="Arial"/>
                <w:sz w:val="18"/>
                <w:szCs w:val="18"/>
                <w:b w:val="1"/>
                <w:bCs w:val="1"/>
                <w:color w:val="auto"/>
              </w:rPr>
              <w:t>Financial Statements</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540" w:type="dxa"/>
            <w:vAlign w:val="bottom"/>
          </w:tcPr>
          <w:p>
            <w:pPr>
              <w:spacing w:after="0"/>
              <w:rPr>
                <w:sz w:val="24"/>
                <w:szCs w:val="24"/>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rPr>
              <w:t>BOOZ ALLEN HAMILTON HOLDING CORPORATION</w:t>
            </w:r>
          </w:p>
        </w:tc>
        <w:tc>
          <w:tcPr>
            <w:tcW w:w="14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 w:type="dxa"/>
            <w:vAlign w:val="bottom"/>
          </w:tcPr>
          <w:p>
            <w:pPr>
              <w:spacing w:after="0"/>
              <w:rPr>
                <w:sz w:val="23"/>
                <w:szCs w:val="23"/>
                <w:color w:val="auto"/>
              </w:rPr>
            </w:pPr>
          </w:p>
        </w:tc>
        <w:tc>
          <w:tcPr>
            <w:tcW w:w="7800" w:type="dxa"/>
            <w:vAlign w:val="bottom"/>
          </w:tcPr>
          <w:p>
            <w:pPr>
              <w:jc w:val="center"/>
              <w:ind w:left="2450"/>
              <w:spacing w:after="0"/>
              <w:rPr>
                <w:sz w:val="20"/>
                <w:szCs w:val="20"/>
                <w:color w:val="auto"/>
              </w:rPr>
            </w:pPr>
            <w:r>
              <w:rPr>
                <w:rFonts w:ascii="Arial" w:cs="Arial" w:eastAsia="Arial" w:hAnsi="Arial"/>
                <w:sz w:val="18"/>
                <w:szCs w:val="18"/>
                <w:b w:val="1"/>
                <w:bCs w:val="1"/>
                <w:color w:val="auto"/>
                <w:w w:val="99"/>
              </w:rPr>
              <w:t>CONDENSED CONSOLIDATED BALANCE SHEETS</w:t>
            </w:r>
          </w:p>
        </w:tc>
        <w:tc>
          <w:tcPr>
            <w:tcW w:w="140" w:type="dxa"/>
            <w:vAlign w:val="bottom"/>
          </w:tcPr>
          <w:p>
            <w:pPr>
              <w:spacing w:after="0"/>
              <w:rPr>
                <w:sz w:val="23"/>
                <w:szCs w:val="23"/>
                <w:color w:val="auto"/>
              </w:rPr>
            </w:pPr>
          </w:p>
        </w:tc>
        <w:tc>
          <w:tcPr>
            <w:tcW w:w="13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9"/>
        </w:trPr>
        <w:tc>
          <w:tcPr>
            <w:tcW w:w="540" w:type="dxa"/>
            <w:vAlign w:val="bottom"/>
          </w:tcPr>
          <w:p>
            <w:pPr>
              <w:spacing w:after="0"/>
              <w:rPr>
                <w:sz w:val="24"/>
                <w:szCs w:val="24"/>
                <w:color w:val="auto"/>
              </w:rPr>
            </w:pPr>
          </w:p>
        </w:tc>
        <w:tc>
          <w:tcPr>
            <w:tcW w:w="78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September 30,</w:t>
            </w:r>
          </w:p>
        </w:tc>
        <w:tc>
          <w:tcPr>
            <w:tcW w:w="220" w:type="dxa"/>
            <w:vAlign w:val="bottom"/>
          </w:tcPr>
          <w:p>
            <w:pPr>
              <w:spacing w:after="0"/>
              <w:rPr>
                <w:sz w:val="24"/>
                <w:szCs w:val="24"/>
                <w:color w:val="auto"/>
              </w:rPr>
            </w:pPr>
          </w:p>
        </w:tc>
        <w:tc>
          <w:tcPr>
            <w:tcW w:w="1260" w:type="dxa"/>
            <w:vAlign w:val="bottom"/>
          </w:tcPr>
          <w:p>
            <w:pPr>
              <w:jc w:val="right"/>
              <w:ind w:right="270"/>
              <w:spacing w:after="0"/>
              <w:rPr>
                <w:sz w:val="20"/>
                <w:szCs w:val="20"/>
                <w:color w:val="auto"/>
              </w:rPr>
            </w:pPr>
            <w:r>
              <w:rPr>
                <w:rFonts w:ascii="Arial" w:cs="Arial" w:eastAsia="Arial" w:hAnsi="Arial"/>
                <w:sz w:val="18"/>
                <w:szCs w:val="18"/>
                <w:b w:val="1"/>
                <w:bCs w:val="1"/>
                <w:color w:val="auto"/>
              </w:rPr>
              <w:t>March 31,</w:t>
            </w:r>
          </w:p>
        </w:tc>
        <w:tc>
          <w:tcPr>
            <w:tcW w:w="0" w:type="dxa"/>
            <w:vAlign w:val="bottom"/>
          </w:tcPr>
          <w:p>
            <w:pPr>
              <w:spacing w:after="0"/>
              <w:rPr>
                <w:sz w:val="1"/>
                <w:szCs w:val="1"/>
                <w:color w:val="auto"/>
              </w:rPr>
            </w:pPr>
          </w:p>
        </w:tc>
      </w:tr>
      <w:tr>
        <w:trPr>
          <w:trHeight w:val="234"/>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tcPr>
          <w:p>
            <w:pPr>
              <w:jc w:val="center"/>
              <w:ind w:right="31"/>
              <w:spacing w:after="0"/>
              <w:rPr>
                <w:sz w:val="20"/>
                <w:szCs w:val="20"/>
                <w:color w:val="auto"/>
              </w:rPr>
            </w:pPr>
            <w:r>
              <w:rPr>
                <w:rFonts w:ascii="Arial" w:cs="Arial" w:eastAsia="Arial" w:hAnsi="Arial"/>
                <w:sz w:val="18"/>
                <w:szCs w:val="18"/>
                <w:b w:val="1"/>
                <w:bCs w:val="1"/>
                <w:color w:val="auto"/>
                <w:w w:val="89"/>
              </w:rPr>
              <w:t>2016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2016</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6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3"/>
              </w:rPr>
              <w:t>(Unaudited)</w:t>
            </w:r>
          </w:p>
        </w:tc>
        <w:tc>
          <w:tcPr>
            <w:tcW w:w="2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40" w:type="dxa"/>
            <w:vAlign w:val="bottom"/>
          </w:tcPr>
          <w:p>
            <w:pPr>
              <w:spacing w:after="0"/>
              <w:rPr>
                <w:sz w:val="21"/>
                <w:szCs w:val="21"/>
                <w:color w:val="auto"/>
              </w:rPr>
            </w:pPr>
          </w:p>
        </w:tc>
        <w:tc>
          <w:tcPr>
            <w:tcW w:w="78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940" w:type="dxa"/>
            <w:vAlign w:val="bottom"/>
            <w:gridSpan w:val="4"/>
          </w:tcPr>
          <w:p>
            <w:pPr>
              <w:jc w:val="right"/>
              <w:ind w:right="370"/>
              <w:spacing w:after="0"/>
              <w:rPr>
                <w:sz w:val="20"/>
                <w:szCs w:val="20"/>
                <w:color w:val="auto"/>
              </w:rPr>
            </w:pPr>
            <w:r>
              <w:rPr>
                <w:rFonts w:ascii="Arial" w:cs="Arial" w:eastAsia="Arial" w:hAnsi="Arial"/>
                <w:sz w:val="16"/>
                <w:szCs w:val="16"/>
                <w:b w:val="1"/>
                <w:bCs w:val="1"/>
                <w:color w:val="auto"/>
              </w:rPr>
              <w:t>(Amounts in thousands, except</w:t>
            </w:r>
          </w:p>
        </w:tc>
        <w:tc>
          <w:tcPr>
            <w:tcW w:w="0" w:type="dxa"/>
            <w:vAlign w:val="bottom"/>
          </w:tcPr>
          <w:p>
            <w:pPr>
              <w:spacing w:after="0"/>
              <w:rPr>
                <w:sz w:val="1"/>
                <w:szCs w:val="1"/>
                <w:color w:val="auto"/>
              </w:rPr>
            </w:pPr>
          </w:p>
        </w:tc>
      </w:tr>
      <w:tr>
        <w:trPr>
          <w:trHeight w:val="210"/>
        </w:trPr>
        <w:tc>
          <w:tcPr>
            <w:tcW w:w="540" w:type="dxa"/>
            <w:vAlign w:val="bottom"/>
          </w:tcPr>
          <w:p>
            <w:pPr>
              <w:spacing w:after="0"/>
              <w:rPr>
                <w:sz w:val="18"/>
                <w:szCs w:val="18"/>
                <w:color w:val="auto"/>
              </w:rPr>
            </w:pPr>
          </w:p>
        </w:tc>
        <w:tc>
          <w:tcPr>
            <w:tcW w:w="78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940" w:type="dxa"/>
            <w:vAlign w:val="bottom"/>
            <w:gridSpan w:val="4"/>
          </w:tcPr>
          <w:p>
            <w:pPr>
              <w:jc w:val="right"/>
              <w:ind w:right="550"/>
              <w:spacing w:after="0"/>
              <w:rPr>
                <w:sz w:val="20"/>
                <w:szCs w:val="20"/>
                <w:color w:val="auto"/>
              </w:rPr>
            </w:pPr>
            <w:r>
              <w:rPr>
                <w:rFonts w:ascii="Arial" w:cs="Arial" w:eastAsia="Arial" w:hAnsi="Arial"/>
                <w:sz w:val="16"/>
                <w:szCs w:val="16"/>
                <w:b w:val="1"/>
                <w:bCs w:val="1"/>
                <w:color w:val="auto"/>
              </w:rPr>
              <w:t>share and per share data)</w:t>
            </w:r>
          </w:p>
        </w:tc>
        <w:tc>
          <w:tcPr>
            <w:tcW w:w="0" w:type="dxa"/>
            <w:vAlign w:val="bottom"/>
          </w:tcPr>
          <w:p>
            <w:pPr>
              <w:spacing w:after="0"/>
              <w:rPr>
                <w:sz w:val="1"/>
                <w:szCs w:val="1"/>
                <w:color w:val="auto"/>
              </w:rPr>
            </w:pPr>
          </w:p>
        </w:tc>
      </w:tr>
      <w:tr>
        <w:trPr>
          <w:trHeight w:val="33"/>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3300"/>
              <w:spacing w:after="0"/>
              <w:rPr>
                <w:sz w:val="20"/>
                <w:szCs w:val="20"/>
                <w:color w:val="auto"/>
              </w:rPr>
            </w:pPr>
            <w:r>
              <w:rPr>
                <w:rFonts w:ascii="Arial" w:cs="Arial" w:eastAsia="Arial" w:hAnsi="Arial"/>
                <w:sz w:val="18"/>
                <w:szCs w:val="18"/>
                <w:b w:val="1"/>
                <w:bCs w:val="1"/>
                <w:color w:val="auto"/>
              </w:rPr>
              <w:t>ASSETS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Cash and cash equivalents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307,223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187,529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Accounts receivable, net of allowance</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872,655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892,289</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Prepaid expenses and other current assets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91,935</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109,953</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assets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1,271,813</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1,189,771</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Property and equipment, net of accumulated depreciation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128,266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130,169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Intangible assets, net of accumulated amortization</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214,438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220,658</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1,361,913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1,361,913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assets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117,189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107,660</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assets</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3,093,619</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3,010,171</w:t>
            </w:r>
          </w:p>
        </w:tc>
        <w:tc>
          <w:tcPr>
            <w:tcW w:w="0" w:type="dxa"/>
            <w:vAlign w:val="bottom"/>
          </w:tcPr>
          <w:p>
            <w:pPr>
              <w:spacing w:after="0"/>
              <w:rPr>
                <w:sz w:val="1"/>
                <w:szCs w:val="1"/>
                <w:color w:val="auto"/>
              </w:rPr>
            </w:pPr>
          </w:p>
        </w:tc>
      </w:tr>
      <w:tr>
        <w:trPr>
          <w:trHeight w:val="20"/>
        </w:trPr>
        <w:tc>
          <w:tcPr>
            <w:tcW w:w="540" w:type="dxa"/>
            <w:vAlign w:val="bottom"/>
            <w:tcBorders>
              <w:top w:val="single" w:sz="8" w:color="CCEEFF"/>
            </w:tcBorders>
          </w:tcPr>
          <w:p>
            <w:pPr>
              <w:spacing w:after="0" w:line="20" w:lineRule="exact"/>
              <w:rPr>
                <w:sz w:val="1"/>
                <w:szCs w:val="1"/>
                <w:color w:val="auto"/>
              </w:rPr>
            </w:pPr>
          </w:p>
        </w:tc>
        <w:tc>
          <w:tcPr>
            <w:tcW w:w="7800" w:type="dxa"/>
            <w:vAlign w:val="bottom"/>
            <w:tcBorders>
              <w:top w:val="single" w:sz="8" w:color="CCEEFF"/>
              <w:bottom w:val="single" w:sz="8" w:color="CCEEFF"/>
            </w:tcBorders>
            <w:vMerge w:val="restart"/>
          </w:tcPr>
          <w:p>
            <w:pPr>
              <w:ind w:left="1680"/>
              <w:spacing w:after="0"/>
              <w:rPr>
                <w:sz w:val="20"/>
                <w:szCs w:val="20"/>
                <w:color w:val="auto"/>
              </w:rPr>
            </w:pPr>
            <w:r>
              <w:rPr>
                <w:rFonts w:ascii="Arial" w:cs="Arial" w:eastAsia="Arial" w:hAnsi="Arial"/>
                <w:sz w:val="18"/>
                <w:szCs w:val="18"/>
                <w:b w:val="1"/>
                <w:bCs w:val="1"/>
                <w:color w:val="auto"/>
              </w:rPr>
              <w:t>LIABILITIES AND STOCKHOLDERS’ EQUITY</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40" w:type="dxa"/>
            <w:vAlign w:val="bottom"/>
          </w:tcPr>
          <w:p>
            <w:pPr>
              <w:spacing w:after="0"/>
              <w:rPr>
                <w:sz w:val="17"/>
                <w:szCs w:val="17"/>
                <w:color w:val="auto"/>
              </w:rPr>
            </w:pPr>
          </w:p>
        </w:tc>
        <w:tc>
          <w:tcPr>
            <w:tcW w:w="7800" w:type="dxa"/>
            <w:vAlign w:val="bottom"/>
            <w:vMerge w:val="continue"/>
          </w:tcPr>
          <w:p>
            <w:pPr>
              <w:spacing w:after="0"/>
              <w:rPr>
                <w:sz w:val="17"/>
                <w:szCs w:val="17"/>
                <w:color w:val="auto"/>
              </w:rPr>
            </w:pPr>
          </w:p>
        </w:tc>
        <w:tc>
          <w:tcPr>
            <w:tcW w:w="1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8340" w:type="dxa"/>
            <w:vAlign w:val="bottom"/>
            <w:gridSpan w:val="2"/>
          </w:tcPr>
          <w:p>
            <w:pPr>
              <w:spacing w:after="0"/>
              <w:rPr>
                <w:sz w:val="4"/>
                <w:szCs w:val="4"/>
                <w:color w:val="auto"/>
              </w:rPr>
            </w:pPr>
          </w:p>
        </w:tc>
        <w:tc>
          <w:tcPr>
            <w:tcW w:w="140" w:type="dxa"/>
            <w:vAlign w:val="bottom"/>
          </w:tcPr>
          <w:p>
            <w:pPr>
              <w:spacing w:after="0"/>
              <w:rPr>
                <w:sz w:val="4"/>
                <w:szCs w:val="4"/>
                <w:color w:val="auto"/>
              </w:rPr>
            </w:pPr>
          </w:p>
        </w:tc>
        <w:tc>
          <w:tcPr>
            <w:tcW w:w="1360" w:type="dxa"/>
            <w:vAlign w:val="bottom"/>
          </w:tcPr>
          <w:p>
            <w:pPr>
              <w:spacing w:after="0"/>
              <w:rPr>
                <w:sz w:val="4"/>
                <w:szCs w:val="4"/>
                <w:color w:val="auto"/>
              </w:rPr>
            </w:pPr>
          </w:p>
        </w:tc>
        <w:tc>
          <w:tcPr>
            <w:tcW w:w="100" w:type="dxa"/>
            <w:vAlign w:val="bottom"/>
          </w:tcPr>
          <w:p>
            <w:pPr>
              <w:spacing w:after="0"/>
              <w:rPr>
                <w:sz w:val="4"/>
                <w:szCs w:val="4"/>
                <w:color w:val="auto"/>
              </w:rPr>
            </w:pPr>
          </w:p>
        </w:tc>
        <w:tc>
          <w:tcPr>
            <w:tcW w:w="220" w:type="dxa"/>
            <w:vAlign w:val="bottom"/>
          </w:tcPr>
          <w:p>
            <w:pPr>
              <w:spacing w:after="0"/>
              <w:rPr>
                <w:sz w:val="4"/>
                <w:szCs w:val="4"/>
                <w:color w:val="auto"/>
              </w:rPr>
            </w:pPr>
          </w:p>
        </w:tc>
        <w:tc>
          <w:tcPr>
            <w:tcW w:w="1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Current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Current portion of long-term debt</w:t>
            </w: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63,150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112,813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Accounts payable and other accrued expenses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467,914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484,769</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Accrued compensation and benefits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235,926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241,367</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Other current liabilities</w:t>
            </w:r>
          </w:p>
        </w:tc>
        <w:tc>
          <w:tcPr>
            <w:tcW w:w="14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123,157</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100,964</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current liabilities</w:t>
            </w:r>
          </w:p>
        </w:tc>
        <w:tc>
          <w:tcPr>
            <w:tcW w:w="14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890,147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939,913</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Long-term debt, net of current portion</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1,499,967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1,484,448</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long-term liabilities</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187,168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177,322</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40" w:type="dxa"/>
            <w:vAlign w:val="bottom"/>
            <w:tcBorders>
              <w:bottom w:val="single" w:sz="8" w:color="CCEEFF"/>
            </w:tcBorders>
            <w:shd w:val="clear" w:color="auto" w:fill="CCEEFF"/>
          </w:tcPr>
          <w:p>
            <w:pPr>
              <w:spacing w:after="0"/>
              <w:rPr>
                <w:sz w:val="21"/>
                <w:szCs w:val="21"/>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liabilities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2,577,282</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2,601,683</w:t>
            </w:r>
          </w:p>
        </w:tc>
        <w:tc>
          <w:tcPr>
            <w:tcW w:w="0" w:type="dxa"/>
            <w:vAlign w:val="bottom"/>
          </w:tcPr>
          <w:p>
            <w:pPr>
              <w:spacing w:after="0"/>
              <w:rPr>
                <w:sz w:val="1"/>
                <w:szCs w:val="1"/>
                <w:color w:val="auto"/>
              </w:rPr>
            </w:pPr>
          </w:p>
        </w:tc>
      </w:tr>
      <w:tr>
        <w:trPr>
          <w:trHeight w:val="243"/>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16)</w:t>
            </w:r>
          </w:p>
        </w:tc>
        <w:tc>
          <w:tcPr>
            <w:tcW w:w="1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Stockholders’ equity:</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8340" w:type="dxa"/>
            <w:vAlign w:val="bottom"/>
            <w:gridSpan w:val="2"/>
          </w:tcPr>
          <w:p>
            <w:pPr>
              <w:ind w:left="380"/>
              <w:spacing w:after="0"/>
              <w:rPr>
                <w:sz w:val="20"/>
                <w:szCs w:val="20"/>
                <w:color w:val="auto"/>
              </w:rPr>
            </w:pPr>
            <w:r>
              <w:rPr>
                <w:rFonts w:ascii="Arial" w:cs="Arial" w:eastAsia="Arial" w:hAnsi="Arial"/>
                <w:sz w:val="18"/>
                <w:szCs w:val="18"/>
                <w:color w:val="auto"/>
                <w:w w:val="90"/>
              </w:rPr>
              <w:t>Common stock, Class A — $0.01 par value — authorized, 600,000,000 shares; issued, 154,699,626 shares at</w:t>
            </w:r>
          </w:p>
        </w:tc>
        <w:tc>
          <w:tcPr>
            <w:tcW w:w="14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40" w:type="dxa"/>
            <w:vAlign w:val="bottom"/>
          </w:tcPr>
          <w:p>
            <w:pPr>
              <w:spacing w:after="0"/>
              <w:rPr>
                <w:sz w:val="18"/>
                <w:szCs w:val="18"/>
                <w:color w:val="auto"/>
              </w:rPr>
            </w:pPr>
          </w:p>
        </w:tc>
        <w:tc>
          <w:tcPr>
            <w:tcW w:w="7800" w:type="dxa"/>
            <w:vAlign w:val="bottom"/>
          </w:tcPr>
          <w:p>
            <w:pPr>
              <w:spacing w:after="0"/>
              <w:rPr>
                <w:sz w:val="20"/>
                <w:szCs w:val="20"/>
                <w:color w:val="auto"/>
              </w:rPr>
            </w:pPr>
            <w:r>
              <w:rPr>
                <w:rFonts w:ascii="Arial" w:cs="Arial" w:eastAsia="Arial" w:hAnsi="Arial"/>
                <w:sz w:val="18"/>
                <w:szCs w:val="18"/>
                <w:color w:val="auto"/>
                <w:w w:val="96"/>
              </w:rPr>
              <w:t>September 30, 2016 and 153,391,058 shares at March 31, 2016; outstanding, 149,071,762 shares at</w:t>
            </w:r>
          </w:p>
        </w:tc>
        <w:tc>
          <w:tcPr>
            <w:tcW w:w="14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40" w:type="dxa"/>
            <w:vAlign w:val="bottom"/>
          </w:tcPr>
          <w:p>
            <w:pPr>
              <w:spacing w:after="0"/>
              <w:rPr>
                <w:sz w:val="20"/>
                <w:szCs w:val="20"/>
                <w:color w:val="auto"/>
              </w:rPr>
            </w:pPr>
          </w:p>
        </w:tc>
        <w:tc>
          <w:tcPr>
            <w:tcW w:w="7800" w:type="dxa"/>
            <w:vAlign w:val="bottom"/>
          </w:tcPr>
          <w:p>
            <w:pPr>
              <w:spacing w:after="0"/>
              <w:rPr>
                <w:sz w:val="20"/>
                <w:szCs w:val="20"/>
                <w:color w:val="auto"/>
              </w:rPr>
            </w:pPr>
            <w:r>
              <w:rPr>
                <w:rFonts w:ascii="Arial" w:cs="Arial" w:eastAsia="Arial" w:hAnsi="Arial"/>
                <w:sz w:val="18"/>
                <w:szCs w:val="18"/>
                <w:color w:val="auto"/>
              </w:rPr>
              <w:t>September 30, 2016 and 147,992,462 shares at March 31, 2016</w:t>
            </w:r>
          </w:p>
        </w:tc>
        <w:tc>
          <w:tcPr>
            <w:tcW w:w="140" w:type="dxa"/>
            <w:vAlign w:val="bottom"/>
          </w:tcPr>
          <w:p>
            <w:pPr>
              <w:spacing w:after="0"/>
              <w:rPr>
                <w:sz w:val="20"/>
                <w:szCs w:val="20"/>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1,546</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1,534</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w w:val="91"/>
              </w:rPr>
              <w:t>Treasury stock, at cost — 5,627,864 shares at September 30, 2016 and 5,398,596 shares at March 31, 2016</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(142,299)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(135,445)</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Additional paid-in capital</w:t>
            </w:r>
          </w:p>
        </w:tc>
        <w:tc>
          <w:tcPr>
            <w:tcW w:w="140" w:type="dxa"/>
            <w:vAlign w:val="bottom"/>
          </w:tcPr>
          <w:p>
            <w:pPr>
              <w:spacing w:after="0"/>
              <w:rPr>
                <w:sz w:val="21"/>
                <w:szCs w:val="21"/>
                <w:color w:val="auto"/>
              </w:rPr>
            </w:pPr>
          </w:p>
        </w:tc>
        <w:tc>
          <w:tcPr>
            <w:tcW w:w="1360" w:type="dxa"/>
            <w:vAlign w:val="bottom"/>
          </w:tcPr>
          <w:p>
            <w:pPr>
              <w:jc w:val="right"/>
              <w:ind w:right="11"/>
              <w:spacing w:after="0"/>
              <w:rPr>
                <w:sz w:val="20"/>
                <w:szCs w:val="20"/>
                <w:color w:val="auto"/>
              </w:rPr>
            </w:pPr>
            <w:r>
              <w:rPr>
                <w:rFonts w:ascii="Arial" w:cs="Arial" w:eastAsia="Arial" w:hAnsi="Arial"/>
                <w:sz w:val="18"/>
                <w:szCs w:val="18"/>
                <w:color w:val="auto"/>
              </w:rPr>
              <w:t>271,393</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243,475</w:t>
            </w:r>
          </w:p>
        </w:tc>
        <w:tc>
          <w:tcPr>
            <w:tcW w:w="0" w:type="dxa"/>
            <w:vAlign w:val="bottom"/>
          </w:tcPr>
          <w:p>
            <w:pPr>
              <w:spacing w:after="0"/>
              <w:rPr>
                <w:sz w:val="1"/>
                <w:szCs w:val="1"/>
                <w:color w:val="auto"/>
              </w:rPr>
            </w:pPr>
          </w:p>
        </w:tc>
      </w:tr>
      <w:tr>
        <w:trPr>
          <w:trHeight w:val="27"/>
        </w:trPr>
        <w:tc>
          <w:tcPr>
            <w:tcW w:w="834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834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8"/>
                <w:szCs w:val="18"/>
                <w:color w:val="auto"/>
              </w:rPr>
              <w:t>Retained earnings</w:t>
            </w:r>
          </w:p>
        </w:tc>
        <w:tc>
          <w:tcPr>
            <w:tcW w:w="14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404,396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318,537</w:t>
            </w:r>
          </w:p>
        </w:tc>
        <w:tc>
          <w:tcPr>
            <w:tcW w:w="0" w:type="dxa"/>
            <w:vAlign w:val="bottom"/>
          </w:tcPr>
          <w:p>
            <w:pPr>
              <w:spacing w:after="0"/>
              <w:rPr>
                <w:sz w:val="1"/>
                <w:szCs w:val="1"/>
                <w:color w:val="auto"/>
              </w:rPr>
            </w:pPr>
          </w:p>
        </w:tc>
      </w:tr>
      <w:tr>
        <w:trPr>
          <w:trHeight w:val="243"/>
        </w:trPr>
        <w:tc>
          <w:tcPr>
            <w:tcW w:w="8340" w:type="dxa"/>
            <w:vAlign w:val="bottom"/>
            <w:gridSpan w:val="2"/>
          </w:tcPr>
          <w:p>
            <w:pPr>
              <w:ind w:left="380"/>
              <w:spacing w:after="0"/>
              <w:rPr>
                <w:sz w:val="20"/>
                <w:szCs w:val="20"/>
                <w:color w:val="auto"/>
              </w:rPr>
            </w:pPr>
            <w:r>
              <w:rPr>
                <w:rFonts w:ascii="Arial" w:cs="Arial" w:eastAsia="Arial" w:hAnsi="Arial"/>
                <w:sz w:val="18"/>
                <w:szCs w:val="18"/>
                <w:color w:val="auto"/>
              </w:rPr>
              <w:t>Accumulated other comprehensive loss</w:t>
            </w:r>
          </w:p>
        </w:tc>
        <w:tc>
          <w:tcPr>
            <w:tcW w:w="14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(19,613)</w:t>
            </w:r>
          </w:p>
        </w:tc>
        <w:tc>
          <w:tcPr>
            <w:tcW w:w="0" w:type="dxa"/>
            <w:vAlign w:val="bottom"/>
          </w:tcPr>
          <w:p>
            <w:pPr>
              <w:spacing w:after="0"/>
              <w:rPr>
                <w:sz w:val="1"/>
                <w:szCs w:val="1"/>
                <w:color w:val="auto"/>
              </w:rPr>
            </w:pPr>
          </w:p>
        </w:tc>
      </w:tr>
      <w:tr>
        <w:trPr>
          <w:trHeight w:val="27"/>
        </w:trPr>
        <w:tc>
          <w:tcPr>
            <w:tcW w:w="540" w:type="dxa"/>
            <w:vAlign w:val="bottom"/>
            <w:tcBorders>
              <w:bottom w:val="single" w:sz="8" w:color="CCEEFF"/>
            </w:tcBorders>
          </w:tcPr>
          <w:p>
            <w:pPr>
              <w:spacing w:after="0"/>
              <w:rPr>
                <w:sz w:val="2"/>
                <w:szCs w:val="2"/>
                <w:color w:val="auto"/>
              </w:rPr>
            </w:pPr>
          </w:p>
        </w:tc>
        <w:tc>
          <w:tcPr>
            <w:tcW w:w="78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40" w:type="dxa"/>
            <w:vAlign w:val="bottom"/>
            <w:tcBorders>
              <w:bottom w:val="single" w:sz="8" w:color="CCEEFF"/>
            </w:tcBorders>
            <w:shd w:val="clear" w:color="auto" w:fill="CCEEFF"/>
          </w:tcPr>
          <w:p>
            <w:pPr>
              <w:spacing w:after="0"/>
              <w:rPr>
                <w:sz w:val="22"/>
                <w:szCs w:val="22"/>
                <w:color w:val="auto"/>
              </w:rPr>
            </w:pPr>
          </w:p>
        </w:tc>
        <w:tc>
          <w:tcPr>
            <w:tcW w:w="78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stockholders’ equity</w:t>
            </w:r>
          </w:p>
        </w:tc>
        <w:tc>
          <w:tcPr>
            <w:tcW w:w="14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516,337</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408,488</w:t>
            </w:r>
          </w:p>
        </w:tc>
        <w:tc>
          <w:tcPr>
            <w:tcW w:w="0" w:type="dxa"/>
            <w:vAlign w:val="bottom"/>
          </w:tcPr>
          <w:p>
            <w:pPr>
              <w:spacing w:after="0"/>
              <w:rPr>
                <w:sz w:val="1"/>
                <w:szCs w:val="1"/>
                <w:color w:val="auto"/>
              </w:rPr>
            </w:pPr>
          </w:p>
        </w:tc>
      </w:tr>
      <w:tr>
        <w:trPr>
          <w:trHeight w:val="237"/>
        </w:trPr>
        <w:tc>
          <w:tcPr>
            <w:tcW w:w="540" w:type="dxa"/>
            <w:vAlign w:val="bottom"/>
          </w:tcPr>
          <w:p>
            <w:pPr>
              <w:spacing w:after="0"/>
              <w:rPr>
                <w:sz w:val="20"/>
                <w:szCs w:val="20"/>
                <w:color w:val="auto"/>
              </w:rPr>
            </w:pPr>
          </w:p>
        </w:tc>
        <w:tc>
          <w:tcPr>
            <w:tcW w:w="7800" w:type="dxa"/>
            <w:vAlign w:val="bottom"/>
          </w:tcPr>
          <w:p>
            <w:pPr>
              <w:ind w:left="180"/>
              <w:spacing w:after="0"/>
              <w:rPr>
                <w:sz w:val="20"/>
                <w:szCs w:val="20"/>
                <w:color w:val="auto"/>
              </w:rPr>
            </w:pPr>
            <w:r>
              <w:rPr>
                <w:rFonts w:ascii="Arial" w:cs="Arial" w:eastAsia="Arial" w:hAnsi="Arial"/>
                <w:sz w:val="18"/>
                <w:szCs w:val="18"/>
                <w:color w:val="auto"/>
              </w:rPr>
              <w:t>Total liabilities and stockholders’ equity</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3,093,619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3,010,171</w:t>
            </w:r>
          </w:p>
        </w:tc>
        <w:tc>
          <w:tcPr>
            <w:tcW w:w="0" w:type="dxa"/>
            <w:vAlign w:val="bottom"/>
          </w:tcPr>
          <w:p>
            <w:pPr>
              <w:spacing w:after="0"/>
              <w:rPr>
                <w:sz w:val="1"/>
                <w:szCs w:val="1"/>
                <w:color w:val="auto"/>
              </w:rPr>
            </w:pPr>
          </w:p>
        </w:tc>
      </w:tr>
      <w:tr>
        <w:trPr>
          <w:trHeight w:val="27"/>
        </w:trPr>
        <w:tc>
          <w:tcPr>
            <w:tcW w:w="540" w:type="dxa"/>
            <w:vAlign w:val="bottom"/>
          </w:tcPr>
          <w:p>
            <w:pPr>
              <w:spacing w:after="0"/>
              <w:rPr>
                <w:sz w:val="2"/>
                <w:szCs w:val="2"/>
                <w:color w:val="auto"/>
              </w:rPr>
            </w:pPr>
          </w:p>
        </w:tc>
        <w:tc>
          <w:tcPr>
            <w:tcW w:w="78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40" w:type="dxa"/>
            <w:vAlign w:val="bottom"/>
          </w:tcPr>
          <w:p>
            <w:pPr>
              <w:spacing w:after="0" w:line="20" w:lineRule="exact"/>
              <w:rPr>
                <w:sz w:val="1"/>
                <w:szCs w:val="1"/>
                <w:color w:val="auto"/>
              </w:rPr>
            </w:pPr>
          </w:p>
        </w:tc>
        <w:tc>
          <w:tcPr>
            <w:tcW w:w="78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769"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center"/>
              <w:ind w:left="454"/>
              <w:spacing w:after="0"/>
              <w:rPr>
                <w:sz w:val="20"/>
                <w:szCs w:val="20"/>
                <w:color w:val="auto"/>
              </w:rPr>
            </w:pPr>
            <w:r>
              <w:rPr>
                <w:rFonts w:ascii="Arial" w:cs="Arial" w:eastAsia="Arial" w:hAnsi="Arial"/>
                <w:sz w:val="14"/>
                <w:szCs w:val="14"/>
                <w:b w:val="1"/>
                <w:bCs w:val="1"/>
                <w:color w:val="auto"/>
                <w:w w:val="95"/>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center"/>
              <w:ind w:left="514"/>
              <w:spacing w:after="0"/>
              <w:rPr>
                <w:sz w:val="20"/>
                <w:szCs w:val="20"/>
                <w:color w:val="auto"/>
              </w:rPr>
            </w:pPr>
            <w:r>
              <w:rPr>
                <w:rFonts w:ascii="Arial" w:cs="Arial" w:eastAsia="Arial" w:hAnsi="Arial"/>
                <w:sz w:val="14"/>
                <w:szCs w:val="14"/>
                <w:b w:val="1"/>
                <w:bCs w:val="1"/>
                <w:color w:val="auto"/>
                <w:w w:val="93"/>
              </w:rPr>
              <w:t>Six Months Ended</w:t>
            </w:r>
          </w:p>
        </w:tc>
        <w:tc>
          <w:tcPr>
            <w:tcW w:w="9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center"/>
              <w:ind w:left="454"/>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494"/>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516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w w:val="96"/>
              </w:rPr>
              <w:t>2015</w:t>
            </w:r>
          </w:p>
        </w:tc>
        <w:tc>
          <w:tcPr>
            <w:tcW w:w="0" w:type="dxa"/>
            <w:vAlign w:val="bottom"/>
          </w:tcPr>
          <w:p>
            <w:pPr>
              <w:spacing w:after="0"/>
              <w:rPr>
                <w:sz w:val="1"/>
                <w:szCs w:val="1"/>
                <w:color w:val="auto"/>
              </w:rPr>
            </w:pPr>
          </w:p>
        </w:tc>
      </w:tr>
      <w:tr>
        <w:trPr>
          <w:trHeight w:val="152"/>
        </w:trPr>
        <w:tc>
          <w:tcPr>
            <w:tcW w:w="5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40" w:type="dxa"/>
            <w:vAlign w:val="bottom"/>
            <w:gridSpan w:val="5"/>
          </w:tcPr>
          <w:p>
            <w:pPr>
              <w:jc w:val="center"/>
              <w:ind w:right="420"/>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360" w:type="dxa"/>
            <w:vAlign w:val="bottom"/>
          </w:tcPr>
          <w:p>
            <w:pPr>
              <w:spacing w:after="0"/>
              <w:rPr>
                <w:sz w:val="13"/>
                <w:szCs w:val="13"/>
                <w:color w:val="auto"/>
              </w:rPr>
            </w:pPr>
          </w:p>
        </w:tc>
        <w:tc>
          <w:tcPr>
            <w:tcW w:w="2700" w:type="dxa"/>
            <w:vAlign w:val="bottom"/>
            <w:gridSpan w:val="4"/>
          </w:tcPr>
          <w:p>
            <w:pPr>
              <w:jc w:val="center"/>
              <w:ind w:right="231"/>
              <w:spacing w:after="0" w:line="153" w:lineRule="exact"/>
              <w:rPr>
                <w:sz w:val="20"/>
                <w:szCs w:val="20"/>
                <w:color w:val="auto"/>
              </w:rPr>
            </w:pPr>
            <w:r>
              <w:rPr>
                <w:rFonts w:ascii="Arial" w:cs="Arial" w:eastAsia="Arial" w:hAnsi="Arial"/>
                <w:sz w:val="14"/>
                <w:szCs w:val="14"/>
                <w:b w:val="1"/>
                <w:bCs w:val="1"/>
                <w:color w:val="auto"/>
                <w:w w:val="91"/>
              </w:rPr>
              <w:t>(Amounts in thousands,</w:t>
            </w:r>
          </w:p>
        </w:tc>
        <w:tc>
          <w:tcPr>
            <w:tcW w:w="0" w:type="dxa"/>
            <w:vAlign w:val="bottom"/>
          </w:tcPr>
          <w:p>
            <w:pPr>
              <w:spacing w:after="0"/>
              <w:rPr>
                <w:sz w:val="1"/>
                <w:szCs w:val="1"/>
                <w:color w:val="auto"/>
              </w:rPr>
            </w:pPr>
          </w:p>
        </w:tc>
      </w:tr>
      <w:tr>
        <w:trPr>
          <w:trHeight w:val="192"/>
        </w:trPr>
        <w:tc>
          <w:tcPr>
            <w:tcW w:w="51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2840" w:type="dxa"/>
            <w:vAlign w:val="bottom"/>
            <w:gridSpan w:val="5"/>
          </w:tcPr>
          <w:p>
            <w:pPr>
              <w:jc w:val="center"/>
              <w:ind w:right="440"/>
              <w:spacing w:after="0"/>
              <w:rPr>
                <w:sz w:val="20"/>
                <w:szCs w:val="20"/>
                <w:color w:val="auto"/>
              </w:rPr>
            </w:pPr>
            <w:r>
              <w:rPr>
                <w:rFonts w:ascii="Arial" w:cs="Arial" w:eastAsia="Arial" w:hAnsi="Arial"/>
                <w:sz w:val="14"/>
                <w:szCs w:val="14"/>
                <w:b w:val="1"/>
                <w:bCs w:val="1"/>
                <w:color w:val="auto"/>
                <w:w w:val="91"/>
              </w:rPr>
              <w:t>except per share data)</w:t>
            </w:r>
          </w:p>
        </w:tc>
        <w:tc>
          <w:tcPr>
            <w:tcW w:w="360" w:type="dxa"/>
            <w:vAlign w:val="bottom"/>
          </w:tcPr>
          <w:p>
            <w:pPr>
              <w:spacing w:after="0"/>
              <w:rPr>
                <w:sz w:val="16"/>
                <w:szCs w:val="16"/>
                <w:color w:val="auto"/>
              </w:rPr>
            </w:pPr>
          </w:p>
        </w:tc>
        <w:tc>
          <w:tcPr>
            <w:tcW w:w="2700" w:type="dxa"/>
            <w:vAlign w:val="bottom"/>
            <w:gridSpan w:val="4"/>
          </w:tcPr>
          <w:p>
            <w:pPr>
              <w:jc w:val="center"/>
              <w:ind w:right="251"/>
              <w:spacing w:after="0"/>
              <w:rPr>
                <w:sz w:val="20"/>
                <w:szCs w:val="20"/>
                <w:color w:val="auto"/>
              </w:rPr>
            </w:pPr>
            <w:r>
              <w:rPr>
                <w:rFonts w:ascii="Arial" w:cs="Arial" w:eastAsia="Arial" w:hAnsi="Arial"/>
                <w:sz w:val="14"/>
                <w:szCs w:val="14"/>
                <w:b w:val="1"/>
                <w:bCs w:val="1"/>
                <w:color w:val="auto"/>
                <w:w w:val="91"/>
              </w:rPr>
              <w:t>except per share data)</w:t>
            </w: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1,394,853</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1,322,154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2,817,575</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2,673,758</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Cost of revenue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658,068</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626,155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1,315,022</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1,269,187</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Billable expenses</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409,991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363,690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842,256</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742,340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General and administrative expenses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194,456</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208,141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384,157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396,802</w:t>
            </w:r>
          </w:p>
        </w:tc>
        <w:tc>
          <w:tcPr>
            <w:tcW w:w="0" w:type="dxa"/>
            <w:vAlign w:val="bottom"/>
          </w:tcPr>
          <w:p>
            <w:pPr>
              <w:spacing w:after="0"/>
              <w:rPr>
                <w:sz w:val="1"/>
                <w:szCs w:val="1"/>
                <w:color w:val="auto"/>
              </w:rPr>
            </w:pPr>
          </w:p>
        </w:tc>
      </w:tr>
      <w:tr>
        <w:trPr>
          <w:trHeight w:val="243"/>
        </w:trPr>
        <w:tc>
          <w:tcPr>
            <w:tcW w:w="51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14,677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29,178</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30,469</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6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Total operating costs and expenses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1,277,192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4"/>
              </w:rPr>
              <w:t>1,213,338</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2,570,613</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w w:val="99"/>
              </w:rPr>
              <w:t>2,438,798</w:t>
            </w:r>
          </w:p>
        </w:tc>
        <w:tc>
          <w:tcPr>
            <w:tcW w:w="0" w:type="dxa"/>
            <w:vAlign w:val="bottom"/>
          </w:tcPr>
          <w:p>
            <w:pPr>
              <w:spacing w:after="0"/>
              <w:rPr>
                <w:sz w:val="1"/>
                <w:szCs w:val="1"/>
                <w:color w:val="auto"/>
              </w:rPr>
            </w:pPr>
          </w:p>
        </w:tc>
      </w:tr>
      <w:tr>
        <w:trPr>
          <w:trHeight w:val="237"/>
        </w:trPr>
        <w:tc>
          <w:tcPr>
            <w:tcW w:w="516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117,661</w:t>
            </w:r>
          </w:p>
        </w:tc>
        <w:tc>
          <w:tcPr>
            <w:tcW w:w="120" w:type="dxa"/>
            <w:vAlign w:val="bottom"/>
          </w:tcPr>
          <w:p>
            <w:pPr>
              <w:spacing w:after="0"/>
              <w:rPr>
                <w:sz w:val="20"/>
                <w:szCs w:val="20"/>
                <w:color w:val="auto"/>
              </w:rPr>
            </w:pPr>
          </w:p>
        </w:tc>
        <w:tc>
          <w:tcPr>
            <w:tcW w:w="6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108,816</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246,962</w:t>
            </w:r>
          </w:p>
        </w:tc>
        <w:tc>
          <w:tcPr>
            <w:tcW w:w="100" w:type="dxa"/>
            <w:vAlign w:val="bottom"/>
          </w:tcPr>
          <w:p>
            <w:pPr>
              <w:spacing w:after="0"/>
              <w:rPr>
                <w:sz w:val="20"/>
                <w:szCs w:val="20"/>
                <w:color w:val="auto"/>
              </w:rPr>
            </w:pPr>
          </w:p>
        </w:tc>
        <w:tc>
          <w:tcPr>
            <w:tcW w:w="560" w:type="dxa"/>
            <w:vAlign w:val="bottom"/>
            <w:tcBorders>
              <w:top w:val="single" w:sz="8" w:color="auto"/>
            </w:tcBorders>
          </w:tcPr>
          <w:p>
            <w:pPr>
              <w:spacing w:after="0"/>
              <w:rPr>
                <w:sz w:val="20"/>
                <w:szCs w:val="20"/>
                <w:color w:val="auto"/>
              </w:rPr>
            </w:pPr>
          </w:p>
        </w:tc>
        <w:tc>
          <w:tcPr>
            <w:tcW w:w="9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234,960</w:t>
            </w:r>
          </w:p>
        </w:tc>
        <w:tc>
          <w:tcPr>
            <w:tcW w:w="0" w:type="dxa"/>
            <w:vAlign w:val="bottom"/>
          </w:tcPr>
          <w:p>
            <w:pPr>
              <w:spacing w:after="0"/>
              <w:rPr>
                <w:sz w:val="1"/>
                <w:szCs w:val="1"/>
                <w:color w:val="auto"/>
              </w:rPr>
            </w:pPr>
          </w:p>
        </w:tc>
      </w:tr>
      <w:tr>
        <w:trPr>
          <w:trHeight w:val="27"/>
        </w:trPr>
        <w:tc>
          <w:tcPr>
            <w:tcW w:w="516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6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9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Other, net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(5,161)</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(3,270)</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(246)</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97,747</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90,953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211,111</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199,539</w:t>
            </w:r>
          </w:p>
        </w:tc>
        <w:tc>
          <w:tcPr>
            <w:tcW w:w="0" w:type="dxa"/>
            <w:vAlign w:val="bottom"/>
          </w:tcPr>
          <w:p>
            <w:pPr>
              <w:spacing w:after="0"/>
              <w:rPr>
                <w:sz w:val="1"/>
                <w:szCs w:val="1"/>
                <w:color w:val="auto"/>
              </w:rPr>
            </w:pP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360" w:type="dxa"/>
            <w:vAlign w:val="bottom"/>
          </w:tcPr>
          <w:p>
            <w:pPr>
              <w:spacing w:after="0"/>
              <w:rPr>
                <w:sz w:val="21"/>
                <w:szCs w:val="21"/>
                <w:color w:val="auto"/>
              </w:rPr>
            </w:pP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34,917</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34,737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80,464</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79,017</w:t>
            </w:r>
          </w:p>
        </w:tc>
        <w:tc>
          <w:tcPr>
            <w:tcW w:w="0" w:type="dxa"/>
            <w:vAlign w:val="bottom"/>
          </w:tcPr>
          <w:p>
            <w:pPr>
              <w:spacing w:after="0"/>
              <w:rPr>
                <w:sz w:val="1"/>
                <w:szCs w:val="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62,830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56,216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130,647</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120,522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color w:val="auto"/>
              </w:rPr>
              <w:t>Earnings per common share (Note 3):</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160" w:type="dxa"/>
            <w:vAlign w:val="bottom"/>
            <w:vMerge w:val="continue"/>
          </w:tcPr>
          <w:p>
            <w:pPr>
              <w:spacing w:after="0"/>
              <w:rPr>
                <w:sz w:val="17"/>
                <w:szCs w:val="17"/>
                <w:color w:val="auto"/>
              </w:rPr>
            </w:pPr>
          </w:p>
        </w:tc>
        <w:tc>
          <w:tcPr>
            <w:tcW w:w="3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516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40" w:type="dxa"/>
            <w:vAlign w:val="bottom"/>
          </w:tcPr>
          <w:p>
            <w:pPr>
              <w:spacing w:after="0"/>
              <w:rPr>
                <w:sz w:val="4"/>
                <w:szCs w:val="4"/>
                <w:color w:val="auto"/>
              </w:rPr>
            </w:pPr>
          </w:p>
        </w:tc>
        <w:tc>
          <w:tcPr>
            <w:tcW w:w="120" w:type="dxa"/>
            <w:vAlign w:val="bottom"/>
          </w:tcPr>
          <w:p>
            <w:pPr>
              <w:spacing w:after="0"/>
              <w:rPr>
                <w:sz w:val="4"/>
                <w:szCs w:val="4"/>
                <w:color w:val="auto"/>
              </w:rPr>
            </w:pPr>
          </w:p>
        </w:tc>
        <w:tc>
          <w:tcPr>
            <w:tcW w:w="60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0" w:type="dxa"/>
            <w:vAlign w:val="bottom"/>
          </w:tcPr>
          <w:p>
            <w:pPr>
              <w:spacing w:after="0"/>
              <w:rPr>
                <w:sz w:val="4"/>
                <w:szCs w:val="4"/>
                <w:color w:val="auto"/>
              </w:rPr>
            </w:pPr>
          </w:p>
        </w:tc>
        <w:tc>
          <w:tcPr>
            <w:tcW w:w="360" w:type="dxa"/>
            <w:vAlign w:val="bottom"/>
          </w:tcPr>
          <w:p>
            <w:pPr>
              <w:spacing w:after="0"/>
              <w:rPr>
                <w:sz w:val="4"/>
                <w:szCs w:val="4"/>
                <w:color w:val="auto"/>
              </w:rPr>
            </w:pPr>
          </w:p>
        </w:tc>
        <w:tc>
          <w:tcPr>
            <w:tcW w:w="1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560" w:type="dxa"/>
            <w:vAlign w:val="bottom"/>
          </w:tcPr>
          <w:p>
            <w:pPr>
              <w:spacing w:after="0"/>
              <w:rPr>
                <w:sz w:val="4"/>
                <w:szCs w:val="4"/>
                <w:color w:val="auto"/>
              </w:rPr>
            </w:pPr>
          </w:p>
        </w:tc>
        <w:tc>
          <w:tcPr>
            <w:tcW w:w="9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5"/>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0.42</w:t>
            </w:r>
          </w:p>
        </w:tc>
        <w:tc>
          <w:tcPr>
            <w:tcW w:w="12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0.88</w:t>
            </w:r>
          </w:p>
        </w:tc>
        <w:tc>
          <w:tcPr>
            <w:tcW w:w="1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160" w:type="dxa"/>
            <w:vAlign w:val="bottom"/>
            <w:vMerge w:val="continue"/>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34"/>
              <w:spacing w:after="0"/>
              <w:rPr>
                <w:sz w:val="20"/>
                <w:szCs w:val="20"/>
                <w:color w:val="auto"/>
              </w:rPr>
            </w:pPr>
            <w:r>
              <w:rPr>
                <w:rFonts w:ascii="Arial" w:cs="Arial" w:eastAsia="Arial" w:hAnsi="Arial"/>
                <w:sz w:val="18"/>
                <w:szCs w:val="18"/>
                <w:color w:val="auto"/>
              </w:rPr>
              <w:t>0.41</w:t>
            </w:r>
          </w:p>
        </w:tc>
        <w:tc>
          <w:tcPr>
            <w:tcW w:w="120" w:type="dxa"/>
            <w:vAlign w:val="bottom"/>
          </w:tcPr>
          <w:p>
            <w:pPr>
              <w:spacing w:after="0"/>
              <w:rPr>
                <w:sz w:val="19"/>
                <w:szCs w:val="19"/>
                <w:color w:val="auto"/>
              </w:rPr>
            </w:pPr>
          </w:p>
        </w:tc>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1"/>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0.86</w:t>
            </w:r>
          </w:p>
        </w:tc>
        <w:tc>
          <w:tcPr>
            <w:tcW w:w="100" w:type="dxa"/>
            <w:vAlign w:val="bottom"/>
          </w:tcPr>
          <w:p>
            <w:pPr>
              <w:spacing w:after="0"/>
              <w:rPr>
                <w:sz w:val="19"/>
                <w:szCs w:val="19"/>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1"/>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67"/>
        </w:trPr>
        <w:tc>
          <w:tcPr>
            <w:tcW w:w="516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88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560" w:type="dxa"/>
            <w:vAlign w:val="bottom"/>
            <w:tcBorders>
              <w:bottom w:val="single" w:sz="8" w:color="auto"/>
            </w:tcBorders>
          </w:tcPr>
          <w:p>
            <w:pPr>
              <w:spacing w:after="0"/>
              <w:rPr>
                <w:sz w:val="5"/>
                <w:szCs w:val="5"/>
                <w:color w:val="auto"/>
              </w:rPr>
            </w:pPr>
          </w:p>
        </w:tc>
        <w:tc>
          <w:tcPr>
            <w:tcW w:w="9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56"/>
        </w:trPr>
        <w:tc>
          <w:tcPr>
            <w:tcW w:w="516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color w:val="auto"/>
              </w:rPr>
              <w:t>Dividends declared per share</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0.15</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0.30</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0.26</w:t>
            </w:r>
          </w:p>
        </w:tc>
        <w:tc>
          <w:tcPr>
            <w:tcW w:w="0" w:type="dxa"/>
            <w:vAlign w:val="bottom"/>
          </w:tcPr>
          <w:p>
            <w:pPr>
              <w:spacing w:after="0"/>
              <w:rPr>
                <w:sz w:val="1"/>
                <w:szCs w:val="1"/>
                <w:color w:val="auto"/>
              </w:rPr>
            </w:pP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013" w:right="239" w:bottom="1440" w:gutter="0" w:footer="0" w:header="0"/>
        </w:sectPr>
      </w:pPr>
    </w:p>
    <w:bookmarkStart w:id="4" w:name="page5"/>
    <w:bookmarkEnd w:id="4"/>
    <w:p>
      <w:pPr>
        <w:jc w:val="center"/>
        <w:ind w:left="260" w:right="1960"/>
        <w:spacing w:after="0" w:line="321" w:lineRule="auto"/>
        <w:rPr>
          <w:sz w:val="20"/>
          <w:szCs w:val="20"/>
          <w:color w:val="auto"/>
        </w:rPr>
      </w:pPr>
      <w:r>
        <w:rPr>
          <w:rFonts w:ascii="Arial" w:cs="Arial" w:eastAsia="Arial" w:hAnsi="Arial"/>
          <w:sz w:val="18"/>
          <w:szCs w:val="18"/>
          <w:b w:val="1"/>
          <w:bCs w:val="1"/>
          <w:color w:val="auto"/>
        </w:rPr>
        <w:t>BOOZ ALLEN HAMILTON HOLDING CORPORATION CONDENSED CONSOLIDATED STATEMENTS OF COMPREHENSIVE INCOME (UNAUDITED)</w:t>
      </w:r>
    </w:p>
    <w:tbl>
      <w:tblPr>
        <w:tblLayout w:type="fixed"/>
        <w:tblInd w:w="0" w:type="dxa"/>
        <w:tblCellMar>
          <w:top w:w="0" w:type="dxa"/>
          <w:left w:w="0" w:type="dxa"/>
          <w:bottom w:w="0" w:type="dxa"/>
          <w:right w:w="0" w:type="dxa"/>
        </w:tblCellMar>
      </w:tblPr>
      <w:tr>
        <w:trPr>
          <w:trHeight w:val="151"/>
        </w:trPr>
        <w:tc>
          <w:tcPr>
            <w:tcW w:w="434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580" w:type="dxa"/>
            <w:vAlign w:val="bottom"/>
            <w:gridSpan w:val="3"/>
          </w:tcPr>
          <w:p>
            <w:pPr>
              <w:jc w:val="center"/>
              <w:ind w:right="196"/>
              <w:spacing w:after="0" w:line="151" w:lineRule="exact"/>
              <w:rPr>
                <w:sz w:val="20"/>
                <w:szCs w:val="20"/>
                <w:color w:val="auto"/>
              </w:rPr>
            </w:pPr>
            <w:r>
              <w:rPr>
                <w:rFonts w:ascii="Arial" w:cs="Arial" w:eastAsia="Arial" w:hAnsi="Arial"/>
                <w:sz w:val="14"/>
                <w:szCs w:val="14"/>
                <w:b w:val="1"/>
                <w:bCs w:val="1"/>
                <w:color w:val="auto"/>
                <w:w w:val="93"/>
              </w:rPr>
              <w:t>Three Months Ended</w:t>
            </w:r>
          </w:p>
        </w:tc>
        <w:tc>
          <w:tcPr>
            <w:tcW w:w="5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1780" w:type="dxa"/>
            <w:vAlign w:val="bottom"/>
            <w:gridSpan w:val="3"/>
          </w:tcPr>
          <w:p>
            <w:pPr>
              <w:jc w:val="center"/>
              <w:ind w:left="480"/>
              <w:spacing w:after="0" w:line="151" w:lineRule="exact"/>
              <w:rPr>
                <w:sz w:val="20"/>
                <w:szCs w:val="20"/>
                <w:color w:val="auto"/>
              </w:rPr>
            </w:pPr>
            <w:r>
              <w:rPr>
                <w:rFonts w:ascii="Arial" w:cs="Arial" w:eastAsia="Arial" w:hAnsi="Arial"/>
                <w:sz w:val="14"/>
                <w:szCs w:val="14"/>
                <w:b w:val="1"/>
                <w:bCs w:val="1"/>
                <w:color w:val="auto"/>
                <w:w w:val="93"/>
              </w:rPr>
              <w:t>Six Months Ended</w:t>
            </w:r>
          </w:p>
        </w:tc>
        <w:tc>
          <w:tcPr>
            <w:tcW w:w="900" w:type="dxa"/>
            <w:vAlign w:val="bottom"/>
          </w:tcPr>
          <w:p>
            <w:pPr>
              <w:spacing w:after="0"/>
              <w:rPr>
                <w:sz w:val="13"/>
                <w:szCs w:val="13"/>
                <w:color w:val="auto"/>
              </w:rPr>
            </w:pPr>
          </w:p>
        </w:tc>
      </w:tr>
      <w:tr>
        <w:trPr>
          <w:trHeight w:val="192"/>
        </w:trPr>
        <w:tc>
          <w:tcPr>
            <w:tcW w:w="43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580" w:type="dxa"/>
            <w:vAlign w:val="bottom"/>
            <w:tcBorders>
              <w:bottom w:val="single" w:sz="8" w:color="auto"/>
            </w:tcBorders>
            <w:gridSpan w:val="3"/>
          </w:tcPr>
          <w:p>
            <w:pPr>
              <w:jc w:val="center"/>
              <w:ind w:right="196"/>
              <w:spacing w:after="0"/>
              <w:rPr>
                <w:sz w:val="20"/>
                <w:szCs w:val="20"/>
                <w:color w:val="auto"/>
              </w:rPr>
            </w:pPr>
            <w:r>
              <w:rPr>
                <w:rFonts w:ascii="Arial" w:cs="Arial" w:eastAsia="Arial" w:hAnsi="Arial"/>
                <w:sz w:val="14"/>
                <w:szCs w:val="14"/>
                <w:b w:val="1"/>
                <w:bCs w:val="1"/>
                <w:color w:val="auto"/>
                <w:w w:val="89"/>
              </w:rPr>
              <w:t>September 30,</w:t>
            </w:r>
          </w:p>
        </w:tc>
        <w:tc>
          <w:tcPr>
            <w:tcW w:w="58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500"/>
              <w:spacing w:after="0"/>
              <w:rPr>
                <w:sz w:val="20"/>
                <w:szCs w:val="20"/>
                <w:color w:val="auto"/>
              </w:rPr>
            </w:pPr>
            <w:r>
              <w:rPr>
                <w:rFonts w:ascii="Arial" w:cs="Arial" w:eastAsia="Arial" w:hAnsi="Arial"/>
                <w:sz w:val="14"/>
                <w:szCs w:val="14"/>
                <w:b w:val="1"/>
                <w:bCs w:val="1"/>
                <w:color w:val="auto"/>
                <w:w w:val="91"/>
              </w:rPr>
              <w:t>September 30,</w:t>
            </w:r>
          </w:p>
        </w:tc>
        <w:tc>
          <w:tcPr>
            <w:tcW w:w="900" w:type="dxa"/>
            <w:vAlign w:val="bottom"/>
            <w:tcBorders>
              <w:bottom w:val="single" w:sz="8" w:color="auto"/>
            </w:tcBorders>
          </w:tcPr>
          <w:p>
            <w:pPr>
              <w:spacing w:after="0"/>
              <w:rPr>
                <w:sz w:val="16"/>
                <w:szCs w:val="16"/>
                <w:color w:val="auto"/>
              </w:rPr>
            </w:pPr>
          </w:p>
        </w:tc>
      </w:tr>
      <w:tr>
        <w:trPr>
          <w:trHeight w:val="264"/>
        </w:trPr>
        <w:tc>
          <w:tcPr>
            <w:tcW w:w="4340" w:type="dxa"/>
            <w:vAlign w:val="bottom"/>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58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2015</w:t>
            </w:r>
          </w:p>
        </w:tc>
        <w:tc>
          <w:tcPr>
            <w:tcW w:w="5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00"/>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auto"/>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49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4340" w:type="dxa"/>
            <w:vAlign w:val="bottom"/>
          </w:tcPr>
          <w:p>
            <w:pPr>
              <w:spacing w:after="0"/>
              <w:rPr>
                <w:sz w:val="21"/>
                <w:szCs w:val="21"/>
                <w:color w:val="auto"/>
              </w:rPr>
            </w:pPr>
          </w:p>
        </w:tc>
        <w:tc>
          <w:tcPr>
            <w:tcW w:w="2480" w:type="dxa"/>
            <w:vAlign w:val="bottom"/>
            <w:gridSpan w:val="4"/>
          </w:tcPr>
          <w:p>
            <w:pPr>
              <w:jc w:val="center"/>
              <w:ind w:left="539"/>
              <w:spacing w:after="0"/>
              <w:rPr>
                <w:sz w:val="20"/>
                <w:szCs w:val="20"/>
                <w:color w:val="auto"/>
              </w:rPr>
            </w:pPr>
            <w:r>
              <w:rPr>
                <w:rFonts w:ascii="Arial" w:cs="Arial" w:eastAsia="Arial" w:hAnsi="Arial"/>
                <w:sz w:val="14"/>
                <w:szCs w:val="14"/>
                <w:b w:val="1"/>
                <w:bCs w:val="1"/>
                <w:color w:val="auto"/>
                <w:w w:val="90"/>
              </w:rPr>
              <w:t>(Amounts in thousands)</w:t>
            </w:r>
          </w:p>
        </w:tc>
        <w:tc>
          <w:tcPr>
            <w:tcW w:w="5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680" w:type="dxa"/>
            <w:vAlign w:val="bottom"/>
            <w:gridSpan w:val="4"/>
          </w:tcPr>
          <w:p>
            <w:pPr>
              <w:jc w:val="center"/>
              <w:ind w:right="234"/>
              <w:spacing w:after="0"/>
              <w:rPr>
                <w:sz w:val="20"/>
                <w:szCs w:val="20"/>
                <w:color w:val="auto"/>
              </w:rPr>
            </w:pPr>
            <w:r>
              <w:rPr>
                <w:rFonts w:ascii="Arial" w:cs="Arial" w:eastAsia="Arial" w:hAnsi="Arial"/>
                <w:sz w:val="14"/>
                <w:szCs w:val="14"/>
                <w:b w:val="1"/>
                <w:bCs w:val="1"/>
                <w:color w:val="auto"/>
                <w:w w:val="91"/>
              </w:rPr>
              <w:t>(Amounts in thousands)</w:t>
            </w:r>
          </w:p>
        </w:tc>
      </w:tr>
      <w:tr>
        <w:trPr>
          <w:trHeight w:val="256"/>
        </w:trPr>
        <w:tc>
          <w:tcPr>
            <w:tcW w:w="4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62,830</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56,216</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130,647</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120,522</w:t>
            </w:r>
          </w:p>
        </w:tc>
      </w:tr>
      <w:tr>
        <w:trPr>
          <w:trHeight w:val="243"/>
        </w:trPr>
        <w:tc>
          <w:tcPr>
            <w:tcW w:w="4340" w:type="dxa"/>
            <w:vAlign w:val="bottom"/>
          </w:tcPr>
          <w:p>
            <w:pPr>
              <w:ind w:left="40"/>
              <w:spacing w:after="0"/>
              <w:rPr>
                <w:sz w:val="20"/>
                <w:szCs w:val="20"/>
                <w:color w:val="auto"/>
              </w:rPr>
            </w:pPr>
            <w:r>
              <w:rPr>
                <w:rFonts w:ascii="Arial" w:cs="Arial" w:eastAsia="Arial" w:hAnsi="Arial"/>
                <w:sz w:val="18"/>
                <w:szCs w:val="18"/>
                <w:color w:val="auto"/>
              </w:rPr>
              <w:t>Change in postretirement plan costs, net of tax</w:t>
            </w:r>
          </w:p>
        </w:tc>
        <w:tc>
          <w:tcPr>
            <w:tcW w:w="90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524</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c>
          <w:tcPr>
            <w:tcW w:w="12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1,048</w:t>
            </w:r>
          </w:p>
        </w:tc>
      </w:tr>
      <w:tr>
        <w:trPr>
          <w:trHeight w:val="27"/>
        </w:trPr>
        <w:tc>
          <w:tcPr>
            <w:tcW w:w="434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9"/>
        </w:trPr>
        <w:tc>
          <w:tcPr>
            <w:tcW w:w="4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Comprehensive income</w:t>
            </w:r>
          </w:p>
        </w:tc>
        <w:tc>
          <w:tcPr>
            <w:tcW w:w="900" w:type="dxa"/>
            <w:vAlign w:val="bottom"/>
            <w:tcBorders>
              <w:bottom w:val="single" w:sz="8" w:color="CCEEFF"/>
            </w:tcBorders>
            <w:shd w:val="clear" w:color="auto" w:fill="CCEEFF"/>
          </w:tcPr>
          <w:p>
            <w:pPr>
              <w:jc w:val="right"/>
              <w:ind w:right="699"/>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63,287</w:t>
            </w:r>
          </w:p>
        </w:tc>
        <w:tc>
          <w:tcPr>
            <w:tcW w:w="12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676"/>
              <w:spacing w:after="0"/>
              <w:rPr>
                <w:sz w:val="20"/>
                <w:szCs w:val="20"/>
                <w:color w:val="auto"/>
              </w:rPr>
            </w:pPr>
            <w:r>
              <w:rPr>
                <w:rFonts w:ascii="Arial" w:cs="Arial" w:eastAsia="Arial" w:hAnsi="Arial"/>
                <w:sz w:val="18"/>
                <w:szCs w:val="18"/>
                <w:color w:val="auto"/>
                <w:w w:val="99"/>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56,740</w:t>
            </w:r>
          </w:p>
        </w:tc>
        <w:tc>
          <w:tcPr>
            <w:tcW w:w="12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131,561</w:t>
            </w:r>
          </w:p>
        </w:tc>
        <w:tc>
          <w:tcPr>
            <w:tcW w:w="12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121,570</w:t>
            </w:r>
          </w:p>
        </w:tc>
      </w:tr>
      <w:tr>
        <w:trPr>
          <w:trHeight w:val="20"/>
        </w:trPr>
        <w:tc>
          <w:tcPr>
            <w:tcW w:w="434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center"/>
        <w:ind w:right="-859"/>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pacing w:after="0" w:line="25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0560"/>
          </w:cols>
          <w:pgMar w:left="240" w:top="1229" w:right="109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86"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Six Months Ended</w:t>
      </w:r>
    </w:p>
    <w:p>
      <w:pPr>
        <w:spacing w:after="0" w:line="4" w:lineRule="exact"/>
        <w:rPr>
          <w:sz w:val="20"/>
          <w:szCs w:val="20"/>
          <w:color w:val="auto"/>
        </w:rPr>
      </w:pPr>
    </w:p>
    <w:p>
      <w:pPr>
        <w:jc w:val="center"/>
        <w:ind w:left="83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5296535</wp:posOffset>
            </wp:positionH>
            <wp:positionV relativeFrom="paragraph">
              <wp:posOffset>13335</wp:posOffset>
            </wp:positionV>
            <wp:extent cx="195516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pacing w:after="0" w:line="7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3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4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511"/>
              <w:spacing w:after="0"/>
              <w:rPr>
                <w:sz w:val="20"/>
                <w:szCs w:val="20"/>
                <w:color w:val="auto"/>
              </w:rPr>
            </w:pPr>
            <w:r>
              <w:rPr>
                <w:rFonts w:ascii="Arial" w:cs="Arial" w:eastAsia="Arial" w:hAnsi="Arial"/>
                <w:sz w:val="14"/>
                <w:szCs w:val="14"/>
                <w:b w:val="1"/>
                <w:bCs w:val="1"/>
                <w:color w:val="auto"/>
              </w:rPr>
              <w:t>2015</w:t>
            </w:r>
          </w:p>
        </w:tc>
      </w:tr>
      <w:tr>
        <w:trPr>
          <w:trHeight w:val="250"/>
        </w:trPr>
        <w:tc>
          <w:tcPr>
            <w:tcW w:w="8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720" w:type="dxa"/>
            <w:vAlign w:val="bottom"/>
            <w:gridSpan w:val="4"/>
          </w:tcPr>
          <w:p>
            <w:pPr>
              <w:jc w:val="right"/>
              <w:ind w:right="711"/>
              <w:spacing w:after="0"/>
              <w:rPr>
                <w:sz w:val="20"/>
                <w:szCs w:val="20"/>
                <w:color w:val="auto"/>
              </w:rPr>
            </w:pPr>
            <w:r>
              <w:rPr>
                <w:rFonts w:ascii="Arial" w:cs="Arial" w:eastAsia="Arial" w:hAnsi="Arial"/>
                <w:sz w:val="14"/>
                <w:szCs w:val="14"/>
                <w:b w:val="1"/>
                <w:bCs w:val="1"/>
                <w:color w:val="auto"/>
              </w:rPr>
              <w:t>(Amounts in thousands)</w:t>
            </w:r>
          </w:p>
        </w:tc>
      </w:tr>
      <w:tr>
        <w:trPr>
          <w:trHeight w:val="256"/>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3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Net income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130,647</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120,522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Depreciation and amortization</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29,178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30,469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Stock-based compensation expense</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11,521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(8,315)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(18,191)</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Amortization of debt issuance costs and loss on extinguishment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12,271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4,174</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Losses on dispositions and impairments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29</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Changes in assets and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receivable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19,634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9,353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Prepaid expenses and other current assets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26,665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5,073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long-term assets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(9,467)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(15,467)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compensation and benefits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(4,167)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(26,813)</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Accounts payable and other accrued expenses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(14,902)</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(36,496)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Accrued interest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Other current liabilities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15,257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(7,272)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Other long-term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10,760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11,783</w:t>
            </w:r>
          </w:p>
        </w:tc>
      </w:tr>
      <w:tr>
        <w:trPr>
          <w:trHeight w:val="237"/>
        </w:trPr>
        <w:tc>
          <w:tcPr>
            <w:tcW w:w="8340" w:type="dxa"/>
            <w:vAlign w:val="bottom"/>
          </w:tcPr>
          <w:p>
            <w:pPr>
              <w:ind w:left="1140"/>
              <w:spacing w:after="0"/>
              <w:rPr>
                <w:sz w:val="20"/>
                <w:szCs w:val="20"/>
                <w:color w:val="auto"/>
              </w:rPr>
            </w:pPr>
            <w:r>
              <w:rPr>
                <w:rFonts w:ascii="Arial" w:cs="Arial" w:eastAsia="Arial" w:hAnsi="Arial"/>
                <w:sz w:val="18"/>
                <w:szCs w:val="18"/>
                <w:color w:val="auto"/>
              </w:rPr>
              <w:t>Net cash provided by operating activities</w:t>
            </w:r>
          </w:p>
        </w:tc>
        <w:tc>
          <w:tcPr>
            <w:tcW w:w="36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217,083</w:t>
            </w:r>
          </w:p>
        </w:tc>
        <w:tc>
          <w:tcPr>
            <w:tcW w:w="100" w:type="dxa"/>
            <w:vAlign w:val="bottom"/>
          </w:tcPr>
          <w:p>
            <w:pPr>
              <w:spacing w:after="0"/>
              <w:rPr>
                <w:sz w:val="20"/>
                <w:szCs w:val="20"/>
                <w:color w:val="auto"/>
              </w:rPr>
            </w:pPr>
          </w:p>
        </w:tc>
        <w:tc>
          <w:tcPr>
            <w:tcW w:w="3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88,687</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Purchases of property and equipment</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(29,562)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paid for business acquisitions, net of cash acquired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Insurance proceeds received for damage to equipment</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650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investing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(15,344)</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(30,562)</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b w:val="1"/>
                <w:bCs w:val="1"/>
                <w:color w:val="auto"/>
              </w:rPr>
              <w:t>Cash flows from financing activities</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Net proceeds from issuance of common stock</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3,092</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2,866</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Stock option exercises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6,825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3,402</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Excess tax benefits from stock-based compensation</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8,315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18,191</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Repurchases of common stock</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(6,854)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(34,600)</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Cash dividends paid</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(38,269)</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Dividend equivalents paid to option holders</w:t>
            </w:r>
          </w:p>
        </w:tc>
        <w:tc>
          <w:tcPr>
            <w:tcW w:w="3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(3,593)</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Repayment of debt</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(676,750)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(50,938)</w:t>
            </w:r>
          </w:p>
        </w:tc>
      </w:tr>
      <w:tr>
        <w:trPr>
          <w:trHeight w:val="243"/>
        </w:trPr>
        <w:tc>
          <w:tcPr>
            <w:tcW w:w="8340" w:type="dxa"/>
            <w:vAlign w:val="bottom"/>
          </w:tcPr>
          <w:p>
            <w:pPr>
              <w:ind w:left="720"/>
              <w:spacing w:after="0"/>
              <w:rPr>
                <w:sz w:val="20"/>
                <w:szCs w:val="20"/>
                <w:color w:val="auto"/>
              </w:rPr>
            </w:pPr>
            <w:r>
              <w:rPr>
                <w:rFonts w:ascii="Arial" w:cs="Arial" w:eastAsia="Arial" w:hAnsi="Arial"/>
                <w:sz w:val="18"/>
                <w:szCs w:val="18"/>
                <w:color w:val="auto"/>
              </w:rPr>
              <w:t>Proceeds from debt issuance</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630,273</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25,000</w:t>
            </w:r>
          </w:p>
        </w:tc>
      </w:tr>
      <w:tr>
        <w:trPr>
          <w:trHeight w:val="27"/>
        </w:trPr>
        <w:tc>
          <w:tcPr>
            <w:tcW w:w="83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Net cash used in financing activities</w:t>
            </w:r>
          </w:p>
        </w:tc>
        <w:tc>
          <w:tcPr>
            <w:tcW w:w="36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(77,941)</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Net increase (decrease) in cash and cash equivalents</w:t>
            </w:r>
          </w:p>
        </w:tc>
        <w:tc>
          <w:tcPr>
            <w:tcW w:w="360" w:type="dxa"/>
            <w:vAlign w:val="bottom"/>
          </w:tcPr>
          <w:p>
            <w:pPr>
              <w:spacing w:after="0"/>
              <w:rPr>
                <w:sz w:val="21"/>
                <w:szCs w:val="21"/>
                <w:color w:val="auto"/>
              </w:rPr>
            </w:pP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119,694</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(19,816)</w:t>
            </w: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equivalents––beginning of period</w:t>
            </w:r>
          </w:p>
        </w:tc>
        <w:tc>
          <w:tcPr>
            <w:tcW w:w="36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187,529</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207,217</w:t>
            </w:r>
          </w:p>
        </w:tc>
      </w:tr>
      <w:tr>
        <w:trPr>
          <w:trHeight w:val="237"/>
        </w:trPr>
        <w:tc>
          <w:tcPr>
            <w:tcW w:w="8340" w:type="dxa"/>
            <w:vAlign w:val="bottom"/>
          </w:tcPr>
          <w:p>
            <w:pPr>
              <w:ind w:left="40"/>
              <w:spacing w:after="0"/>
              <w:rPr>
                <w:sz w:val="20"/>
                <w:szCs w:val="20"/>
                <w:color w:val="auto"/>
              </w:rPr>
            </w:pPr>
            <w:r>
              <w:rPr>
                <w:rFonts w:ascii="Arial" w:cs="Arial" w:eastAsia="Arial" w:hAnsi="Arial"/>
                <w:sz w:val="18"/>
                <w:szCs w:val="18"/>
                <w:color w:val="auto"/>
              </w:rPr>
              <w:t>Cash and cash equivalents––end of period</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307,223</w:t>
            </w:r>
          </w:p>
        </w:tc>
        <w:tc>
          <w:tcPr>
            <w:tcW w:w="100" w:type="dxa"/>
            <w:vAlign w:val="bottom"/>
          </w:tcPr>
          <w:p>
            <w:pPr>
              <w:spacing w:after="0"/>
              <w:rPr>
                <w:sz w:val="20"/>
                <w:szCs w:val="20"/>
                <w:color w:val="auto"/>
              </w:rPr>
            </w:pP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187,401</w:t>
            </w:r>
          </w:p>
        </w:tc>
      </w:tr>
      <w:tr>
        <w:trPr>
          <w:trHeight w:val="67"/>
        </w:trPr>
        <w:tc>
          <w:tcPr>
            <w:tcW w:w="834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4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r>
      <w:tr>
        <w:trPr>
          <w:trHeight w:val="231"/>
        </w:trPr>
        <w:tc>
          <w:tcPr>
            <w:tcW w:w="83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color w:val="auto"/>
              </w:rPr>
              <w:t>Supplemental disclosures of cash flow information</w:t>
            </w:r>
          </w:p>
        </w:tc>
        <w:tc>
          <w:tcPr>
            <w:tcW w:w="360" w:type="dxa"/>
            <w:vAlign w:val="bottom"/>
            <w:tcBorders>
              <w:bottom w:val="single" w:sz="8" w:color="CCEEFF"/>
            </w:tcBorders>
            <w:shd w:val="clear" w:color="auto" w:fill="CCEEFF"/>
          </w:tcPr>
          <w:p>
            <w:pPr>
              <w:spacing w:after="0"/>
              <w:rPr>
                <w:sz w:val="20"/>
                <w:szCs w:val="20"/>
                <w:color w:val="auto"/>
              </w:rPr>
            </w:pPr>
          </w:p>
        </w:tc>
        <w:tc>
          <w:tcPr>
            <w:tcW w:w="1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Cash paid during the period for:</w:t>
            </w:r>
          </w:p>
        </w:tc>
        <w:tc>
          <w:tcPr>
            <w:tcW w:w="3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26,127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26,915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Income taxes</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1"/>
              <w:spacing w:after="0"/>
              <w:rPr>
                <w:sz w:val="20"/>
                <w:szCs w:val="20"/>
                <w:color w:val="auto"/>
              </w:rPr>
            </w:pPr>
            <w:r>
              <w:rPr>
                <w:rFonts w:ascii="Arial" w:cs="Arial" w:eastAsia="Arial" w:hAnsi="Arial"/>
                <w:sz w:val="18"/>
                <w:szCs w:val="18"/>
                <w:color w:val="auto"/>
              </w:rPr>
              <w:t>36,609</w:t>
            </w:r>
          </w:p>
        </w:tc>
        <w:tc>
          <w:tcPr>
            <w:tcW w:w="100" w:type="dxa"/>
            <w:vAlign w:val="bottom"/>
          </w:tcPr>
          <w:p>
            <w:pPr>
              <w:spacing w:after="0"/>
              <w:rPr>
                <w:sz w:val="21"/>
                <w:szCs w:val="21"/>
                <w:color w:val="auto"/>
              </w:rPr>
            </w:pP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80,742</w:t>
            </w:r>
          </w:p>
        </w:tc>
      </w:tr>
    </w:tbl>
    <w:p>
      <w:pPr>
        <w:spacing w:after="0" w:line="1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Condensed Consolidated Financial Statements.</w:t>
      </w:r>
    </w:p>
    <w:p>
      <w:pPr>
        <w:sectPr>
          <w:pgSz w:w="11900" w:h="16838" w:orient="portrait"/>
          <w:cols w:equalWidth="0" w:num="1">
            <w:col w:w="11420"/>
          </w:cols>
          <w:pgMar w:left="240" w:top="1013"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13" w:right="239" w:bottom="1440" w:gutter="0" w:footer="0" w:header="0"/>
          <w:type w:val="continuous"/>
        </w:sectPr>
      </w:pPr>
    </w:p>
    <w:bookmarkStart w:id="6" w:name="page7"/>
    <w:bookmarkEnd w:id="6"/>
    <w:p>
      <w:pPr>
        <w:jc w:val="center"/>
        <w:ind w:right="-39"/>
        <w:spacing w:after="0"/>
        <w:rPr>
          <w:sz w:val="20"/>
          <w:szCs w:val="20"/>
          <w:color w:val="auto"/>
        </w:rPr>
      </w:pPr>
      <w:r>
        <w:rPr>
          <w:rFonts w:ascii="Arial" w:cs="Arial" w:eastAsia="Arial" w:hAnsi="Arial"/>
          <w:sz w:val="18"/>
          <w:szCs w:val="18"/>
          <w:b w:val="1"/>
          <w:bCs w:val="1"/>
          <w:color w:val="auto"/>
        </w:rPr>
        <w:t>BOOZ ALLEN HAMILTON HOLDING CORPORATION</w:t>
      </w:r>
    </w:p>
    <w:p>
      <w:pPr>
        <w:spacing w:after="0" w:line="171" w:lineRule="exact"/>
        <w:rPr>
          <w:sz w:val="20"/>
          <w:szCs w:val="20"/>
          <w:color w:val="auto"/>
        </w:rPr>
      </w:pPr>
    </w:p>
    <w:p>
      <w:pPr>
        <w:jc w:val="center"/>
        <w:ind w:left="260" w:right="2160"/>
        <w:spacing w:after="0" w:line="266" w:lineRule="auto"/>
        <w:rPr>
          <w:sz w:val="20"/>
          <w:szCs w:val="20"/>
          <w:color w:val="auto"/>
        </w:rPr>
      </w:pPr>
      <w:r>
        <w:rPr>
          <w:rFonts w:ascii="Arial" w:cs="Arial" w:eastAsia="Arial" w:hAnsi="Arial"/>
          <w:sz w:val="18"/>
          <w:szCs w:val="18"/>
          <w:b w:val="1"/>
          <w:bCs w:val="1"/>
          <w:color w:val="auto"/>
        </w:rPr>
        <w:t>NOTES TO UNAUDITED CONDENSED CONSOLIDATED FINANCIAL STATEMENTS (Amounts in tables in thousands, except share and per share data or unless otherwise noted) September 30, 2016</w:t>
      </w:r>
    </w:p>
    <w:p>
      <w:pPr>
        <w:spacing w:after="0" w:line="68" w:lineRule="exact"/>
        <w:rPr>
          <w:sz w:val="20"/>
          <w:szCs w:val="20"/>
          <w:color w:val="auto"/>
        </w:rPr>
      </w:pPr>
    </w:p>
    <w:p>
      <w:pPr>
        <w:ind w:left="260" w:right="9280" w:hanging="252"/>
        <w:spacing w:after="0" w:line="400" w:lineRule="auto"/>
        <w:tabs>
          <w:tab w:leader="none" w:pos="197" w:val="left"/>
        </w:tabs>
        <w:numPr>
          <w:ilvl w:val="0"/>
          <w:numId w:val="3"/>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BUSINESS OVERVIEW </w:t>
      </w:r>
      <w:r>
        <w:rPr>
          <w:rFonts w:ascii="Arial" w:cs="Arial" w:eastAsia="Arial" w:hAnsi="Arial"/>
          <w:sz w:val="17"/>
          <w:szCs w:val="17"/>
          <w:b w:val="1"/>
          <w:bCs w:val="1"/>
          <w:i w:val="1"/>
          <w:iCs w:val="1"/>
          <w:color w:val="auto"/>
        </w:rPr>
        <w:t>Organization</w:t>
      </w:r>
    </w:p>
    <w:p>
      <w:pPr>
        <w:spacing w:after="0" w:line="1" w:lineRule="exact"/>
        <w:rPr>
          <w:sz w:val="20"/>
          <w:szCs w:val="20"/>
          <w:color w:val="auto"/>
        </w:rPr>
      </w:pPr>
    </w:p>
    <w:p>
      <w:pPr>
        <w:ind w:firstLine="405"/>
        <w:spacing w:after="0" w:line="279" w:lineRule="auto"/>
        <w:rPr>
          <w:sz w:val="20"/>
          <w:szCs w:val="20"/>
          <w:color w:val="auto"/>
        </w:rPr>
      </w:pPr>
      <w:r>
        <w:rPr>
          <w:rFonts w:ascii="Arial" w:cs="Arial" w:eastAsia="Arial" w:hAnsi="Arial"/>
          <w:sz w:val="17"/>
          <w:szCs w:val="17"/>
          <w:color w:val="auto"/>
        </w:rPr>
        <w:t>Booz Allen Hamilton Holding Corporation, including its wholly owned subsidiaries, or Holding or the Company, is an affiliate of The Carlyle Group, or Carlyle, and was incorporated in Delaware in May 2008. The Company provides management and technology, consulting, and engineering services to the U.S. and international governments, major corporations, and not-for-profit organizations. The Company reports operating results and financial data in one operating segment. The Company is headquartered in McLean, Virginia, with approximately 22,800 employees as of September 30, 2016.</w:t>
      </w:r>
    </w:p>
    <w:p>
      <w:pPr>
        <w:spacing w:after="0" w:line="2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BASIS OF PRESENTATION</w:t>
      </w:r>
    </w:p>
    <w:p>
      <w:pPr>
        <w:spacing w:after="0" w:line="121" w:lineRule="exact"/>
        <w:rPr>
          <w:sz w:val="20"/>
          <w:szCs w:val="20"/>
          <w:color w:val="auto"/>
        </w:rPr>
      </w:pPr>
    </w:p>
    <w:p>
      <w:pPr>
        <w:ind w:right="140" w:firstLine="405"/>
        <w:spacing w:after="0" w:line="272" w:lineRule="auto"/>
        <w:rPr>
          <w:sz w:val="20"/>
          <w:szCs w:val="20"/>
          <w:color w:val="auto"/>
        </w:rPr>
      </w:pPr>
      <w:r>
        <w:rPr>
          <w:rFonts w:ascii="Arial" w:cs="Arial" w:eastAsia="Arial" w:hAnsi="Arial"/>
          <w:sz w:val="17"/>
          <w:szCs w:val="17"/>
          <w:color w:val="auto"/>
        </w:rPr>
        <w:t>The Company prepared the unaudited condensed consolidated financial statements in this Quarterly Report on Form 10-Q, or Quarterly Report, in accordance with accounting principles generally accepted in the United States, or U.S. GAAP, for interim financial information and with the instructions to Form 10-Q and Article 10 of Regulation S-X. As a result, certain information and footnote disclosures normally included in financial statements prepared in accordance with U.S. GAAP have been condensed or omitted. The Company followed the accounting policies used and disclosed in the consolidated financial statements included in the Annual Report on Form 10-K for the fiscal year ended March 31, 2016 filed with the Securities and Exchange Commission on May 19, 2016, or Annual Report, and policies stated within this Quarterly Report. The Company’s fiscal year ends on March 31 and unless otherwise noted, references to fiscal year or fiscal are for fiscal years ended March 31.</w:t>
      </w:r>
    </w:p>
    <w:p>
      <w:pPr>
        <w:spacing w:after="0" w:line="70" w:lineRule="exact"/>
        <w:rPr>
          <w:sz w:val="20"/>
          <w:szCs w:val="20"/>
          <w:color w:val="auto"/>
        </w:rPr>
      </w:pPr>
    </w:p>
    <w:p>
      <w:pPr>
        <w:ind w:right="140" w:firstLine="405"/>
        <w:spacing w:after="0" w:line="264" w:lineRule="auto"/>
        <w:rPr>
          <w:sz w:val="20"/>
          <w:szCs w:val="20"/>
          <w:color w:val="auto"/>
        </w:rPr>
      </w:pPr>
      <w:r>
        <w:rPr>
          <w:rFonts w:ascii="Arial" w:cs="Arial" w:eastAsia="Arial" w:hAnsi="Arial"/>
          <w:sz w:val="18"/>
          <w:szCs w:val="18"/>
          <w:color w:val="auto"/>
        </w:rPr>
        <w:t>The interim financial information in this Quarterly Report reflects all adjustments, consisting of normal recurring adjustments except as otherwise disclosed, necessary for a fair presentation of the Company’s results of operations for the interim periods. The results of operations for the six months ended September 30, 2016 are not necessarily indicative of results to be expected for the full fiscal year.</w:t>
      </w:r>
    </w:p>
    <w:p>
      <w:pPr>
        <w:spacing w:after="0" w:line="73"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The preparation of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revenue and expenses during the reporting periods. Areas of the financial statements where estimates may have the most significant effect include contractual and regulatory reserves, valuation and lives of tangible and intangible assets, contingent consideration related to business acquisitions, impairment of long-lived assets, accrued liabilities, revenue recognition, bonus and other incentive compensation, stock-based compensation, realization of deferred tax assets, provisions for income taxes, and postretirement obligations. Actual results experienced by the Company may differ materially from management's estimates.</w:t>
      </w:r>
    </w:p>
    <w:p>
      <w:pPr>
        <w:spacing w:after="0" w:line="5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20" w:firstLine="405"/>
        <w:spacing w:after="0" w:line="269" w:lineRule="auto"/>
        <w:rPr>
          <w:sz w:val="20"/>
          <w:szCs w:val="20"/>
          <w:color w:val="auto"/>
        </w:rPr>
      </w:pPr>
      <w:r>
        <w:rPr>
          <w:rFonts w:ascii="Arial" w:cs="Arial" w:eastAsia="Arial" w:hAnsi="Arial"/>
          <w:sz w:val="17"/>
          <w:szCs w:val="17"/>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the first full annual period beginning after December 15, 2017,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 new standard and still assessing what effect the adoption of this standard may have on the timing of our revenue recognition and our consolidated financial statements.</w:t>
      </w:r>
    </w:p>
    <w:p>
      <w:pPr>
        <w:spacing w:after="0" w:line="75"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six months ended September 30, 2016 and through the filing date did not or are not believed by management to have a material impact on the Company's present or historical condensed consolidated financial statements.</w:t>
      </w:r>
    </w:p>
    <w:p>
      <w:pPr>
        <w:spacing w:after="0" w:line="17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00"/>
          </w:cols>
          <w:pgMar w:left="240" w:top="769" w:right="25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3. EARNINGS PER SHARE</w:t>
      </w:r>
    </w:p>
    <w:p>
      <w:pPr>
        <w:spacing w:after="0" w:line="121" w:lineRule="exact"/>
        <w:rPr>
          <w:sz w:val="20"/>
          <w:szCs w:val="20"/>
          <w:color w:val="auto"/>
        </w:rPr>
      </w:pPr>
    </w:p>
    <w:p>
      <w:pPr>
        <w:ind w:right="180" w:firstLine="405"/>
        <w:spacing w:after="0" w:line="286" w:lineRule="auto"/>
        <w:rPr>
          <w:sz w:val="20"/>
          <w:szCs w:val="20"/>
          <w:color w:val="auto"/>
        </w:rPr>
      </w:pPr>
      <w:r>
        <w:rPr>
          <w:rFonts w:ascii="Arial" w:cs="Arial" w:eastAsia="Arial" w:hAnsi="Arial"/>
          <w:sz w:val="17"/>
          <w:szCs w:val="17"/>
          <w:color w:val="auto"/>
        </w:rPr>
        <w:t>The Company computes basic and diluted earnings per share amounts based on net income for the periods presented. The Company uses the weighted average number of common shares outstanding during the period to calculate basic earnings per share, or EPS. Diluted EPS adjusts the weighted average number of shares outstanding to include the dilutive effect of outstanding common stock options and other stock-based awards.</w:t>
      </w:r>
    </w:p>
    <w:p>
      <w:pPr>
        <w:spacing w:after="0" w:line="57" w:lineRule="exact"/>
        <w:rPr>
          <w:sz w:val="20"/>
          <w:szCs w:val="20"/>
          <w:color w:val="auto"/>
        </w:rPr>
      </w:pPr>
    </w:p>
    <w:p>
      <w:pPr>
        <w:ind w:firstLine="405"/>
        <w:spacing w:after="0" w:line="254" w:lineRule="auto"/>
        <w:rPr>
          <w:sz w:val="20"/>
          <w:szCs w:val="20"/>
          <w:color w:val="auto"/>
        </w:rPr>
      </w:pPr>
      <w:r>
        <w:rPr>
          <w:rFonts w:ascii="Arial" w:cs="Arial" w:eastAsia="Arial" w:hAnsi="Arial"/>
          <w:sz w:val="18"/>
          <w:szCs w:val="18"/>
          <w:color w:val="auto"/>
        </w:rPr>
        <w:t>The Company currently has outstanding shares of Class A Common Stock. During fiscal 2016, the Company purchased, at par value, all issued and outstanding shares of Class E special voting common stock in connection with the exercise of the final tranche of rollover options during the second quarter of fiscal 2016. Class E Special Voting Common Stock shares are not included in the calculation of EPS as these shares represent voting rights only and are not entitled to participate in dividends or other distributions. Unvested Class A Restricted Common Stock holders are entitled to participate in non-forfeitable dividends or other distributions. These unvested restricted shares participated in the Company's dividends declared and were paid in the first quarter and second quarter of fiscal 2017 and 2016. As such, EPS is calculated using the two-class method whereby earnings are reduced by distributed earnings as well as any available undistributed earnings allocable to holders of unvested restricted shares. A reconciliation of the income used to compute basic and diluted EPS for the periods presented are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3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5"/>
              </w:rPr>
              <w:t>Three Months Ended</w:t>
            </w:r>
          </w:p>
        </w:tc>
        <w:tc>
          <w:tcPr>
            <w:tcW w:w="200" w:type="dxa"/>
            <w:vAlign w:val="bottom"/>
          </w:tcPr>
          <w:p>
            <w:pPr>
              <w:spacing w:after="0"/>
              <w:rPr>
                <w:sz w:val="14"/>
                <w:szCs w:val="14"/>
                <w:color w:val="auto"/>
              </w:rPr>
            </w:pPr>
          </w:p>
        </w:tc>
        <w:tc>
          <w:tcPr>
            <w:tcW w:w="2520" w:type="dxa"/>
            <w:vAlign w:val="bottom"/>
            <w:gridSpan w:val="4"/>
          </w:tcPr>
          <w:p>
            <w:pPr>
              <w:jc w:val="right"/>
              <w:ind w:right="692"/>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5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20" w:type="dxa"/>
            <w:vAlign w:val="bottom"/>
            <w:gridSpan w:val="5"/>
          </w:tcPr>
          <w:p>
            <w:pPr>
              <w:jc w:val="center"/>
              <w:ind w:right="300"/>
              <w:spacing w:after="0"/>
              <w:rPr>
                <w:sz w:val="20"/>
                <w:szCs w:val="20"/>
                <w:color w:val="auto"/>
              </w:rPr>
            </w:pPr>
            <w:r>
              <w:rPr>
                <w:rFonts w:ascii="Arial" w:cs="Arial" w:eastAsia="Arial" w:hAnsi="Arial"/>
                <w:sz w:val="14"/>
                <w:szCs w:val="14"/>
                <w:b w:val="1"/>
                <w:bCs w:val="1"/>
                <w:color w:val="auto"/>
                <w:w w:val="91"/>
              </w:rPr>
              <w:t>September 30,</w:t>
            </w:r>
          </w:p>
        </w:tc>
        <w:tc>
          <w:tcPr>
            <w:tcW w:w="200" w:type="dxa"/>
            <w:vAlign w:val="bottom"/>
          </w:tcPr>
          <w:p>
            <w:pPr>
              <w:spacing w:after="0"/>
              <w:rPr>
                <w:sz w:val="16"/>
                <w:szCs w:val="16"/>
                <w:color w:val="auto"/>
              </w:rPr>
            </w:pPr>
          </w:p>
        </w:tc>
        <w:tc>
          <w:tcPr>
            <w:tcW w:w="2520" w:type="dxa"/>
            <w:vAlign w:val="bottom"/>
            <w:gridSpan w:val="4"/>
          </w:tcPr>
          <w:p>
            <w:pPr>
              <w:jc w:val="right"/>
              <w:ind w:right="812"/>
              <w:spacing w:after="0"/>
              <w:rPr>
                <w:sz w:val="20"/>
                <w:szCs w:val="20"/>
                <w:color w:val="auto"/>
              </w:rPr>
            </w:pPr>
            <w:r>
              <w:rPr>
                <w:rFonts w:ascii="Arial" w:cs="Arial" w:eastAsia="Arial" w:hAnsi="Arial"/>
                <w:sz w:val="14"/>
                <w:szCs w:val="14"/>
                <w:b w:val="1"/>
                <w:bCs w:val="1"/>
                <w:color w:val="auto"/>
              </w:rPr>
              <w:t>September 30,</w:t>
            </w:r>
          </w:p>
        </w:tc>
        <w:tc>
          <w:tcPr>
            <w:tcW w:w="0" w:type="dxa"/>
            <w:vAlign w:val="bottom"/>
          </w:tcPr>
          <w:p>
            <w:pPr>
              <w:spacing w:after="0"/>
              <w:rPr>
                <w:sz w:val="1"/>
                <w:szCs w:val="1"/>
                <w:color w:val="auto"/>
              </w:rPr>
            </w:pPr>
          </w:p>
        </w:tc>
      </w:tr>
      <w:tr>
        <w:trPr>
          <w:trHeight w:val="264"/>
        </w:trPr>
        <w:tc>
          <w:tcPr>
            <w:tcW w:w="5340" w:type="dxa"/>
            <w:vAlign w:val="bottom"/>
            <w:tcBorders>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top w:val="single" w:sz="8" w:color="auto"/>
              <w:bottom w:val="single" w:sz="8" w:color="CCEEFF"/>
            </w:tcBorders>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2"/>
              <w:spacing w:after="0"/>
              <w:rPr>
                <w:sz w:val="20"/>
                <w:szCs w:val="20"/>
                <w:color w:val="auto"/>
              </w:rPr>
            </w:pPr>
            <w:r>
              <w:rPr>
                <w:rFonts w:ascii="Arial" w:cs="Arial" w:eastAsia="Arial" w:hAnsi="Arial"/>
                <w:sz w:val="14"/>
                <w:szCs w:val="14"/>
                <w:b w:val="1"/>
                <w:bCs w:val="1"/>
                <w:color w:val="auto"/>
              </w:rPr>
              <w:t>2015</w:t>
            </w:r>
          </w:p>
        </w:tc>
        <w:tc>
          <w:tcPr>
            <w:tcW w:w="100" w:type="dxa"/>
            <w:vAlign w:val="bottom"/>
            <w:tcBorders>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5"/>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top w:val="single" w:sz="8" w:color="auto"/>
              <w:bottom w:val="single" w:sz="8" w:color="CCEEFF"/>
            </w:tcBorders>
          </w:tcPr>
          <w:p>
            <w:pPr>
              <w:spacing w:after="0"/>
              <w:rPr>
                <w:sz w:val="22"/>
                <w:szCs w:val="22"/>
                <w:color w:val="auto"/>
              </w:rPr>
            </w:pPr>
          </w:p>
        </w:tc>
        <w:tc>
          <w:tcPr>
            <w:tcW w:w="2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12"/>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basic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62,151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129,286</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118,909</w:t>
            </w:r>
          </w:p>
        </w:tc>
        <w:tc>
          <w:tcPr>
            <w:tcW w:w="0" w:type="dxa"/>
            <w:vAlign w:val="bottom"/>
          </w:tcPr>
          <w:p>
            <w:pPr>
              <w:spacing w:after="0"/>
              <w:rPr>
                <w:sz w:val="1"/>
                <w:szCs w:val="1"/>
                <w:color w:val="auto"/>
              </w:rPr>
            </w:pPr>
          </w:p>
        </w:tc>
      </w:tr>
      <w:tr>
        <w:trPr>
          <w:trHeight w:val="229"/>
        </w:trPr>
        <w:tc>
          <w:tcPr>
            <w:tcW w:w="5340" w:type="dxa"/>
            <w:vAlign w:val="bottom"/>
          </w:tcPr>
          <w:p>
            <w:pPr>
              <w:ind w:left="380"/>
              <w:spacing w:after="0"/>
              <w:rPr>
                <w:sz w:val="20"/>
                <w:szCs w:val="20"/>
                <w:color w:val="auto"/>
              </w:rPr>
            </w:pPr>
            <w:r>
              <w:rPr>
                <w:rFonts w:ascii="Arial" w:cs="Arial" w:eastAsia="Arial" w:hAnsi="Arial"/>
                <w:sz w:val="18"/>
                <w:szCs w:val="18"/>
                <w:color w:val="auto"/>
              </w:rPr>
              <w:t>Weighted-average common shares outstanding for basic</w:t>
            </w: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340" w:type="dxa"/>
            <w:vAlign w:val="bottom"/>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Pr>
          <w:p>
            <w:pPr>
              <w:spacing w:after="0"/>
              <w:rPr>
                <w:sz w:val="20"/>
                <w:szCs w:val="20"/>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w w:val="95"/>
              </w:rPr>
              <w:t>148,008,994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w w:val="95"/>
              </w:rPr>
              <w:t>146,176,944</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w w:val="97"/>
              </w:rPr>
              <w:t>147,625,388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w w:val="97"/>
              </w:rPr>
              <w:t>145,718,004</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5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Earnings for diluted computations (1)</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62,157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55,452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129,300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118,934</w:t>
            </w:r>
          </w:p>
        </w:tc>
        <w:tc>
          <w:tcPr>
            <w:tcW w:w="0" w:type="dxa"/>
            <w:vAlign w:val="bottom"/>
          </w:tcPr>
          <w:p>
            <w:pPr>
              <w:spacing w:after="0"/>
              <w:rPr>
                <w:sz w:val="1"/>
                <w:szCs w:val="1"/>
                <w:color w:val="auto"/>
              </w:rPr>
            </w:pPr>
          </w:p>
        </w:tc>
      </w:tr>
      <w:tr>
        <w:trPr>
          <w:trHeight w:val="243"/>
        </w:trPr>
        <w:tc>
          <w:tcPr>
            <w:tcW w:w="5340" w:type="dxa"/>
            <w:vAlign w:val="bottom"/>
          </w:tcPr>
          <w:p>
            <w:pPr>
              <w:ind w:left="380"/>
              <w:spacing w:after="0"/>
              <w:rPr>
                <w:sz w:val="20"/>
                <w:szCs w:val="20"/>
                <w:color w:val="auto"/>
              </w:rPr>
            </w:pPr>
            <w:r>
              <w:rPr>
                <w:rFonts w:ascii="Arial" w:cs="Arial" w:eastAsia="Arial" w:hAnsi="Arial"/>
                <w:sz w:val="18"/>
                <w:szCs w:val="18"/>
                <w:color w:val="auto"/>
              </w:rPr>
              <w:t>Dilutive stock options and restricted stock</w:t>
            </w:r>
          </w:p>
        </w:tc>
        <w:tc>
          <w:tcPr>
            <w:tcW w:w="220" w:type="dxa"/>
            <w:vAlign w:val="bottom"/>
          </w:tcPr>
          <w:p>
            <w:pPr>
              <w:spacing w:after="0"/>
              <w:rPr>
                <w:sz w:val="21"/>
                <w:szCs w:val="21"/>
                <w:color w:val="auto"/>
              </w:rPr>
            </w:pP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2,191,460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3,211,612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2,289,028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3,278,665</w:t>
            </w:r>
          </w:p>
        </w:tc>
        <w:tc>
          <w:tcPr>
            <w:tcW w:w="0" w:type="dxa"/>
            <w:vAlign w:val="bottom"/>
          </w:tcPr>
          <w:p>
            <w:pPr>
              <w:spacing w:after="0"/>
              <w:rPr>
                <w:sz w:val="1"/>
                <w:szCs w:val="1"/>
                <w:color w:val="auto"/>
              </w:rPr>
            </w:pPr>
          </w:p>
        </w:tc>
      </w:tr>
      <w:tr>
        <w:trPr>
          <w:trHeight w:val="27"/>
        </w:trPr>
        <w:tc>
          <w:tcPr>
            <w:tcW w:w="53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5340" w:type="dxa"/>
            <w:vAlign w:val="bottom"/>
            <w:shd w:val="clear" w:color="auto" w:fill="CCEEFF"/>
          </w:tcPr>
          <w:p>
            <w:pPr>
              <w:ind w:left="380"/>
              <w:spacing w:after="0"/>
              <w:rPr>
                <w:sz w:val="20"/>
                <w:szCs w:val="20"/>
                <w:color w:val="auto"/>
              </w:rPr>
            </w:pPr>
            <w:r>
              <w:rPr>
                <w:rFonts w:ascii="Arial" w:cs="Arial" w:eastAsia="Arial" w:hAnsi="Arial"/>
                <w:sz w:val="18"/>
                <w:szCs w:val="18"/>
                <w:color w:val="auto"/>
              </w:rPr>
              <w:t>Weighted-average common shares outstanding for diluted</w:t>
            </w: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computations</w:t>
            </w: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w w:val="95"/>
              </w:rPr>
              <w:t>150,200,454</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w w:val="95"/>
              </w:rPr>
              <w:t>149,388,556</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w w:val="97"/>
              </w:rPr>
              <w:t>149,914,416</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w w:val="97"/>
              </w:rPr>
              <w:t>148,996,669</w:t>
            </w:r>
          </w:p>
        </w:tc>
        <w:tc>
          <w:tcPr>
            <w:tcW w:w="0" w:type="dxa"/>
            <w:vAlign w:val="bottom"/>
          </w:tcPr>
          <w:p>
            <w:pPr>
              <w:spacing w:after="0"/>
              <w:rPr>
                <w:sz w:val="1"/>
                <w:szCs w:val="1"/>
                <w:color w:val="auto"/>
              </w:rPr>
            </w:pPr>
          </w:p>
        </w:tc>
      </w:tr>
      <w:tr>
        <w:trPr>
          <w:trHeight w:val="223"/>
        </w:trPr>
        <w:tc>
          <w:tcPr>
            <w:tcW w:w="5340" w:type="dxa"/>
            <w:vAlign w:val="bottom"/>
          </w:tcPr>
          <w:p>
            <w:pPr>
              <w:ind w:left="40"/>
              <w:spacing w:after="0"/>
              <w:rPr>
                <w:sz w:val="20"/>
                <w:szCs w:val="20"/>
                <w:color w:val="auto"/>
              </w:rPr>
            </w:pPr>
            <w:r>
              <w:rPr>
                <w:rFonts w:ascii="Arial" w:cs="Arial" w:eastAsia="Arial" w:hAnsi="Arial"/>
                <w:sz w:val="18"/>
                <w:szCs w:val="18"/>
                <w:color w:val="auto"/>
              </w:rPr>
              <w:t>Earnings per common share</w:t>
            </w: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1"/>
        </w:trPr>
        <w:tc>
          <w:tcPr>
            <w:tcW w:w="534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75"/>
        </w:trPr>
        <w:tc>
          <w:tcPr>
            <w:tcW w:w="5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Basic</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0.42</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0.38</w:t>
            </w: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0.88</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0.82</w:t>
            </w:r>
          </w:p>
        </w:tc>
        <w:tc>
          <w:tcPr>
            <w:tcW w:w="0" w:type="dxa"/>
            <w:vAlign w:val="bottom"/>
          </w:tcPr>
          <w:p>
            <w:pPr>
              <w:spacing w:after="0"/>
              <w:rPr>
                <w:sz w:val="1"/>
                <w:szCs w:val="1"/>
                <w:color w:val="auto"/>
              </w:rPr>
            </w:pPr>
          </w:p>
        </w:tc>
      </w:tr>
      <w:tr>
        <w:trPr>
          <w:trHeight w:val="20"/>
        </w:trPr>
        <w:tc>
          <w:tcPr>
            <w:tcW w:w="53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Diluted</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5340" w:type="dxa"/>
            <w:vAlign w:val="bottom"/>
            <w:vMerge w:val="continue"/>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5"/>
              <w:spacing w:after="0"/>
              <w:rPr>
                <w:sz w:val="20"/>
                <w:szCs w:val="20"/>
                <w:color w:val="auto"/>
              </w:rPr>
            </w:pPr>
            <w:r>
              <w:rPr>
                <w:rFonts w:ascii="Arial" w:cs="Arial" w:eastAsia="Arial" w:hAnsi="Arial"/>
                <w:sz w:val="18"/>
                <w:szCs w:val="18"/>
                <w:color w:val="auto"/>
              </w:rPr>
              <w:t>0.41</w:t>
            </w:r>
          </w:p>
        </w:tc>
        <w:tc>
          <w:tcPr>
            <w:tcW w:w="100" w:type="dxa"/>
            <w:vAlign w:val="bottom"/>
          </w:tcPr>
          <w:p>
            <w:pPr>
              <w:spacing w:after="0"/>
              <w:rPr>
                <w:sz w:val="19"/>
                <w:szCs w:val="19"/>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32"/>
              <w:spacing w:after="0"/>
              <w:rPr>
                <w:sz w:val="20"/>
                <w:szCs w:val="20"/>
                <w:color w:val="auto"/>
              </w:rPr>
            </w:pPr>
            <w:r>
              <w:rPr>
                <w:rFonts w:ascii="Arial" w:cs="Arial" w:eastAsia="Arial" w:hAnsi="Arial"/>
                <w:sz w:val="18"/>
                <w:szCs w:val="18"/>
                <w:color w:val="auto"/>
              </w:rPr>
              <w:t>0.37</w:t>
            </w:r>
          </w:p>
        </w:tc>
        <w:tc>
          <w:tcPr>
            <w:tcW w:w="10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5"/>
              <w:spacing w:after="0"/>
              <w:rPr>
                <w:sz w:val="20"/>
                <w:szCs w:val="20"/>
                <w:color w:val="auto"/>
              </w:rPr>
            </w:pPr>
            <w:r>
              <w:rPr>
                <w:rFonts w:ascii="Arial" w:cs="Arial" w:eastAsia="Arial" w:hAnsi="Arial"/>
                <w:sz w:val="18"/>
                <w:szCs w:val="18"/>
                <w:color w:val="auto"/>
              </w:rPr>
              <w:t>0.86</w:t>
            </w:r>
          </w:p>
        </w:tc>
        <w:tc>
          <w:tcPr>
            <w:tcW w:w="120" w:type="dxa"/>
            <w:vAlign w:val="bottom"/>
          </w:tcPr>
          <w:p>
            <w:pPr>
              <w:spacing w:after="0"/>
              <w:rPr>
                <w:sz w:val="19"/>
                <w:szCs w:val="19"/>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2"/>
              <w:spacing w:after="0"/>
              <w:rPr>
                <w:sz w:val="20"/>
                <w:szCs w:val="20"/>
                <w:color w:val="auto"/>
              </w:rPr>
            </w:pPr>
            <w:r>
              <w:rPr>
                <w:rFonts w:ascii="Arial" w:cs="Arial" w:eastAsia="Arial" w:hAnsi="Arial"/>
                <w:sz w:val="18"/>
                <w:szCs w:val="18"/>
                <w:color w:val="auto"/>
              </w:rPr>
              <w:t>0.80</w:t>
            </w:r>
          </w:p>
        </w:tc>
        <w:tc>
          <w:tcPr>
            <w:tcW w:w="0" w:type="dxa"/>
            <w:vAlign w:val="bottom"/>
          </w:tcPr>
          <w:p>
            <w:pPr>
              <w:spacing w:after="0"/>
              <w:rPr>
                <w:sz w:val="1"/>
                <w:szCs w:val="1"/>
                <w:color w:val="auto"/>
              </w:rPr>
            </w:pPr>
          </w:p>
        </w:tc>
      </w:tr>
      <w:tr>
        <w:trPr>
          <w:trHeight w:val="27"/>
        </w:trPr>
        <w:tc>
          <w:tcPr>
            <w:tcW w:w="53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53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firstLine="8"/>
        <w:spacing w:after="0" w:line="271" w:lineRule="auto"/>
        <w:tabs>
          <w:tab w:leader="none" w:pos="255" w:val="left"/>
        </w:tabs>
        <w:numPr>
          <w:ilvl w:val="0"/>
          <w:numId w:val="4"/>
        </w:numPr>
        <w:rPr>
          <w:rFonts w:ascii="Arial" w:cs="Arial" w:eastAsia="Arial" w:hAnsi="Arial"/>
          <w:sz w:val="17"/>
          <w:szCs w:val="17"/>
          <w:color w:val="auto"/>
        </w:rPr>
      </w:pPr>
      <w:r>
        <w:rPr>
          <w:rFonts w:ascii="Arial" w:cs="Arial" w:eastAsia="Arial" w:hAnsi="Arial"/>
          <w:sz w:val="17"/>
          <w:szCs w:val="17"/>
          <w:color w:val="auto"/>
        </w:rPr>
        <w:t>During the three months ended September 30, 2016 and 2015, approximately 1.6 million and 2.0 million participating securities were paid dividends totaling $0.2 million and $0.3 million, respectively. During the six months ended September 30, 2016 and 2015, approximately 1.6 million and 2.0 million participating securities were paid dividends totaling $0.4 million and $0.5 million, respectively. For the three and six months ended September 30, 2016, there were undistributed earnings of $0.4 million and $0.9 million, respectively, allocated to the participating class of securities in both basic and diluted earnings per share. For the three and six months ended September 30, 2015, there were undistributed earnings of $0.5 million and $1.1 million, respectively, allocated to the participating class of securities in both basic and diluted earnings per share. The allocated undistributed earnings and the dividends paid comprise the difference between net income presented on the condensed consolidated statements of operations and earnings for basic and diluted computations for the three and six months ended September 30, 2016 and 2015.</w:t>
      </w:r>
    </w:p>
    <w:p>
      <w:pPr>
        <w:spacing w:after="0" w:line="287" w:lineRule="exact"/>
        <w:rPr>
          <w:sz w:val="20"/>
          <w:szCs w:val="20"/>
          <w:color w:val="auto"/>
        </w:rPr>
      </w:pPr>
    </w:p>
    <w:p>
      <w:pPr>
        <w:jc w:val="both"/>
        <w:ind w:right="280" w:firstLine="405"/>
        <w:spacing w:after="0" w:line="264" w:lineRule="auto"/>
        <w:rPr>
          <w:sz w:val="20"/>
          <w:szCs w:val="20"/>
          <w:color w:val="auto"/>
        </w:rPr>
      </w:pPr>
      <w:r>
        <w:rPr>
          <w:rFonts w:ascii="Arial" w:cs="Arial" w:eastAsia="Arial" w:hAnsi="Arial"/>
          <w:sz w:val="18"/>
          <w:szCs w:val="18"/>
          <w:color w:val="auto"/>
        </w:rPr>
        <w:t>The EPS calculation for the three months ended September 30, 2016 excludes no anti-dilutive options. The EPS calculation for the six months ended September 30, 2016 excludes 0.5 million options as their impact was anti-dilutive. The EPS calculation for the three and six months ended September 30, 2015 excludes 0.5 million and 0.6 million options, respectively, as their impact was anti-dilutive.</w:t>
      </w:r>
    </w:p>
    <w:p>
      <w:pPr>
        <w:spacing w:after="0" w:line="200" w:lineRule="exact"/>
        <w:rPr>
          <w:sz w:val="20"/>
          <w:szCs w:val="20"/>
          <w:color w:val="auto"/>
        </w:rPr>
      </w:pPr>
    </w:p>
    <w:p>
      <w:pPr>
        <w:spacing w:after="0" w:line="2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77"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t>4. ACCOUNTS RECEIVABLE, NET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Accounts receivable, net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4"/>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Current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Accounts receivable–billed</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4"/>
              <w:spacing w:after="0"/>
              <w:rPr>
                <w:sz w:val="20"/>
                <w:szCs w:val="20"/>
                <w:color w:val="auto"/>
              </w:rPr>
            </w:pPr>
            <w:r>
              <w:rPr>
                <w:rFonts w:ascii="Arial" w:cs="Arial" w:eastAsia="Arial" w:hAnsi="Arial"/>
                <w:sz w:val="18"/>
                <w:szCs w:val="18"/>
                <w:color w:val="auto"/>
              </w:rPr>
              <w:t>307,492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4"/>
              <w:spacing w:after="0"/>
              <w:rPr>
                <w:sz w:val="20"/>
                <w:szCs w:val="20"/>
                <w:color w:val="auto"/>
              </w:rPr>
            </w:pPr>
            <w:r>
              <w:rPr>
                <w:rFonts w:ascii="Arial" w:cs="Arial" w:eastAsia="Arial" w:hAnsi="Arial"/>
                <w:sz w:val="18"/>
                <w:szCs w:val="18"/>
                <w:color w:val="auto"/>
              </w:rPr>
              <w:t>308,670</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565,619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584,275</w:t>
            </w:r>
          </w:p>
        </w:tc>
      </w:tr>
      <w:tr>
        <w:trPr>
          <w:trHeight w:val="243"/>
        </w:trPr>
        <w:tc>
          <w:tcPr>
            <w:tcW w:w="8340" w:type="dxa"/>
            <w:vAlign w:val="bottom"/>
          </w:tcPr>
          <w:p>
            <w:pPr>
              <w:ind w:left="380"/>
              <w:spacing w:after="0"/>
              <w:rPr>
                <w:sz w:val="20"/>
                <w:szCs w:val="20"/>
                <w:color w:val="auto"/>
              </w:rPr>
            </w:pPr>
            <w:r>
              <w:rPr>
                <w:rFonts w:ascii="Arial" w:cs="Arial" w:eastAsia="Arial" w:hAnsi="Arial"/>
                <w:sz w:val="18"/>
                <w:szCs w:val="18"/>
                <w:color w:val="auto"/>
              </w:rPr>
              <w:t>Allowance for doubtful accounts</w:t>
            </w:r>
          </w:p>
        </w:tc>
        <w:tc>
          <w:tcPr>
            <w:tcW w:w="20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(656)</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44"/>
        </w:trPr>
        <w:tc>
          <w:tcPr>
            <w:tcW w:w="83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Accounts receivable, net</w:t>
            </w: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872,655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892,289</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Long-term</w:t>
            </w:r>
          </w:p>
        </w:tc>
        <w:tc>
          <w:tcPr>
            <w:tcW w:w="20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Accounts receivable–unbilled</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68,141</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51,145</w:t>
            </w:r>
          </w:p>
        </w:tc>
      </w:tr>
      <w:tr>
        <w:trPr>
          <w:trHeight w:val="237"/>
        </w:trPr>
        <w:tc>
          <w:tcPr>
            <w:tcW w:w="8340" w:type="dxa"/>
            <w:vAlign w:val="bottom"/>
          </w:tcPr>
          <w:p>
            <w:pPr>
              <w:ind w:left="720"/>
              <w:spacing w:after="0"/>
              <w:rPr>
                <w:sz w:val="20"/>
                <w:szCs w:val="20"/>
                <w:color w:val="auto"/>
              </w:rPr>
            </w:pPr>
            <w:r>
              <w:rPr>
                <w:rFonts w:ascii="Arial" w:cs="Arial" w:eastAsia="Arial" w:hAnsi="Arial"/>
                <w:sz w:val="18"/>
                <w:szCs w:val="18"/>
                <w:color w:val="auto"/>
              </w:rPr>
              <w:t>Total accounts receivable, net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940,796</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943,434</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left="420"/>
        <w:spacing w:after="0"/>
        <w:rPr>
          <w:sz w:val="20"/>
          <w:szCs w:val="20"/>
          <w:color w:val="auto"/>
        </w:rPr>
      </w:pPr>
      <w:r>
        <w:rPr>
          <w:rFonts w:ascii="Arial" w:cs="Arial" w:eastAsia="Arial" w:hAnsi="Arial"/>
          <w:sz w:val="16"/>
          <w:szCs w:val="16"/>
          <w:color w:val="auto"/>
        </w:rPr>
        <w:t>Unbilled amounts represent sales for which billings have not been presented to customers at quarter-end or year-end. These amounts are usually billed</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and collected within one year. Long-term unbilled receivables not anticipated to be billed and collected within one year, which are primarily related to</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retainage, holdbacks, and long-term rate settlements to be billed at contract closeout, are included in other long-term assets in the accompanying condensed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consolidated balance sheets. The Company recognized a provision (benefit) for doubtful accounts (including certain unbilled reserves) of $0.2 million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$(2.1) million for the three months ended September 30, 2016 and 2015, respectively and $0.8 million for both the six months ended September 30, 2016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2015. The Company does not have material exposure to accounts receivable credit risk, because the Company's accounts receivable are primarily with the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U.S. Government and its agencies.</w:t>
      </w:r>
    </w:p>
    <w:p>
      <w:pPr>
        <w:spacing w:after="0" w:line="315" w:lineRule="exact"/>
        <w:rPr>
          <w:sz w:val="20"/>
          <w:szCs w:val="20"/>
          <w:color w:val="auto"/>
        </w:rPr>
      </w:pPr>
    </w:p>
    <w:p>
      <w:pPr>
        <w:ind w:left="440" w:right="5700" w:hanging="432"/>
        <w:spacing w:after="0" w:line="428" w:lineRule="auto"/>
        <w:tabs>
          <w:tab w:leader="none" w:pos="188" w:val="left"/>
        </w:tabs>
        <w:numPr>
          <w:ilvl w:val="0"/>
          <w:numId w:val="5"/>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ACCOUNTS PAYABLE AND OTHER ACCRUED EXPENSES </w:t>
      </w:r>
      <w:r>
        <w:rPr>
          <w:rFonts w:ascii="Arial" w:cs="Arial" w:eastAsia="Arial" w:hAnsi="Arial"/>
          <w:sz w:val="17"/>
          <w:szCs w:val="17"/>
          <w:color w:val="auto"/>
        </w:rPr>
        <w:t>Accounts payable and other accrued expenses consisted of the following:</w:t>
      </w:r>
    </w:p>
    <w:tbl>
      <w:tblPr>
        <w:tblLayout w:type="fixed"/>
        <w:tblInd w:w="0" w:type="dxa"/>
        <w:tblCellMar>
          <w:top w:w="0" w:type="dxa"/>
          <w:left w:w="0" w:type="dxa"/>
          <w:bottom w:w="0" w:type="dxa"/>
          <w:right w:w="0" w:type="dxa"/>
        </w:tblCellMar>
      </w:tblPr>
      <w:tr>
        <w:trPr>
          <w:trHeight w:val="149"/>
        </w:trPr>
        <w:tc>
          <w:tcPr>
            <w:tcW w:w="83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00" w:type="dxa"/>
            <w:vAlign w:val="bottom"/>
            <w:gridSpan w:val="2"/>
          </w:tcPr>
          <w:p>
            <w:pPr>
              <w:ind w:left="100"/>
              <w:spacing w:after="0" w:line="149" w:lineRule="exact"/>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2"/>
                <w:szCs w:val="12"/>
                <w:color w:val="auto"/>
              </w:rPr>
            </w:pPr>
          </w:p>
        </w:tc>
        <w:tc>
          <w:tcPr>
            <w:tcW w:w="1220" w:type="dxa"/>
            <w:vAlign w:val="bottom"/>
          </w:tcPr>
          <w:p>
            <w:pPr>
              <w:jc w:val="right"/>
              <w:ind w:right="357"/>
              <w:spacing w:after="0" w:line="149" w:lineRule="exact"/>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7"/>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Vendor payables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233,354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246,670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200" w:type="dxa"/>
            <w:vAlign w:val="bottom"/>
          </w:tcPr>
          <w:p>
            <w:pPr>
              <w:spacing w:after="0"/>
              <w:rPr>
                <w:sz w:val="21"/>
                <w:szCs w:val="21"/>
                <w:color w:val="auto"/>
              </w:rPr>
            </w:pPr>
          </w:p>
        </w:tc>
        <w:tc>
          <w:tcPr>
            <w:tcW w:w="1300" w:type="dxa"/>
            <w:vAlign w:val="bottom"/>
          </w:tcPr>
          <w:p>
            <w:pPr>
              <w:jc w:val="right"/>
              <w:ind w:right="17"/>
              <w:spacing w:after="0"/>
              <w:rPr>
                <w:sz w:val="20"/>
                <w:szCs w:val="20"/>
                <w:color w:val="auto"/>
              </w:rPr>
            </w:pPr>
            <w:r>
              <w:rPr>
                <w:rFonts w:ascii="Arial" w:cs="Arial" w:eastAsia="Arial" w:hAnsi="Arial"/>
                <w:sz w:val="18"/>
                <w:szCs w:val="18"/>
                <w:color w:val="auto"/>
              </w:rPr>
              <w:t>234,560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7"/>
              <w:spacing w:after="0"/>
              <w:rPr>
                <w:sz w:val="20"/>
                <w:szCs w:val="20"/>
                <w:color w:val="auto"/>
              </w:rPr>
            </w:pPr>
            <w:r>
              <w:rPr>
                <w:rFonts w:ascii="Arial" w:cs="Arial" w:eastAsia="Arial" w:hAnsi="Arial"/>
                <w:sz w:val="18"/>
                <w:szCs w:val="18"/>
                <w:color w:val="auto"/>
              </w:rPr>
              <w:t>238,099</w:t>
            </w:r>
          </w:p>
        </w:tc>
      </w:tr>
      <w:tr>
        <w:trPr>
          <w:trHeight w:val="27"/>
        </w:trPr>
        <w:tc>
          <w:tcPr>
            <w:tcW w:w="83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69"/>
        </w:trPr>
        <w:tc>
          <w:tcPr>
            <w:tcW w:w="83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accounts payable and other accrued expenses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467,914</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484,769</w:t>
            </w:r>
          </w:p>
        </w:tc>
      </w:tr>
      <w:tr>
        <w:trPr>
          <w:trHeight w:val="20"/>
        </w:trPr>
        <w:tc>
          <w:tcPr>
            <w:tcW w:w="83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140" w:firstLine="432"/>
        <w:spacing w:after="0" w:line="277" w:lineRule="auto"/>
        <w:rPr>
          <w:sz w:val="20"/>
          <w:szCs w:val="20"/>
          <w:color w:val="auto"/>
        </w:rPr>
      </w:pPr>
      <w:r>
        <w:rPr>
          <w:rFonts w:ascii="Arial" w:cs="Arial" w:eastAsia="Arial" w:hAnsi="Arial"/>
          <w:sz w:val="18"/>
          <w:szCs w:val="18"/>
          <w:color w:val="auto"/>
        </w:rPr>
        <w:t>Accrued expenses consisted primarily of the Company’s reserve related to potential cost disallowance in conjunction with government audits. Refer to Note 16 for further discussion of this reserve.</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ACCRUED COMPENSATION AND BENEFITS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Accrued compensation and benefits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50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5"/>
              <w:spacing w:after="0"/>
              <w:rPr>
                <w:sz w:val="20"/>
                <w:szCs w:val="20"/>
                <w:color w:val="auto"/>
              </w:rPr>
            </w:pPr>
            <w:r>
              <w:rPr>
                <w:rFonts w:ascii="Arial" w:cs="Arial" w:eastAsia="Arial" w:hAnsi="Arial"/>
                <w:sz w:val="14"/>
                <w:szCs w:val="14"/>
                <w:b w:val="1"/>
                <w:bCs w:val="1"/>
                <w:color w:val="auto"/>
              </w:rPr>
              <w:t>March 31,</w:t>
            </w:r>
          </w:p>
        </w:tc>
        <w:tc>
          <w:tcPr>
            <w:tcW w:w="0" w:type="dxa"/>
            <w:vAlign w:val="bottom"/>
          </w:tcPr>
          <w:p>
            <w:pPr>
              <w:spacing w:after="0"/>
              <w:rPr>
                <w:sz w:val="1"/>
                <w:szCs w:val="1"/>
                <w:color w:val="auto"/>
              </w:rPr>
            </w:pPr>
          </w:p>
        </w:tc>
      </w:tr>
      <w:tr>
        <w:trPr>
          <w:trHeight w:val="192"/>
        </w:trPr>
        <w:tc>
          <w:tcPr>
            <w:tcW w:w="4500" w:type="dxa"/>
            <w:vAlign w:val="bottom"/>
            <w:tcBorders>
              <w:bottom w:val="single" w:sz="8" w:color="CCEEFF"/>
            </w:tcBorders>
          </w:tcPr>
          <w:p>
            <w:pPr>
              <w:spacing w:after="0"/>
              <w:rPr>
                <w:sz w:val="16"/>
                <w:szCs w:val="16"/>
                <w:color w:val="auto"/>
              </w:rPr>
            </w:pPr>
          </w:p>
        </w:tc>
        <w:tc>
          <w:tcPr>
            <w:tcW w:w="38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5"/>
              <w:spacing w:after="0"/>
              <w:rPr>
                <w:sz w:val="20"/>
                <w:szCs w:val="20"/>
                <w:color w:val="auto"/>
              </w:rPr>
            </w:pPr>
            <w:r>
              <w:rPr>
                <w:rFonts w:ascii="Arial" w:cs="Arial" w:eastAsia="Arial" w:hAnsi="Arial"/>
                <w:sz w:val="14"/>
                <w:szCs w:val="14"/>
                <w:b w:val="1"/>
                <w:bCs w:val="1"/>
                <w:color w:val="auto"/>
              </w:rPr>
              <w:t>2016</w:t>
            </w:r>
          </w:p>
        </w:tc>
        <w:tc>
          <w:tcPr>
            <w:tcW w:w="0" w:type="dxa"/>
            <w:vAlign w:val="bottom"/>
          </w:tcPr>
          <w:p>
            <w:pPr>
              <w:spacing w:after="0"/>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Bonus</w:t>
            </w:r>
          </w:p>
        </w:tc>
        <w:tc>
          <w:tcPr>
            <w:tcW w:w="4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39,692</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73,040</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Retirement</w:t>
            </w:r>
          </w:p>
        </w:tc>
        <w:tc>
          <w:tcPr>
            <w:tcW w:w="3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56,315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30,388</w:t>
            </w:r>
          </w:p>
        </w:tc>
        <w:tc>
          <w:tcPr>
            <w:tcW w:w="0" w:type="dxa"/>
            <w:vAlign w:val="bottom"/>
          </w:tcPr>
          <w:p>
            <w:pPr>
              <w:spacing w:after="0"/>
              <w:rPr>
                <w:sz w:val="1"/>
                <w:szCs w:val="1"/>
                <w:color w:val="auto"/>
              </w:rPr>
            </w:pPr>
          </w:p>
        </w:tc>
      </w:tr>
      <w:tr>
        <w:trPr>
          <w:trHeight w:val="27"/>
        </w:trPr>
        <w:tc>
          <w:tcPr>
            <w:tcW w:w="4500" w:type="dxa"/>
            <w:vAlign w:val="bottom"/>
          </w:tcPr>
          <w:p>
            <w:pPr>
              <w:spacing w:after="0"/>
              <w:rPr>
                <w:sz w:val="2"/>
                <w:szCs w:val="2"/>
                <w:color w:val="auto"/>
              </w:rPr>
            </w:pPr>
          </w:p>
        </w:tc>
        <w:tc>
          <w:tcPr>
            <w:tcW w:w="38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5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Vacation</w:t>
            </w:r>
          </w:p>
        </w:tc>
        <w:tc>
          <w:tcPr>
            <w:tcW w:w="38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116,119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114,599</w:t>
            </w:r>
          </w:p>
        </w:tc>
        <w:tc>
          <w:tcPr>
            <w:tcW w:w="0" w:type="dxa"/>
            <w:vAlign w:val="bottom"/>
          </w:tcPr>
          <w:p>
            <w:pPr>
              <w:spacing w:after="0"/>
              <w:rPr>
                <w:sz w:val="1"/>
                <w:szCs w:val="1"/>
                <w:color w:val="auto"/>
              </w:rPr>
            </w:pPr>
          </w:p>
        </w:tc>
      </w:tr>
      <w:tr>
        <w:trPr>
          <w:trHeight w:val="243"/>
        </w:trPr>
        <w:tc>
          <w:tcPr>
            <w:tcW w:w="4500" w:type="dxa"/>
            <w:vAlign w:val="bottom"/>
          </w:tcPr>
          <w:p>
            <w:pPr>
              <w:ind w:left="40"/>
              <w:spacing w:after="0"/>
              <w:rPr>
                <w:sz w:val="20"/>
                <w:szCs w:val="20"/>
                <w:color w:val="auto"/>
              </w:rPr>
            </w:pPr>
            <w:r>
              <w:rPr>
                <w:rFonts w:ascii="Arial" w:cs="Arial" w:eastAsia="Arial" w:hAnsi="Arial"/>
                <w:sz w:val="18"/>
                <w:szCs w:val="18"/>
                <w:color w:val="auto"/>
              </w:rPr>
              <w:t>Other</w:t>
            </w:r>
          </w:p>
        </w:tc>
        <w:tc>
          <w:tcPr>
            <w:tcW w:w="38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300" w:type="dxa"/>
            <w:vAlign w:val="bottom"/>
          </w:tcPr>
          <w:p>
            <w:pPr>
              <w:jc w:val="right"/>
              <w:ind w:right="15"/>
              <w:spacing w:after="0"/>
              <w:rPr>
                <w:sz w:val="20"/>
                <w:szCs w:val="20"/>
                <w:color w:val="auto"/>
              </w:rPr>
            </w:pPr>
            <w:r>
              <w:rPr>
                <w:rFonts w:ascii="Arial" w:cs="Arial" w:eastAsia="Arial" w:hAnsi="Arial"/>
                <w:sz w:val="18"/>
                <w:szCs w:val="18"/>
                <w:color w:val="auto"/>
              </w:rPr>
              <w:t>23,800</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5"/>
              <w:spacing w:after="0"/>
              <w:rPr>
                <w:sz w:val="20"/>
                <w:szCs w:val="20"/>
                <w:color w:val="auto"/>
              </w:rPr>
            </w:pPr>
            <w:r>
              <w:rPr>
                <w:rFonts w:ascii="Arial" w:cs="Arial" w:eastAsia="Arial" w:hAnsi="Arial"/>
                <w:sz w:val="18"/>
                <w:szCs w:val="18"/>
                <w:color w:val="auto"/>
              </w:rPr>
              <w:t>23,340</w:t>
            </w:r>
          </w:p>
        </w:tc>
        <w:tc>
          <w:tcPr>
            <w:tcW w:w="0" w:type="dxa"/>
            <w:vAlign w:val="bottom"/>
          </w:tcPr>
          <w:p>
            <w:pPr>
              <w:spacing w:after="0"/>
              <w:rPr>
                <w:sz w:val="1"/>
                <w:szCs w:val="1"/>
                <w:color w:val="auto"/>
              </w:rPr>
            </w:pPr>
          </w:p>
        </w:tc>
      </w:tr>
      <w:tr>
        <w:trPr>
          <w:trHeight w:val="27"/>
        </w:trPr>
        <w:tc>
          <w:tcPr>
            <w:tcW w:w="4500" w:type="dxa"/>
            <w:vAlign w:val="bottom"/>
            <w:tcBorders>
              <w:bottom w:val="single" w:sz="8" w:color="CCEEFF"/>
            </w:tcBorders>
          </w:tcPr>
          <w:p>
            <w:pPr>
              <w:spacing w:after="0"/>
              <w:rPr>
                <w:sz w:val="2"/>
                <w:szCs w:val="2"/>
                <w:color w:val="auto"/>
              </w:rPr>
            </w:pPr>
          </w:p>
        </w:tc>
        <w:tc>
          <w:tcPr>
            <w:tcW w:w="38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50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 accrued compensation and benefits</w:t>
            </w:r>
          </w:p>
        </w:tc>
        <w:tc>
          <w:tcPr>
            <w:tcW w:w="4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30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235,926</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241,367</w:t>
            </w:r>
          </w:p>
        </w:tc>
        <w:tc>
          <w:tcPr>
            <w:tcW w:w="0" w:type="dxa"/>
            <w:vAlign w:val="bottom"/>
          </w:tcPr>
          <w:p>
            <w:pPr>
              <w:spacing w:after="0"/>
              <w:rPr>
                <w:sz w:val="1"/>
                <w:szCs w:val="1"/>
                <w:color w:val="auto"/>
              </w:rPr>
            </w:pPr>
          </w:p>
        </w:tc>
      </w:tr>
      <w:tr>
        <w:trPr>
          <w:trHeight w:val="20"/>
        </w:trPr>
        <w:tc>
          <w:tcPr>
            <w:tcW w:w="4500" w:type="dxa"/>
            <w:vAlign w:val="bottom"/>
            <w:tcBorders>
              <w:top w:val="single" w:sz="8" w:color="CCEEFF"/>
            </w:tcBorders>
          </w:tcPr>
          <w:p>
            <w:pPr>
              <w:spacing w:after="0" w:line="20" w:lineRule="exact"/>
              <w:rPr>
                <w:sz w:val="1"/>
                <w:szCs w:val="1"/>
                <w:color w:val="auto"/>
              </w:rPr>
            </w:pPr>
          </w:p>
        </w:tc>
        <w:tc>
          <w:tcPr>
            <w:tcW w:w="3840" w:type="dxa"/>
            <w:vAlign w:val="bottom"/>
            <w:tcBorders>
              <w:top w:val="single" w:sz="8" w:color="CCEEFF"/>
              <w:bottom w:val="single" w:sz="8" w:color="CCEEFF"/>
            </w:tcBorders>
            <w:vMerge w:val="restart"/>
          </w:tcPr>
          <w:p>
            <w:pPr>
              <w:jc w:val="right"/>
              <w:ind w:right="2490"/>
              <w:spacing w:after="0"/>
              <w:rPr>
                <w:sz w:val="20"/>
                <w:szCs w:val="20"/>
                <w:color w:val="auto"/>
              </w:rPr>
            </w:pPr>
            <w:r>
              <w:rPr>
                <w:rFonts w:ascii="Arial" w:cs="Arial" w:eastAsia="Arial" w:hAnsi="Arial"/>
                <w:sz w:val="18"/>
                <w:szCs w:val="18"/>
                <w:color w:val="auto"/>
              </w:rPr>
              <w:t>7</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6"/>
        </w:trPr>
        <w:tc>
          <w:tcPr>
            <w:tcW w:w="4500" w:type="dxa"/>
            <w:vAlign w:val="bottom"/>
          </w:tcPr>
          <w:p>
            <w:pPr>
              <w:spacing w:after="0"/>
              <w:rPr>
                <w:sz w:val="24"/>
                <w:szCs w:val="24"/>
                <w:color w:val="auto"/>
              </w:rPr>
            </w:pPr>
          </w:p>
        </w:tc>
        <w:tc>
          <w:tcPr>
            <w:tcW w:w="384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77"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7. DEBT</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Debt consisted of the following:</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5540" w:type="dxa"/>
            <w:vAlign w:val="bottom"/>
          </w:tcPr>
          <w:p>
            <w:pPr>
              <w:spacing w:after="0"/>
              <w:rPr>
                <w:sz w:val="16"/>
                <w:szCs w:val="16"/>
                <w:color w:val="auto"/>
              </w:rPr>
            </w:pPr>
          </w:p>
        </w:tc>
        <w:tc>
          <w:tcPr>
            <w:tcW w:w="2880" w:type="dxa"/>
            <w:vAlign w:val="bottom"/>
            <w:tcBorders>
              <w:bottom w:val="single" w:sz="8" w:color="auto"/>
            </w:tcBorders>
            <w:gridSpan w:val="4"/>
          </w:tcPr>
          <w:p>
            <w:pPr>
              <w:jc w:val="right"/>
              <w:ind w:right="734"/>
              <w:spacing w:after="0"/>
              <w:rPr>
                <w:sz w:val="20"/>
                <w:szCs w:val="20"/>
                <w:color w:val="auto"/>
              </w:rPr>
            </w:pPr>
            <w:r>
              <w:rPr>
                <w:rFonts w:ascii="Arial" w:cs="Arial" w:eastAsia="Arial" w:hAnsi="Arial"/>
                <w:sz w:val="14"/>
                <w:szCs w:val="14"/>
                <w:b w:val="1"/>
                <w:bCs w:val="1"/>
                <w:color w:val="auto"/>
              </w:rPr>
              <w:t>September 30, 2016</w:t>
            </w:r>
          </w:p>
        </w:tc>
        <w:tc>
          <w:tcPr>
            <w:tcW w:w="100" w:type="dxa"/>
            <w:vAlign w:val="bottom"/>
          </w:tcPr>
          <w:p>
            <w:pPr>
              <w:spacing w:after="0"/>
              <w:rPr>
                <w:sz w:val="16"/>
                <w:szCs w:val="16"/>
                <w:color w:val="auto"/>
              </w:rPr>
            </w:pPr>
          </w:p>
        </w:tc>
        <w:tc>
          <w:tcPr>
            <w:tcW w:w="2900" w:type="dxa"/>
            <w:vAlign w:val="bottom"/>
            <w:tcBorders>
              <w:bottom w:val="single" w:sz="8" w:color="auto"/>
            </w:tcBorders>
            <w:gridSpan w:val="4"/>
          </w:tcPr>
          <w:p>
            <w:pPr>
              <w:jc w:val="right"/>
              <w:ind w:right="874"/>
              <w:spacing w:after="0"/>
              <w:rPr>
                <w:sz w:val="20"/>
                <w:szCs w:val="20"/>
                <w:color w:val="auto"/>
              </w:rPr>
            </w:pPr>
            <w:r>
              <w:rPr>
                <w:rFonts w:ascii="Arial" w:cs="Arial" w:eastAsia="Arial" w:hAnsi="Arial"/>
                <w:sz w:val="14"/>
                <w:szCs w:val="14"/>
                <w:b w:val="1"/>
                <w:bCs w:val="1"/>
                <w:color w:val="auto"/>
              </w:rPr>
              <w:t>March 31, 2016</w:t>
            </w:r>
          </w:p>
        </w:tc>
      </w:tr>
      <w:tr>
        <w:trPr>
          <w:trHeight w:val="152"/>
        </w:trPr>
        <w:tc>
          <w:tcPr>
            <w:tcW w:w="5540" w:type="dxa"/>
            <w:vAlign w:val="bottom"/>
          </w:tcPr>
          <w:p>
            <w:pPr>
              <w:spacing w:after="0"/>
              <w:rPr>
                <w:sz w:val="13"/>
                <w:szCs w:val="13"/>
                <w:color w:val="auto"/>
              </w:rPr>
            </w:pPr>
          </w:p>
        </w:tc>
        <w:tc>
          <w:tcPr>
            <w:tcW w:w="1520" w:type="dxa"/>
            <w:vAlign w:val="bottom"/>
            <w:gridSpan w:val="2"/>
          </w:tcPr>
          <w:p>
            <w:pPr>
              <w:ind w:left="460"/>
              <w:spacing w:after="0" w:line="153"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Outstanding</w:t>
            </w:r>
          </w:p>
        </w:tc>
        <w:tc>
          <w:tcPr>
            <w:tcW w:w="100" w:type="dxa"/>
            <w:vAlign w:val="bottom"/>
          </w:tcPr>
          <w:p>
            <w:pPr>
              <w:spacing w:after="0"/>
              <w:rPr>
                <w:sz w:val="13"/>
                <w:szCs w:val="13"/>
                <w:color w:val="auto"/>
              </w:rPr>
            </w:pPr>
          </w:p>
        </w:tc>
        <w:tc>
          <w:tcPr>
            <w:tcW w:w="1540" w:type="dxa"/>
            <w:vAlign w:val="bottom"/>
            <w:gridSpan w:val="2"/>
          </w:tcPr>
          <w:p>
            <w:pPr>
              <w:ind w:left="480"/>
              <w:spacing w:after="0" w:line="153" w:lineRule="exact"/>
              <w:rPr>
                <w:sz w:val="20"/>
                <w:szCs w:val="20"/>
                <w:color w:val="auto"/>
              </w:rPr>
            </w:pPr>
            <w:r>
              <w:rPr>
                <w:rFonts w:ascii="Arial" w:cs="Arial" w:eastAsia="Arial" w:hAnsi="Arial"/>
                <w:sz w:val="14"/>
                <w:szCs w:val="14"/>
                <w:b w:val="1"/>
                <w:bCs w:val="1"/>
                <w:color w:val="auto"/>
              </w:rPr>
              <w:t>Interest</w:t>
            </w:r>
          </w:p>
        </w:tc>
        <w:tc>
          <w:tcPr>
            <w:tcW w:w="200" w:type="dxa"/>
            <w:vAlign w:val="bottom"/>
          </w:tcPr>
          <w:p>
            <w:pPr>
              <w:spacing w:after="0"/>
              <w:rPr>
                <w:sz w:val="13"/>
                <w:szCs w:val="13"/>
                <w:color w:val="auto"/>
              </w:rPr>
            </w:pPr>
          </w:p>
        </w:tc>
        <w:tc>
          <w:tcPr>
            <w:tcW w:w="1160" w:type="dxa"/>
            <w:vAlign w:val="bottom"/>
          </w:tcPr>
          <w:p>
            <w:pPr>
              <w:jc w:val="right"/>
              <w:ind w:right="214"/>
              <w:spacing w:after="0" w:line="153" w:lineRule="exact"/>
              <w:rPr>
                <w:sz w:val="20"/>
                <w:szCs w:val="20"/>
                <w:color w:val="auto"/>
              </w:rPr>
            </w:pPr>
            <w:r>
              <w:rPr>
                <w:rFonts w:ascii="Arial" w:cs="Arial" w:eastAsia="Arial" w:hAnsi="Arial"/>
                <w:sz w:val="14"/>
                <w:szCs w:val="14"/>
                <w:b w:val="1"/>
                <w:bCs w:val="1"/>
                <w:color w:val="auto"/>
              </w:rPr>
              <w:t>Outstanding</w:t>
            </w:r>
          </w:p>
        </w:tc>
      </w:tr>
      <w:tr>
        <w:trPr>
          <w:trHeight w:val="192"/>
        </w:trPr>
        <w:tc>
          <w:tcPr>
            <w:tcW w:w="5540" w:type="dxa"/>
            <w:vAlign w:val="bottom"/>
            <w:tcBorders>
              <w:bottom w:val="single" w:sz="8" w:color="CCEEFF"/>
            </w:tcBorders>
          </w:tcPr>
          <w:p>
            <w:pPr>
              <w:spacing w:after="0"/>
              <w:rPr>
                <w:sz w:val="16"/>
                <w:szCs w:val="16"/>
                <w:color w:val="auto"/>
              </w:rPr>
            </w:pPr>
          </w:p>
        </w:tc>
        <w:tc>
          <w:tcPr>
            <w:tcW w:w="1400" w:type="dxa"/>
            <w:vAlign w:val="bottom"/>
            <w:tcBorders>
              <w:bottom w:val="single" w:sz="8" w:color="auto"/>
            </w:tcBorders>
          </w:tcPr>
          <w:p>
            <w:pPr>
              <w:jc w:val="right"/>
              <w:ind w:right="479"/>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c>
          <w:tcPr>
            <w:tcW w:w="100" w:type="dxa"/>
            <w:vAlign w:val="bottom"/>
            <w:tcBorders>
              <w:bottom w:val="single" w:sz="8" w:color="CCEEFF"/>
            </w:tcBorders>
          </w:tcPr>
          <w:p>
            <w:pPr>
              <w:spacing w:after="0"/>
              <w:rPr>
                <w:sz w:val="16"/>
                <w:szCs w:val="16"/>
                <w:color w:val="auto"/>
              </w:rPr>
            </w:pPr>
          </w:p>
        </w:tc>
        <w:tc>
          <w:tcPr>
            <w:tcW w:w="14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Rate</w:t>
            </w:r>
          </w:p>
        </w:tc>
        <w:tc>
          <w:tcPr>
            <w:tcW w:w="12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16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Balance</w:t>
            </w: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1,183,001</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741,813</w:t>
            </w:r>
          </w:p>
        </w:tc>
      </w:tr>
      <w:tr>
        <w:trPr>
          <w:trHeight w:val="243"/>
        </w:trPr>
        <w:tc>
          <w:tcPr>
            <w:tcW w:w="5540" w:type="dxa"/>
            <w:vAlign w:val="bottom"/>
          </w:tcPr>
          <w:p>
            <w:pPr>
              <w:ind w:left="40"/>
              <w:spacing w:after="0"/>
              <w:rPr>
                <w:sz w:val="20"/>
                <w:szCs w:val="20"/>
                <w:color w:val="auto"/>
              </w:rPr>
            </w:pPr>
            <w:r>
              <w:rPr>
                <w:rFonts w:ascii="Arial" w:cs="Arial" w:eastAsia="Arial" w:hAnsi="Arial"/>
                <w:sz w:val="18"/>
                <w:szCs w:val="18"/>
                <w:color w:val="auto"/>
              </w:rPr>
              <w:t>Term Loan B</w:t>
            </w:r>
          </w:p>
        </w:tc>
        <w:tc>
          <w:tcPr>
            <w:tcW w:w="1400" w:type="dxa"/>
            <w:vAlign w:val="bottom"/>
          </w:tcPr>
          <w:p>
            <w:pPr>
              <w:jc w:val="right"/>
              <w:spacing w:after="0"/>
              <w:rPr>
                <w:sz w:val="20"/>
                <w:szCs w:val="20"/>
                <w:color w:val="auto"/>
              </w:rPr>
            </w:pPr>
            <w:r>
              <w:rPr>
                <w:rFonts w:ascii="Arial" w:cs="Arial" w:eastAsia="Arial" w:hAnsi="Arial"/>
                <w:sz w:val="18"/>
                <w:szCs w:val="18"/>
                <w:color w:val="auto"/>
              </w:rPr>
              <w:t>3.28%</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400,000</w:t>
            </w:r>
          </w:p>
        </w:tc>
        <w:tc>
          <w:tcPr>
            <w:tcW w:w="1520" w:type="dxa"/>
            <w:vAlign w:val="bottom"/>
            <w:gridSpan w:val="2"/>
          </w:tcPr>
          <w:p>
            <w:pPr>
              <w:jc w:val="right"/>
              <w:spacing w:after="0"/>
              <w:rPr>
                <w:sz w:val="20"/>
                <w:szCs w:val="20"/>
                <w:color w:val="auto"/>
              </w:rPr>
            </w:pPr>
            <w:r>
              <w:rPr>
                <w:rFonts w:ascii="Arial" w:cs="Arial" w:eastAsia="Arial" w:hAnsi="Arial"/>
                <w:sz w:val="18"/>
                <w:szCs w:val="18"/>
                <w:color w:val="auto"/>
              </w:rPr>
              <w:t>3.75%</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ind w:right="14"/>
              <w:spacing w:after="0"/>
              <w:rPr>
                <w:sz w:val="20"/>
                <w:szCs w:val="20"/>
                <w:color w:val="auto"/>
              </w:rPr>
            </w:pPr>
            <w:r>
              <w:rPr>
                <w:rFonts w:ascii="Arial" w:cs="Arial" w:eastAsia="Arial" w:hAnsi="Arial"/>
                <w:sz w:val="18"/>
                <w:szCs w:val="18"/>
                <w:color w:val="auto"/>
              </w:rPr>
              <w:t>841,188</w:t>
            </w:r>
          </w:p>
        </w:tc>
      </w:tr>
      <w:tr>
        <w:trPr>
          <w:trHeight w:val="27"/>
        </w:trPr>
        <w:tc>
          <w:tcPr>
            <w:tcW w:w="55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50"/>
        </w:trPr>
        <w:tc>
          <w:tcPr>
            <w:tcW w:w="5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Revolving credit facility</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w:t>
            </w:r>
          </w:p>
        </w:tc>
        <w:tc>
          <w:tcPr>
            <w:tcW w:w="152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35,000</w:t>
            </w:r>
          </w:p>
        </w:tc>
      </w:tr>
      <w:tr>
        <w:trPr>
          <w:trHeight w:val="243"/>
        </w:trPr>
        <w:tc>
          <w:tcPr>
            <w:tcW w:w="5540" w:type="dxa"/>
            <w:vAlign w:val="bottom"/>
          </w:tcPr>
          <w:p>
            <w:pPr>
              <w:ind w:left="180"/>
              <w:spacing w:after="0"/>
              <w:rPr>
                <w:sz w:val="20"/>
                <w:szCs w:val="20"/>
                <w:color w:val="auto"/>
              </w:rPr>
            </w:pPr>
            <w:r>
              <w:rPr>
                <w:rFonts w:ascii="Arial" w:cs="Arial" w:eastAsia="Arial" w:hAnsi="Arial"/>
                <w:sz w:val="18"/>
                <w:szCs w:val="18"/>
                <w:color w:val="auto"/>
              </w:rPr>
              <w:t>Less: Unamortized debt issuance costs and discount on debt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(19,884)</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(20,740)</w:t>
            </w: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55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1,563,117</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1,597,261</w:t>
            </w:r>
          </w:p>
        </w:tc>
      </w:tr>
      <w:tr>
        <w:trPr>
          <w:trHeight w:val="243"/>
        </w:trPr>
        <w:tc>
          <w:tcPr>
            <w:tcW w:w="5540" w:type="dxa"/>
            <w:vAlign w:val="bottom"/>
          </w:tcPr>
          <w:p>
            <w:pPr>
              <w:ind w:left="720"/>
              <w:spacing w:after="0"/>
              <w:rPr>
                <w:sz w:val="20"/>
                <w:szCs w:val="20"/>
                <w:color w:val="auto"/>
              </w:rPr>
            </w:pPr>
            <w:r>
              <w:rPr>
                <w:rFonts w:ascii="Arial" w:cs="Arial" w:eastAsia="Arial" w:hAnsi="Arial"/>
                <w:sz w:val="18"/>
                <w:szCs w:val="18"/>
                <w:color w:val="auto"/>
              </w:rPr>
              <w:t>Less: Current portion of long-term debt</w:t>
            </w:r>
          </w:p>
        </w:tc>
        <w:tc>
          <w:tcPr>
            <w:tcW w:w="1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(63,150)</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(112,813)</w:t>
            </w:r>
          </w:p>
        </w:tc>
      </w:tr>
      <w:tr>
        <w:trPr>
          <w:trHeight w:val="27"/>
        </w:trPr>
        <w:tc>
          <w:tcPr>
            <w:tcW w:w="554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69"/>
        </w:trPr>
        <w:tc>
          <w:tcPr>
            <w:tcW w:w="5540" w:type="dxa"/>
            <w:vAlign w:val="bottom"/>
            <w:tcBorders>
              <w:bottom w:val="single" w:sz="8" w:color="CCEEFF"/>
            </w:tcBorders>
            <w:shd w:val="clear" w:color="auto" w:fill="CCEEFF"/>
          </w:tcPr>
          <w:p>
            <w:pPr>
              <w:ind w:left="1140"/>
              <w:spacing w:after="0"/>
              <w:rPr>
                <w:sz w:val="20"/>
                <w:szCs w:val="20"/>
                <w:color w:val="auto"/>
              </w:rPr>
            </w:pPr>
            <w:r>
              <w:rPr>
                <w:rFonts w:ascii="Arial" w:cs="Arial" w:eastAsia="Arial" w:hAnsi="Arial"/>
                <w:sz w:val="18"/>
                <w:szCs w:val="18"/>
                <w:color w:val="auto"/>
              </w:rPr>
              <w:t>Long-term debt, net of current portion</w:t>
            </w:r>
          </w:p>
        </w:tc>
        <w:tc>
          <w:tcPr>
            <w:tcW w:w="1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1,499,967</w:t>
            </w:r>
          </w:p>
        </w:tc>
        <w:tc>
          <w:tcPr>
            <w:tcW w:w="10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1,484,448</w:t>
            </w: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20" w:firstLine="405"/>
        <w:spacing w:after="0" w:line="271" w:lineRule="auto"/>
        <w:rPr>
          <w:sz w:val="20"/>
          <w:szCs w:val="20"/>
          <w:color w:val="auto"/>
        </w:rPr>
      </w:pPr>
      <w:r>
        <w:rPr>
          <w:rFonts w:ascii="Arial" w:cs="Arial" w:eastAsia="Arial" w:hAnsi="Arial"/>
          <w:sz w:val="17"/>
          <w:szCs w:val="17"/>
          <w:color w:val="auto"/>
        </w:rPr>
        <w:t>On July 13, 2016, Booz Allen Hamilton Inc. ("Booz Allen Hamilton"), Booz Allen Hamilton Investor Corporation ("Investor") and certain wholly-owned subsidiaries of Booz Allen Hamilton entered into the Third Amendment (the “Third Amendment”) to the Credit Agreement (the “Credit Agreement”), dated as of July 31, 2012, among Booz Allen Hamilton, Investor, certain wholly owned subsidiaries of Booz Allen Hamilton and Bank of America, N.A., as Administrative Agent, Collateral Agent and Issuing Lender (as previously amended by the First Amendment to the Credit Agreement, dated as of August 16, 2013 and the Second Amendment to the Credit Agreement, dated as of May 7, 2014). Prior to the Third Amendment, approximately $726 million of Term Loan A and $841 million of Term Loan B was outstanding. Pursuant to the Third Amendment, Booz Allen Hamilton borrowed approximately $441 million of additional Term Loan A, with such funds used to pay off a portion of the Term Loan B facility. Following the Third Amendment, approximately $1,183 million of Term Loan A and $400 million of Term Loan B were outstanding under the Credit Agreement.</w:t>
      </w:r>
    </w:p>
    <w:p>
      <w:pPr>
        <w:spacing w:after="0" w:line="71" w:lineRule="exact"/>
        <w:rPr>
          <w:sz w:val="20"/>
          <w:szCs w:val="20"/>
          <w:color w:val="auto"/>
        </w:rPr>
      </w:pPr>
    </w:p>
    <w:p>
      <w:pPr>
        <w:ind w:right="40" w:firstLine="405"/>
        <w:spacing w:after="0" w:line="291" w:lineRule="auto"/>
        <w:rPr>
          <w:sz w:val="20"/>
          <w:szCs w:val="20"/>
          <w:color w:val="auto"/>
        </w:rPr>
      </w:pPr>
      <w:r>
        <w:rPr>
          <w:rFonts w:ascii="Arial" w:cs="Arial" w:eastAsia="Arial" w:hAnsi="Arial"/>
          <w:sz w:val="16"/>
          <w:szCs w:val="16"/>
          <w:color w:val="auto"/>
        </w:rPr>
        <w:t>Under the Third Amendment, the interest rate on borrowings under Term Loan A was reduced to LIBOR plus a spread that ranges from 1.50% to 2.25% based on Booz Allen Hamilton's total leverage ratio. The revolving credit facility margin was reduced to LIBOR plus a spread that ranges from 1.50% to</w:t>
      </w:r>
    </w:p>
    <w:p>
      <w:pPr>
        <w:spacing w:after="0"/>
        <w:rPr>
          <w:sz w:val="20"/>
          <w:szCs w:val="20"/>
          <w:color w:val="auto"/>
        </w:rPr>
      </w:pPr>
      <w:r>
        <w:rPr>
          <w:rFonts w:ascii="Arial" w:cs="Arial" w:eastAsia="Arial" w:hAnsi="Arial"/>
          <w:sz w:val="16"/>
          <w:szCs w:val="16"/>
          <w:color w:val="auto"/>
        </w:rPr>
        <w:t>2.25% based on Booz Allen Hamilton's total leverage ratio and the revolving credit facility commitment fee was reduced to a spread ranging from 0.300% to</w:t>
      </w:r>
    </w:p>
    <w:p>
      <w:pPr>
        <w:spacing w:after="0" w:line="32"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0.400%. The interest rate for borrowings under Term Loan B was reduced to LIBOR plus 2.75% with no LIBOR floor, with a spread that ranged from 1.75% to 2.75% based upon either an ABR or LIBOR borrowing. Under the Third Amendment, the maturity date of Term Loan A and the termination date for the revolving credit facility was extended to June 30, 2021 and the maturity date of Term Loan B was extended to June 30, 2023. The Third Amendment also amended certain existing debt covenants to provide us with greater operational and financial flexibility.</w:t>
      </w:r>
    </w:p>
    <w:p>
      <w:pPr>
        <w:spacing w:after="0" w:line="69" w:lineRule="exact"/>
        <w:rPr>
          <w:sz w:val="20"/>
          <w:szCs w:val="20"/>
          <w:color w:val="auto"/>
        </w:rPr>
      </w:pPr>
    </w:p>
    <w:p>
      <w:pPr>
        <w:ind w:right="20" w:firstLine="405"/>
        <w:spacing w:after="0" w:line="302" w:lineRule="auto"/>
        <w:rPr>
          <w:sz w:val="20"/>
          <w:szCs w:val="20"/>
          <w:color w:val="auto"/>
        </w:rPr>
      </w:pPr>
      <w:r>
        <w:rPr>
          <w:rFonts w:ascii="Arial" w:cs="Arial" w:eastAsia="Arial" w:hAnsi="Arial"/>
          <w:sz w:val="16"/>
          <w:szCs w:val="16"/>
          <w:color w:val="auto"/>
        </w:rPr>
        <w:t>In connection with the Third Amendment, the Company accelerated the amortization of ratable portions of the amortization of debt issuance costs (DIC) and original issue discount (OID) that did not qualify for deferral of approximately $5.5 million. These expenses are reflected in other expense, net in the three and six months ended September 30, 2016. Furthermore, the Company expensed third party debt issuance costs and creditor fees of approximately $3.4 million that did not qualify for deferral and are reflected in general and administrative costs in the three and six months ended September 30, 2016.</w:t>
      </w:r>
    </w:p>
    <w:p>
      <w:pPr>
        <w:spacing w:after="0" w:line="46"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As of September 30, 2016, the Credit Agreement, as amended, provided the Company with a $1,183 million Term Loan A, a $400 million Term Loan B, and a $500.0 million revolving credit facility, with a sublimit for letters of credit of $100.0 million. The outstanding obligations under the Credit Agreement, as amended, are secured by a security interest in substantially all of the assets of the Company, subject to certain exceptions set forth in the Credit Agreement, as amended, and related documentation.</w:t>
      </w:r>
    </w:p>
    <w:p>
      <w:pPr>
        <w:spacing w:after="0" w:line="79" w:lineRule="exact"/>
        <w:rPr>
          <w:sz w:val="20"/>
          <w:szCs w:val="20"/>
          <w:color w:val="auto"/>
        </w:rPr>
      </w:pPr>
    </w:p>
    <w:p>
      <w:pPr>
        <w:jc w:val="both"/>
        <w:ind w:right="200" w:firstLine="405"/>
        <w:spacing w:after="0" w:line="312" w:lineRule="auto"/>
        <w:rPr>
          <w:sz w:val="20"/>
          <w:szCs w:val="20"/>
          <w:color w:val="auto"/>
        </w:rPr>
      </w:pPr>
      <w:r>
        <w:rPr>
          <w:rFonts w:ascii="Arial" w:cs="Arial" w:eastAsia="Arial" w:hAnsi="Arial"/>
          <w:sz w:val="16"/>
          <w:szCs w:val="16"/>
          <w:color w:val="auto"/>
        </w:rPr>
        <w:t>Booz Allen Hamilton occasionally borrows under our revolving credit facility in anticipation of cash demands. During the first and second quarters of fiscal 2017, Booz Allen Hamilton accessed a total of $185.0 million of its $500.0 million revolving credit facility. As of September 30, 2016 there were no amounts outstanding on the revolving credit facility. As of March 31, 2016, there was $35.0 million outstanding on the revolving credit facility.</w:t>
      </w:r>
    </w:p>
    <w:p>
      <w:pPr>
        <w:spacing w:after="0" w:line="39" w:lineRule="exact"/>
        <w:rPr>
          <w:sz w:val="20"/>
          <w:szCs w:val="20"/>
          <w:color w:val="auto"/>
        </w:rPr>
      </w:pPr>
    </w:p>
    <w:p>
      <w:pPr>
        <w:ind w:right="280" w:firstLine="405"/>
        <w:spacing w:after="0" w:line="308" w:lineRule="auto"/>
        <w:rPr>
          <w:sz w:val="20"/>
          <w:szCs w:val="20"/>
          <w:color w:val="auto"/>
        </w:rPr>
      </w:pPr>
      <w:r>
        <w:rPr>
          <w:rFonts w:ascii="Arial" w:cs="Arial" w:eastAsia="Arial" w:hAnsi="Arial"/>
          <w:sz w:val="17"/>
          <w:szCs w:val="17"/>
          <w:color w:val="auto"/>
        </w:rPr>
        <w:t>The Credit Agreement, as amended by the Third Amendment, requires quarterly principal payments of 1.25% of the stated principal amount of Term Loan A until maturity, and quarterly principal payments of 0.25% of the stated principal amount of Term Loan B until maturity.</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877" w:right="239" w:bottom="1440" w:gutter="0" w:footer="0" w:header="0"/>
        </w:sectPr>
      </w:pPr>
    </w:p>
    <w:bookmarkStart w:id="10" w:name="page11"/>
    <w:bookmarkEnd w:id="10"/>
    <w:p>
      <w:pPr>
        <w:ind w:left="440"/>
        <w:spacing w:after="0"/>
        <w:rPr>
          <w:sz w:val="20"/>
          <w:szCs w:val="20"/>
          <w:color w:val="auto"/>
        </w:rPr>
      </w:pPr>
      <w:r>
        <w:rPr>
          <w:rFonts w:ascii="Arial" w:cs="Arial" w:eastAsia="Arial" w:hAnsi="Arial"/>
          <w:sz w:val="18"/>
          <w:szCs w:val="18"/>
          <w:color w:val="auto"/>
        </w:rPr>
        <w:t>Interest on debt and debt-like instruments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8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720" w:type="dxa"/>
            <w:vAlign w:val="bottom"/>
            <w:gridSpan w:val="5"/>
          </w:tcPr>
          <w:p>
            <w:pPr>
              <w:jc w:val="center"/>
              <w:ind w:right="420"/>
              <w:spacing w:after="0"/>
              <w:rPr>
                <w:sz w:val="20"/>
                <w:szCs w:val="20"/>
                <w:color w:val="auto"/>
              </w:rPr>
            </w:pPr>
            <w:r>
              <w:rPr>
                <w:rFonts w:ascii="Arial" w:cs="Arial" w:eastAsia="Arial" w:hAnsi="Arial"/>
                <w:sz w:val="14"/>
                <w:szCs w:val="14"/>
                <w:b w:val="1"/>
                <w:bCs w:val="1"/>
                <w:color w:val="auto"/>
                <w:w w:val="93"/>
              </w:rPr>
              <w:t>Three Months Ended</w:t>
            </w:r>
          </w:p>
        </w:tc>
        <w:tc>
          <w:tcPr>
            <w:tcW w:w="340" w:type="dxa"/>
            <w:vAlign w:val="bottom"/>
          </w:tcPr>
          <w:p>
            <w:pPr>
              <w:spacing w:after="0"/>
              <w:rPr>
                <w:sz w:val="14"/>
                <w:szCs w:val="14"/>
                <w:color w:val="auto"/>
              </w:rPr>
            </w:pPr>
          </w:p>
        </w:tc>
        <w:tc>
          <w:tcPr>
            <w:tcW w:w="172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92"/>
              </w:rPr>
              <w:t>Six Months Ended</w:t>
            </w:r>
          </w:p>
        </w:tc>
        <w:tc>
          <w:tcPr>
            <w:tcW w:w="880" w:type="dxa"/>
            <w:vAlign w:val="bottom"/>
          </w:tcPr>
          <w:p>
            <w:pPr>
              <w:spacing w:after="0"/>
              <w:rPr>
                <w:sz w:val="14"/>
                <w:szCs w:val="14"/>
                <w:color w:val="auto"/>
              </w:rPr>
            </w:pPr>
          </w:p>
        </w:tc>
      </w:tr>
      <w:tr>
        <w:trPr>
          <w:trHeight w:val="192"/>
        </w:trPr>
        <w:tc>
          <w:tcPr>
            <w:tcW w:w="488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gridSpan w:val="3"/>
          </w:tcPr>
          <w:p>
            <w:pPr>
              <w:jc w:val="center"/>
              <w:ind w:left="517"/>
              <w:spacing w:after="0"/>
              <w:rPr>
                <w:sz w:val="20"/>
                <w:szCs w:val="20"/>
                <w:color w:val="auto"/>
              </w:rPr>
            </w:pPr>
            <w:r>
              <w:rPr>
                <w:rFonts w:ascii="Arial" w:cs="Arial" w:eastAsia="Arial" w:hAnsi="Arial"/>
                <w:sz w:val="14"/>
                <w:szCs w:val="14"/>
                <w:b w:val="1"/>
                <w:bCs w:val="1"/>
                <w:color w:val="auto"/>
                <w:w w:val="91"/>
              </w:rPr>
              <w:t>September 30,</w:t>
            </w:r>
          </w:p>
        </w:tc>
        <w:tc>
          <w:tcPr>
            <w:tcW w:w="92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jc w:val="center"/>
              <w:ind w:left="477"/>
              <w:spacing w:after="0"/>
              <w:rPr>
                <w:sz w:val="20"/>
                <w:szCs w:val="20"/>
                <w:color w:val="auto"/>
              </w:rPr>
            </w:pPr>
            <w:r>
              <w:rPr>
                <w:rFonts w:ascii="Arial" w:cs="Arial" w:eastAsia="Arial" w:hAnsi="Arial"/>
                <w:sz w:val="14"/>
                <w:szCs w:val="14"/>
                <w:b w:val="1"/>
                <w:bCs w:val="1"/>
                <w:color w:val="auto"/>
                <w:w w:val="91"/>
              </w:rPr>
              <w:t>September 30,</w:t>
            </w:r>
          </w:p>
        </w:tc>
        <w:tc>
          <w:tcPr>
            <w:tcW w:w="880" w:type="dxa"/>
            <w:vAlign w:val="bottom"/>
            <w:tcBorders>
              <w:bottom w:val="single" w:sz="8" w:color="auto"/>
            </w:tcBorders>
          </w:tcPr>
          <w:p>
            <w:pPr>
              <w:spacing w:after="0"/>
              <w:rPr>
                <w:sz w:val="16"/>
                <w:szCs w:val="16"/>
                <w:color w:val="auto"/>
              </w:rPr>
            </w:pPr>
          </w:p>
        </w:tc>
      </w:tr>
      <w:tr>
        <w:trPr>
          <w:trHeight w:val="264"/>
        </w:trPr>
        <w:tc>
          <w:tcPr>
            <w:tcW w:w="488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50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97"/>
              <w:spacing w:after="0"/>
              <w:rPr>
                <w:sz w:val="20"/>
                <w:szCs w:val="20"/>
                <w:color w:val="auto"/>
              </w:rPr>
            </w:pPr>
            <w:r>
              <w:rPr>
                <w:rFonts w:ascii="Arial" w:cs="Arial" w:eastAsia="Arial" w:hAnsi="Arial"/>
                <w:sz w:val="14"/>
                <w:szCs w:val="14"/>
                <w:b w:val="1"/>
                <w:bCs w:val="1"/>
                <w:color w:val="auto"/>
              </w:rPr>
              <w:t>2016</w:t>
            </w:r>
          </w:p>
        </w:tc>
        <w:tc>
          <w:tcPr>
            <w:tcW w:w="64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48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680" w:type="dxa"/>
            <w:vAlign w:val="bottom"/>
            <w:gridSpan w:val="3"/>
          </w:tcPr>
          <w:p>
            <w:pPr>
              <w:jc w:val="center"/>
              <w:ind w:left="537"/>
              <w:spacing w:after="0"/>
              <w:rPr>
                <w:sz w:val="20"/>
                <w:szCs w:val="20"/>
                <w:color w:val="auto"/>
              </w:rPr>
            </w:pPr>
            <w:r>
              <w:rPr>
                <w:rFonts w:ascii="Arial" w:cs="Arial" w:eastAsia="Arial" w:hAnsi="Arial"/>
                <w:sz w:val="14"/>
                <w:szCs w:val="14"/>
                <w:b w:val="1"/>
                <w:bCs w:val="1"/>
                <w:color w:val="auto"/>
                <w:w w:val="93"/>
              </w:rPr>
              <w:t>(In thousands)</w:t>
            </w:r>
          </w:p>
        </w:tc>
        <w:tc>
          <w:tcPr>
            <w:tcW w:w="9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720" w:type="dxa"/>
            <w:vAlign w:val="bottom"/>
            <w:gridSpan w:val="2"/>
          </w:tcPr>
          <w:p>
            <w:pPr>
              <w:jc w:val="center"/>
              <w:ind w:left="477"/>
              <w:spacing w:after="0"/>
              <w:rPr>
                <w:sz w:val="20"/>
                <w:szCs w:val="20"/>
                <w:color w:val="auto"/>
              </w:rPr>
            </w:pPr>
            <w:r>
              <w:rPr>
                <w:rFonts w:ascii="Arial" w:cs="Arial" w:eastAsia="Arial" w:hAnsi="Arial"/>
                <w:sz w:val="14"/>
                <w:szCs w:val="14"/>
                <w:b w:val="1"/>
                <w:bCs w:val="1"/>
                <w:color w:val="auto"/>
                <w:w w:val="91"/>
              </w:rPr>
              <w:t>(In thousands)</w:t>
            </w:r>
          </w:p>
        </w:tc>
        <w:tc>
          <w:tcPr>
            <w:tcW w:w="880" w:type="dxa"/>
            <w:vAlign w:val="bottom"/>
          </w:tcPr>
          <w:p>
            <w:pPr>
              <w:spacing w:after="0"/>
              <w:rPr>
                <w:sz w:val="21"/>
                <w:szCs w:val="21"/>
                <w:color w:val="auto"/>
              </w:rPr>
            </w:pPr>
          </w:p>
        </w:tc>
      </w:tr>
      <w:tr>
        <w:trPr>
          <w:trHeight w:val="256"/>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Term Loan A Interest Expense</w:t>
            </w: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7,253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5,426</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12,759</w:t>
            </w:r>
          </w:p>
        </w:tc>
        <w:tc>
          <w:tcPr>
            <w:tcW w:w="6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10,844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Term Loan B Interest Expense</w:t>
            </w:r>
          </w:p>
        </w:tc>
        <w:tc>
          <w:tcPr>
            <w:tcW w:w="3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3,989</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8,061</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11,963</w:t>
            </w:r>
          </w:p>
        </w:tc>
        <w:tc>
          <w:tcPr>
            <w:tcW w:w="6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16,035</w:t>
            </w:r>
          </w:p>
        </w:tc>
      </w:tr>
      <w:tr>
        <w:trPr>
          <w:trHeight w:val="27"/>
        </w:trPr>
        <w:tc>
          <w:tcPr>
            <w:tcW w:w="488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0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on Revolving Credit Facility</w:t>
            </w: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303</w:t>
            </w:r>
          </w:p>
        </w:tc>
        <w:tc>
          <w:tcPr>
            <w:tcW w:w="6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16</w:t>
            </w:r>
          </w:p>
        </w:tc>
      </w:tr>
      <w:tr>
        <w:trPr>
          <w:trHeight w:val="270"/>
        </w:trPr>
        <w:tc>
          <w:tcPr>
            <w:tcW w:w="4880" w:type="dxa"/>
            <w:vAlign w:val="bottom"/>
          </w:tcPr>
          <w:p>
            <w:pPr>
              <w:ind w:left="40"/>
              <w:spacing w:after="0" w:line="270" w:lineRule="exact"/>
              <w:rPr>
                <w:sz w:val="20"/>
                <w:szCs w:val="20"/>
                <w:color w:val="auto"/>
              </w:rPr>
            </w:pPr>
            <w:r>
              <w:rPr>
                <w:rFonts w:ascii="Arial" w:cs="Arial" w:eastAsia="Arial" w:hAnsi="Arial"/>
                <w:sz w:val="18"/>
                <w:szCs w:val="18"/>
                <w:color w:val="auto"/>
              </w:rPr>
              <w:t xml:space="preserve">Deferred Payment Obligation Interest Payments </w:t>
            </w:r>
            <w:r>
              <w:rPr>
                <w:rFonts w:ascii="Arial" w:cs="Arial" w:eastAsia="Arial" w:hAnsi="Arial"/>
                <w:sz w:val="25"/>
                <w:szCs w:val="25"/>
                <w:color w:val="auto"/>
                <w:vertAlign w:val="superscript"/>
              </w:rPr>
              <w:t>1</w:t>
            </w:r>
          </w:p>
        </w:tc>
        <w:tc>
          <w:tcPr>
            <w:tcW w:w="340" w:type="dxa"/>
            <w:vAlign w:val="bottom"/>
          </w:tcPr>
          <w:p>
            <w:pPr>
              <w:spacing w:after="0"/>
              <w:rPr>
                <w:sz w:val="23"/>
                <w:szCs w:val="23"/>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2,007</w:t>
            </w:r>
          </w:p>
        </w:tc>
        <w:tc>
          <w:tcPr>
            <w:tcW w:w="1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2,011</w:t>
            </w:r>
          </w:p>
        </w:tc>
        <w:tc>
          <w:tcPr>
            <w:tcW w:w="12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4,007</w:t>
            </w:r>
          </w:p>
        </w:tc>
        <w:tc>
          <w:tcPr>
            <w:tcW w:w="640" w:type="dxa"/>
            <w:vAlign w:val="bottom"/>
          </w:tcPr>
          <w:p>
            <w:pPr>
              <w:spacing w:after="0"/>
              <w:rPr>
                <w:sz w:val="23"/>
                <w:szCs w:val="23"/>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4,022</w:t>
            </w:r>
          </w:p>
        </w:tc>
      </w:tr>
      <w:tr>
        <w:trPr>
          <w:trHeight w:val="270"/>
        </w:trPr>
        <w:tc>
          <w:tcPr>
            <w:tcW w:w="488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DIC and OID </w:t>
            </w:r>
            <w:r>
              <w:rPr>
                <w:rFonts w:ascii="Arial" w:cs="Arial" w:eastAsia="Arial" w:hAnsi="Arial"/>
                <w:sz w:val="25"/>
                <w:szCs w:val="25"/>
                <w:color w:val="auto"/>
                <w:vertAlign w:val="superscript"/>
              </w:rPr>
              <w:t>2</w:t>
            </w: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7"/>
              <w:spacing w:after="0"/>
              <w:rPr>
                <w:sz w:val="20"/>
                <w:szCs w:val="20"/>
                <w:color w:val="auto"/>
              </w:rPr>
            </w:pPr>
            <w:r>
              <w:rPr>
                <w:rFonts w:ascii="Arial" w:cs="Arial" w:eastAsia="Arial" w:hAnsi="Arial"/>
                <w:sz w:val="18"/>
                <w:szCs w:val="18"/>
                <w:color w:val="auto"/>
              </w:rPr>
              <w:t>1,313</w:t>
            </w:r>
          </w:p>
        </w:tc>
        <w:tc>
          <w:tcPr>
            <w:tcW w:w="1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92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2,102</w:t>
            </w: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37"/>
              <w:spacing w:after="0"/>
              <w:rPr>
                <w:sz w:val="20"/>
                <w:szCs w:val="20"/>
                <w:color w:val="auto"/>
              </w:rPr>
            </w:pPr>
            <w:r>
              <w:rPr>
                <w:rFonts w:ascii="Arial" w:cs="Arial" w:eastAsia="Arial" w:hAnsi="Arial"/>
                <w:sz w:val="18"/>
                <w:szCs w:val="18"/>
                <w:color w:val="auto"/>
              </w:rPr>
              <w:t>3,396</w:t>
            </w:r>
          </w:p>
        </w:tc>
        <w:tc>
          <w:tcPr>
            <w:tcW w:w="640" w:type="dxa"/>
            <w:vAlign w:val="bottom"/>
            <w:shd w:val="clear" w:color="auto" w:fill="CCEEFF"/>
          </w:tcPr>
          <w:p>
            <w:pPr>
              <w:spacing w:after="0"/>
              <w:rPr>
                <w:sz w:val="23"/>
                <w:szCs w:val="23"/>
                <w:color w:val="auto"/>
              </w:rPr>
            </w:pPr>
          </w:p>
        </w:tc>
        <w:tc>
          <w:tcPr>
            <w:tcW w:w="880" w:type="dxa"/>
            <w:vAlign w:val="bottom"/>
            <w:shd w:val="clear" w:color="auto" w:fill="CCEEFF"/>
          </w:tcPr>
          <w:p>
            <w:pPr>
              <w:jc w:val="right"/>
              <w:ind w:right="12"/>
              <w:spacing w:after="0"/>
              <w:rPr>
                <w:sz w:val="20"/>
                <w:szCs w:val="20"/>
                <w:color w:val="auto"/>
              </w:rPr>
            </w:pPr>
            <w:r>
              <w:rPr>
                <w:rFonts w:ascii="Arial" w:cs="Arial" w:eastAsia="Arial" w:hAnsi="Arial"/>
                <w:sz w:val="18"/>
                <w:szCs w:val="18"/>
                <w:color w:val="auto"/>
              </w:rPr>
              <w:t>4,174</w:t>
            </w:r>
          </w:p>
        </w:tc>
      </w:tr>
      <w:tr>
        <w:trPr>
          <w:trHeight w:val="243"/>
        </w:trPr>
        <w:tc>
          <w:tcPr>
            <w:tcW w:w="4880" w:type="dxa"/>
            <w:vAlign w:val="bottom"/>
          </w:tcPr>
          <w:p>
            <w:pPr>
              <w:ind w:left="4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080" w:type="dxa"/>
            <w:vAlign w:val="bottom"/>
          </w:tcPr>
          <w:p>
            <w:pPr>
              <w:jc w:val="right"/>
              <w:ind w:right="17"/>
              <w:spacing w:after="0"/>
              <w:rPr>
                <w:sz w:val="20"/>
                <w:szCs w:val="20"/>
                <w:color w:val="auto"/>
              </w:rPr>
            </w:pPr>
            <w:r>
              <w:rPr>
                <w:rFonts w:ascii="Arial" w:cs="Arial" w:eastAsia="Arial" w:hAnsi="Arial"/>
                <w:sz w:val="18"/>
                <w:szCs w:val="18"/>
                <w:color w:val="auto"/>
              </w:rPr>
              <w:t>118</w:t>
            </w: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920" w:type="dxa"/>
            <w:vAlign w:val="bottom"/>
          </w:tcPr>
          <w:p>
            <w:pPr>
              <w:jc w:val="right"/>
              <w:ind w:right="12"/>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80" w:type="dxa"/>
            <w:vAlign w:val="bottom"/>
          </w:tcPr>
          <w:p>
            <w:pPr>
              <w:jc w:val="right"/>
              <w:ind w:right="37"/>
              <w:spacing w:after="0"/>
              <w:rPr>
                <w:sz w:val="20"/>
                <w:szCs w:val="20"/>
                <w:color w:val="auto"/>
              </w:rPr>
            </w:pPr>
            <w:r>
              <w:rPr>
                <w:rFonts w:ascii="Arial" w:cs="Arial" w:eastAsia="Arial" w:hAnsi="Arial"/>
                <w:sz w:val="18"/>
                <w:szCs w:val="18"/>
                <w:color w:val="auto"/>
              </w:rPr>
              <w:t>153</w:t>
            </w:r>
          </w:p>
        </w:tc>
        <w:tc>
          <w:tcPr>
            <w:tcW w:w="640" w:type="dxa"/>
            <w:vAlign w:val="bottom"/>
          </w:tcPr>
          <w:p>
            <w:pPr>
              <w:spacing w:after="0"/>
              <w:rPr>
                <w:sz w:val="21"/>
                <w:szCs w:val="21"/>
                <w:color w:val="auto"/>
              </w:rPr>
            </w:pPr>
          </w:p>
        </w:tc>
        <w:tc>
          <w:tcPr>
            <w:tcW w:w="880" w:type="dxa"/>
            <w:vAlign w:val="bottom"/>
          </w:tcPr>
          <w:p>
            <w:pPr>
              <w:jc w:val="right"/>
              <w:ind w:right="12"/>
              <w:spacing w:after="0"/>
              <w:rPr>
                <w:sz w:val="20"/>
                <w:szCs w:val="20"/>
                <w:color w:val="auto"/>
              </w:rPr>
            </w:pPr>
            <w:r>
              <w:rPr>
                <w:rFonts w:ascii="Arial" w:cs="Arial" w:eastAsia="Arial" w:hAnsi="Arial"/>
                <w:sz w:val="18"/>
                <w:szCs w:val="18"/>
                <w:color w:val="auto"/>
              </w:rPr>
              <w:t>84</w:t>
            </w:r>
          </w:p>
        </w:tc>
      </w:tr>
      <w:tr>
        <w:trPr>
          <w:trHeight w:val="27"/>
        </w:trPr>
        <w:tc>
          <w:tcPr>
            <w:tcW w:w="488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57"/>
        </w:trPr>
        <w:tc>
          <w:tcPr>
            <w:tcW w:w="4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Interest Expense</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17"/>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shd w:val="clear" w:color="auto" w:fill="CCEEFF"/>
          </w:tcPr>
          <w:p>
            <w:pPr>
              <w:spacing w:after="0"/>
              <w:rPr>
                <w:sz w:val="22"/>
                <w:szCs w:val="22"/>
                <w:color w:val="auto"/>
              </w:rPr>
            </w:pPr>
          </w:p>
        </w:tc>
        <w:tc>
          <w:tcPr>
            <w:tcW w:w="5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17,685</w:t>
            </w:r>
          </w:p>
        </w:tc>
        <w:tc>
          <w:tcPr>
            <w:tcW w:w="12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shd w:val="clear" w:color="auto" w:fill="CCEEFF"/>
          </w:tcPr>
          <w:p>
            <w:pPr>
              <w:jc w:val="right"/>
              <w:ind w:right="37"/>
              <w:spacing w:after="0"/>
              <w:rPr>
                <w:sz w:val="20"/>
                <w:szCs w:val="20"/>
                <w:color w:val="auto"/>
              </w:rPr>
            </w:pPr>
            <w:r>
              <w:rPr>
                <w:rFonts w:ascii="Arial" w:cs="Arial" w:eastAsia="Arial" w:hAnsi="Arial"/>
                <w:sz w:val="18"/>
                <w:szCs w:val="18"/>
                <w:color w:val="auto"/>
              </w:rPr>
              <w:t>32,581</w:t>
            </w:r>
          </w:p>
        </w:tc>
        <w:tc>
          <w:tcPr>
            <w:tcW w:w="6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rPr>
              <w:t>$</w:t>
            </w:r>
          </w:p>
        </w:tc>
        <w:tc>
          <w:tcPr>
            <w:tcW w:w="8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35,175</w:t>
            </w:r>
          </w:p>
        </w:tc>
      </w:tr>
      <w:tr>
        <w:trPr>
          <w:trHeight w:val="20"/>
        </w:trPr>
        <w:tc>
          <w:tcPr>
            <w:tcW w:w="48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r>
    </w:tbl>
    <w:p>
      <w:pPr>
        <w:spacing w:after="0" w:line="37" w:lineRule="exact"/>
        <w:rPr>
          <w:sz w:val="20"/>
          <w:szCs w:val="20"/>
          <w:color w:val="auto"/>
        </w:rPr>
      </w:pPr>
    </w:p>
    <w:p>
      <w:pPr>
        <w:ind w:left="120" w:hanging="112"/>
        <w:spacing w:after="0"/>
        <w:tabs>
          <w:tab w:leader="none" w:pos="120" w:val="left"/>
        </w:tabs>
        <w:numPr>
          <w:ilvl w:val="0"/>
          <w:numId w:val="6"/>
        </w:numPr>
        <w:rPr>
          <w:rFonts w:ascii="Arial" w:cs="Arial" w:eastAsia="Arial" w:hAnsi="Arial"/>
          <w:sz w:val="25"/>
          <w:szCs w:val="25"/>
          <w:color w:val="auto"/>
          <w:vertAlign w:val="superscript"/>
        </w:rPr>
      </w:pPr>
      <w:r>
        <w:rPr>
          <w:rFonts w:ascii="Arial" w:cs="Arial" w:eastAsia="Arial" w:hAnsi="Arial"/>
          <w:sz w:val="18"/>
          <w:szCs w:val="18"/>
          <w:color w:val="auto"/>
        </w:rPr>
        <w:t>Interest payments on the deferred payment obligation are made twice a year in January and July.</w:t>
      </w:r>
    </w:p>
    <w:p>
      <w:pPr>
        <w:spacing w:after="0" w:line="98" w:lineRule="exact"/>
        <w:rPr>
          <w:sz w:val="20"/>
          <w:szCs w:val="20"/>
          <w:color w:val="auto"/>
        </w:rPr>
      </w:pPr>
    </w:p>
    <w:p>
      <w:pPr>
        <w:ind w:right="120" w:firstLine="8"/>
        <w:spacing w:after="0" w:line="225" w:lineRule="auto"/>
        <w:tabs>
          <w:tab w:leader="none" w:pos="108" w:val="left"/>
        </w:tabs>
        <w:numPr>
          <w:ilvl w:val="0"/>
          <w:numId w:val="7"/>
        </w:numPr>
        <w:rPr>
          <w:rFonts w:ascii="Arial" w:cs="Arial" w:eastAsia="Arial" w:hAnsi="Arial"/>
          <w:sz w:val="25"/>
          <w:szCs w:val="25"/>
          <w:color w:val="auto"/>
          <w:vertAlign w:val="superscript"/>
        </w:rPr>
      </w:pPr>
      <w:r>
        <w:rPr>
          <w:rFonts w:ascii="Arial" w:cs="Arial" w:eastAsia="Arial" w:hAnsi="Arial"/>
          <w:sz w:val="18"/>
          <w:szCs w:val="18"/>
          <w:color w:val="auto"/>
        </w:rPr>
        <w:t>DIC and OID on the Company's term loans are recorded as a reduction of long term debt in the consolidated balance sheet and are amortized ratably over the life of the related debt using the effective rate method. DIC on the Company's revolving line of credit is recorded as a long term asset on the consolidated balance sheet and amortized ratably over the term of the revolving credit facility.</w:t>
      </w:r>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INCOME TAXES</w:t>
      </w:r>
    </w:p>
    <w:p>
      <w:pPr>
        <w:spacing w:after="0" w:line="121"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The Company’s effective income tax rate was 35.7% and 38.2% for the three months ended September 30, 2016 and 2015, respectively, and 38.1% and 39.6% for the six months ended September 30, 2016 and 2015, respectively. The decreases in the effective tax rate for the three and six months ended September 30, 2016 as compared to the same period last fiscal year was primarily due to the recognition of certain federal and state tax credits for which the Company qualified. The three and six months effective tax rates of 35.7% and 38.1% differ from the statutory rate of 35.0% primarily due to state income taxes and the effect of permanent rate differences, which primarily relate to meals and entertainment.</w:t>
      </w:r>
    </w:p>
    <w:p>
      <w:pPr>
        <w:spacing w:after="0" w:line="200" w:lineRule="exact"/>
        <w:rPr>
          <w:sz w:val="20"/>
          <w:szCs w:val="20"/>
          <w:color w:val="auto"/>
        </w:rPr>
      </w:pPr>
    </w:p>
    <w:p>
      <w:pPr>
        <w:spacing w:after="0" w:line="2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OTHER LONG-TERM LIABILITIES</w:t>
      </w:r>
    </w:p>
    <w:p>
      <w:pPr>
        <w:spacing w:after="0" w:line="94" w:lineRule="exact"/>
        <w:rPr>
          <w:sz w:val="20"/>
          <w:szCs w:val="20"/>
          <w:color w:val="auto"/>
        </w:rPr>
      </w:pPr>
    </w:p>
    <w:p>
      <w:pPr>
        <w:ind w:left="440"/>
        <w:spacing w:after="0"/>
        <w:rPr>
          <w:sz w:val="20"/>
          <w:szCs w:val="20"/>
          <w:color w:val="auto"/>
        </w:rPr>
      </w:pPr>
      <w:r>
        <w:rPr>
          <w:rFonts w:ascii="Arial" w:cs="Arial" w:eastAsia="Arial" w:hAnsi="Arial"/>
          <w:sz w:val="18"/>
          <w:szCs w:val="18"/>
          <w:color w:val="auto"/>
        </w:rPr>
        <w:t>Other long-term liabilities consisted of the following:</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3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0" w:type="dxa"/>
            <w:vAlign w:val="bottom"/>
            <w:gridSpan w:val="2"/>
          </w:tcPr>
          <w:p>
            <w:pPr>
              <w:ind w:left="100"/>
              <w:spacing w:after="0"/>
              <w:rPr>
                <w:sz w:val="20"/>
                <w:szCs w:val="20"/>
                <w:color w:val="auto"/>
              </w:rPr>
            </w:pPr>
            <w:r>
              <w:rPr>
                <w:rFonts w:ascii="Arial" w:cs="Arial" w:eastAsia="Arial" w:hAnsi="Arial"/>
                <w:sz w:val="14"/>
                <w:szCs w:val="14"/>
                <w:b w:val="1"/>
                <w:bCs w:val="1"/>
                <w:color w:val="auto"/>
              </w:rPr>
              <w:t>September 30,</w:t>
            </w:r>
          </w:p>
        </w:tc>
        <w:tc>
          <w:tcPr>
            <w:tcW w:w="260" w:type="dxa"/>
            <w:vAlign w:val="bottom"/>
          </w:tcPr>
          <w:p>
            <w:pPr>
              <w:spacing w:after="0"/>
              <w:rPr>
                <w:sz w:val="14"/>
                <w:szCs w:val="14"/>
                <w:color w:val="auto"/>
              </w:rPr>
            </w:pPr>
          </w:p>
        </w:tc>
        <w:tc>
          <w:tcPr>
            <w:tcW w:w="1220" w:type="dxa"/>
            <w:vAlign w:val="bottom"/>
          </w:tcPr>
          <w:p>
            <w:pPr>
              <w:jc w:val="right"/>
              <w:ind w:right="356"/>
              <w:spacing w:after="0"/>
              <w:rPr>
                <w:sz w:val="20"/>
                <w:szCs w:val="20"/>
                <w:color w:val="auto"/>
              </w:rPr>
            </w:pPr>
            <w:r>
              <w:rPr>
                <w:rFonts w:ascii="Arial" w:cs="Arial" w:eastAsia="Arial" w:hAnsi="Arial"/>
                <w:sz w:val="14"/>
                <w:szCs w:val="14"/>
                <w:b w:val="1"/>
                <w:bCs w:val="1"/>
                <w:color w:val="auto"/>
              </w:rPr>
              <w:t>March 31,</w:t>
            </w:r>
          </w:p>
        </w:tc>
      </w:tr>
      <w:tr>
        <w:trPr>
          <w:trHeight w:val="192"/>
        </w:trPr>
        <w:tc>
          <w:tcPr>
            <w:tcW w:w="8340" w:type="dxa"/>
            <w:vAlign w:val="bottom"/>
            <w:tcBorders>
              <w:bottom w:val="single" w:sz="8" w:color="CCEEFF"/>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516"/>
              <w:spacing w:after="0"/>
              <w:rPr>
                <w:sz w:val="20"/>
                <w:szCs w:val="20"/>
                <w:color w:val="auto"/>
              </w:rPr>
            </w:pPr>
            <w:r>
              <w:rPr>
                <w:rFonts w:ascii="Arial" w:cs="Arial" w:eastAsia="Arial" w:hAnsi="Arial"/>
                <w:sz w:val="14"/>
                <w:szCs w:val="14"/>
                <w:b w:val="1"/>
                <w:bCs w:val="1"/>
                <w:color w:val="auto"/>
              </w:rPr>
              <w:t>2016</w:t>
            </w:r>
          </w:p>
        </w:tc>
      </w:tr>
      <w:tr>
        <w:trPr>
          <w:trHeight w:val="25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rent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59,874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53,170</w:t>
            </w:r>
          </w:p>
        </w:tc>
      </w:tr>
      <w:tr>
        <w:trPr>
          <w:trHeight w:val="243"/>
        </w:trPr>
        <w:tc>
          <w:tcPr>
            <w:tcW w:w="8340" w:type="dxa"/>
            <w:vAlign w:val="bottom"/>
          </w:tcPr>
          <w:p>
            <w:pPr>
              <w:ind w:left="40"/>
              <w:spacing w:after="0"/>
              <w:rPr>
                <w:sz w:val="20"/>
                <w:szCs w:val="20"/>
                <w:color w:val="auto"/>
              </w:rPr>
            </w:pPr>
            <w:r>
              <w:rPr>
                <w:rFonts w:ascii="Arial" w:cs="Arial" w:eastAsia="Arial" w:hAnsi="Arial"/>
                <w:sz w:val="18"/>
                <w:szCs w:val="18"/>
                <w:color w:val="auto"/>
              </w:rPr>
              <w:t>Postretirement benefit obligations</w:t>
            </w:r>
          </w:p>
        </w:tc>
        <w:tc>
          <w:tcPr>
            <w:tcW w:w="200" w:type="dxa"/>
            <w:vAlign w:val="bottom"/>
          </w:tcPr>
          <w:p>
            <w:pPr>
              <w:spacing w:after="0"/>
              <w:rPr>
                <w:sz w:val="21"/>
                <w:szCs w:val="21"/>
                <w:color w:val="auto"/>
              </w:rPr>
            </w:pPr>
          </w:p>
        </w:tc>
        <w:tc>
          <w:tcPr>
            <w:tcW w:w="1300" w:type="dxa"/>
            <w:vAlign w:val="bottom"/>
          </w:tcPr>
          <w:p>
            <w:pPr>
              <w:jc w:val="right"/>
              <w:ind w:right="16"/>
              <w:spacing w:after="0"/>
              <w:rPr>
                <w:sz w:val="20"/>
                <w:szCs w:val="20"/>
                <w:color w:val="auto"/>
              </w:rPr>
            </w:pPr>
            <w:r>
              <w:rPr>
                <w:rFonts w:ascii="Arial" w:cs="Arial" w:eastAsia="Arial" w:hAnsi="Arial"/>
                <w:sz w:val="18"/>
                <w:szCs w:val="18"/>
                <w:color w:val="auto"/>
              </w:rPr>
              <w:t>121,339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jc w:val="right"/>
              <w:ind w:right="16"/>
              <w:spacing w:after="0"/>
              <w:rPr>
                <w:sz w:val="20"/>
                <w:szCs w:val="20"/>
                <w:color w:val="auto"/>
              </w:rPr>
            </w:pPr>
            <w:r>
              <w:rPr>
                <w:rFonts w:ascii="Arial" w:cs="Arial" w:eastAsia="Arial" w:hAnsi="Arial"/>
                <w:sz w:val="18"/>
                <w:szCs w:val="18"/>
                <w:color w:val="auto"/>
              </w:rPr>
              <w:t>118,554</w:t>
            </w:r>
          </w:p>
        </w:tc>
      </w:tr>
      <w:tr>
        <w:trPr>
          <w:trHeight w:val="27"/>
        </w:trPr>
        <w:tc>
          <w:tcPr>
            <w:tcW w:w="83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70"/>
        </w:trPr>
        <w:tc>
          <w:tcPr>
            <w:tcW w:w="8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w:t>
            </w:r>
          </w:p>
        </w:tc>
        <w:tc>
          <w:tcPr>
            <w:tcW w:w="20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5,955</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5,598</w:t>
            </w:r>
          </w:p>
        </w:tc>
      </w:tr>
      <w:tr>
        <w:trPr>
          <w:trHeight w:val="237"/>
        </w:trPr>
        <w:tc>
          <w:tcPr>
            <w:tcW w:w="8340" w:type="dxa"/>
            <w:vAlign w:val="bottom"/>
          </w:tcPr>
          <w:p>
            <w:pPr>
              <w:ind w:left="380"/>
              <w:spacing w:after="0"/>
              <w:rPr>
                <w:sz w:val="20"/>
                <w:szCs w:val="20"/>
                <w:color w:val="auto"/>
              </w:rPr>
            </w:pPr>
            <w:r>
              <w:rPr>
                <w:rFonts w:ascii="Arial" w:cs="Arial" w:eastAsia="Arial" w:hAnsi="Arial"/>
                <w:sz w:val="18"/>
                <w:szCs w:val="18"/>
                <w:color w:val="auto"/>
              </w:rPr>
              <w:t>Total other long-term liabilities</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187,168</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tcBorders>
          </w:tcPr>
          <w:p>
            <w:pPr>
              <w:jc w:val="right"/>
              <w:ind w:right="16"/>
              <w:spacing w:after="0"/>
              <w:rPr>
                <w:sz w:val="20"/>
                <w:szCs w:val="20"/>
                <w:color w:val="auto"/>
              </w:rPr>
            </w:pPr>
            <w:r>
              <w:rPr>
                <w:rFonts w:ascii="Arial" w:cs="Arial" w:eastAsia="Arial" w:hAnsi="Arial"/>
                <w:sz w:val="18"/>
                <w:szCs w:val="18"/>
                <w:color w:val="auto"/>
              </w:rPr>
              <w:t>177,322</w:t>
            </w:r>
          </w:p>
        </w:tc>
      </w:tr>
      <w:tr>
        <w:trPr>
          <w:trHeight w:val="27"/>
        </w:trPr>
        <w:tc>
          <w:tcPr>
            <w:tcW w:w="834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
        </w:trPr>
        <w:tc>
          <w:tcPr>
            <w:tcW w:w="83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ind w:left="340" w:right="8640" w:hanging="332"/>
        <w:spacing w:after="0" w:line="378" w:lineRule="auto"/>
        <w:tabs>
          <w:tab w:leader="none" w:pos="286"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EMPLOYEE BENEFIT PLANS </w:t>
      </w:r>
      <w:r>
        <w:rPr>
          <w:rFonts w:ascii="Arial" w:cs="Arial" w:eastAsia="Arial" w:hAnsi="Arial"/>
          <w:sz w:val="18"/>
          <w:szCs w:val="18"/>
          <w:b w:val="1"/>
          <w:bCs w:val="1"/>
          <w:i w:val="1"/>
          <w:iCs w:val="1"/>
          <w:color w:val="auto"/>
        </w:rPr>
        <w:t>Defined Contribution Plan</w:t>
      </w:r>
    </w:p>
    <w:p>
      <w:pPr>
        <w:ind w:left="420"/>
        <w:spacing w:after="0"/>
        <w:rPr>
          <w:sz w:val="20"/>
          <w:szCs w:val="20"/>
          <w:color w:val="auto"/>
        </w:rPr>
      </w:pPr>
      <w:r>
        <w:rPr>
          <w:rFonts w:ascii="Arial" w:cs="Arial" w:eastAsia="Arial" w:hAnsi="Arial"/>
          <w:sz w:val="16"/>
          <w:szCs w:val="16"/>
          <w:color w:val="auto"/>
        </w:rPr>
        <w:t>The Company sponsors the Employees’ Capital Accumulation Plan, or ECAP, which is a qualified defined contribution plan that covers eligible U.S.</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and international employees. ECAP provides for distributions, subject to certain vesting provisions, to participants by reason of retirement, death, disability,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or termination of employment. Effective April 1, 2014 the Company transitioned from a discretionary employer contribution to an annual matching</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contribution of up to 6% of eligible annual income as determined by the Internal Revenue Code for the ECAP. Total expense recognized under ECAP</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was $27.9 million and $26.2 million for the three months ended September 30, 2016 and 2015, respectively, and $56.7 million and $54.5 million for the six</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months ended September 30, 2016 and 2015, respectively. The Company-paid contributions were $15.5 million and $15.8 million for the three months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ended September 30, 2016 and 2015, respectively, and $30.8 million and $32.0 million for the six months ended September 30, 2016 and 2015, respectively.</w:t>
      </w:r>
    </w:p>
    <w:p>
      <w:pPr>
        <w:spacing w:after="0" w:line="126" w:lineRule="exact"/>
        <w:rPr>
          <w:sz w:val="20"/>
          <w:szCs w:val="20"/>
          <w:color w:val="auto"/>
        </w:rPr>
      </w:pPr>
    </w:p>
    <w:p>
      <w:pPr>
        <w:ind w:left="340"/>
        <w:spacing w:after="0"/>
        <w:rPr>
          <w:sz w:val="20"/>
          <w:szCs w:val="20"/>
          <w:color w:val="auto"/>
        </w:rPr>
      </w:pPr>
      <w:r>
        <w:rPr>
          <w:rFonts w:ascii="Arial" w:cs="Arial" w:eastAsia="Arial" w:hAnsi="Arial"/>
          <w:sz w:val="18"/>
          <w:szCs w:val="18"/>
          <w:b w:val="1"/>
          <w:bCs w:val="1"/>
          <w:i w:val="1"/>
          <w:iCs w:val="1"/>
          <w:color w:val="auto"/>
        </w:rPr>
        <w:t>Defined Benefit Plan and Other Postretirement Benefit Plans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6"/>
          <w:szCs w:val="16"/>
          <w:color w:val="auto"/>
        </w:rPr>
        <w:t>The Company maintains and administers a postretirement medical plan and a defined benefit retirement plan for current, retired, and resigned officers.</w:t>
      </w: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81" w:right="239" w:bottom="1440" w:gutter="0" w:footer="0" w:header="0"/>
        </w:sectPr>
      </w:pPr>
    </w:p>
    <w:bookmarkStart w:id="11" w:name="page12"/>
    <w:bookmarkEnd w:id="11"/>
    <w:p>
      <w:pPr>
        <w:ind w:left="660"/>
        <w:spacing w:after="0"/>
        <w:rPr>
          <w:sz w:val="20"/>
          <w:szCs w:val="20"/>
          <w:color w:val="auto"/>
        </w:rPr>
      </w:pPr>
      <w:r>
        <w:rPr>
          <w:rFonts w:ascii="Arial" w:cs="Arial" w:eastAsia="Arial" w:hAnsi="Arial"/>
          <w:sz w:val="18"/>
          <w:szCs w:val="18"/>
          <w:color w:val="auto"/>
        </w:rPr>
        <w:t>The components of net postretirement medical expense for the Officer Medical Plan were as follows: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ind w:left="360"/>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ind w:left="480"/>
              <w:spacing w:after="0"/>
              <w:rPr>
                <w:sz w:val="20"/>
                <w:szCs w:val="20"/>
                <w:color w:val="auto"/>
              </w:rPr>
            </w:pPr>
            <w:r>
              <w:rPr>
                <w:rFonts w:ascii="Arial" w:cs="Arial" w:eastAsia="Arial" w:hAnsi="Arial"/>
                <w:sz w:val="14"/>
                <w:szCs w:val="14"/>
                <w:b w:val="1"/>
                <w:bCs w:val="1"/>
                <w:color w:val="auto"/>
                <w:w w:val="91"/>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1,213</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1,426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2,426</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2,851</w:t>
            </w:r>
          </w:p>
        </w:tc>
      </w:tr>
      <w:tr>
        <w:trPr>
          <w:trHeight w:val="243"/>
        </w:trPr>
        <w:tc>
          <w:tcPr>
            <w:tcW w:w="652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1,196</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1,126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ind w:left="340"/>
              <w:spacing w:after="0"/>
              <w:rPr>
                <w:sz w:val="20"/>
                <w:szCs w:val="20"/>
                <w:color w:val="auto"/>
              </w:rPr>
            </w:pPr>
            <w:r>
              <w:rPr>
                <w:rFonts w:ascii="Arial" w:cs="Arial" w:eastAsia="Arial" w:hAnsi="Arial"/>
                <w:sz w:val="18"/>
                <w:szCs w:val="18"/>
                <w:color w:val="auto"/>
              </w:rPr>
              <w:t>2,391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2,252</w:t>
            </w: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r>
      <w:tr>
        <w:trPr>
          <w:trHeight w:val="27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actuarial loss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ind w:left="340"/>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w:t>
            </w:r>
          </w:p>
        </w:tc>
      </w:tr>
      <w:tr>
        <w:trPr>
          <w:trHeight w:val="237"/>
        </w:trPr>
        <w:tc>
          <w:tcPr>
            <w:tcW w:w="6520" w:type="dxa"/>
            <w:vAlign w:val="bottom"/>
          </w:tcPr>
          <w:p>
            <w:pPr>
              <w:ind w:left="380"/>
              <w:spacing w:after="0"/>
              <w:rPr>
                <w:sz w:val="20"/>
                <w:szCs w:val="20"/>
                <w:color w:val="auto"/>
              </w:rPr>
            </w:pPr>
            <w:r>
              <w:rPr>
                <w:rFonts w:ascii="Arial" w:cs="Arial" w:eastAsia="Arial" w:hAnsi="Arial"/>
                <w:sz w:val="18"/>
                <w:szCs w:val="18"/>
                <w:color w:val="auto"/>
              </w:rPr>
              <w:t>Total postretirement medical expense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tcBorders>
          </w:tcPr>
          <w:p>
            <w:pPr>
              <w:jc w:val="right"/>
              <w:ind w:right="38"/>
              <w:spacing w:after="0"/>
              <w:rPr>
                <w:sz w:val="20"/>
                <w:szCs w:val="20"/>
                <w:color w:val="auto"/>
              </w:rPr>
            </w:pPr>
            <w:r>
              <w:rPr>
                <w:rFonts w:ascii="Arial" w:cs="Arial" w:eastAsia="Arial" w:hAnsi="Arial"/>
                <w:sz w:val="18"/>
                <w:szCs w:val="18"/>
                <w:color w:val="auto"/>
              </w:rPr>
              <w:t>3,171</w:t>
            </w:r>
          </w:p>
        </w:tc>
        <w:tc>
          <w:tcPr>
            <w:tcW w:w="100" w:type="dxa"/>
            <w:vAlign w:val="bottom"/>
          </w:tcPr>
          <w:p>
            <w:pPr>
              <w:spacing w:after="0"/>
              <w:rPr>
                <w:sz w:val="20"/>
                <w:szCs w:val="20"/>
                <w:color w:val="auto"/>
              </w:rPr>
            </w:pPr>
          </w:p>
        </w:tc>
        <w:tc>
          <w:tcPr>
            <w:tcW w:w="400" w:type="dxa"/>
            <w:vAlign w:val="bottom"/>
            <w:tcBorders>
              <w:top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3,436</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tcBorders>
          </w:tcPr>
          <w:p>
            <w:pPr>
              <w:ind w:left="340"/>
              <w:spacing w:after="0"/>
              <w:rPr>
                <w:sz w:val="20"/>
                <w:szCs w:val="20"/>
                <w:color w:val="auto"/>
              </w:rPr>
            </w:pPr>
            <w:r>
              <w:rPr>
                <w:rFonts w:ascii="Arial" w:cs="Arial" w:eastAsia="Arial" w:hAnsi="Arial"/>
                <w:sz w:val="18"/>
                <w:szCs w:val="18"/>
                <w:color w:val="auto"/>
              </w:rPr>
              <w:t>6,342</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tcBorders>
          </w:tcPr>
          <w:p>
            <w:pPr>
              <w:jc w:val="right"/>
              <w:ind w:right="14"/>
              <w:spacing w:after="0"/>
              <w:rPr>
                <w:sz w:val="20"/>
                <w:szCs w:val="20"/>
                <w:color w:val="auto"/>
              </w:rPr>
            </w:pPr>
            <w:r>
              <w:rPr>
                <w:rFonts w:ascii="Arial" w:cs="Arial" w:eastAsia="Arial" w:hAnsi="Arial"/>
                <w:sz w:val="18"/>
                <w:szCs w:val="18"/>
                <w:color w:val="auto"/>
              </w:rPr>
              <w:t>6,871</w:t>
            </w:r>
          </w:p>
        </w:tc>
      </w:tr>
      <w:tr>
        <w:trPr>
          <w:trHeight w:val="27"/>
        </w:trPr>
        <w:tc>
          <w:tcPr>
            <w:tcW w:w="65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700" w:firstLine="405"/>
        <w:spacing w:after="0" w:line="308" w:lineRule="auto"/>
        <w:rPr>
          <w:sz w:val="20"/>
          <w:szCs w:val="20"/>
          <w:color w:val="auto"/>
        </w:rPr>
      </w:pPr>
      <w:r>
        <w:rPr>
          <w:rFonts w:ascii="Arial" w:cs="Arial" w:eastAsia="Arial" w:hAnsi="Arial"/>
          <w:sz w:val="17"/>
          <w:szCs w:val="17"/>
          <w:color w:val="auto"/>
        </w:rPr>
        <w:t>As of September 30, 2016 and March 31, 2016, the unfunded status of the post-retirement medical plan was $117.1 million and $114.0 million, respectively, which is included in other long-term liabilities in the accompanying condensed consolidated balance sheets.</w:t>
      </w:r>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ACCUMULATED OTHER COMPREHENSIVE LOSS</w:t>
      </w:r>
    </w:p>
    <w:p>
      <w:pPr>
        <w:spacing w:after="0" w:line="121" w:lineRule="exact"/>
        <w:rPr>
          <w:sz w:val="20"/>
          <w:szCs w:val="20"/>
          <w:color w:val="auto"/>
        </w:rPr>
      </w:pPr>
    </w:p>
    <w:p>
      <w:pPr>
        <w:ind w:right="260" w:firstLine="405"/>
        <w:spacing w:after="0" w:line="277" w:lineRule="auto"/>
        <w:rPr>
          <w:sz w:val="20"/>
          <w:szCs w:val="20"/>
          <w:color w:val="auto"/>
        </w:rPr>
      </w:pPr>
      <w:r>
        <w:rPr>
          <w:rFonts w:ascii="Arial" w:cs="Arial" w:eastAsia="Arial" w:hAnsi="Arial"/>
          <w:sz w:val="18"/>
          <w:szCs w:val="18"/>
          <w:color w:val="auto"/>
        </w:rPr>
        <w:t>All amounts recorded in other comprehensive loss are related to the Company's post-retirement plans. The following table represents a rollforward of amounts recognized in accumulated other comprehensive loss, net of tax:</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r>
      <w:tr>
        <w:trPr>
          <w:trHeight w:val="264"/>
        </w:trPr>
        <w:tc>
          <w:tcPr>
            <w:tcW w:w="65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8"/>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Beginning of period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(19,156)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(21,635)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(19,613)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8"/>
              </w:rPr>
              <w:t>(22,159)</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Amounts reclassified from accumulated other comprehensive loss</w:t>
            </w:r>
          </w:p>
        </w:tc>
        <w:tc>
          <w:tcPr>
            <w:tcW w:w="280" w:type="dxa"/>
            <w:vAlign w:val="bottom"/>
          </w:tcPr>
          <w:p>
            <w:pPr>
              <w:spacing w:after="0"/>
              <w:rPr>
                <w:sz w:val="21"/>
                <w:szCs w:val="21"/>
                <w:color w:val="auto"/>
              </w:rPr>
            </w:pPr>
          </w:p>
        </w:tc>
        <w:tc>
          <w:tcPr>
            <w:tcW w:w="900" w:type="dxa"/>
            <w:vAlign w:val="bottom"/>
          </w:tcPr>
          <w:p>
            <w:pPr>
              <w:jc w:val="right"/>
              <w:ind w:right="38"/>
              <w:spacing w:after="0"/>
              <w:rPr>
                <w:sz w:val="20"/>
                <w:szCs w:val="20"/>
                <w:color w:val="auto"/>
              </w:rPr>
            </w:pPr>
            <w:r>
              <w:rPr>
                <w:rFonts w:ascii="Arial" w:cs="Arial" w:eastAsia="Arial" w:hAnsi="Arial"/>
                <w:sz w:val="18"/>
                <w:szCs w:val="18"/>
                <w:color w:val="auto"/>
              </w:rPr>
              <w:t>457</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ind w:right="38"/>
              <w:spacing w:after="0"/>
              <w:rPr>
                <w:sz w:val="20"/>
                <w:szCs w:val="20"/>
                <w:color w:val="auto"/>
              </w:rPr>
            </w:pPr>
            <w:r>
              <w:rPr>
                <w:rFonts w:ascii="Arial" w:cs="Arial" w:eastAsia="Arial" w:hAnsi="Arial"/>
                <w:sz w:val="18"/>
                <w:szCs w:val="18"/>
                <w:color w:val="auto"/>
              </w:rPr>
              <w:t>914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ind w:right="14"/>
              <w:spacing w:after="0"/>
              <w:rPr>
                <w:sz w:val="20"/>
                <w:szCs w:val="20"/>
                <w:color w:val="auto"/>
              </w:rPr>
            </w:pPr>
            <w:r>
              <w:rPr>
                <w:rFonts w:ascii="Arial" w:cs="Arial" w:eastAsia="Arial" w:hAnsi="Arial"/>
                <w:sz w:val="18"/>
                <w:szCs w:val="18"/>
                <w:color w:val="auto"/>
              </w:rPr>
              <w:t>1,048</w:t>
            </w: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ind w:left="360"/>
              <w:spacing w:after="0"/>
              <w:rPr>
                <w:sz w:val="20"/>
                <w:szCs w:val="20"/>
                <w:color w:val="auto"/>
              </w:rPr>
            </w:pPr>
            <w:r>
              <w:rPr>
                <w:rFonts w:ascii="Arial" w:cs="Arial" w:eastAsia="Arial" w:hAnsi="Arial"/>
                <w:sz w:val="18"/>
                <w:szCs w:val="18"/>
                <w:color w:val="auto"/>
              </w:rPr>
              <w:t>Net current-period other comprehensive loss</w:t>
            </w:r>
          </w:p>
        </w:tc>
        <w:tc>
          <w:tcPr>
            <w:tcW w:w="28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38"/>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r>
      <w:tr>
        <w:trPr>
          <w:trHeight w:val="257"/>
        </w:trPr>
        <w:tc>
          <w:tcPr>
            <w:tcW w:w="6520" w:type="dxa"/>
            <w:vAlign w:val="bottom"/>
          </w:tcPr>
          <w:p>
            <w:pPr>
              <w:ind w:left="40"/>
              <w:spacing w:after="0"/>
              <w:rPr>
                <w:sz w:val="20"/>
                <w:szCs w:val="20"/>
                <w:color w:val="auto"/>
              </w:rPr>
            </w:pPr>
            <w:r>
              <w:rPr>
                <w:rFonts w:ascii="Arial" w:cs="Arial" w:eastAsia="Arial" w:hAnsi="Arial"/>
                <w:sz w:val="18"/>
                <w:szCs w:val="18"/>
                <w:color w:val="auto"/>
              </w:rPr>
              <w:t>End of period</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(21,111)</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(18,699)</w:t>
            </w:r>
          </w:p>
        </w:tc>
        <w:tc>
          <w:tcPr>
            <w:tcW w:w="100" w:type="dxa"/>
            <w:vAlign w:val="bottom"/>
          </w:tcPr>
          <w:p>
            <w:pPr>
              <w:spacing w:after="0"/>
              <w:rPr>
                <w:sz w:val="22"/>
                <w:szCs w:val="22"/>
                <w:color w:val="auto"/>
              </w:rPr>
            </w:pPr>
          </w:p>
        </w:tc>
        <w:tc>
          <w:tcPr>
            <w:tcW w:w="42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(21,111)</w:t>
            </w:r>
          </w:p>
        </w:tc>
      </w:tr>
      <w:tr>
        <w:trPr>
          <w:trHeight w:val="20"/>
        </w:trPr>
        <w:tc>
          <w:tcPr>
            <w:tcW w:w="65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presents the reclassifications out of accumulated other comprehensive loss to net income:</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240" w:type="dxa"/>
            <w:vAlign w:val="bottom"/>
            <w:gridSpan w:val="5"/>
          </w:tcPr>
          <w:p>
            <w:pPr>
              <w:ind w:left="280"/>
              <w:spacing w:after="0"/>
              <w:rPr>
                <w:sz w:val="20"/>
                <w:szCs w:val="20"/>
                <w:color w:val="auto"/>
              </w:rPr>
            </w:pPr>
            <w:r>
              <w:rPr>
                <w:rFonts w:ascii="Arial" w:cs="Arial" w:eastAsia="Arial" w:hAnsi="Arial"/>
                <w:sz w:val="14"/>
                <w:szCs w:val="14"/>
                <w:b w:val="1"/>
                <w:bCs w:val="1"/>
                <w:color w:val="auto"/>
              </w:rPr>
              <w:t>Three Months Ended</w:t>
            </w:r>
          </w:p>
        </w:tc>
        <w:tc>
          <w:tcPr>
            <w:tcW w:w="280" w:type="dxa"/>
            <w:vAlign w:val="bottom"/>
          </w:tcPr>
          <w:p>
            <w:pPr>
              <w:spacing w:after="0"/>
              <w:rPr>
                <w:sz w:val="14"/>
                <w:szCs w:val="14"/>
                <w:color w:val="auto"/>
              </w:rPr>
            </w:pPr>
          </w:p>
        </w:tc>
        <w:tc>
          <w:tcPr>
            <w:tcW w:w="2100" w:type="dxa"/>
            <w:vAlign w:val="bottom"/>
            <w:gridSpan w:val="4"/>
          </w:tcPr>
          <w:p>
            <w:pPr>
              <w:jc w:val="right"/>
              <w:ind w:right="514"/>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92"/>
        </w:trPr>
        <w:tc>
          <w:tcPr>
            <w:tcW w:w="65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38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September 30,</w:t>
            </w:r>
          </w:p>
        </w:tc>
        <w:tc>
          <w:tcPr>
            <w:tcW w:w="7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3"/>
        </w:trPr>
        <w:tc>
          <w:tcPr>
            <w:tcW w:w="65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900" w:type="dxa"/>
            <w:vAlign w:val="bottom"/>
            <w:tcBorders>
              <w:bottom w:val="single" w:sz="8" w:color="auto"/>
            </w:tcBorders>
          </w:tcPr>
          <w:p>
            <w:pPr>
              <w:jc w:val="right"/>
              <w:ind w:right="37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74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339"/>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72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w w:val="89"/>
              </w:rPr>
              <w:t>2015</w:t>
            </w:r>
          </w:p>
        </w:tc>
        <w:tc>
          <w:tcPr>
            <w:tcW w:w="0" w:type="dxa"/>
            <w:vAlign w:val="bottom"/>
          </w:tcPr>
          <w:p>
            <w:pPr>
              <w:spacing w:after="0"/>
              <w:rPr>
                <w:sz w:val="1"/>
                <w:szCs w:val="1"/>
                <w:color w:val="auto"/>
              </w:rPr>
            </w:pP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w w:val="95"/>
              </w:rPr>
              <w:t>Amortization of net actuarial loss included in net periodic benefit cost (See Note 10)</w:t>
            </w:r>
          </w:p>
        </w:tc>
        <w:tc>
          <w:tcPr>
            <w:tcW w:w="28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6520" w:type="dxa"/>
            <w:vAlign w:val="bottom"/>
          </w:tcPr>
          <w:p>
            <w:pPr>
              <w:spacing w:after="0"/>
              <w:rPr>
                <w:sz w:val="2"/>
                <w:szCs w:val="2"/>
                <w:color w:val="auto"/>
              </w:rPr>
            </w:pPr>
          </w:p>
        </w:tc>
        <w:tc>
          <w:tcPr>
            <w:tcW w:w="280" w:type="dxa"/>
            <w:vAlign w:val="bottom"/>
          </w:tcPr>
          <w:p>
            <w:pPr>
              <w:spacing w:after="0"/>
              <w:rPr>
                <w:sz w:val="2"/>
                <w:szCs w:val="2"/>
                <w:color w:val="auto"/>
              </w:rPr>
            </w:pPr>
          </w:p>
        </w:tc>
        <w:tc>
          <w:tcPr>
            <w:tcW w:w="9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7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7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before tax</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762</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884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1,525</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1,768</w:t>
            </w:r>
          </w:p>
        </w:tc>
        <w:tc>
          <w:tcPr>
            <w:tcW w:w="0" w:type="dxa"/>
            <w:vAlign w:val="bottom"/>
          </w:tcPr>
          <w:p>
            <w:pPr>
              <w:spacing w:after="0"/>
              <w:rPr>
                <w:sz w:val="1"/>
                <w:szCs w:val="1"/>
                <w:color w:val="auto"/>
              </w:rPr>
            </w:pPr>
          </w:p>
        </w:tc>
      </w:tr>
      <w:tr>
        <w:trPr>
          <w:trHeight w:val="243"/>
        </w:trPr>
        <w:tc>
          <w:tcPr>
            <w:tcW w:w="6520" w:type="dxa"/>
            <w:vAlign w:val="bottom"/>
          </w:tcPr>
          <w:p>
            <w:pPr>
              <w:ind w:left="500"/>
              <w:spacing w:after="0"/>
              <w:rPr>
                <w:sz w:val="20"/>
                <w:szCs w:val="20"/>
                <w:color w:val="auto"/>
              </w:rPr>
            </w:pPr>
            <w:r>
              <w:rPr>
                <w:rFonts w:ascii="Arial" w:cs="Arial" w:eastAsia="Arial" w:hAnsi="Arial"/>
                <w:sz w:val="18"/>
                <w:szCs w:val="18"/>
                <w:color w:val="auto"/>
              </w:rPr>
              <w:t>Tax benefit</w:t>
            </w:r>
          </w:p>
        </w:tc>
        <w:tc>
          <w:tcPr>
            <w:tcW w:w="28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(360)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(611)</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52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457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914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7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1,048</w:t>
            </w:r>
          </w:p>
        </w:tc>
        <w:tc>
          <w:tcPr>
            <w:tcW w:w="0" w:type="dxa"/>
            <w:vAlign w:val="bottom"/>
          </w:tcPr>
          <w:p>
            <w:pPr>
              <w:spacing w:after="0"/>
              <w:rPr>
                <w:sz w:val="1"/>
                <w:szCs w:val="1"/>
                <w:color w:val="auto"/>
              </w:rPr>
            </w:pPr>
          </w:p>
        </w:tc>
      </w:tr>
      <w:tr>
        <w:trPr>
          <w:trHeight w:val="20"/>
        </w:trPr>
        <w:tc>
          <w:tcPr>
            <w:tcW w:w="652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28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0"/>
        </w:trPr>
        <w:tc>
          <w:tcPr>
            <w:tcW w:w="65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881" w:right="239" w:bottom="1440" w:gutter="0" w:footer="0" w:header="0"/>
        </w:sectPr>
      </w:pPr>
    </w:p>
    <w:bookmarkStart w:id="12" w:name="page13"/>
    <w:bookmarkEnd w:id="12"/>
    <w:p>
      <w:pPr>
        <w:ind w:left="340" w:right="8820" w:hanging="332"/>
        <w:spacing w:after="0" w:line="378" w:lineRule="auto"/>
        <w:tabs>
          <w:tab w:leader="none" w:pos="286"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STOCKHOLDERS’ EQUITY </w:t>
      </w:r>
      <w:r>
        <w:rPr>
          <w:rFonts w:ascii="Arial" w:cs="Arial" w:eastAsia="Arial" w:hAnsi="Arial"/>
          <w:sz w:val="18"/>
          <w:szCs w:val="18"/>
          <w:b w:val="1"/>
          <w:bCs w:val="1"/>
          <w:i w:val="1"/>
          <w:iCs w:val="1"/>
          <w:color w:val="auto"/>
        </w:rPr>
        <w:t>Common Stock</w:t>
      </w:r>
    </w:p>
    <w:p>
      <w:pPr>
        <w:ind w:left="420"/>
        <w:spacing w:after="0"/>
        <w:rPr>
          <w:rFonts w:ascii="Arial" w:cs="Arial" w:eastAsia="Arial" w:hAnsi="Arial"/>
          <w:sz w:val="18"/>
          <w:szCs w:val="18"/>
          <w:b w:val="1"/>
          <w:bCs w:val="1"/>
          <w:color w:val="auto"/>
        </w:rPr>
      </w:pPr>
      <w:r>
        <w:rPr>
          <w:rFonts w:ascii="Arial" w:cs="Arial" w:eastAsia="Arial" w:hAnsi="Arial"/>
          <w:sz w:val="18"/>
          <w:szCs w:val="18"/>
          <w:color w:val="auto"/>
        </w:rPr>
        <w:t>The common stock shares activity consisted of the following:</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740" w:type="dxa"/>
            <w:vAlign w:val="bottom"/>
          </w:tcPr>
          <w:p>
            <w:pPr>
              <w:spacing w:after="0"/>
              <w:rPr>
                <w:sz w:val="14"/>
                <w:szCs w:val="14"/>
                <w:color w:val="auto"/>
              </w:rPr>
            </w:pPr>
          </w:p>
        </w:tc>
        <w:tc>
          <w:tcPr>
            <w:tcW w:w="16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3"/>
              </w:rPr>
              <w:t>Class A</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0"/>
              </w:rPr>
              <w:t>Class E</w:t>
            </w:r>
          </w:p>
        </w:tc>
        <w:tc>
          <w:tcPr>
            <w:tcW w:w="1480" w:type="dxa"/>
            <w:vAlign w:val="bottom"/>
            <w:vMerge w:val="restart"/>
          </w:tcPr>
          <w:p>
            <w:pPr>
              <w:jc w:val="right"/>
              <w:ind w:right="373"/>
              <w:spacing w:after="0"/>
              <w:rPr>
                <w:sz w:val="20"/>
                <w:szCs w:val="20"/>
                <w:color w:val="auto"/>
              </w:rPr>
            </w:pPr>
            <w:r>
              <w:rPr>
                <w:rFonts w:ascii="Arial" w:cs="Arial" w:eastAsia="Arial" w:hAnsi="Arial"/>
                <w:sz w:val="14"/>
                <w:szCs w:val="14"/>
                <w:b w:val="1"/>
                <w:bCs w:val="1"/>
                <w:color w:val="auto"/>
              </w:rPr>
              <w:t>Treasury</w:t>
            </w:r>
          </w:p>
        </w:tc>
        <w:tc>
          <w:tcPr>
            <w:tcW w:w="0" w:type="dxa"/>
            <w:vAlign w:val="bottom"/>
          </w:tcPr>
          <w:p>
            <w:pPr>
              <w:spacing w:after="0"/>
              <w:rPr>
                <w:sz w:val="1"/>
                <w:szCs w:val="1"/>
                <w:color w:val="auto"/>
              </w:rPr>
            </w:pPr>
          </w:p>
        </w:tc>
      </w:tr>
      <w:tr>
        <w:trPr>
          <w:trHeight w:val="149"/>
        </w:trPr>
        <w:tc>
          <w:tcPr>
            <w:tcW w:w="6740" w:type="dxa"/>
            <w:vAlign w:val="bottom"/>
          </w:tcPr>
          <w:p>
            <w:pPr>
              <w:spacing w:after="0"/>
              <w:rPr>
                <w:sz w:val="12"/>
                <w:szCs w:val="12"/>
                <w:color w:val="auto"/>
              </w:rPr>
            </w:pPr>
          </w:p>
        </w:tc>
        <w:tc>
          <w:tcPr>
            <w:tcW w:w="1620" w:type="dxa"/>
            <w:vAlign w:val="bottom"/>
            <w:gridSpan w:val="2"/>
            <w:vMerge w:val="continue"/>
          </w:tcPr>
          <w:p>
            <w:pPr>
              <w:spacing w:after="0"/>
              <w:rPr>
                <w:sz w:val="12"/>
                <w:szCs w:val="12"/>
                <w:color w:val="auto"/>
              </w:rPr>
            </w:pPr>
          </w:p>
        </w:tc>
        <w:tc>
          <w:tcPr>
            <w:tcW w:w="158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Special Voting</w:t>
            </w:r>
          </w:p>
        </w:tc>
        <w:tc>
          <w:tcPr>
            <w:tcW w:w="14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6740" w:type="dxa"/>
            <w:vAlign w:val="bottom"/>
          </w:tcPr>
          <w:p>
            <w:pPr>
              <w:spacing w:after="0"/>
              <w:rPr>
                <w:sz w:val="16"/>
                <w:szCs w:val="16"/>
                <w:color w:val="auto"/>
              </w:rPr>
            </w:pPr>
          </w:p>
        </w:tc>
        <w:tc>
          <w:tcPr>
            <w:tcW w:w="1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3"/>
              </w:rPr>
              <w:t>Common Stock</w:t>
            </w:r>
          </w:p>
        </w:tc>
        <w:tc>
          <w:tcPr>
            <w:tcW w:w="158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91"/>
              </w:rPr>
              <w:t>Common Stock</w:t>
            </w:r>
          </w:p>
        </w:tc>
        <w:tc>
          <w:tcPr>
            <w:tcW w:w="1480" w:type="dxa"/>
            <w:vAlign w:val="bottom"/>
          </w:tcPr>
          <w:p>
            <w:pPr>
              <w:jc w:val="right"/>
              <w:ind w:right="473"/>
              <w:spacing w:after="0"/>
              <w:rPr>
                <w:sz w:val="20"/>
                <w:szCs w:val="20"/>
                <w:color w:val="auto"/>
              </w:rPr>
            </w:pPr>
            <w:r>
              <w:rPr>
                <w:rFonts w:ascii="Arial" w:cs="Arial" w:eastAsia="Arial" w:hAnsi="Arial"/>
                <w:sz w:val="14"/>
                <w:szCs w:val="14"/>
                <w:b w:val="1"/>
                <w:bCs w:val="1"/>
                <w:color w:val="auto"/>
              </w:rPr>
              <w:t>Stock</w:t>
            </w:r>
          </w:p>
        </w:tc>
        <w:tc>
          <w:tcPr>
            <w:tcW w:w="0" w:type="dxa"/>
            <w:vAlign w:val="bottom"/>
          </w:tcPr>
          <w:p>
            <w:pPr>
              <w:spacing w:after="0"/>
              <w:rPr>
                <w:sz w:val="1"/>
                <w:szCs w:val="1"/>
                <w:color w:val="auto"/>
              </w:rPr>
            </w:pPr>
          </w:p>
        </w:tc>
      </w:tr>
      <w:tr>
        <w:trPr>
          <w:trHeight w:val="250"/>
        </w:trPr>
        <w:tc>
          <w:tcPr>
            <w:tcW w:w="674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2015</w:t>
            </w:r>
          </w:p>
        </w:tc>
        <w:tc>
          <w:tcPr>
            <w:tcW w:w="150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150,237,675</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80" w:type="dxa"/>
            <w:vAlign w:val="bottom"/>
            <w:tcBorders>
              <w:top w:val="single" w:sz="8" w:color="auto"/>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2,999,393</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443,813</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 (1)</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2,709,570</w:t>
            </w:r>
          </w:p>
        </w:tc>
        <w:tc>
          <w:tcPr>
            <w:tcW w:w="12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(1,851,589)</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common stock (2)</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2,399,203</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March 31,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153,391,058</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5,398,596</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Issuance of common stock</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432,829</w:t>
            </w:r>
          </w:p>
        </w:tc>
        <w:tc>
          <w:tcPr>
            <w:tcW w:w="120" w:type="dxa"/>
            <w:vAlign w:val="bottom"/>
          </w:tcPr>
          <w:p>
            <w:pPr>
              <w:spacing w:after="0"/>
              <w:rPr>
                <w:sz w:val="21"/>
                <w:szCs w:val="21"/>
                <w:color w:val="auto"/>
              </w:rPr>
            </w:pP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67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7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Stock options exercised</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875,739</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6740" w:type="dxa"/>
            <w:vAlign w:val="bottom"/>
          </w:tcPr>
          <w:p>
            <w:pPr>
              <w:ind w:left="380"/>
              <w:spacing w:after="0"/>
              <w:rPr>
                <w:sz w:val="20"/>
                <w:szCs w:val="20"/>
                <w:color w:val="auto"/>
              </w:rPr>
            </w:pPr>
            <w:r>
              <w:rPr>
                <w:rFonts w:ascii="Arial" w:cs="Arial" w:eastAsia="Arial" w:hAnsi="Arial"/>
                <w:sz w:val="18"/>
                <w:szCs w:val="18"/>
                <w:color w:val="auto"/>
              </w:rPr>
              <w:t>Repurchase of common stock (3)</w:t>
            </w:r>
          </w:p>
        </w:tc>
        <w:tc>
          <w:tcPr>
            <w:tcW w:w="162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5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Pr>
          <w:p>
            <w:pPr>
              <w:jc w:val="right"/>
              <w:ind w:right="13"/>
              <w:spacing w:after="0"/>
              <w:rPr>
                <w:sz w:val="20"/>
                <w:szCs w:val="20"/>
                <w:color w:val="auto"/>
              </w:rPr>
            </w:pPr>
            <w:r>
              <w:rPr>
                <w:rFonts w:ascii="Arial" w:cs="Arial" w:eastAsia="Arial" w:hAnsi="Arial"/>
                <w:sz w:val="18"/>
                <w:szCs w:val="18"/>
                <w:color w:val="auto"/>
              </w:rPr>
              <w:t>229,268</w:t>
            </w:r>
          </w:p>
        </w:tc>
        <w:tc>
          <w:tcPr>
            <w:tcW w:w="0" w:type="dxa"/>
            <w:vAlign w:val="bottom"/>
          </w:tcPr>
          <w:p>
            <w:pPr>
              <w:spacing w:after="0"/>
              <w:rPr>
                <w:sz w:val="1"/>
                <w:szCs w:val="1"/>
                <w:color w:val="auto"/>
              </w:rPr>
            </w:pPr>
          </w:p>
        </w:tc>
      </w:tr>
      <w:tr>
        <w:trPr>
          <w:trHeight w:val="27"/>
        </w:trPr>
        <w:tc>
          <w:tcPr>
            <w:tcW w:w="6740" w:type="dxa"/>
            <w:vAlign w:val="bottom"/>
            <w:tcBorders>
              <w:bottom w:val="single" w:sz="8" w:color="CCEEFF"/>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at September 30, 2016</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154,699,626</w:t>
            </w:r>
          </w:p>
        </w:tc>
        <w:tc>
          <w:tcPr>
            <w:tcW w:w="12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5,627,864</w:t>
            </w:r>
          </w:p>
        </w:tc>
        <w:tc>
          <w:tcPr>
            <w:tcW w:w="0" w:type="dxa"/>
            <w:vAlign w:val="bottom"/>
          </w:tcPr>
          <w:p>
            <w:pPr>
              <w:spacing w:after="0"/>
              <w:rPr>
                <w:sz w:val="1"/>
                <w:szCs w:val="1"/>
                <w:color w:val="auto"/>
              </w:rPr>
            </w:pP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1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94" w:lineRule="exact"/>
        <w:rPr>
          <w:sz w:val="20"/>
          <w:szCs w:val="20"/>
          <w:color w:val="auto"/>
        </w:rPr>
      </w:pPr>
    </w:p>
    <w:p>
      <w:pPr>
        <w:ind w:left="660" w:right="720" w:hanging="652"/>
        <w:spacing w:after="0" w:line="277"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On September 30, 2015, the Company purchased, at par value, all issued and outstanding shares of Class E special voting common stock in connection with the exercise of the final tranche of rollover options during the second quarter of fiscal 2016.</w:t>
      </w:r>
    </w:p>
    <w:p>
      <w:pPr>
        <w:spacing w:after="0" w:line="62" w:lineRule="exact"/>
        <w:rPr>
          <w:rFonts w:ascii="Arial" w:cs="Arial" w:eastAsia="Arial" w:hAnsi="Arial"/>
          <w:sz w:val="18"/>
          <w:szCs w:val="18"/>
          <w:color w:val="auto"/>
        </w:rPr>
      </w:pPr>
    </w:p>
    <w:p>
      <w:pPr>
        <w:ind w:left="660" w:right="100" w:hanging="652"/>
        <w:spacing w:after="0" w:line="302" w:lineRule="auto"/>
        <w:tabs>
          <w:tab w:leader="none" w:pos="660" w:val="left"/>
        </w:tabs>
        <w:numPr>
          <w:ilvl w:val="0"/>
          <w:numId w:val="10"/>
        </w:numPr>
        <w:rPr>
          <w:rFonts w:ascii="Arial" w:cs="Arial" w:eastAsia="Arial" w:hAnsi="Arial"/>
          <w:sz w:val="16"/>
          <w:szCs w:val="16"/>
          <w:color w:val="auto"/>
        </w:rPr>
      </w:pPr>
      <w:r>
        <w:rPr>
          <w:rFonts w:ascii="Arial" w:cs="Arial" w:eastAsia="Arial" w:hAnsi="Arial"/>
          <w:sz w:val="16"/>
          <w:szCs w:val="16"/>
          <w:color w:val="auto"/>
        </w:rPr>
        <w:t>During fiscal 2016, the Company purchased 2.1 million shares of the Company’s Class A Common Stock in a series of open market transactions for $54.9 million. Additionally, the Company repurchased shares on June 30, 2015 and March 31, 2016 to cover the minimum statutory withholding taxes on restricted stock awards and restricted stock units that vested on June 30, 2015 and March 31, 2016, respectively. The Company also repurchased shares to cover the minimum statutory withholding taxes on accelerated restricted stock vesting for departing officers.</w:t>
      </w:r>
    </w:p>
    <w:p>
      <w:pPr>
        <w:spacing w:after="0" w:line="46" w:lineRule="exact"/>
        <w:rPr>
          <w:rFonts w:ascii="Arial" w:cs="Arial" w:eastAsia="Arial" w:hAnsi="Arial"/>
          <w:sz w:val="16"/>
          <w:szCs w:val="16"/>
          <w:color w:val="auto"/>
        </w:rPr>
      </w:pPr>
    </w:p>
    <w:p>
      <w:pPr>
        <w:ind w:left="660" w:right="100" w:hanging="652"/>
        <w:spacing w:after="0" w:line="259"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fiscal 2017, the Company purchased 0.1 million shares of the Company’s Class A Common Stock in a series of open market transactions for $2.3 million. Additionally, the Company repurchased shares on June 30, 2016 to cover the minimum statutory withholding taxes on restricted stock awards and restricted stock units that vested on June 30, 2016. The Company also repurchased shares to cover the minimum statutory withholding taxes on accelerated restricted stock vesting for departing officers.</w:t>
      </w:r>
    </w:p>
    <w:p>
      <w:pPr>
        <w:spacing w:after="0" w:line="79" w:lineRule="exact"/>
        <w:rPr>
          <w:sz w:val="20"/>
          <w:szCs w:val="20"/>
          <w:color w:val="auto"/>
        </w:rPr>
      </w:pPr>
    </w:p>
    <w:p>
      <w:pPr>
        <w:ind w:right="360" w:firstLine="405"/>
        <w:spacing w:after="0" w:line="342" w:lineRule="auto"/>
        <w:rPr>
          <w:sz w:val="20"/>
          <w:szCs w:val="20"/>
          <w:color w:val="auto"/>
        </w:rPr>
      </w:pPr>
      <w:r>
        <w:rPr>
          <w:rFonts w:ascii="Arial" w:cs="Arial" w:eastAsia="Arial" w:hAnsi="Arial"/>
          <w:sz w:val="16"/>
          <w:szCs w:val="16"/>
          <w:color w:val="auto"/>
        </w:rPr>
        <w:t>For the quarterly offering period that closed on September 30, 2016, 50,681 Class A Common Stock shares were purchased by employees under the Company's Employee Stock Purchase Plan, or ESPP. Since the program's inception, 1,839,862 shares have been purchased by employees.</w:t>
      </w:r>
    </w:p>
    <w:p>
      <w:pPr>
        <w:spacing w:after="0" w:line="3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STOCK-BASED COMPENSATION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stock-based compensation expense recognized in the condensed consolidated statements of operations: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Arial" w:cs="Arial" w:eastAsia="Arial" w:hAnsi="Arial"/>
                <w:sz w:val="14"/>
                <w:szCs w:val="14"/>
                <w:b w:val="1"/>
                <w:bCs w:val="1"/>
                <w:color w:val="auto"/>
                <w:w w:val="93"/>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2016</w:t>
            </w:r>
          </w:p>
        </w:tc>
        <w:tc>
          <w:tcPr>
            <w:tcW w:w="60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revenue</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1,190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1,138</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2,698</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2,283</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tcPr>
          <w:p>
            <w:pPr>
              <w:spacing w:after="0"/>
              <w:rPr>
                <w:sz w:val="21"/>
                <w:szCs w:val="21"/>
                <w:color w:val="auto"/>
              </w:rPr>
            </w:pPr>
          </w:p>
        </w:tc>
        <w:tc>
          <w:tcPr>
            <w:tcW w:w="600" w:type="dxa"/>
            <w:vAlign w:val="bottom"/>
          </w:tcPr>
          <w:p>
            <w:pPr>
              <w:jc w:val="right"/>
              <w:ind w:right="37"/>
              <w:spacing w:after="0"/>
              <w:rPr>
                <w:sz w:val="20"/>
                <w:szCs w:val="20"/>
                <w:color w:val="auto"/>
              </w:rPr>
            </w:pPr>
            <w:r>
              <w:rPr>
                <w:rFonts w:ascii="Arial" w:cs="Arial" w:eastAsia="Arial" w:hAnsi="Arial"/>
                <w:sz w:val="18"/>
                <w:szCs w:val="18"/>
                <w:color w:val="auto"/>
              </w:rPr>
              <w:t>3,502</w:t>
            </w: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80" w:type="dxa"/>
            <w:vAlign w:val="bottom"/>
          </w:tcPr>
          <w:p>
            <w:pPr>
              <w:jc w:val="right"/>
              <w:ind w:right="14"/>
              <w:spacing w:after="0"/>
              <w:rPr>
                <w:sz w:val="20"/>
                <w:szCs w:val="20"/>
                <w:color w:val="auto"/>
              </w:rPr>
            </w:pPr>
            <w:r>
              <w:rPr>
                <w:rFonts w:ascii="Arial" w:cs="Arial" w:eastAsia="Arial" w:hAnsi="Arial"/>
                <w:sz w:val="18"/>
                <w:szCs w:val="18"/>
                <w:color w:val="auto"/>
              </w:rPr>
              <w:t>4,118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7,883</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9,238</w:t>
            </w:r>
          </w:p>
        </w:tc>
      </w:tr>
      <w:tr>
        <w:trPr>
          <w:trHeight w:val="27"/>
        </w:trPr>
        <w:tc>
          <w:tcPr>
            <w:tcW w:w="5160" w:type="dxa"/>
            <w:vAlign w:val="bottom"/>
            <w:tcBorders>
              <w:bottom w:val="single" w:sz="8" w:color="CCEEFF"/>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900" w:type="dxa"/>
            <w:vAlign w:val="bottom"/>
            <w:tcBorders>
              <w:bottom w:val="single" w:sz="8" w:color="CCEEFF"/>
            </w:tcBorders>
            <w:shd w:val="clear" w:color="auto" w:fill="CCEEFF"/>
          </w:tcPr>
          <w:p>
            <w:pPr>
              <w:jc w:val="right"/>
              <w:ind w:right="694"/>
              <w:spacing w:after="0"/>
              <w:rPr>
                <w:sz w:val="20"/>
                <w:szCs w:val="20"/>
                <w:color w:val="auto"/>
              </w:rPr>
            </w:pPr>
            <w:r>
              <w:rPr>
                <w:rFonts w:ascii="Arial" w:cs="Arial" w:eastAsia="Arial" w:hAnsi="Arial"/>
                <w:sz w:val="18"/>
                <w:szCs w:val="18"/>
                <w:color w:val="auto"/>
                <w:w w:val="99"/>
              </w:rPr>
              <w:t>$</w:t>
            </w:r>
          </w:p>
        </w:tc>
        <w:tc>
          <w:tcPr>
            <w:tcW w:w="600" w:type="dxa"/>
            <w:vAlign w:val="bottom"/>
            <w:tcBorders>
              <w:bottom w:val="single" w:sz="8" w:color="CCEEFF"/>
            </w:tcBorders>
            <w:shd w:val="clear" w:color="auto" w:fill="CCEEFF"/>
          </w:tcPr>
          <w:p>
            <w:pPr>
              <w:jc w:val="right"/>
              <w:ind w:right="37"/>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r>
        <w:trPr>
          <w:trHeight w:val="656"/>
        </w:trPr>
        <w:tc>
          <w:tcPr>
            <w:tcW w:w="5160" w:type="dxa"/>
            <w:vAlign w:val="bottom"/>
          </w:tcPr>
          <w:p>
            <w:pPr>
              <w:spacing w:after="0"/>
              <w:rPr>
                <w:sz w:val="24"/>
                <w:szCs w:val="24"/>
                <w:color w:val="auto"/>
              </w:rPr>
            </w:pPr>
          </w:p>
        </w:tc>
        <w:tc>
          <w:tcPr>
            <w:tcW w:w="900" w:type="dxa"/>
            <w:vAlign w:val="bottom"/>
          </w:tcPr>
          <w:p>
            <w:pPr>
              <w:jc w:val="right"/>
              <w:ind w:right="174"/>
              <w:spacing w:after="0"/>
              <w:rPr>
                <w:sz w:val="20"/>
                <w:szCs w:val="20"/>
                <w:color w:val="auto"/>
              </w:rPr>
            </w:pPr>
            <w:r>
              <w:rPr>
                <w:rFonts w:ascii="Arial" w:cs="Arial" w:eastAsia="Arial" w:hAnsi="Arial"/>
                <w:sz w:val="18"/>
                <w:szCs w:val="18"/>
                <w:color w:val="auto"/>
              </w:rPr>
              <w:t>11</w:t>
            </w: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20" w:type="dxa"/>
            <w:vAlign w:val="bottom"/>
          </w:tcPr>
          <w:p>
            <w:pPr>
              <w:spacing w:after="0"/>
              <w:rPr>
                <w:sz w:val="24"/>
                <w:szCs w:val="24"/>
                <w:color w:val="auto"/>
              </w:rPr>
            </w:pPr>
          </w:p>
        </w:tc>
      </w:tr>
    </w:tbl>
    <w:p>
      <w:pPr>
        <w:sectPr>
          <w:pgSz w:w="11900" w:h="16838" w:orient="portrait"/>
          <w:cols w:equalWidth="0" w:num="1">
            <w:col w:w="11420"/>
          </w:cols>
          <w:pgMar w:left="240" w:top="877" w:right="239" w:bottom="1440" w:gutter="0" w:footer="0" w:header="0"/>
        </w:sectPr>
      </w:pPr>
    </w:p>
    <w:bookmarkStart w:id="13" w:name="page14"/>
    <w:bookmarkEnd w:id="13"/>
    <w:p>
      <w:pPr>
        <w:jc w:val="center"/>
        <w:ind w:left="260" w:right="280"/>
        <w:spacing w:after="0" w:line="277" w:lineRule="auto"/>
        <w:rPr>
          <w:sz w:val="20"/>
          <w:szCs w:val="20"/>
          <w:color w:val="auto"/>
        </w:rPr>
      </w:pPr>
      <w:r>
        <w:rPr>
          <w:rFonts w:ascii="Arial" w:cs="Arial" w:eastAsia="Arial" w:hAnsi="Arial"/>
          <w:sz w:val="18"/>
          <w:szCs w:val="18"/>
          <w:color w:val="auto"/>
        </w:rPr>
        <w:t>The following table summarizes the total stock-based compensation expense recognized in the condensed consolidated statements of operations by the following types of equity awards: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8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2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84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8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84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60" w:type="dxa"/>
            <w:vAlign w:val="bottom"/>
            <w:tcBorders>
              <w:bottom w:val="single" w:sz="8" w:color="auto"/>
            </w:tcBorders>
          </w:tcPr>
          <w:p>
            <w:pPr>
              <w:spacing w:after="0"/>
              <w:rPr>
                <w:sz w:val="22"/>
                <w:szCs w:val="22"/>
                <w:color w:val="auto"/>
              </w:rPr>
            </w:pPr>
          </w:p>
        </w:tc>
        <w:tc>
          <w:tcPr>
            <w:tcW w:w="82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89"/>
              </w:rPr>
              <w:t>2015</w:t>
            </w:r>
          </w:p>
        </w:tc>
        <w:tc>
          <w:tcPr>
            <w:tcW w:w="100" w:type="dxa"/>
            <w:vAlign w:val="bottom"/>
            <w:tcBorders>
              <w:bottom w:val="single" w:sz="8" w:color="CCEEFF"/>
            </w:tcBorders>
          </w:tcPr>
          <w:p>
            <w:pPr>
              <w:spacing w:after="0"/>
              <w:rPr>
                <w:sz w:val="22"/>
                <w:szCs w:val="22"/>
                <w:color w:val="auto"/>
              </w:rPr>
            </w:pPr>
          </w:p>
        </w:tc>
        <w:tc>
          <w:tcPr>
            <w:tcW w:w="400" w:type="dxa"/>
            <w:vAlign w:val="bottom"/>
            <w:tcBorders>
              <w:bottom w:val="single" w:sz="8" w:color="auto"/>
            </w:tcBorders>
          </w:tcPr>
          <w:p>
            <w:pPr>
              <w:spacing w:after="0"/>
              <w:rPr>
                <w:sz w:val="22"/>
                <w:szCs w:val="22"/>
                <w:color w:val="auto"/>
              </w:rPr>
            </w:pPr>
          </w:p>
        </w:tc>
        <w:tc>
          <w:tcPr>
            <w:tcW w:w="1080" w:type="dxa"/>
            <w:vAlign w:val="bottom"/>
            <w:tcBorders>
              <w:bottom w:val="single" w:sz="8" w:color="auto"/>
            </w:tcBorders>
          </w:tcPr>
          <w:p>
            <w:pPr>
              <w:jc w:val="right"/>
              <w:ind w:right="43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640" w:type="dxa"/>
            <w:vAlign w:val="bottom"/>
            <w:tcBorders>
              <w:bottom w:val="single" w:sz="8" w:color="auto"/>
            </w:tcBorders>
          </w:tcPr>
          <w:p>
            <w:pPr>
              <w:spacing w:after="0"/>
              <w:rPr>
                <w:sz w:val="22"/>
                <w:szCs w:val="22"/>
                <w:color w:val="auto"/>
              </w:rPr>
            </w:pPr>
          </w:p>
        </w:tc>
        <w:tc>
          <w:tcPr>
            <w:tcW w:w="8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Equity Incentive Plan Options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306</w:t>
            </w:r>
          </w:p>
        </w:tc>
        <w:tc>
          <w:tcPr>
            <w:tcW w:w="12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186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1,564</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1,243</w:t>
            </w:r>
          </w:p>
        </w:tc>
      </w:tr>
      <w:tr>
        <w:trPr>
          <w:trHeight w:val="243"/>
        </w:trPr>
        <w:tc>
          <w:tcPr>
            <w:tcW w:w="5160" w:type="dxa"/>
            <w:vAlign w:val="bottom"/>
          </w:tcPr>
          <w:p>
            <w:pPr>
              <w:ind w:left="180"/>
              <w:spacing w:after="0"/>
              <w:rPr>
                <w:sz w:val="20"/>
                <w:szCs w:val="20"/>
                <w:color w:val="auto"/>
              </w:rPr>
            </w:pPr>
            <w:r>
              <w:rPr>
                <w:rFonts w:ascii="Arial" w:cs="Arial" w:eastAsia="Arial" w:hAnsi="Arial"/>
                <w:sz w:val="18"/>
                <w:szCs w:val="18"/>
                <w:color w:val="auto"/>
              </w:rPr>
              <w:t>Class A Restricted Common Stock</w:t>
            </w:r>
          </w:p>
        </w:tc>
        <w:tc>
          <w:tcPr>
            <w:tcW w:w="400" w:type="dxa"/>
            <w:vAlign w:val="bottom"/>
          </w:tcPr>
          <w:p>
            <w:pPr>
              <w:spacing w:after="0"/>
              <w:rPr>
                <w:sz w:val="21"/>
                <w:szCs w:val="21"/>
                <w:color w:val="auto"/>
              </w:rPr>
            </w:pPr>
          </w:p>
        </w:tc>
        <w:tc>
          <w:tcPr>
            <w:tcW w:w="1100" w:type="dxa"/>
            <w:vAlign w:val="bottom"/>
          </w:tcPr>
          <w:p>
            <w:pPr>
              <w:jc w:val="right"/>
              <w:ind w:right="39"/>
              <w:spacing w:after="0"/>
              <w:rPr>
                <w:sz w:val="20"/>
                <w:szCs w:val="20"/>
                <w:color w:val="auto"/>
              </w:rPr>
            </w:pPr>
            <w:r>
              <w:rPr>
                <w:rFonts w:ascii="Arial" w:cs="Arial" w:eastAsia="Arial" w:hAnsi="Arial"/>
                <w:sz w:val="18"/>
                <w:szCs w:val="18"/>
                <w:color w:val="auto"/>
              </w:rPr>
              <w:t>4,386</w:t>
            </w: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820" w:type="dxa"/>
            <w:vAlign w:val="bottom"/>
          </w:tcPr>
          <w:p>
            <w:pPr>
              <w:jc w:val="right"/>
              <w:ind w:right="14"/>
              <w:spacing w:after="0"/>
              <w:rPr>
                <w:sz w:val="20"/>
                <w:szCs w:val="20"/>
                <w:color w:val="auto"/>
              </w:rPr>
            </w:pPr>
            <w:r>
              <w:rPr>
                <w:rFonts w:ascii="Arial" w:cs="Arial" w:eastAsia="Arial" w:hAnsi="Arial"/>
                <w:sz w:val="18"/>
                <w:szCs w:val="18"/>
                <w:color w:val="auto"/>
              </w:rPr>
              <w:t>5,070</w:t>
            </w:r>
          </w:p>
        </w:tc>
        <w:tc>
          <w:tcPr>
            <w:tcW w:w="10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080" w:type="dxa"/>
            <w:vAlign w:val="bottom"/>
          </w:tcPr>
          <w:p>
            <w:pPr>
              <w:jc w:val="right"/>
              <w:ind w:right="19"/>
              <w:spacing w:after="0"/>
              <w:rPr>
                <w:sz w:val="20"/>
                <w:szCs w:val="20"/>
                <w:color w:val="auto"/>
              </w:rPr>
            </w:pPr>
            <w:r>
              <w:rPr>
                <w:rFonts w:ascii="Arial" w:cs="Arial" w:eastAsia="Arial" w:hAnsi="Arial"/>
                <w:sz w:val="18"/>
                <w:szCs w:val="18"/>
                <w:color w:val="auto"/>
              </w:rPr>
              <w:t>9,017</w:t>
            </w: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jc w:val="right"/>
              <w:ind w:right="14"/>
              <w:spacing w:after="0"/>
              <w:rPr>
                <w:sz w:val="20"/>
                <w:szCs w:val="20"/>
                <w:color w:val="auto"/>
              </w:rPr>
            </w:pPr>
            <w:r>
              <w:rPr>
                <w:rFonts w:ascii="Arial" w:cs="Arial" w:eastAsia="Arial" w:hAnsi="Arial"/>
                <w:sz w:val="18"/>
                <w:szCs w:val="18"/>
                <w:color w:val="auto"/>
              </w:rPr>
              <w:t>10,278</w:t>
            </w:r>
          </w:p>
        </w:tc>
      </w:tr>
      <w:tr>
        <w:trPr>
          <w:trHeight w:val="27"/>
        </w:trPr>
        <w:tc>
          <w:tcPr>
            <w:tcW w:w="51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r>
      <w:tr>
        <w:trPr>
          <w:trHeight w:val="269"/>
        </w:trPr>
        <w:tc>
          <w:tcPr>
            <w:tcW w:w="516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4,692</w:t>
            </w:r>
          </w:p>
        </w:tc>
        <w:tc>
          <w:tcPr>
            <w:tcW w:w="120" w:type="dxa"/>
            <w:vAlign w:val="bottom"/>
            <w:tcBorders>
              <w:bottom w:val="single" w:sz="8" w:color="CCEEFF"/>
            </w:tcBorders>
            <w:shd w:val="clear" w:color="auto" w:fill="CCEEFF"/>
          </w:tcPr>
          <w:p>
            <w:pPr>
              <w:spacing w:after="0"/>
              <w:rPr>
                <w:sz w:val="22"/>
                <w:szCs w:val="22"/>
                <w:color w:val="auto"/>
              </w:rPr>
            </w:pPr>
          </w:p>
        </w:tc>
        <w:tc>
          <w:tcPr>
            <w:tcW w:w="660" w:type="dxa"/>
            <w:vAlign w:val="bottom"/>
            <w:tcBorders>
              <w:bottom w:val="single" w:sz="8" w:color="CCEEFF"/>
            </w:tcBorders>
            <w:shd w:val="clear" w:color="auto" w:fill="CCEEFF"/>
          </w:tcPr>
          <w:p>
            <w:pPr>
              <w:jc w:val="right"/>
              <w:ind w:right="4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5,256</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10,581</w:t>
            </w:r>
          </w:p>
        </w:tc>
        <w:tc>
          <w:tcPr>
            <w:tcW w:w="100" w:type="dxa"/>
            <w:vAlign w:val="bottom"/>
            <w:tcBorders>
              <w:bottom w:val="single" w:sz="8" w:color="CCEEFF"/>
            </w:tcBorders>
            <w:shd w:val="clear" w:color="auto" w:fill="CCEEFF"/>
          </w:tcPr>
          <w:p>
            <w:pPr>
              <w:spacing w:after="0"/>
              <w:rPr>
                <w:sz w:val="22"/>
                <w:szCs w:val="22"/>
                <w:color w:val="auto"/>
              </w:rPr>
            </w:pPr>
          </w:p>
        </w:tc>
        <w:tc>
          <w:tcPr>
            <w:tcW w:w="640" w:type="dxa"/>
            <w:vAlign w:val="bottom"/>
            <w:tcBorders>
              <w:bottom w:val="single" w:sz="8" w:color="CCEEFF"/>
            </w:tcBorders>
            <w:shd w:val="clear" w:color="auto" w:fill="CCEEFF"/>
          </w:tcPr>
          <w:p>
            <w:pPr>
              <w:jc w:val="right"/>
              <w:ind w:right="43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11,521</w:t>
            </w:r>
          </w:p>
        </w:tc>
      </w:tr>
      <w:tr>
        <w:trPr>
          <w:trHeight w:val="20"/>
        </w:trPr>
        <w:tc>
          <w:tcPr>
            <w:tcW w:w="51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ind w:right="120" w:firstLine="405"/>
        <w:spacing w:after="0" w:line="279" w:lineRule="auto"/>
        <w:rPr>
          <w:sz w:val="20"/>
          <w:szCs w:val="20"/>
          <w:color w:val="auto"/>
        </w:rPr>
      </w:pPr>
      <w:r>
        <w:rPr>
          <w:rFonts w:ascii="Arial" w:cs="Arial" w:eastAsia="Arial" w:hAnsi="Arial"/>
          <w:sz w:val="17"/>
          <w:szCs w:val="17"/>
          <w:color w:val="auto"/>
        </w:rPr>
        <w:t>As of September 30, 2016, there was $22.0 million of total unrecognized compensation cost related to unvested stock-based compensation agreements. The unrecognized compensation cost as of September 30, 2016 is expected to be fully amortized over the next 4.5 years. Absent the effect of accelerating stock compensation cost for any departures of employees who may continue to vest in their equity awards, the following table summarizes the unrecognized compensation cost and the weighted average period the cost is expected to be amortized.</w:t>
      </w: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744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3800" w:type="dxa"/>
            <w:vAlign w:val="bottom"/>
            <w:tcBorders>
              <w:bottom w:val="single" w:sz="8" w:color="auto"/>
            </w:tcBorders>
            <w:gridSpan w:val="3"/>
          </w:tcPr>
          <w:p>
            <w:pPr>
              <w:ind w:left="1220"/>
              <w:spacing w:after="0"/>
              <w:rPr>
                <w:sz w:val="20"/>
                <w:szCs w:val="20"/>
                <w:color w:val="auto"/>
              </w:rPr>
            </w:pPr>
            <w:r>
              <w:rPr>
                <w:rFonts w:ascii="Arial" w:cs="Arial" w:eastAsia="Arial" w:hAnsi="Arial"/>
                <w:sz w:val="14"/>
                <w:szCs w:val="14"/>
                <w:b w:val="1"/>
                <w:bCs w:val="1"/>
                <w:color w:val="auto"/>
              </w:rPr>
              <w:t>September 30, 2016</w:t>
            </w:r>
          </w:p>
        </w:tc>
      </w:tr>
      <w:tr>
        <w:trPr>
          <w:trHeight w:val="152"/>
        </w:trPr>
        <w:tc>
          <w:tcPr>
            <w:tcW w:w="74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540" w:type="dxa"/>
            <w:vAlign w:val="bottom"/>
          </w:tcPr>
          <w:p>
            <w:pPr>
              <w:jc w:val="right"/>
              <w:ind w:right="359"/>
              <w:spacing w:after="0" w:line="153" w:lineRule="exact"/>
              <w:rPr>
                <w:sz w:val="20"/>
                <w:szCs w:val="20"/>
                <w:color w:val="auto"/>
              </w:rPr>
            </w:pPr>
            <w:r>
              <w:rPr>
                <w:rFonts w:ascii="Arial" w:cs="Arial" w:eastAsia="Arial" w:hAnsi="Arial"/>
                <w:sz w:val="14"/>
                <w:szCs w:val="14"/>
                <w:b w:val="1"/>
                <w:bCs w:val="1"/>
                <w:color w:val="auto"/>
              </w:rPr>
              <w:t>Unrecognized</w:t>
            </w:r>
          </w:p>
        </w:tc>
        <w:tc>
          <w:tcPr>
            <w:tcW w:w="100" w:type="dxa"/>
            <w:vAlign w:val="bottom"/>
          </w:tcPr>
          <w:p>
            <w:pPr>
              <w:spacing w:after="0"/>
              <w:rPr>
                <w:sz w:val="13"/>
                <w:szCs w:val="13"/>
                <w:color w:val="auto"/>
              </w:rPr>
            </w:pPr>
          </w:p>
        </w:tc>
        <w:tc>
          <w:tcPr>
            <w:tcW w:w="2160" w:type="dxa"/>
            <w:vAlign w:val="bottom"/>
          </w:tcPr>
          <w:p>
            <w:pPr>
              <w:jc w:val="center"/>
              <w:spacing w:after="0" w:line="153" w:lineRule="exact"/>
              <w:rPr>
                <w:sz w:val="20"/>
                <w:szCs w:val="20"/>
                <w:color w:val="auto"/>
              </w:rPr>
            </w:pPr>
            <w:r>
              <w:rPr>
                <w:rFonts w:ascii="Arial" w:cs="Arial" w:eastAsia="Arial" w:hAnsi="Arial"/>
                <w:sz w:val="14"/>
                <w:szCs w:val="14"/>
                <w:b w:val="1"/>
                <w:bCs w:val="1"/>
                <w:color w:val="auto"/>
                <w:w w:val="93"/>
              </w:rPr>
              <w:t>Weighted Average Remaining</w:t>
            </w:r>
          </w:p>
        </w:tc>
      </w:tr>
      <w:tr>
        <w:trPr>
          <w:trHeight w:val="192"/>
        </w:trPr>
        <w:tc>
          <w:tcPr>
            <w:tcW w:w="744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w w:val="95"/>
              </w:rPr>
              <w:t>Compensation Cost</w:t>
            </w:r>
          </w:p>
        </w:tc>
        <w:tc>
          <w:tcPr>
            <w:tcW w:w="100" w:type="dxa"/>
            <w:vAlign w:val="bottom"/>
            <w:tcBorders>
              <w:bottom w:val="single" w:sz="8" w:color="CCEEFF"/>
            </w:tcBorders>
          </w:tcPr>
          <w:p>
            <w:pPr>
              <w:spacing w:after="0"/>
              <w:rPr>
                <w:sz w:val="16"/>
                <w:szCs w:val="16"/>
                <w:color w:val="auto"/>
              </w:rPr>
            </w:pPr>
          </w:p>
        </w:tc>
        <w:tc>
          <w:tcPr>
            <w:tcW w:w="2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0"/>
              </w:rPr>
              <w:t>Period to be Recognized (in years)</w:t>
            </w: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Equity Incentive Plan Options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2,374</w:t>
            </w:r>
          </w:p>
        </w:tc>
        <w:tc>
          <w:tcPr>
            <w:tcW w:w="226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91"/>
              </w:rPr>
              <w:t>3.00</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Class A Restricted Common Stock</w:t>
            </w:r>
          </w:p>
        </w:tc>
        <w:tc>
          <w:tcPr>
            <w:tcW w:w="180" w:type="dxa"/>
            <w:vAlign w:val="bottom"/>
          </w:tcPr>
          <w:p>
            <w:pPr>
              <w:spacing w:after="0"/>
              <w:rPr>
                <w:sz w:val="21"/>
                <w:szCs w:val="21"/>
                <w:color w:val="auto"/>
              </w:rPr>
            </w:pPr>
          </w:p>
        </w:tc>
        <w:tc>
          <w:tcPr>
            <w:tcW w:w="1540" w:type="dxa"/>
            <w:vAlign w:val="bottom"/>
          </w:tcPr>
          <w:p>
            <w:pPr>
              <w:jc w:val="right"/>
              <w:ind w:right="39"/>
              <w:spacing w:after="0"/>
              <w:rPr>
                <w:sz w:val="20"/>
                <w:szCs w:val="20"/>
                <w:color w:val="auto"/>
              </w:rPr>
            </w:pPr>
            <w:r>
              <w:rPr>
                <w:rFonts w:ascii="Arial" w:cs="Arial" w:eastAsia="Arial" w:hAnsi="Arial"/>
                <w:sz w:val="18"/>
                <w:szCs w:val="18"/>
                <w:color w:val="auto"/>
              </w:rPr>
              <w:t>19,584</w:t>
            </w:r>
          </w:p>
        </w:tc>
        <w:tc>
          <w:tcPr>
            <w:tcW w:w="2260" w:type="dxa"/>
            <w:vAlign w:val="bottom"/>
            <w:gridSpan w:val="2"/>
          </w:tcPr>
          <w:p>
            <w:pPr>
              <w:jc w:val="center"/>
              <w:ind w:left="10"/>
              <w:spacing w:after="0"/>
              <w:rPr>
                <w:sz w:val="20"/>
                <w:szCs w:val="20"/>
                <w:color w:val="auto"/>
              </w:rPr>
            </w:pPr>
            <w:r>
              <w:rPr>
                <w:rFonts w:ascii="Arial" w:cs="Arial" w:eastAsia="Arial" w:hAnsi="Arial"/>
                <w:sz w:val="18"/>
                <w:szCs w:val="18"/>
                <w:color w:val="auto"/>
                <w:w w:val="91"/>
              </w:rPr>
              <w:t>2.11</w:t>
            </w:r>
          </w:p>
        </w:tc>
      </w:tr>
      <w:tr>
        <w:trPr>
          <w:trHeight w:val="27"/>
        </w:trPr>
        <w:tc>
          <w:tcPr>
            <w:tcW w:w="74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60" w:type="dxa"/>
            <w:vAlign w:val="bottom"/>
            <w:tcBorders>
              <w:bottom w:val="single" w:sz="8" w:color="CCEEFF"/>
            </w:tcBorders>
          </w:tcPr>
          <w:p>
            <w:pPr>
              <w:spacing w:after="0"/>
              <w:rPr>
                <w:sz w:val="2"/>
                <w:szCs w:val="2"/>
                <w:color w:val="auto"/>
              </w:rPr>
            </w:pPr>
          </w:p>
        </w:tc>
      </w:tr>
      <w:tr>
        <w:trPr>
          <w:trHeight w:val="269"/>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21,958</w:t>
            </w:r>
          </w:p>
        </w:tc>
        <w:tc>
          <w:tcPr>
            <w:tcW w:w="100" w:type="dxa"/>
            <w:vAlign w:val="bottom"/>
            <w:tcBorders>
              <w:bottom w:val="single" w:sz="8" w:color="CCEEFF"/>
            </w:tcBorders>
            <w:shd w:val="clear" w:color="auto" w:fill="CCEEFF"/>
          </w:tcPr>
          <w:p>
            <w:pPr>
              <w:spacing w:after="0"/>
              <w:rPr>
                <w:sz w:val="22"/>
                <w:szCs w:val="22"/>
                <w:color w:val="auto"/>
              </w:rPr>
            </w:pPr>
          </w:p>
        </w:tc>
        <w:tc>
          <w:tcPr>
            <w:tcW w:w="2160" w:type="dxa"/>
            <w:vAlign w:val="bottom"/>
            <w:tcBorders>
              <w:bottom w:val="single" w:sz="8" w:color="CCEEFF"/>
            </w:tcBorders>
            <w:shd w:val="clear" w:color="auto" w:fill="CCEEFF"/>
          </w:tcPr>
          <w:p>
            <w:pPr>
              <w:spacing w:after="0"/>
              <w:rPr>
                <w:sz w:val="22"/>
                <w:szCs w:val="22"/>
                <w:color w:val="auto"/>
              </w:rPr>
            </w:pPr>
          </w:p>
        </w:tc>
      </w:tr>
      <w:tr>
        <w:trPr>
          <w:trHeight w:val="20"/>
        </w:trPr>
        <w:tc>
          <w:tcPr>
            <w:tcW w:w="74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160" w:type="dxa"/>
            <w:vAlign w:val="bottom"/>
            <w:tcBorders>
              <w:top w:val="single" w:sz="8" w:color="CCEEFF"/>
            </w:tcBorders>
          </w:tcPr>
          <w:p>
            <w:pPr>
              <w:spacing w:after="0" w:line="20" w:lineRule="exact"/>
              <w:rPr>
                <w:sz w:val="1"/>
                <w:szCs w:val="1"/>
                <w:color w:val="auto"/>
              </w:rPr>
            </w:pPr>
          </w:p>
        </w:tc>
      </w:tr>
    </w:tbl>
    <w:p>
      <w:pPr>
        <w:spacing w:after="0" w:line="94"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Equity Incentive Plan</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there were 4,837,135 EIP options outstanding, of which 960,785 were unvested.</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i w:val="1"/>
          <w:iCs w:val="1"/>
          <w:color w:val="auto"/>
        </w:rPr>
        <w:t>Grants of Restricted Stock Units and Class A Restricted Common Stock</w:t>
      </w:r>
    </w:p>
    <w:p>
      <w:pPr>
        <w:spacing w:after="0" w:line="117"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On July 1, 2016, the Board of Directors granted 353,069 Restricted Stock Units in conjunction with the Annual Incentive Plan adopted on October 1, 2010, or Annual Incentive Plan. The amount of the annual incentive payment was determined based on performance targets established by the Compensation Committee and a portion of the incentive payment awarded under the Annual Incentive Plan was paid in the form of Restricted Stock Units. A Restricted Stock Unit represents a contingent right to receive one share of Class A Common Stock upon vesting. The Restricted Stock Units will vest based on the passage of time, subject to participant's continued employment with the Company. The portion to be paid in the form of Restricted Stock Units will be recognized in the accompanying consolidated statements of operations based on grant date fair value over the vesting period of 3 years. The aggregate value of this award was estimated at $10.4 million based on the stock price of $29.35 on the grant date.</w:t>
      </w:r>
    </w:p>
    <w:p>
      <w:pPr>
        <w:spacing w:after="0" w:line="286" w:lineRule="exact"/>
        <w:rPr>
          <w:sz w:val="20"/>
          <w:szCs w:val="20"/>
          <w:color w:val="auto"/>
        </w:rPr>
      </w:pPr>
    </w:p>
    <w:p>
      <w:pPr>
        <w:ind w:right="360" w:firstLine="405"/>
        <w:spacing w:after="0" w:line="277" w:lineRule="auto"/>
        <w:rPr>
          <w:sz w:val="20"/>
          <w:szCs w:val="20"/>
          <w:color w:val="auto"/>
        </w:rPr>
      </w:pPr>
      <w:r>
        <w:rPr>
          <w:rFonts w:ascii="Arial" w:cs="Arial" w:eastAsia="Arial" w:hAnsi="Arial"/>
          <w:sz w:val="18"/>
          <w:szCs w:val="18"/>
          <w:color w:val="auto"/>
        </w:rPr>
        <w:t>On July 27, 2016, the Board of Directors granted 6,371 Restricted Stock Units to an existing employee of the Company. The aggregate value of this award was estimated at $0.2 million based on the stock price of $31.39 on the grant date.</w:t>
      </w:r>
    </w:p>
    <w:p>
      <w:pPr>
        <w:spacing w:after="0" w:line="279"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On August 5, 2016, the Board of Directors granted 40,029 shares of Class A Restricted Common Stock to members of the Board of Directors. The aggregate value was estimated at $1.2 million based on the stock price of $30.23 on the grant date.</w:t>
      </w:r>
    </w:p>
    <w:p>
      <w:pPr>
        <w:spacing w:after="0" w:line="279"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Special Dividends</w:t>
      </w:r>
    </w:p>
    <w:p>
      <w:pPr>
        <w:spacing w:after="0" w:line="117" w:lineRule="exact"/>
        <w:rPr>
          <w:sz w:val="20"/>
          <w:szCs w:val="20"/>
          <w:color w:val="auto"/>
        </w:rPr>
      </w:pPr>
    </w:p>
    <w:p>
      <w:pPr>
        <w:ind w:right="40" w:firstLine="243"/>
        <w:spacing w:after="0" w:line="297" w:lineRule="auto"/>
        <w:rPr>
          <w:sz w:val="20"/>
          <w:szCs w:val="20"/>
          <w:color w:val="auto"/>
        </w:rPr>
      </w:pPr>
      <w:r>
        <w:rPr>
          <w:rFonts w:ascii="Arial" w:cs="Arial" w:eastAsia="Arial" w:hAnsi="Arial"/>
          <w:sz w:val="16"/>
          <w:szCs w:val="16"/>
          <w:color w:val="auto"/>
        </w:rPr>
        <w:t>The Compensation Committee, acting as the Administrator of the EIP has discretion in how to effect the required adjustment to keep option holders whole in the event of a distribution of dividends that triggers certain anti-dilution clauses within the respective plans. In the event the Compensation Committee elects to grant option holders a cash payment equal to the amount of the special dividend, the Company accrues a stock-based compensation liability as the EIP options are scheduled to be vested. The obligation will be settled on the later of the date the dividend is paid or the vesting date of the EIP options. The stock-based compensation liability includes all special dividends declared for which eligible EIP option holders have not yet received a distribution.</w:t>
      </w:r>
    </w:p>
    <w:p>
      <w:pPr>
        <w:spacing w:after="0" w:line="50" w:lineRule="exact"/>
        <w:rPr>
          <w:sz w:val="20"/>
          <w:szCs w:val="20"/>
          <w:color w:val="auto"/>
        </w:rPr>
      </w:pPr>
    </w:p>
    <w:p>
      <w:pPr>
        <w:ind w:right="240" w:firstLine="405"/>
        <w:spacing w:after="0" w:line="259" w:lineRule="auto"/>
        <w:rPr>
          <w:sz w:val="20"/>
          <w:szCs w:val="20"/>
          <w:color w:val="auto"/>
        </w:rPr>
      </w:pPr>
      <w:r>
        <w:rPr>
          <w:rFonts w:ascii="Arial" w:cs="Arial" w:eastAsia="Arial" w:hAnsi="Arial"/>
          <w:sz w:val="18"/>
          <w:szCs w:val="18"/>
          <w:color w:val="auto"/>
        </w:rPr>
        <w:t>As of September 30, 2016 and March 31, 2016, the Company calculated a total recorded and unrecorded stock-based compensation liability of $1.5 million and $3.8 million, respectively, related to the special dividends paid in June 2012, November 2013, February and August 2014. As of September 30, 2016, $1.0 million was recorded as a current liability and included in accrued compensation and benefits within the condensed consolidated balance sheet while $0.5 million will be</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420"/>
          </w:cols>
          <w:pgMar w:left="240" w:top="881" w:right="239" w:bottom="1440" w:gutter="0" w:footer="0" w:header="0"/>
        </w:sectPr>
      </w:pPr>
    </w:p>
    <w:bookmarkStart w:id="14" w:name="page15"/>
    <w:bookmarkEnd w:id="14"/>
    <w:p>
      <w:pPr>
        <w:ind w:right="580"/>
        <w:spacing w:after="0" w:line="277" w:lineRule="auto"/>
        <w:rPr>
          <w:sz w:val="20"/>
          <w:szCs w:val="20"/>
          <w:color w:val="auto"/>
        </w:rPr>
      </w:pPr>
      <w:r>
        <w:rPr>
          <w:rFonts w:ascii="Arial" w:cs="Arial" w:eastAsia="Arial" w:hAnsi="Arial"/>
          <w:sz w:val="18"/>
          <w:szCs w:val="18"/>
          <w:color w:val="auto"/>
        </w:rPr>
        <w:t>recorded as liability as the options vest over the next 2.5 years. As of March 31, 2016, $2.3 million was recorded as a current liability and $1.5 million represented the unrecorded liability.</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FAIR VALUE MEASUREMENTS</w:t>
      </w:r>
    </w:p>
    <w:p>
      <w:pPr>
        <w:spacing w:after="0" w:line="121"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The accounting standard for fair value measurements establishes a three-tier value hierarchy, which prioritizes the inputs used in measuring fair value as follows: observable inputs such as quoted prices in active markets (Level 1); inputs other than quoted prices in active markets that are observable either directly or indirectly (Level 2); and unobservable inputs in which there is little or no market data, which requires the Company to develop its own assumptions (Level 3).</w:t>
      </w:r>
    </w:p>
    <w:p>
      <w:pPr>
        <w:spacing w:after="0" w:line="79"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A financial instrument's level within the fair value hierarchy is based on the lowest level of input that is significant to the fair value measurement. The financial instruments measured at fair value in the accompanying consolidated balance sheets consist of the following:</w:t>
      </w:r>
    </w:p>
    <w:p>
      <w:pPr>
        <w:spacing w:after="0" w:line="220"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30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88"/>
              </w:rPr>
              <w:t>as of September 30,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gridSpan w:val="2"/>
            <w:shd w:val="clear" w:color="auto" w:fill="CCEEFF"/>
          </w:tcPr>
          <w:p>
            <w:pPr>
              <w:ind w:left="12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43,731</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60" w:type="dxa"/>
            <w:vAlign w:val="bottom"/>
          </w:tcPr>
          <w:p>
            <w:pPr>
              <w:jc w:val="right"/>
              <w:ind w:right="30"/>
              <w:spacing w:after="0"/>
              <w:rPr>
                <w:sz w:val="20"/>
                <w:szCs w:val="20"/>
                <w:color w:val="auto"/>
              </w:rPr>
            </w:pPr>
            <w:r>
              <w:rPr>
                <w:rFonts w:ascii="Arial" w:cs="Arial" w:eastAsia="Arial" w:hAnsi="Arial"/>
                <w:sz w:val="18"/>
                <w:szCs w:val="18"/>
                <w:color w:val="auto"/>
              </w:rPr>
              <w:t>263,492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263,492</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44"/>
        </w:trPr>
        <w:tc>
          <w:tcPr>
            <w:tcW w:w="65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43,731</w:t>
            </w:r>
          </w:p>
        </w:tc>
        <w:tc>
          <w:tcPr>
            <w:tcW w:w="4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263,492</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307,223</w:t>
            </w:r>
          </w:p>
        </w:tc>
      </w:tr>
      <w:tr>
        <w:trPr>
          <w:trHeight w:val="20"/>
        </w:trPr>
        <w:tc>
          <w:tcPr>
            <w:tcW w:w="65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940" w:type="dxa"/>
            <w:vAlign w:val="bottom"/>
            <w:gridSpan w:val="9"/>
          </w:tcPr>
          <w:p>
            <w:pPr>
              <w:jc w:val="center"/>
              <w:ind w:right="50"/>
              <w:spacing w:after="0"/>
              <w:rPr>
                <w:sz w:val="20"/>
                <w:szCs w:val="20"/>
                <w:color w:val="auto"/>
              </w:rPr>
            </w:pPr>
            <w:r>
              <w:rPr>
                <w:rFonts w:ascii="Arial" w:cs="Arial" w:eastAsia="Arial" w:hAnsi="Arial"/>
                <w:sz w:val="18"/>
                <w:szCs w:val="18"/>
                <w:b w:val="1"/>
                <w:bCs w:val="1"/>
                <w:color w:val="auto"/>
                <w:w w:val="91"/>
              </w:rPr>
              <w:t>Recurring Fair Value Measurements</w:t>
            </w:r>
          </w:p>
        </w:tc>
        <w:tc>
          <w:tcPr>
            <w:tcW w:w="900" w:type="dxa"/>
            <w:vAlign w:val="bottom"/>
          </w:tcPr>
          <w:p>
            <w:pPr>
              <w:spacing w:after="0"/>
              <w:rPr>
                <w:sz w:val="18"/>
                <w:szCs w:val="18"/>
                <w:color w:val="auto"/>
              </w:rPr>
            </w:pPr>
          </w:p>
        </w:tc>
      </w:tr>
      <w:tr>
        <w:trPr>
          <w:trHeight w:val="234"/>
        </w:trPr>
        <w:tc>
          <w:tcPr>
            <w:tcW w:w="65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280" w:type="dxa"/>
            <w:vAlign w:val="bottom"/>
            <w:gridSpan w:val="5"/>
          </w:tcPr>
          <w:p>
            <w:pPr>
              <w:jc w:val="center"/>
              <w:ind w:right="320"/>
              <w:spacing w:after="0"/>
              <w:rPr>
                <w:sz w:val="20"/>
                <w:szCs w:val="20"/>
                <w:color w:val="auto"/>
              </w:rPr>
            </w:pPr>
            <w:r>
              <w:rPr>
                <w:rFonts w:ascii="Arial" w:cs="Arial" w:eastAsia="Arial" w:hAnsi="Arial"/>
                <w:sz w:val="18"/>
                <w:szCs w:val="18"/>
                <w:b w:val="1"/>
                <w:bCs w:val="1"/>
                <w:color w:val="auto"/>
                <w:w w:val="91"/>
              </w:rPr>
              <w:t>as of March 31, 2016</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64"/>
        </w:trPr>
        <w:tc>
          <w:tcPr>
            <w:tcW w:w="65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84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b w:val="1"/>
                <w:bCs w:val="1"/>
                <w:color w:val="auto"/>
              </w:rPr>
              <w:t>Level 1</w:t>
            </w:r>
          </w:p>
        </w:tc>
        <w:tc>
          <w:tcPr>
            <w:tcW w:w="1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2</w:t>
            </w:r>
          </w:p>
        </w:tc>
        <w:tc>
          <w:tcPr>
            <w:tcW w:w="20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gridSpan w:val="2"/>
            <w:shd w:val="clear" w:color="auto" w:fill="CCEEFF"/>
          </w:tcPr>
          <w:p>
            <w:pPr>
              <w:ind w:left="100"/>
              <w:spacing w:after="0"/>
              <w:rPr>
                <w:sz w:val="20"/>
                <w:szCs w:val="20"/>
                <w:color w:val="auto"/>
              </w:rPr>
            </w:pPr>
            <w:r>
              <w:rPr>
                <w:rFonts w:ascii="Arial" w:cs="Arial" w:eastAsia="Arial" w:hAnsi="Arial"/>
                <w:sz w:val="18"/>
                <w:szCs w:val="18"/>
                <w:b w:val="1"/>
                <w:bCs w:val="1"/>
                <w:color w:val="auto"/>
              </w:rPr>
              <w:t>Level 3</w:t>
            </w:r>
          </w:p>
        </w:tc>
        <w:tc>
          <w:tcPr>
            <w:tcW w:w="240" w:type="dxa"/>
            <w:vAlign w:val="bottom"/>
            <w:tcBorders>
              <w:bottom w:val="single" w:sz="8" w:color="CCEEFF"/>
            </w:tcBorders>
            <w:shd w:val="clear" w:color="auto" w:fill="CCEEFF"/>
          </w:tcPr>
          <w:p>
            <w:pPr>
              <w:spacing w:after="0"/>
              <w:rPr>
                <w:sz w:val="22"/>
                <w:szCs w:val="22"/>
                <w:color w:val="auto"/>
              </w:rPr>
            </w:pPr>
          </w:p>
        </w:tc>
        <w:tc>
          <w:tcPr>
            <w:tcW w:w="900" w:type="dxa"/>
            <w:vAlign w:val="bottom"/>
            <w:tcBorders>
              <w:bottom w:val="single" w:sz="8" w:color="CCEEFF"/>
            </w:tcBorders>
            <w:shd w:val="clear" w:color="auto" w:fill="CCEEFF"/>
          </w:tcPr>
          <w:p>
            <w:pPr>
              <w:jc w:val="right"/>
              <w:ind w:right="290"/>
              <w:spacing w:after="0"/>
              <w:rPr>
                <w:sz w:val="20"/>
                <w:szCs w:val="20"/>
                <w:color w:val="auto"/>
              </w:rPr>
            </w:pPr>
            <w:r>
              <w:rPr>
                <w:rFonts w:ascii="Arial" w:cs="Arial" w:eastAsia="Arial" w:hAnsi="Arial"/>
                <w:sz w:val="18"/>
                <w:szCs w:val="18"/>
                <w:b w:val="1"/>
                <w:bCs w:val="1"/>
                <w:color w:val="auto"/>
              </w:rPr>
              <w:t>Total</w:t>
            </w:r>
          </w:p>
        </w:tc>
      </w:tr>
      <w:tr>
        <w:trPr>
          <w:trHeight w:val="237"/>
        </w:trPr>
        <w:tc>
          <w:tcPr>
            <w:tcW w:w="6520" w:type="dxa"/>
            <w:vAlign w:val="bottom"/>
          </w:tcPr>
          <w:p>
            <w:pPr>
              <w:ind w:left="4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00" w:type="dxa"/>
            <w:vAlign w:val="bottom"/>
            <w:tcBorders>
              <w:top w:val="single" w:sz="8" w:color="auto"/>
            </w:tcBorders>
          </w:tcPr>
          <w:p>
            <w:pPr>
              <w:spacing w:after="0"/>
              <w:rPr>
                <w:sz w:val="20"/>
                <w:szCs w:val="20"/>
                <w:color w:val="auto"/>
              </w:rPr>
            </w:pPr>
          </w:p>
        </w:tc>
      </w:tr>
      <w:tr>
        <w:trPr>
          <w:trHeight w:val="27"/>
        </w:trPr>
        <w:tc>
          <w:tcPr>
            <w:tcW w:w="65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900" w:type="dxa"/>
            <w:vAlign w:val="bottom"/>
          </w:tcPr>
          <w:p>
            <w:pPr>
              <w:spacing w:after="0"/>
              <w:rPr>
                <w:sz w:val="2"/>
                <w:szCs w:val="2"/>
                <w:color w:val="auto"/>
              </w:rPr>
            </w:pPr>
          </w:p>
        </w:tc>
      </w:tr>
      <w:tr>
        <w:trPr>
          <w:trHeight w:val="250"/>
        </w:trPr>
        <w:tc>
          <w:tcPr>
            <w:tcW w:w="65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Cash and cash equivalents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420" w:type="dxa"/>
            <w:vAlign w:val="bottom"/>
            <w:tcBorders>
              <w:bottom w:val="single" w:sz="8" w:color="CCEEFF"/>
            </w:tcBorders>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42,102</w:t>
            </w:r>
          </w:p>
        </w:tc>
      </w:tr>
      <w:tr>
        <w:trPr>
          <w:trHeight w:val="243"/>
        </w:trPr>
        <w:tc>
          <w:tcPr>
            <w:tcW w:w="6520" w:type="dxa"/>
            <w:vAlign w:val="bottom"/>
          </w:tcPr>
          <w:p>
            <w:pPr>
              <w:ind w:left="180"/>
              <w:spacing w:after="0"/>
              <w:rPr>
                <w:sz w:val="20"/>
                <w:szCs w:val="20"/>
                <w:color w:val="auto"/>
              </w:rPr>
            </w:pPr>
            <w:r>
              <w:rPr>
                <w:rFonts w:ascii="Arial" w:cs="Arial" w:eastAsia="Arial" w:hAnsi="Arial"/>
                <w:sz w:val="18"/>
                <w:szCs w:val="18"/>
                <w:color w:val="auto"/>
              </w:rPr>
              <w:t>Money market funds (1)</w:t>
            </w: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145,427</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ind w:left="64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145,427</w:t>
            </w:r>
          </w:p>
        </w:tc>
      </w:tr>
      <w:tr>
        <w:trPr>
          <w:trHeight w:val="27"/>
        </w:trPr>
        <w:tc>
          <w:tcPr>
            <w:tcW w:w="65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237"/>
        </w:trPr>
        <w:tc>
          <w:tcPr>
            <w:tcW w:w="65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cash and cash equivalents</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42,102</w:t>
            </w:r>
          </w:p>
        </w:tc>
        <w:tc>
          <w:tcPr>
            <w:tcW w:w="420" w:type="dxa"/>
            <w:vAlign w:val="bottom"/>
            <w:gridSpan w:val="3"/>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145,427</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gridSpan w:val="2"/>
            <w:shd w:val="clear" w:color="auto" w:fill="CCEEFF"/>
          </w:tcPr>
          <w:p>
            <w:pPr>
              <w:ind w:left="64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187,529</w:t>
            </w:r>
          </w:p>
        </w:tc>
      </w:tr>
      <w:tr>
        <w:trPr>
          <w:trHeight w:val="27"/>
        </w:trPr>
        <w:tc>
          <w:tcPr>
            <w:tcW w:w="65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900" w:type="dxa"/>
            <w:vAlign w:val="bottom"/>
            <w:shd w:val="clear" w:color="auto" w:fill="CCEEFF"/>
          </w:tcPr>
          <w:p>
            <w:pPr>
              <w:spacing w:after="0"/>
              <w:rPr>
                <w:sz w:val="2"/>
                <w:szCs w:val="2"/>
                <w:color w:val="auto"/>
              </w:rPr>
            </w:pPr>
          </w:p>
        </w:tc>
      </w:tr>
    </w:tbl>
    <w:p>
      <w:pPr>
        <w:spacing w:after="0" w:line="107" w:lineRule="exact"/>
        <w:rPr>
          <w:sz w:val="20"/>
          <w:szCs w:val="20"/>
          <w:color w:val="auto"/>
        </w:rPr>
      </w:pPr>
    </w:p>
    <w:p>
      <w:pPr>
        <w:ind w:left="300" w:hanging="292"/>
        <w:spacing w:after="0"/>
        <w:tabs>
          <w:tab w:leader="none" w:pos="300" w:val="left"/>
        </w:tabs>
        <w:numPr>
          <w:ilvl w:val="0"/>
          <w:numId w:val="11"/>
        </w:numPr>
        <w:rPr>
          <w:rFonts w:ascii="Arial" w:cs="Arial" w:eastAsia="Arial" w:hAnsi="Arial"/>
          <w:sz w:val="19"/>
          <w:szCs w:val="19"/>
          <w:color w:val="auto"/>
        </w:rPr>
      </w:pPr>
      <w:r>
        <w:rPr>
          <w:rFonts w:ascii="Arial" w:cs="Arial" w:eastAsia="Arial" w:hAnsi="Arial"/>
          <w:sz w:val="17"/>
          <w:szCs w:val="17"/>
          <w:color w:val="auto"/>
        </w:rPr>
        <w:t>Level 2 cash and cash equivalents are invested in money market funds that are intended to maintain a stable net asset value of $1.00 per share by</w:t>
      </w:r>
    </w:p>
    <w:p>
      <w:pPr>
        <w:spacing w:after="0" w:line="38" w:lineRule="exact"/>
        <w:rPr>
          <w:rFonts w:ascii="Arial" w:cs="Arial" w:eastAsia="Arial" w:hAnsi="Arial"/>
          <w:sz w:val="19"/>
          <w:szCs w:val="19"/>
          <w:color w:val="auto"/>
        </w:rPr>
      </w:pPr>
    </w:p>
    <w:p>
      <w:pPr>
        <w:ind w:right="60"/>
        <w:spacing w:after="0" w:line="293" w:lineRule="auto"/>
        <w:rPr>
          <w:rFonts w:ascii="Arial" w:cs="Arial" w:eastAsia="Arial" w:hAnsi="Arial"/>
          <w:sz w:val="19"/>
          <w:szCs w:val="19"/>
          <w:color w:val="auto"/>
        </w:rPr>
      </w:pPr>
      <w:r>
        <w:rPr>
          <w:rFonts w:ascii="Arial" w:cs="Arial" w:eastAsia="Arial" w:hAnsi="Arial"/>
          <w:sz w:val="18"/>
          <w:szCs w:val="18"/>
          <w:color w:val="auto"/>
        </w:rPr>
        <w:t>investing in liquid, high quality U.S. dollar-denominated money market instruments. Therefore, the fair value approximates the carrying value. Depending on our short-term liquidity needs, we make regular transfers between money market funds and other cash equivalents.</w:t>
      </w:r>
    </w:p>
    <w:p>
      <w:pPr>
        <w:spacing w:after="0" w:line="48" w:lineRule="exact"/>
        <w:rPr>
          <w:sz w:val="20"/>
          <w:szCs w:val="20"/>
          <w:color w:val="auto"/>
        </w:rPr>
      </w:pPr>
    </w:p>
    <w:p>
      <w:pPr>
        <w:ind w:right="160" w:firstLine="405"/>
        <w:spacing w:after="0" w:line="342" w:lineRule="auto"/>
        <w:rPr>
          <w:sz w:val="20"/>
          <w:szCs w:val="20"/>
          <w:color w:val="auto"/>
        </w:rPr>
      </w:pPr>
      <w:r>
        <w:rPr>
          <w:rFonts w:ascii="Arial" w:cs="Arial" w:eastAsia="Arial" w:hAnsi="Arial"/>
          <w:sz w:val="16"/>
          <w:szCs w:val="16"/>
          <w:color w:val="auto"/>
        </w:rPr>
        <w:t>The fair value of the Company's debt instruments approximates its carrying value at September 30, 2016 and March 31, 2016. The fair value of debt is determined based on interest rates available for debt with terms and maturities similar to the Company's existing debt arrangements (Level 2 inputs).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RELATED-PARTY TRANSACTIONS</w:t>
      </w:r>
    </w:p>
    <w:p>
      <w:pPr>
        <w:spacing w:after="0" w:line="337" w:lineRule="exact"/>
        <w:rPr>
          <w:sz w:val="20"/>
          <w:szCs w:val="20"/>
          <w:color w:val="auto"/>
        </w:rPr>
      </w:pPr>
    </w:p>
    <w:p>
      <w:pPr>
        <w:ind w:right="140" w:firstLine="405"/>
        <w:spacing w:after="0" w:line="312" w:lineRule="auto"/>
        <w:rPr>
          <w:sz w:val="20"/>
          <w:szCs w:val="20"/>
          <w:color w:val="auto"/>
        </w:rPr>
      </w:pPr>
      <w:r>
        <w:rPr>
          <w:rFonts w:ascii="Arial" w:cs="Arial" w:eastAsia="Arial" w:hAnsi="Arial"/>
          <w:sz w:val="16"/>
          <w:szCs w:val="16"/>
          <w:color w:val="auto"/>
        </w:rPr>
        <w:t>The Carlyle Group is the largest shareholder of the Company. From time to time, and in the ordinary course of business: (1) other Carlyle portfolio companies engage the Company as a subcontractor or service provider, and (2) the Company engages other Carlyle portfolio companies as subcontractors or service providers. Revenue and cost associated with these related parties for the three and six months ended September 30, 2016 was not material.</w:t>
      </w:r>
    </w:p>
    <w:p>
      <w:pPr>
        <w:spacing w:after="0" w:line="39" w:lineRule="exact"/>
        <w:rPr>
          <w:sz w:val="20"/>
          <w:szCs w:val="20"/>
          <w:color w:val="auto"/>
        </w:rPr>
      </w:pPr>
    </w:p>
    <w:p>
      <w:pPr>
        <w:ind w:right="40" w:firstLine="405"/>
        <w:spacing w:after="0" w:line="293" w:lineRule="auto"/>
        <w:rPr>
          <w:sz w:val="20"/>
          <w:szCs w:val="20"/>
          <w:color w:val="auto"/>
        </w:rPr>
      </w:pPr>
      <w:r>
        <w:rPr>
          <w:rFonts w:ascii="Arial" w:cs="Arial" w:eastAsia="Arial" w:hAnsi="Arial"/>
          <w:sz w:val="16"/>
          <w:szCs w:val="16"/>
          <w:color w:val="auto"/>
        </w:rPr>
        <w:t>On July 31, 2008, the Company entered into a management agreement, or Management Agreement, with TC Group V US, L.L.C., or TC Group, a company affiliated with Carlyle. On June 7, 2012, TC Group assigned all of its right, title and interest in, and obligations under, the Management Agreement to Carlyle Investment Management L.L.C., or Carlyle Investment Management. In accordance with the Management Agreement, Carlyle Investment Management provides the Company with advisory, consulting, and other services and the Company pays Carlyle Investment Management an aggregate annual fee of $1.0 million, plus expenses. For the three months ended September 30, 2016 and 2015, the Company incurred $250,000 in advisory fees in each period. For the six months ended September 30, 2016 and 2015, the Company incurred $500,000 in advisory fees in each period.</w:t>
      </w:r>
    </w:p>
    <w:p>
      <w:pPr>
        <w:spacing w:after="0" w:line="200" w:lineRule="exact"/>
        <w:rPr>
          <w:sz w:val="20"/>
          <w:szCs w:val="20"/>
          <w:color w:val="auto"/>
        </w:rPr>
      </w:pPr>
    </w:p>
    <w:p>
      <w:pPr>
        <w:spacing w:after="0" w:line="3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881"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t>16. COMMITMENTS AND CONTINGENCIES</w:t>
      </w:r>
    </w:p>
    <w:p>
      <w:pPr>
        <w:spacing w:after="0" w:line="200" w:lineRule="exact"/>
        <w:rPr>
          <w:sz w:val="20"/>
          <w:szCs w:val="20"/>
          <w:color w:val="auto"/>
        </w:rPr>
      </w:pPr>
    </w:p>
    <w:p>
      <w:pPr>
        <w:spacing w:after="0" w:line="24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Letters of Credit and Third-Party Guarantees</w:t>
      </w:r>
    </w:p>
    <w:p>
      <w:pPr>
        <w:spacing w:after="0" w:line="117" w:lineRule="exact"/>
        <w:rPr>
          <w:sz w:val="20"/>
          <w:szCs w:val="20"/>
          <w:color w:val="auto"/>
        </w:rPr>
      </w:pPr>
    </w:p>
    <w:p>
      <w:pPr>
        <w:ind w:right="20" w:firstLine="405"/>
        <w:spacing w:after="0" w:line="297" w:lineRule="auto"/>
        <w:rPr>
          <w:sz w:val="20"/>
          <w:szCs w:val="20"/>
          <w:color w:val="auto"/>
        </w:rPr>
      </w:pPr>
      <w:r>
        <w:rPr>
          <w:rFonts w:ascii="Arial" w:cs="Arial" w:eastAsia="Arial" w:hAnsi="Arial"/>
          <w:sz w:val="16"/>
          <w:szCs w:val="16"/>
          <w:color w:val="auto"/>
        </w:rPr>
        <w:t>As of September 30, 2016 and March 31, 2016, the Company was contingently liable under open standby letters of credit and bank guarantees issued by our banks in favor of third parties that totaled $7.3 million and $6.6 million, respectively. These letters of credit and bank guarantees primarily support insurance and bid and performance obligations. At September 30, 2016 and March 31, 2016, approximately $1.7 million and $1.8 million, respectively, of these instruments reduce the available borrowings under the revolving credit facility. The remainder are guaranteed under a separate $10.0 million facility established in fiscal 2016 of which $4.4 million and $5.2 million, respectively, was available to the Company at September 30, 2016 and March 31, 2016.</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Government Contracting Matters</w:t>
      </w:r>
    </w:p>
    <w:p>
      <w:pPr>
        <w:spacing w:after="0" w:line="117"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For each of the three and six months ended September 30, 2016 and 2015 approximately 97% of the Company’s revenue was generated from contracts where the end client was an agency or department of the U.S. government, including contracts where Booz Allen performed in either a prime or subcontract position, and regardless of the geographic location in which the work was performed. Contracts with the U.S. government are subject to extensive legal and regulatory requirements. From time to time and in the ordinary course of business, agencies of the U.S. government audit our contract costs and conduct inquiries and investigations of our business practices with respect to government contracts to determine whether the Company’s operations are conducted in accordance with these requirements and the terms of the relevant contracts. U.S. government agencies, including the Defense Contract Audit Agency, routinely audit our contract costs, including allocated indirect costs for compliance with the Cost Accounting Standards and the Federal Acquisition Regulation. These agencies also conduct reviews and investigations and make inquiries regarding our accounting and other systems in connection with our performance and business practices with respect to our government contracts. U.S. government audits, inquiries, or investigations of the Company, whether related to the Company’s U.S. government contracts or conducted for other reasons, could result in administrative, civil, or criminal liabilities, including withholding of payments, suspension of payments, repayments, fines, or penalties being imposed upon the Company, or could lead to suspension or debarment from future U.S. government contracting. Management believes it has recorded the appropriate provision for any audit, inquiry, or investigation of which it is aware. The Defense Contract Management Agency Administrative Contracting Officer has negotiated annual final indirect cost rates through fiscal year 2009. The audit of fiscal years 2010 and 2011 is currently under active review by the Defense Contract Management Agency. Audits of subsequent years may result in future cost disallowances including cost reductions and/or penalties. Management believes it has recorded the appropriate provision for the estimated losses that may be experienced from any such reductions and/or penalties. As of September 30, 2016 and March 31, 2016, the Company has recorded a liability of approximately $196.1 million and $189.9 million, respectively, for its current best estimate of amounts to be refunded to customers for potential adjustments from such audits or reviews of contract costs incurred subsequent to fiscal year 2009, and for contracts not yet closed that are impacted by settlement of audits or reviews of contract costs incurred in prior fiscal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Litigation</w:t>
      </w:r>
    </w:p>
    <w:p>
      <w:pPr>
        <w:spacing w:after="0" w:line="117" w:lineRule="exact"/>
        <w:rPr>
          <w:sz w:val="20"/>
          <w:szCs w:val="20"/>
          <w:color w:val="auto"/>
        </w:rPr>
      </w:pPr>
    </w:p>
    <w:p>
      <w:pPr>
        <w:ind w:right="20" w:firstLine="405"/>
        <w:spacing w:after="0" w:line="293" w:lineRule="auto"/>
        <w:rPr>
          <w:sz w:val="20"/>
          <w:szCs w:val="20"/>
          <w:color w:val="auto"/>
        </w:rPr>
      </w:pPr>
      <w:r>
        <w:rPr>
          <w:rFonts w:ascii="Arial" w:cs="Arial" w:eastAsia="Arial" w:hAnsi="Arial"/>
          <w:sz w:val="16"/>
          <w:szCs w:val="16"/>
          <w:color w:val="auto"/>
        </w:rPr>
        <w:t>The Company is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management does not expect any of the currently ongoing audits, reviews, investigations, or litigation to have a material adverse effect on the Company’s financial condition and results of operations. As of September 30, 2016, there are no material amounts accrued in the condensed consolidated financial statements related to these proceedings.</w:t>
      </w:r>
    </w:p>
    <w:p>
      <w:pPr>
        <w:spacing w:after="0" w:line="57" w:lineRule="exact"/>
        <w:rPr>
          <w:sz w:val="20"/>
          <w:szCs w:val="20"/>
          <w:color w:val="auto"/>
        </w:rPr>
      </w:pPr>
    </w:p>
    <w:p>
      <w:pPr>
        <w:ind w:right="20" w:firstLine="405"/>
        <w:spacing w:after="0" w:line="288" w:lineRule="auto"/>
        <w:rPr>
          <w:sz w:val="20"/>
          <w:szCs w:val="20"/>
          <w:color w:val="auto"/>
        </w:rPr>
      </w:pPr>
      <w:r>
        <w:rPr>
          <w:rFonts w:ascii="Arial" w:cs="Arial" w:eastAsia="Arial" w:hAnsi="Arial"/>
          <w:sz w:val="16"/>
          <w:szCs w:val="16"/>
          <w:color w:val="auto"/>
        </w:rPr>
        <w:t>Six former officers and stockholders who had departed the company prior to the July 2008 acquisition of the Company by Carlyle, or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00"/>
          </w:cols>
          <w:pgMar w:left="240" w:top="877" w:right="259" w:bottom="1440" w:gutter="0" w:footer="0" w:header="0"/>
        </w:sectPr>
      </w:pPr>
    </w:p>
    <w:bookmarkStart w:id="16" w:name="page17"/>
    <w:bookmarkEnd w:id="16"/>
    <w:p>
      <w:pPr>
        <w:spacing w:after="0" w:line="276" w:lineRule="auto"/>
        <w:rPr>
          <w:sz w:val="20"/>
          <w:szCs w:val="20"/>
          <w:color w:val="auto"/>
        </w:rPr>
      </w:pPr>
      <w:r>
        <w:rPr>
          <w:rFonts w:ascii="Arial" w:cs="Arial" w:eastAsia="Arial" w:hAnsi="Arial"/>
          <w:sz w:val="17"/>
          <w:szCs w:val="17"/>
          <w:color w:val="auto"/>
        </w:rPr>
        <w:t>upheld by the United States Court of Appeals for the Ninth Circuit. On September 29, 2016, the Company received notice that the plaintiff in this suit filed a Petition for Writ of Certiorari to the United States Supreme Court. The other three remaining suits that were previously consolidated on September 7, 2010 have been dismissed by the United States District Court for the Southern District of New York and are on appeal before the United States Court of Appeals for the Second Circuit. As of September 30, 2016 and March 31, 2016, the aggregate alleged damages sought in these four remaining suits was approximately $291.7 million (which is sought to be trebled pursuant to RICO) plus punitive damages, costs, and fees.</w:t>
      </w:r>
    </w:p>
    <w:p>
      <w:pPr>
        <w:spacing w:after="0" w:line="64"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Although the outcome of any of these cases is inherently uncertain and may be materially adverse, based on current information, management does not expect them to have a material adverse effect on our financial condition and results of operations.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00"/>
          </w:cols>
          <w:pgMar w:left="240" w:top="881" w:right="259" w:bottom="1440" w:gutter="0" w:footer="0" w:header="0"/>
        </w:sectPr>
      </w:pPr>
    </w:p>
    <w:bookmarkStart w:id="17" w:name="page18"/>
    <w:bookmarkEnd w:id="17"/>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94" w:lineRule="exact"/>
        <w:rPr>
          <w:sz w:val="20"/>
          <w:szCs w:val="20"/>
          <w:color w:val="auto"/>
        </w:rPr>
      </w:pPr>
    </w:p>
    <w:p>
      <w:pPr>
        <w:ind w:right="360"/>
        <w:spacing w:after="0" w:line="264" w:lineRule="auto"/>
        <w:rPr>
          <w:sz w:val="20"/>
          <w:szCs w:val="20"/>
          <w:color w:val="auto"/>
        </w:rPr>
      </w:pPr>
      <w:r>
        <w:rPr>
          <w:rFonts w:ascii="Arial" w:cs="Arial" w:eastAsia="Arial" w:hAnsi="Arial"/>
          <w:sz w:val="18"/>
          <w:szCs w:val="18"/>
          <w:i w:val="1"/>
          <w:iCs w:val="1"/>
          <w:color w:val="auto"/>
        </w:rPr>
        <w:t>The following discussion and analysis is intended to help the reader understand our business, financial condition, results of operations, and liquidity and capital resources. You should read this discussion in conjunction with our condensed consolidated financial statements and the related notes contained elsewhere in this Quarterly Report on Form 10-Q, or Quarterly Report.</w:t>
      </w:r>
    </w:p>
    <w:p>
      <w:pPr>
        <w:spacing w:after="0" w:line="127" w:lineRule="exact"/>
        <w:rPr>
          <w:sz w:val="20"/>
          <w:szCs w:val="20"/>
          <w:color w:val="auto"/>
        </w:rPr>
      </w:pPr>
    </w:p>
    <w:p>
      <w:pPr>
        <w:ind w:right="220"/>
        <w:spacing w:after="0" w:line="255" w:lineRule="auto"/>
        <w:rPr>
          <w:sz w:val="20"/>
          <w:szCs w:val="20"/>
          <w:color w:val="auto"/>
        </w:rPr>
      </w:pPr>
      <w:r>
        <w:rPr>
          <w:rFonts w:ascii="Arial" w:cs="Arial" w:eastAsia="Arial" w:hAnsi="Arial"/>
          <w:sz w:val="18"/>
          <w:szCs w:val="18"/>
          <w:i w:val="1"/>
          <w:iCs w:val="1"/>
          <w:color w:val="auto"/>
        </w:rPr>
        <w:t>The statements in this discussion regarding industry outlook, our expectations regarding our future performance, liquidity and capital resources, and other non-historical statements in this discussion are forward-looking statements. These forward-looking statements are subject to numerous risks and uncertainties, including, but not limited to, the risks and uncertainties described in our Annual Report on Form 10-K for the fiscal year ended March 31, 2016 filed with the Securities and Exchange Commission on May 19, 2016, or Annual Report, and under Part II, “Item 1A. Risk Factors,” and “— Special Note Regarding Forward Looking Statements” of this Quarterly Report. Our actual results may differ materially from those contained in or implied by any forward-looking statements.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fiscal year ends March 31 and, unless otherwise noted, references to years or fiscal are for fiscal years ended March 31. See “—Results of Operations.”</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121" w:lineRule="exact"/>
        <w:rPr>
          <w:sz w:val="20"/>
          <w:szCs w:val="20"/>
          <w:color w:val="auto"/>
        </w:rPr>
      </w:pPr>
    </w:p>
    <w:p>
      <w:pPr>
        <w:ind w:right="180" w:firstLine="405"/>
        <w:spacing w:after="0" w:line="257" w:lineRule="auto"/>
        <w:rPr>
          <w:sz w:val="20"/>
          <w:szCs w:val="20"/>
          <w:color w:val="auto"/>
        </w:rPr>
      </w:pPr>
      <w:r>
        <w:rPr>
          <w:rFonts w:ascii="Arial" w:cs="Arial" w:eastAsia="Arial" w:hAnsi="Arial"/>
          <w:sz w:val="18"/>
          <w:szCs w:val="18"/>
          <w:color w:val="auto"/>
        </w:rPr>
        <w:t>We are a leading provider of management and technology, consulting, and engineering services to the U.S. and international governments, major corporations, and not-for-profit organizations. Our ability to deliver value to our clients has always been, and continues to be, a product of the character and expertise of our people. Our talent base of approximately 22,800 people deliver value and results to our clients by combining core consulting skills and domain expertise with functional expertise in areas such as engineering and science, systems delivery, cyber, and analytics, all fostered by a culture of innovation that extends to all reaches of the company.</w:t>
      </w:r>
    </w:p>
    <w:p>
      <w:pPr>
        <w:spacing w:after="0" w:line="188" w:lineRule="exact"/>
        <w:rPr>
          <w:sz w:val="20"/>
          <w:szCs w:val="20"/>
          <w:color w:val="auto"/>
        </w:rPr>
      </w:pPr>
    </w:p>
    <w:p>
      <w:pPr>
        <w:ind w:firstLine="648"/>
        <w:spacing w:after="0" w:line="272" w:lineRule="auto"/>
        <w:rPr>
          <w:sz w:val="20"/>
          <w:szCs w:val="20"/>
          <w:color w:val="auto"/>
        </w:rPr>
      </w:pPr>
      <w:r>
        <w:rPr>
          <w:rFonts w:ascii="Arial" w:cs="Arial" w:eastAsia="Arial" w:hAnsi="Arial"/>
          <w:sz w:val="17"/>
          <w:szCs w:val="17"/>
          <w:color w:val="auto"/>
        </w:rPr>
        <w:t>Through our dedication to our clients' missions, and a commitment to evolving our business to address client's needs, we have longstanding and deep relationships with our clients -- some more than 75 years. We support critical missions for a diverse base of federal government clients, including nearly all of the U.S. government's cabinet-level departments, and federal contract vehicles, as well as increasingly for top-tier commercial and international clients. We support these clients by addressing complex and pressing challenges such as combating global terrorism, improving cyber capabilities, transforming the healthcare system, improving efficiency and managing change within the government. Our U.S. commercial clients are primarily in the financial services, healthcare and life sciences, energy, high-tech manufacturing, retail, and automotive industries. Our international clients are primarily in the Middle East, along with a new and growing presence in Southeast Asia.</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and Other Highlights</w:t>
      </w:r>
    </w:p>
    <w:p>
      <w:pPr>
        <w:spacing w:after="0" w:line="229" w:lineRule="exact"/>
        <w:rPr>
          <w:sz w:val="20"/>
          <w:szCs w:val="20"/>
          <w:color w:val="auto"/>
        </w:rPr>
      </w:pPr>
    </w:p>
    <w:p>
      <w:pPr>
        <w:ind w:right="500" w:firstLine="405"/>
        <w:spacing w:after="0" w:line="277" w:lineRule="auto"/>
        <w:rPr>
          <w:sz w:val="20"/>
          <w:szCs w:val="20"/>
          <w:color w:val="auto"/>
        </w:rPr>
      </w:pPr>
      <w:r>
        <w:rPr>
          <w:rFonts w:ascii="Arial" w:cs="Arial" w:eastAsia="Arial" w:hAnsi="Arial"/>
          <w:sz w:val="18"/>
          <w:szCs w:val="18"/>
          <w:color w:val="auto"/>
        </w:rPr>
        <w:t>During the second quarter of fiscal 2017, the Company generated year over year revenue growth, delivered improved earnings over the prior year period, recorded strong contract awards, and increased headcount.</w:t>
      </w:r>
    </w:p>
    <w:p>
      <w:pPr>
        <w:spacing w:after="0" w:line="62" w:lineRule="exact"/>
        <w:rPr>
          <w:sz w:val="20"/>
          <w:szCs w:val="20"/>
          <w:color w:val="auto"/>
        </w:rPr>
      </w:pPr>
    </w:p>
    <w:p>
      <w:pPr>
        <w:ind w:right="20" w:firstLine="405"/>
        <w:spacing w:after="0" w:line="257" w:lineRule="auto"/>
        <w:rPr>
          <w:sz w:val="20"/>
          <w:szCs w:val="20"/>
          <w:color w:val="auto"/>
        </w:rPr>
      </w:pPr>
      <w:r>
        <w:rPr>
          <w:rFonts w:ascii="Arial" w:cs="Arial" w:eastAsia="Arial" w:hAnsi="Arial"/>
          <w:sz w:val="18"/>
          <w:szCs w:val="18"/>
          <w:color w:val="auto"/>
        </w:rPr>
        <w:t>Revenue increased 5.5% from the three months ended September 30, 2015 to the three months ended September 30, 2016 and increased 5.4% from the six months ended September 30, 2015 to the six months ended September 30, 2016 primarily driven by increases in client staff headcount and staff billability, and therefore direct labor, to meet increased client demand. During the period, there was also an increase in billable expenses due to increased use of subcontractors on contracts. In addition, contracts which require the Company to incur direct expenses on behalf of our clients increased over the prior year period.</w:t>
      </w:r>
    </w:p>
    <w:p>
      <w:pPr>
        <w:spacing w:after="0" w:line="80" w:lineRule="exact"/>
        <w:rPr>
          <w:sz w:val="20"/>
          <w:szCs w:val="20"/>
          <w:color w:val="auto"/>
        </w:rPr>
      </w:pPr>
    </w:p>
    <w:p>
      <w:pPr>
        <w:ind w:right="320" w:firstLine="405"/>
        <w:spacing w:after="0" w:line="297" w:lineRule="auto"/>
        <w:rPr>
          <w:sz w:val="20"/>
          <w:szCs w:val="20"/>
          <w:color w:val="auto"/>
        </w:rPr>
      </w:pPr>
      <w:r>
        <w:rPr>
          <w:rFonts w:ascii="Arial" w:cs="Arial" w:eastAsia="Arial" w:hAnsi="Arial"/>
          <w:sz w:val="16"/>
          <w:szCs w:val="16"/>
          <w:color w:val="auto"/>
        </w:rPr>
        <w:t>Operating income increased 8.1% to $117.7 million in the three months ended September 30, 2016 from $108.8 million in the three months ended September 30, 2015, while operating margin reflected a 20 basis point increase to 8.4% from 8.2% in the comparable period. Operating income increased 5.1% to $247.0 million in the six months ended September 30, 2016 from $235.0 million in the six months ended September 30, 2015, while operating margin remained flat at 8.8% from the comparable period. The increase in operating income was attributable to the same factors driving gross revenue. In addition, operating income for the second quarter of fiscal 2017 included one-time charges associated with the July 2016 debt refinancing transaction.</w:t>
      </w:r>
    </w:p>
    <w:p>
      <w:pPr>
        <w:spacing w:after="0" w:line="200" w:lineRule="exact"/>
        <w:rPr>
          <w:sz w:val="20"/>
          <w:szCs w:val="20"/>
          <w:color w:val="auto"/>
        </w:rPr>
      </w:pPr>
    </w:p>
    <w:p>
      <w:pPr>
        <w:spacing w:after="0" w:line="30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769" w:right="25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t>Non-GAAP Measures</w:t>
      </w:r>
    </w:p>
    <w:p>
      <w:pPr>
        <w:spacing w:after="0" w:line="121" w:lineRule="exact"/>
        <w:rPr>
          <w:sz w:val="20"/>
          <w:szCs w:val="20"/>
          <w:color w:val="auto"/>
        </w:rPr>
      </w:pPr>
    </w:p>
    <w:p>
      <w:pPr>
        <w:ind w:firstLine="405"/>
        <w:spacing w:after="0" w:line="285" w:lineRule="auto"/>
        <w:rPr>
          <w:sz w:val="20"/>
          <w:szCs w:val="20"/>
          <w:color w:val="auto"/>
        </w:rPr>
      </w:pPr>
      <w:r>
        <w:rPr>
          <w:rFonts w:ascii="Arial" w:cs="Arial" w:eastAsia="Arial" w:hAnsi="Arial"/>
          <w:sz w:val="16"/>
          <w:szCs w:val="16"/>
          <w:color w:val="auto"/>
        </w:rPr>
        <w:t>We publicly disclose certain non-GAAP financial measurements, including Adjusted Operating Income, Adjusted EBITDA, Adjusted EBITDA Margin, Adjusted Net Income, and Adjusted Diluted Earnings Per Share, or Adjusted Diluted EPS, because management uses these measures for business planning purposes, including to manage our business against internal projected results of operations and measure our performance. We view Adjusted Operating Income, Adjusted EBITDA, Adjusted EBITDA Margin, Adjusted Net Income, and Adjusted Diluted EPS as measures of our core operating business, which exclude the impact of the items detailed below, as these items are generally not operational in nature. These non-GAAP measures also provide another basis for comparing period to period results by excluding potential differences caused by non-operational and unusual or non-recurring items. We also utilize and discuss Free Cash Flow, because management uses this measure for business planning purposes, measuring the cash generating ability of the operating business, and measuring liquidity generally. We present these supplemental measures because we believe that these measures provide investors and securities analysts with important supplemental information with which to evaluate our performance, long term earnings potential, or liquidity, as applicable, and to enable them to assess our performance on the same basis as management. These supplemental performance measurements may vary from and may not be comparable to similarly titled measures by other companies in our industry. Adjusted Operating Income, Adjusted EBITDA, Adjusted EBITDA Margin, Adjusted Net Income, Adjusted Diluted EPS, and Free Cash Flow are not recognized measurements under accounting principles generally accepted in the United States, or GAAP, and when analyzing our performance or liquidity, as applicable, investors should (i) evaluate each adjustment in our reconciliation of operating and net income to Adjusted Operating Income, Adjusted EBITDA, Adjusted EBITDA Margin, and Adjusted Net Income, and net cash provided by operating activities to Free Cash Flows, and the explanatory footnotes regarding those adjustments, each as defined under GAAP, (ii) use Adjusted Operating Income, Adjusted EBITDA, Adjusted EBITDA Margin, Adjusted Net Income, and Adjusted Diluted EPS in addition to, and not as an alternative to, operating income, net income or diluted EPS, as measures of operating results, each as defined under GAAP, and (iii) use Free Cash Flows in addition to, and not as an alternative to, net cash provided by operating activities as a measure of liquidity, each as defined under GAAP. We have defined the aforementioned non-GAAP measures as follows:</w:t>
      </w:r>
    </w:p>
    <w:p>
      <w:pPr>
        <w:spacing w:after="0" w:line="281" w:lineRule="exact"/>
        <w:rPr>
          <w:sz w:val="20"/>
          <w:szCs w:val="20"/>
          <w:color w:val="auto"/>
        </w:rPr>
      </w:pPr>
    </w:p>
    <w:p>
      <w:pPr>
        <w:ind w:left="1300" w:right="120" w:hanging="644"/>
        <w:spacing w:after="0" w:line="259"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Operating Income" represents operating income before: (i) adjustments related to the amortization of intangible assets, and (ii) transaction costs, fees, losses, and expenses, including fees associated with debt prepayments. We prepare Adjusted Operating Income to eliminate the impact of items we do not consider indicative of ongoing operating performance due to their inherent unusual, extraordinary, or non-recurring nature or because they result from an event of a similar nature.</w:t>
      </w:r>
    </w:p>
    <w:p>
      <w:pPr>
        <w:spacing w:after="0" w:line="78" w:lineRule="exact"/>
        <w:rPr>
          <w:rFonts w:ascii="Arial" w:cs="Arial" w:eastAsia="Arial" w:hAnsi="Arial"/>
          <w:sz w:val="18"/>
          <w:szCs w:val="18"/>
          <w:color w:val="auto"/>
        </w:rPr>
      </w:pPr>
    </w:p>
    <w:p>
      <w:pPr>
        <w:ind w:left="1300" w:right="40" w:hanging="644"/>
        <w:spacing w:after="0" w:line="29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EBITDA” represents net income before income taxes, net interest and other expense and depreciation and amortization and before certain other items, including transaction costs, fees, losses, and expenses, including fees associated with debt prepayments. “Adjusted EBITDA Margin” is calculated as Adjusted EBITDA divided by revenue. Booz Allen prepares Adjusted EBITDA and Adjusted EBITDA Margin to eliminate the impact of items it does not consider indicative of ongoing operating performance due to their inherent unusual, extraordinary or non-recurring nature or because they result from an event of a similar nature.</w:t>
      </w:r>
    </w:p>
    <w:p>
      <w:pPr>
        <w:spacing w:after="0" w:line="50" w:lineRule="exact"/>
        <w:rPr>
          <w:rFonts w:ascii="Arial" w:cs="Arial" w:eastAsia="Arial" w:hAnsi="Arial"/>
          <w:sz w:val="16"/>
          <w:szCs w:val="16"/>
          <w:color w:val="auto"/>
        </w:rPr>
      </w:pPr>
    </w:p>
    <w:p>
      <w:pPr>
        <w:ind w:left="1300" w:right="160" w:hanging="644"/>
        <w:spacing w:after="0" w:line="297" w:lineRule="auto"/>
        <w:tabs>
          <w:tab w:leader="none" w:pos="130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"Adjusted Net Income" represents net income before: (i) adjustments related to the amortization of intangible assets, (ii) transaction costs, fees, losses, and expenses, including fees associated with debt prepayments, and (iii) amortization or write-off of debt issuance costs and write-off of original issue discount, net of the tax effect where appropriate calculated using an assumed effective tax rate. We prepare Adjusted Net Income to eliminate the impact of items, net of tax, we do not consider indicative of ongoing operating performance due to their inherent unusual, extraordinary, or non-recurring nature or because they result from an event of a similar nature.</w:t>
      </w:r>
    </w:p>
    <w:p>
      <w:pPr>
        <w:spacing w:after="0" w:line="50" w:lineRule="exact"/>
        <w:rPr>
          <w:rFonts w:ascii="Arial" w:cs="Arial" w:eastAsia="Arial" w:hAnsi="Arial"/>
          <w:sz w:val="16"/>
          <w:szCs w:val="16"/>
          <w:color w:val="auto"/>
        </w:rPr>
      </w:pPr>
    </w:p>
    <w:p>
      <w:pPr>
        <w:ind w:left="1300" w:hanging="644"/>
        <w:spacing w:after="0" w:line="264" w:lineRule="auto"/>
        <w:tabs>
          <w:tab w:leader="none" w:pos="13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"Adjusted Diluted EPS" represents diluted EPS calculated using Adjusted Net Income as opposed to net income. Additionally, Adjusted Diluted EPS does not contemplate any adjustments to net income as required under the two-class method as disclosed in the footnotes to the financial statements.</w:t>
      </w:r>
    </w:p>
    <w:p>
      <w:pPr>
        <w:spacing w:after="0" w:line="73" w:lineRule="exact"/>
        <w:rPr>
          <w:rFonts w:ascii="Arial" w:cs="Arial" w:eastAsia="Arial" w:hAnsi="Arial"/>
          <w:sz w:val="18"/>
          <w:szCs w:val="18"/>
          <w:color w:val="auto"/>
        </w:rPr>
      </w:pPr>
    </w:p>
    <w:p>
      <w:pPr>
        <w:ind w:left="1300" w:hanging="644"/>
        <w:spacing w:after="0"/>
        <w:tabs>
          <w:tab w:leader="none" w:pos="1300" w:val="left"/>
        </w:tabs>
        <w:numPr>
          <w:ilvl w:val="0"/>
          <w:numId w:val="12"/>
        </w:numPr>
        <w:rPr>
          <w:rFonts w:ascii="Arial" w:cs="Arial" w:eastAsia="Arial" w:hAnsi="Arial"/>
          <w:sz w:val="17"/>
          <w:szCs w:val="17"/>
          <w:color w:val="auto"/>
        </w:rPr>
      </w:pPr>
      <w:r>
        <w:rPr>
          <w:rFonts w:ascii="Arial" w:cs="Arial" w:eastAsia="Arial" w:hAnsi="Arial"/>
          <w:sz w:val="17"/>
          <w:szCs w:val="17"/>
          <w:color w:val="auto"/>
        </w:rPr>
        <w:t>"Free Cash Flow" represents the net cash generated from operating activities less the impact of purchases of property and equipment.</w:t>
      </w:r>
    </w:p>
    <w:p>
      <w:pPr>
        <w:spacing w:after="0" w:line="2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00"/>
          </w:cols>
          <w:pgMar w:left="240" w:top="877" w:right="259" w:bottom="1440" w:gutter="0" w:footer="0" w:header="0"/>
        </w:sectPr>
      </w:pPr>
    </w:p>
    <w:bookmarkStart w:id="19" w:name="page20"/>
    <w:bookmarkEnd w:id="19"/>
    <w:p>
      <w:pPr>
        <w:ind w:right="160" w:firstLine="405"/>
        <w:spacing w:after="0" w:line="277" w:lineRule="auto"/>
        <w:rPr>
          <w:sz w:val="20"/>
          <w:szCs w:val="20"/>
          <w:color w:val="auto"/>
        </w:rPr>
      </w:pPr>
      <w:r>
        <w:rPr>
          <w:rFonts w:ascii="Arial" w:cs="Arial" w:eastAsia="Arial" w:hAnsi="Arial"/>
          <w:sz w:val="18"/>
          <w:szCs w:val="18"/>
          <w:color w:val="auto"/>
        </w:rPr>
        <w:t>Below is a reconciliation of Adjusted Operating Income, Adjusted EBITDA, Adjusted EBITDA Margin, Adjusted Net Income, Adjusted Diluted EPS, and Free Cash Flow to the most directly comparable financial measure calculated and presented in accordance with GAAP.</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020" w:type="dxa"/>
            <w:vAlign w:val="bottom"/>
            <w:gridSpan w:val="5"/>
          </w:tcPr>
          <w:p>
            <w:pPr>
              <w:jc w:val="center"/>
              <w:ind w:right="360"/>
              <w:spacing w:after="0"/>
              <w:rPr>
                <w:sz w:val="20"/>
                <w:szCs w:val="20"/>
                <w:color w:val="auto"/>
              </w:rPr>
            </w:pPr>
            <w:r>
              <w:rPr>
                <w:rFonts w:ascii="Arial" w:cs="Arial" w:eastAsia="Arial" w:hAnsi="Arial"/>
                <w:sz w:val="14"/>
                <w:szCs w:val="14"/>
                <w:b w:val="1"/>
                <w:bCs w:val="1"/>
                <w:color w:val="auto"/>
                <w:w w:val="93"/>
              </w:rPr>
              <w:t>Three Months Ended</w:t>
            </w:r>
          </w:p>
        </w:tc>
        <w:tc>
          <w:tcPr>
            <w:tcW w:w="280" w:type="dxa"/>
            <w:vAlign w:val="bottom"/>
          </w:tcPr>
          <w:p>
            <w:pPr>
              <w:spacing w:after="0"/>
              <w:rPr>
                <w:sz w:val="14"/>
                <w:szCs w:val="14"/>
                <w:color w:val="auto"/>
              </w:rPr>
            </w:pPr>
          </w:p>
        </w:tc>
        <w:tc>
          <w:tcPr>
            <w:tcW w:w="2900" w:type="dxa"/>
            <w:vAlign w:val="bottom"/>
            <w:gridSpan w:val="4"/>
          </w:tcPr>
          <w:p>
            <w:pPr>
              <w:jc w:val="center"/>
              <w:ind w:right="171"/>
              <w:spacing w:after="0"/>
              <w:rPr>
                <w:sz w:val="20"/>
                <w:szCs w:val="20"/>
                <w:color w:val="auto"/>
              </w:rPr>
            </w:pPr>
            <w:r>
              <w:rPr>
                <w:rFonts w:ascii="Arial" w:cs="Arial" w:eastAsia="Arial" w:hAnsi="Arial"/>
                <w:sz w:val="14"/>
                <w:szCs w:val="14"/>
                <w:b w:val="1"/>
                <w:bCs w:val="1"/>
                <w:color w:val="auto"/>
                <w:w w:val="92"/>
              </w:rPr>
              <w:t>Six Months Ended</w:t>
            </w:r>
          </w:p>
        </w:tc>
        <w:tc>
          <w:tcPr>
            <w:tcW w:w="0" w:type="dxa"/>
            <w:vAlign w:val="bottom"/>
          </w:tcPr>
          <w:p>
            <w:pPr>
              <w:spacing w:after="0"/>
              <w:rPr>
                <w:sz w:val="1"/>
                <w:szCs w:val="1"/>
                <w:color w:val="auto"/>
              </w:rPr>
            </w:pPr>
          </w:p>
        </w:tc>
      </w:tr>
      <w:tr>
        <w:trPr>
          <w:trHeight w:val="192"/>
        </w:trPr>
        <w:tc>
          <w:tcPr>
            <w:tcW w:w="49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00" w:type="dxa"/>
            <w:vAlign w:val="bottom"/>
            <w:tcBorders>
              <w:bottom w:val="single" w:sz="8" w:color="auto"/>
            </w:tcBorders>
            <w:gridSpan w:val="3"/>
          </w:tcPr>
          <w:p>
            <w:pPr>
              <w:jc w:val="center"/>
              <w:ind w:left="753"/>
              <w:spacing w:after="0"/>
              <w:rPr>
                <w:sz w:val="20"/>
                <w:szCs w:val="20"/>
                <w:color w:val="auto"/>
              </w:rPr>
            </w:pPr>
            <w:r>
              <w:rPr>
                <w:rFonts w:ascii="Arial" w:cs="Arial" w:eastAsia="Arial" w:hAnsi="Arial"/>
                <w:sz w:val="14"/>
                <w:szCs w:val="14"/>
                <w:b w:val="1"/>
                <w:bCs w:val="1"/>
                <w:color w:val="auto"/>
                <w:w w:val="91"/>
              </w:rPr>
              <w:t>September 30,</w:t>
            </w:r>
          </w:p>
        </w:tc>
        <w:tc>
          <w:tcPr>
            <w:tcW w:w="1100" w:type="dxa"/>
            <w:vAlign w:val="bottom"/>
            <w:tcBorders>
              <w:bottom w:val="single" w:sz="8" w:color="auto"/>
            </w:tcBorders>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center"/>
              <w:ind w:left="773"/>
              <w:spacing w:after="0"/>
              <w:rPr>
                <w:sz w:val="20"/>
                <w:szCs w:val="20"/>
                <w:color w:val="auto"/>
              </w:rPr>
            </w:pPr>
            <w:r>
              <w:rPr>
                <w:rFonts w:ascii="Arial" w:cs="Arial" w:eastAsia="Arial" w:hAnsi="Arial"/>
                <w:sz w:val="14"/>
                <w:szCs w:val="14"/>
                <w:b w:val="1"/>
                <w:bCs w:val="1"/>
                <w:color w:val="auto"/>
                <w:w w:val="91"/>
              </w:rPr>
              <w:t>September 30,</w:t>
            </w:r>
          </w:p>
        </w:tc>
        <w:tc>
          <w:tcPr>
            <w:tcW w:w="11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4940" w:type="dxa"/>
            <w:vAlign w:val="bottom"/>
          </w:tcPr>
          <w:p>
            <w:pPr>
              <w:ind w:left="40"/>
              <w:spacing w:after="0"/>
              <w:rPr>
                <w:sz w:val="20"/>
                <w:szCs w:val="20"/>
                <w:color w:val="auto"/>
              </w:rPr>
            </w:pPr>
            <w:r>
              <w:rPr>
                <w:rFonts w:ascii="Arial" w:cs="Arial" w:eastAsia="Arial" w:hAnsi="Arial"/>
                <w:sz w:val="14"/>
                <w:szCs w:val="14"/>
                <w:b w:val="1"/>
                <w:bCs w:val="1"/>
                <w:color w:val="auto"/>
              </w:rPr>
              <w:t>(Amounts in thousands, except share and per share data)</w:t>
            </w: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3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120" w:type="dxa"/>
            <w:vAlign w:val="bottom"/>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55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auto"/>
            </w:tcBorders>
          </w:tcPr>
          <w:p>
            <w:pPr>
              <w:spacing w:after="0"/>
              <w:rPr>
                <w:sz w:val="22"/>
                <w:szCs w:val="22"/>
                <w:color w:val="auto"/>
              </w:rPr>
            </w:pPr>
          </w:p>
        </w:tc>
        <w:tc>
          <w:tcPr>
            <w:tcW w:w="4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31"/>
              <w:spacing w:after="0"/>
              <w:rPr>
                <w:sz w:val="20"/>
                <w:szCs w:val="20"/>
                <w:color w:val="auto"/>
              </w:rPr>
            </w:pPr>
            <w:r>
              <w:rPr>
                <w:rFonts w:ascii="Arial" w:cs="Arial" w:eastAsia="Arial" w:hAnsi="Arial"/>
                <w:sz w:val="14"/>
                <w:szCs w:val="14"/>
                <w:b w:val="1"/>
                <w:bCs w:val="1"/>
                <w:color w:val="auto"/>
              </w:rPr>
              <w:t>2015</w:t>
            </w:r>
          </w:p>
        </w:tc>
        <w:tc>
          <w:tcPr>
            <w:tcW w:w="0" w:type="dxa"/>
            <w:vAlign w:val="bottom"/>
          </w:tcPr>
          <w:p>
            <w:pPr>
              <w:spacing w:after="0"/>
              <w:rPr>
                <w:sz w:val="1"/>
                <w:szCs w:val="1"/>
                <w:color w:val="auto"/>
              </w:rPr>
            </w:pPr>
          </w:p>
        </w:tc>
      </w:tr>
      <w:tr>
        <w:trPr>
          <w:trHeight w:val="250"/>
        </w:trPr>
        <w:tc>
          <w:tcPr>
            <w:tcW w:w="49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800" w:type="dxa"/>
            <w:vAlign w:val="bottom"/>
            <w:gridSpan w:val="3"/>
          </w:tcPr>
          <w:p>
            <w:pPr>
              <w:jc w:val="center"/>
              <w:ind w:left="773"/>
              <w:spacing w:after="0"/>
              <w:rPr>
                <w:sz w:val="20"/>
                <w:szCs w:val="20"/>
                <w:color w:val="auto"/>
              </w:rPr>
            </w:pPr>
            <w:r>
              <w:rPr>
                <w:rFonts w:ascii="Arial" w:cs="Arial" w:eastAsia="Arial" w:hAnsi="Arial"/>
                <w:sz w:val="14"/>
                <w:szCs w:val="14"/>
                <w:b w:val="1"/>
                <w:bCs w:val="1"/>
                <w:color w:val="auto"/>
                <w:w w:val="95"/>
              </w:rPr>
              <w:t>(Unaudited)</w:t>
            </w: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780" w:type="dxa"/>
            <w:vAlign w:val="bottom"/>
            <w:gridSpan w:val="3"/>
          </w:tcPr>
          <w:p>
            <w:pPr>
              <w:jc w:val="center"/>
              <w:ind w:left="773"/>
              <w:spacing w:after="0"/>
              <w:rPr>
                <w:sz w:val="20"/>
                <w:szCs w:val="20"/>
                <w:color w:val="auto"/>
              </w:rPr>
            </w:pPr>
            <w:r>
              <w:rPr>
                <w:rFonts w:ascii="Arial" w:cs="Arial" w:eastAsia="Arial" w:hAnsi="Arial"/>
                <w:sz w:val="14"/>
                <w:szCs w:val="14"/>
                <w:b w:val="1"/>
                <w:bCs w:val="1"/>
                <w:color w:val="auto"/>
                <w:w w:val="97"/>
              </w:rPr>
              <w:t>(Unaudited)</w:t>
            </w: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6"/>
        </w:trPr>
        <w:tc>
          <w:tcPr>
            <w:tcW w:w="49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Adjusted Operating Income</w:t>
            </w: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Operating Income</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117,661</w:t>
            </w:r>
          </w:p>
        </w:tc>
        <w:tc>
          <w:tcPr>
            <w:tcW w:w="100" w:type="dxa"/>
            <w:vAlign w:val="bottom"/>
          </w:tcPr>
          <w:p>
            <w:pPr>
              <w:spacing w:after="0"/>
              <w:rPr>
                <w:sz w:val="21"/>
                <w:szCs w:val="21"/>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108,816</w:t>
            </w:r>
          </w:p>
        </w:tc>
        <w:tc>
          <w:tcPr>
            <w:tcW w:w="120" w:type="dxa"/>
            <w:vAlign w:val="bottom"/>
          </w:tcPr>
          <w:p>
            <w:pPr>
              <w:spacing w:after="0"/>
              <w:rPr>
                <w:sz w:val="21"/>
                <w:szCs w:val="21"/>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246,962</w:t>
            </w:r>
          </w:p>
        </w:tc>
        <w:tc>
          <w:tcPr>
            <w:tcW w:w="100" w:type="dxa"/>
            <w:vAlign w:val="bottom"/>
          </w:tcPr>
          <w:p>
            <w:pPr>
              <w:spacing w:after="0"/>
              <w:rPr>
                <w:sz w:val="21"/>
                <w:szCs w:val="21"/>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234,960</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987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2,113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Operating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122,002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109,872</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252,429</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237,072</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EBITDA, Adjusted EBITDA &amp; Adjusted EBITDA Margin</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62,830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130,647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120,522</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Income tax expense</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34,917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34,737</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80,464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79,017</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Interest and other, net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19,914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17,863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35,851</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35,421</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15,352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29,178</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30,469</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EBITDA</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132,338</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124,168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276,140</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265,429</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3,354</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Adjusted EBITDA</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135,692</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124,168</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279,494</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265,429</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380"/>
              <w:spacing w:after="0"/>
              <w:rPr>
                <w:sz w:val="20"/>
                <w:szCs w:val="20"/>
                <w:color w:val="auto"/>
              </w:rPr>
            </w:pPr>
            <w:r>
              <w:rPr>
                <w:rFonts w:ascii="Arial" w:cs="Arial" w:eastAsia="Arial" w:hAnsi="Arial"/>
                <w:sz w:val="18"/>
                <w:szCs w:val="18"/>
                <w:color w:val="auto"/>
              </w:rPr>
              <w:t>Revenue</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40" w:type="dxa"/>
            <w:vAlign w:val="bottom"/>
            <w:vMerge w:val="continue"/>
          </w:tcPr>
          <w:p>
            <w:pPr>
              <w:spacing w:after="0"/>
              <w:rPr>
                <w:sz w:val="19"/>
                <w:szCs w:val="19"/>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1,394,853</w:t>
            </w:r>
          </w:p>
        </w:tc>
        <w:tc>
          <w:tcPr>
            <w:tcW w:w="100" w:type="dxa"/>
            <w:vAlign w:val="bottom"/>
          </w:tcPr>
          <w:p>
            <w:pPr>
              <w:spacing w:after="0"/>
              <w:rPr>
                <w:sz w:val="19"/>
                <w:szCs w:val="19"/>
                <w:color w:val="auto"/>
              </w:rPr>
            </w:pPr>
          </w:p>
        </w:tc>
        <w:tc>
          <w:tcPr>
            <w:tcW w:w="440" w:type="dxa"/>
            <w:vAlign w:val="bottom"/>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1,322,154</w:t>
            </w:r>
          </w:p>
        </w:tc>
        <w:tc>
          <w:tcPr>
            <w:tcW w:w="120" w:type="dxa"/>
            <w:vAlign w:val="bottom"/>
          </w:tcPr>
          <w:p>
            <w:pPr>
              <w:spacing w:after="0"/>
              <w:rPr>
                <w:sz w:val="19"/>
                <w:szCs w:val="19"/>
                <w:color w:val="auto"/>
              </w:rPr>
            </w:pP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2,817,575</w:t>
            </w:r>
          </w:p>
        </w:tc>
        <w:tc>
          <w:tcPr>
            <w:tcW w:w="100" w:type="dxa"/>
            <w:vAlign w:val="bottom"/>
          </w:tcPr>
          <w:p>
            <w:pPr>
              <w:spacing w:after="0"/>
              <w:rPr>
                <w:sz w:val="19"/>
                <w:szCs w:val="19"/>
                <w:color w:val="auto"/>
              </w:rPr>
            </w:pPr>
          </w:p>
        </w:tc>
        <w:tc>
          <w:tcPr>
            <w:tcW w:w="420" w:type="dxa"/>
            <w:vAlign w:val="bottom"/>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2,673,758</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EBITDA Margin</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0" w:type="dxa"/>
            <w:vAlign w:val="bottom"/>
          </w:tcPr>
          <w:p>
            <w:pPr>
              <w:spacing w:after="0"/>
              <w:rPr>
                <w:sz w:val="1"/>
                <w:szCs w:val="1"/>
                <w:color w:val="auto"/>
              </w:rPr>
            </w:pPr>
          </w:p>
        </w:tc>
      </w:tr>
      <w:tr>
        <w:trPr>
          <w:trHeight w:val="243"/>
        </w:trPr>
        <w:tc>
          <w:tcPr>
            <w:tcW w:w="49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Adjusted Net Income</w:t>
            </w: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income</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62,830</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56,216</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130,647</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120,522</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Amortization of intangible assets (a)</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987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1,056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2,113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2,112</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Transaction expenses (b)</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3,354</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40" w:type="dxa"/>
            <w:vAlign w:val="bottom"/>
          </w:tcPr>
          <w:p>
            <w:pPr>
              <w:ind w:left="380"/>
              <w:spacing w:after="0"/>
              <w:rPr>
                <w:sz w:val="20"/>
                <w:szCs w:val="20"/>
                <w:color w:val="auto"/>
              </w:rPr>
            </w:pPr>
            <w:r>
              <w:rPr>
                <w:rFonts w:ascii="Arial" w:cs="Arial" w:eastAsia="Arial" w:hAnsi="Arial"/>
                <w:sz w:val="18"/>
                <w:szCs w:val="18"/>
                <w:color w:val="auto"/>
                <w:w w:val="95"/>
              </w:rPr>
              <w:t>Amortization or write-off of debt issuance costs and write-off</w:t>
            </w: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40" w:type="dxa"/>
            <w:vAlign w:val="bottom"/>
          </w:tcPr>
          <w:p>
            <w:pPr>
              <w:ind w:left="380"/>
              <w:spacing w:after="0"/>
              <w:rPr>
                <w:sz w:val="20"/>
                <w:szCs w:val="20"/>
                <w:color w:val="auto"/>
              </w:rPr>
            </w:pPr>
            <w:r>
              <w:rPr>
                <w:rFonts w:ascii="Arial" w:cs="Arial" w:eastAsia="Arial" w:hAnsi="Arial"/>
                <w:sz w:val="18"/>
                <w:szCs w:val="18"/>
                <w:color w:val="auto"/>
              </w:rPr>
              <w:t>of original issue discount</w:t>
            </w:r>
          </w:p>
        </w:tc>
        <w:tc>
          <w:tcPr>
            <w:tcW w:w="280" w:type="dxa"/>
            <w:vAlign w:val="bottom"/>
          </w:tcPr>
          <w:p>
            <w:pPr>
              <w:spacing w:after="0"/>
              <w:rPr>
                <w:sz w:val="20"/>
                <w:szCs w:val="20"/>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6,278</w:t>
            </w: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rPr>
              <w:t>1,309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7,567</w:t>
            </w: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7"/>
        </w:trPr>
        <w:tc>
          <w:tcPr>
            <w:tcW w:w="49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Adjustments for tax effect (c)</w:t>
            </w: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(4,248)</w:t>
            </w:r>
          </w:p>
        </w:tc>
        <w:tc>
          <w:tcPr>
            <w:tcW w:w="10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(946)</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(5,214)</w:t>
            </w:r>
          </w:p>
        </w:tc>
        <w:tc>
          <w:tcPr>
            <w:tcW w:w="100" w:type="dxa"/>
            <w:vAlign w:val="bottom"/>
            <w:tcBorders>
              <w:bottom w:val="single" w:sz="8" w:color="CCEEFF"/>
            </w:tcBorders>
            <w:shd w:val="clear" w:color="auto" w:fill="CCEEFF"/>
          </w:tcPr>
          <w:p>
            <w:pPr>
              <w:spacing w:after="0"/>
              <w:rPr>
                <w:sz w:val="23"/>
                <w:szCs w:val="23"/>
                <w:color w:val="auto"/>
              </w:rPr>
            </w:pPr>
          </w:p>
        </w:tc>
        <w:tc>
          <w:tcPr>
            <w:tcW w:w="4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37"/>
        </w:trPr>
        <w:tc>
          <w:tcPr>
            <w:tcW w:w="4940" w:type="dxa"/>
            <w:vAlign w:val="bottom"/>
          </w:tcPr>
          <w:p>
            <w:pPr>
              <w:ind w:left="720"/>
              <w:spacing w:after="0"/>
              <w:rPr>
                <w:sz w:val="20"/>
                <w:szCs w:val="20"/>
                <w:color w:val="auto"/>
              </w:rPr>
            </w:pPr>
            <w:r>
              <w:rPr>
                <w:rFonts w:ascii="Arial" w:cs="Arial" w:eastAsia="Arial" w:hAnsi="Arial"/>
                <w:sz w:val="18"/>
                <w:szCs w:val="18"/>
                <w:color w:val="auto"/>
              </w:rPr>
              <w:t>Adjusted Net Income</w:t>
            </w: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69,201</w:t>
            </w:r>
          </w:p>
        </w:tc>
        <w:tc>
          <w:tcPr>
            <w:tcW w:w="100" w:type="dxa"/>
            <w:vAlign w:val="bottom"/>
          </w:tcPr>
          <w:p>
            <w:pPr>
              <w:spacing w:after="0"/>
              <w:rPr>
                <w:sz w:val="20"/>
                <w:szCs w:val="20"/>
                <w:color w:val="auto"/>
              </w:rPr>
            </w:pPr>
          </w:p>
        </w:tc>
        <w:tc>
          <w:tcPr>
            <w:tcW w:w="440" w:type="dxa"/>
            <w:vAlign w:val="bottom"/>
            <w:tcBorders>
              <w:top w:val="single" w:sz="8" w:color="auto"/>
            </w:tcBorders>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57,635</w:t>
            </w:r>
          </w:p>
        </w:tc>
        <w:tc>
          <w:tcPr>
            <w:tcW w:w="1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13"/>
              <w:spacing w:after="0"/>
              <w:rPr>
                <w:sz w:val="20"/>
                <w:szCs w:val="20"/>
                <w:color w:val="auto"/>
              </w:rPr>
            </w:pPr>
            <w:r>
              <w:rPr>
                <w:rFonts w:ascii="Arial" w:cs="Arial" w:eastAsia="Arial" w:hAnsi="Arial"/>
                <w:sz w:val="18"/>
                <w:szCs w:val="18"/>
                <w:color w:val="auto"/>
              </w:rPr>
              <w:t>138,467</w:t>
            </w:r>
          </w:p>
        </w:tc>
        <w:tc>
          <w:tcPr>
            <w:tcW w:w="100" w:type="dxa"/>
            <w:vAlign w:val="bottom"/>
          </w:tcPr>
          <w:p>
            <w:pPr>
              <w:spacing w:after="0"/>
              <w:rPr>
                <w:sz w:val="20"/>
                <w:szCs w:val="20"/>
                <w:color w:val="auto"/>
              </w:rPr>
            </w:pPr>
          </w:p>
        </w:tc>
        <w:tc>
          <w:tcPr>
            <w:tcW w:w="420" w:type="dxa"/>
            <w:vAlign w:val="bottom"/>
            <w:tcBorders>
              <w:top w:val="single" w:sz="8" w:color="auto"/>
            </w:tcBorders>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tcBorders>
          </w:tcPr>
          <w:p>
            <w:pPr>
              <w:jc w:val="right"/>
              <w:ind w:right="91"/>
              <w:spacing w:after="0"/>
              <w:rPr>
                <w:sz w:val="20"/>
                <w:szCs w:val="20"/>
                <w:color w:val="auto"/>
              </w:rPr>
            </w:pPr>
            <w:r>
              <w:rPr>
                <w:rFonts w:ascii="Arial" w:cs="Arial" w:eastAsia="Arial" w:hAnsi="Arial"/>
                <w:sz w:val="18"/>
                <w:szCs w:val="18"/>
                <w:color w:val="auto"/>
              </w:rPr>
              <w:t>123,351</w:t>
            </w:r>
          </w:p>
        </w:tc>
        <w:tc>
          <w:tcPr>
            <w:tcW w:w="0" w:type="dxa"/>
            <w:vAlign w:val="bottom"/>
          </w:tcPr>
          <w:p>
            <w:pPr>
              <w:spacing w:after="0"/>
              <w:rPr>
                <w:sz w:val="1"/>
                <w:szCs w:val="1"/>
                <w:color w:val="auto"/>
              </w:rPr>
            </w:pPr>
          </w:p>
        </w:tc>
      </w:tr>
      <w:tr>
        <w:trPr>
          <w:trHeight w:val="67"/>
        </w:trPr>
        <w:tc>
          <w:tcPr>
            <w:tcW w:w="494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4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tcPr>
          <w:p>
            <w:pPr>
              <w:spacing w:after="0"/>
              <w:rPr>
                <w:sz w:val="5"/>
                <w:szCs w:val="5"/>
                <w:color w:val="auto"/>
              </w:rPr>
            </w:pPr>
          </w:p>
        </w:tc>
        <w:tc>
          <w:tcPr>
            <w:tcW w:w="120" w:type="dxa"/>
            <w:vAlign w:val="bottom"/>
            <w:tcBorders>
              <w:bottom w:val="single" w:sz="8" w:color="CCEEFF"/>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1260" w:type="dxa"/>
            <w:vAlign w:val="bottom"/>
            <w:tcBorders>
              <w:bottom w:val="single" w:sz="8" w:color="auto"/>
            </w:tcBorders>
          </w:tcPr>
          <w:p>
            <w:pPr>
              <w:spacing w:after="0"/>
              <w:rPr>
                <w:sz w:val="5"/>
                <w:szCs w:val="5"/>
                <w:color w:val="auto"/>
              </w:rPr>
            </w:pPr>
          </w:p>
        </w:tc>
        <w:tc>
          <w:tcPr>
            <w:tcW w:w="100" w:type="dxa"/>
            <w:vAlign w:val="bottom"/>
            <w:tcBorders>
              <w:bottom w:val="single" w:sz="8" w:color="CCEEFF"/>
            </w:tcBorders>
          </w:tcPr>
          <w:p>
            <w:pPr>
              <w:spacing w:after="0"/>
              <w:rPr>
                <w:sz w:val="5"/>
                <w:szCs w:val="5"/>
                <w:color w:val="auto"/>
              </w:rPr>
            </w:pPr>
          </w:p>
        </w:tc>
        <w:tc>
          <w:tcPr>
            <w:tcW w:w="420" w:type="dxa"/>
            <w:vAlign w:val="bottom"/>
            <w:tcBorders>
              <w:bottom w:val="single" w:sz="8" w:color="auto"/>
            </w:tcBorders>
          </w:tcPr>
          <w:p>
            <w:pPr>
              <w:spacing w:after="0"/>
              <w:rPr>
                <w:sz w:val="5"/>
                <w:szCs w:val="5"/>
                <w:color w:val="auto"/>
              </w:rPr>
            </w:pPr>
          </w:p>
        </w:tc>
        <w:tc>
          <w:tcPr>
            <w:tcW w:w="112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4940" w:type="dxa"/>
            <w:vAlign w:val="bottom"/>
            <w:tcBorders>
              <w:bottom w:val="single" w:sz="8" w:color="CCEEFF"/>
            </w:tcBorders>
            <w:shd w:val="clear" w:color="auto" w:fill="CCEEFF"/>
          </w:tcPr>
          <w:p>
            <w:pPr>
              <w:ind w:left="40"/>
              <w:spacing w:after="0" w:line="196" w:lineRule="exact"/>
              <w:rPr>
                <w:sz w:val="20"/>
                <w:szCs w:val="20"/>
                <w:color w:val="auto"/>
              </w:rPr>
            </w:pPr>
            <w:r>
              <w:rPr>
                <w:rFonts w:ascii="Arial" w:cs="Arial" w:eastAsia="Arial" w:hAnsi="Arial"/>
                <w:sz w:val="18"/>
                <w:szCs w:val="18"/>
                <w:b w:val="1"/>
                <w:bCs w:val="1"/>
                <w:i w:val="1"/>
                <w:iCs w:val="1"/>
                <w:color w:val="auto"/>
              </w:rPr>
              <w:t>Adjusted Diluted Earnings Per Share</w:t>
            </w: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Weighted-average number of diluted shares outstanding</w:t>
            </w: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150,200,454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91"/>
              <w:spacing w:after="0"/>
              <w:rPr>
                <w:sz w:val="20"/>
                <w:szCs w:val="20"/>
                <w:color w:val="auto"/>
              </w:rPr>
            </w:pPr>
            <w:r>
              <w:rPr>
                <w:rFonts w:ascii="Arial" w:cs="Arial" w:eastAsia="Arial" w:hAnsi="Arial"/>
                <w:sz w:val="18"/>
                <w:szCs w:val="18"/>
                <w:color w:val="auto"/>
                <w:w w:val="89"/>
              </w:rPr>
              <w:t>149,388,556</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113"/>
              <w:spacing w:after="0"/>
              <w:rPr>
                <w:sz w:val="20"/>
                <w:szCs w:val="20"/>
                <w:color w:val="auto"/>
              </w:rPr>
            </w:pPr>
            <w:r>
              <w:rPr>
                <w:rFonts w:ascii="Arial" w:cs="Arial" w:eastAsia="Arial" w:hAnsi="Arial"/>
                <w:sz w:val="18"/>
                <w:szCs w:val="18"/>
                <w:color w:val="auto"/>
              </w:rPr>
              <w:t>149,914,416</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91"/>
              <w:spacing w:after="0"/>
              <w:rPr>
                <w:sz w:val="20"/>
                <w:szCs w:val="20"/>
                <w:color w:val="auto"/>
              </w:rPr>
            </w:pPr>
            <w:r>
              <w:rPr>
                <w:rFonts w:ascii="Arial" w:cs="Arial" w:eastAsia="Arial" w:hAnsi="Arial"/>
                <w:sz w:val="18"/>
                <w:szCs w:val="18"/>
                <w:color w:val="auto"/>
                <w:w w:val="91"/>
              </w:rPr>
              <w:t>148,996,669</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Adjusted Net Income Per Diluted Share (d)</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0.46</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0.39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0.92</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0.83</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bottom w:val="single" w:sz="8" w:color="CCEEFF"/>
            </w:tcBorders>
            <w:vMerge w:val="restart"/>
          </w:tcPr>
          <w:p>
            <w:pPr>
              <w:ind w:left="40"/>
              <w:spacing w:after="0"/>
              <w:rPr>
                <w:sz w:val="20"/>
                <w:szCs w:val="20"/>
                <w:color w:val="auto"/>
              </w:rPr>
            </w:pPr>
            <w:r>
              <w:rPr>
                <w:rFonts w:ascii="Arial" w:cs="Arial" w:eastAsia="Arial" w:hAnsi="Arial"/>
                <w:sz w:val="18"/>
                <w:szCs w:val="18"/>
                <w:b w:val="1"/>
                <w:bCs w:val="1"/>
                <w:i w:val="1"/>
                <w:iCs w:val="1"/>
                <w:color w:val="auto"/>
              </w:rPr>
              <w:t>Free Cash Flow</w:t>
            </w: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940" w:type="dxa"/>
            <w:vAlign w:val="bottom"/>
            <w:vMerge w:val="continue"/>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40" w:type="dxa"/>
            <w:vAlign w:val="bottom"/>
          </w:tcPr>
          <w:p>
            <w:pPr>
              <w:spacing w:after="0"/>
              <w:rPr>
                <w:sz w:val="4"/>
                <w:szCs w:val="4"/>
                <w:color w:val="auto"/>
              </w:rPr>
            </w:pPr>
          </w:p>
        </w:tc>
        <w:tc>
          <w:tcPr>
            <w:tcW w:w="1100" w:type="dxa"/>
            <w:vAlign w:val="bottom"/>
          </w:tcPr>
          <w:p>
            <w:pPr>
              <w:spacing w:after="0"/>
              <w:rPr>
                <w:sz w:val="4"/>
                <w:szCs w:val="4"/>
                <w:color w:val="auto"/>
              </w:rPr>
            </w:pPr>
          </w:p>
        </w:tc>
        <w:tc>
          <w:tcPr>
            <w:tcW w:w="1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26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1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0"/>
        </w:trPr>
        <w:tc>
          <w:tcPr>
            <w:tcW w:w="49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205,436</w:t>
            </w:r>
          </w:p>
        </w:tc>
        <w:tc>
          <w:tcPr>
            <w:tcW w:w="10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69,591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217,083</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88,687</w:t>
            </w:r>
          </w:p>
        </w:tc>
        <w:tc>
          <w:tcPr>
            <w:tcW w:w="0" w:type="dxa"/>
            <w:vAlign w:val="bottom"/>
          </w:tcPr>
          <w:p>
            <w:pPr>
              <w:spacing w:after="0"/>
              <w:rPr>
                <w:sz w:val="1"/>
                <w:szCs w:val="1"/>
                <w:color w:val="auto"/>
              </w:rPr>
            </w:pPr>
          </w:p>
        </w:tc>
      </w:tr>
      <w:tr>
        <w:trPr>
          <w:trHeight w:val="243"/>
        </w:trPr>
        <w:tc>
          <w:tcPr>
            <w:tcW w:w="4940" w:type="dxa"/>
            <w:vAlign w:val="bottom"/>
          </w:tcPr>
          <w:p>
            <w:pPr>
              <w:ind w:left="380"/>
              <w:spacing w:after="0"/>
              <w:rPr>
                <w:sz w:val="20"/>
                <w:szCs w:val="20"/>
                <w:color w:val="auto"/>
              </w:rPr>
            </w:pPr>
            <w:r>
              <w:rPr>
                <w:rFonts w:ascii="Arial" w:cs="Arial" w:eastAsia="Arial" w:hAnsi="Arial"/>
                <w:sz w:val="18"/>
                <w:szCs w:val="18"/>
                <w:color w:val="auto"/>
              </w:rPr>
              <w:t>Less: Purchases of property and equipment</w:t>
            </w:r>
          </w:p>
        </w:tc>
        <w:tc>
          <w:tcPr>
            <w:tcW w:w="2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(8,972)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100" w:type="dxa"/>
            <w:vAlign w:val="bottom"/>
          </w:tcPr>
          <w:p>
            <w:pPr>
              <w:jc w:val="right"/>
              <w:ind w:right="31"/>
              <w:spacing w:after="0"/>
              <w:rPr>
                <w:sz w:val="20"/>
                <w:szCs w:val="20"/>
                <w:color w:val="auto"/>
              </w:rPr>
            </w:pPr>
            <w:r>
              <w:rPr>
                <w:rFonts w:ascii="Arial" w:cs="Arial" w:eastAsia="Arial" w:hAnsi="Arial"/>
                <w:sz w:val="18"/>
                <w:szCs w:val="18"/>
                <w:color w:val="auto"/>
              </w:rPr>
              <w:t>(16,422)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60" w:type="dxa"/>
            <w:vAlign w:val="bottom"/>
          </w:tcPr>
          <w:p>
            <w:pPr>
              <w:jc w:val="right"/>
              <w:ind w:right="53"/>
              <w:spacing w:after="0"/>
              <w:rPr>
                <w:sz w:val="20"/>
                <w:szCs w:val="20"/>
                <w:color w:val="auto"/>
              </w:rPr>
            </w:pPr>
            <w:r>
              <w:rPr>
                <w:rFonts w:ascii="Arial" w:cs="Arial" w:eastAsia="Arial" w:hAnsi="Arial"/>
                <w:sz w:val="18"/>
                <w:szCs w:val="18"/>
                <w:color w:val="auto"/>
              </w:rPr>
              <w:t>(15,143)</w:t>
            </w:r>
          </w:p>
        </w:tc>
        <w:tc>
          <w:tcPr>
            <w:tcW w:w="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(29,562)</w:t>
            </w:r>
          </w:p>
        </w:tc>
        <w:tc>
          <w:tcPr>
            <w:tcW w:w="0" w:type="dxa"/>
            <w:vAlign w:val="bottom"/>
          </w:tcPr>
          <w:p>
            <w:pPr>
              <w:spacing w:after="0"/>
              <w:rPr>
                <w:sz w:val="1"/>
                <w:szCs w:val="1"/>
                <w:color w:val="auto"/>
              </w:rPr>
            </w:pPr>
          </w:p>
        </w:tc>
      </w:tr>
      <w:tr>
        <w:trPr>
          <w:trHeight w:val="27"/>
        </w:trPr>
        <w:tc>
          <w:tcPr>
            <w:tcW w:w="494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40" w:type="dxa"/>
            <w:vAlign w:val="bottom"/>
            <w:tcBorders>
              <w:bottom w:val="single" w:sz="8" w:color="CCEEFF"/>
            </w:tcBorders>
            <w:shd w:val="clear" w:color="auto" w:fill="CCEEFF"/>
          </w:tcPr>
          <w:p>
            <w:pPr>
              <w:ind w:left="720"/>
              <w:spacing w:after="0"/>
              <w:rPr>
                <w:sz w:val="20"/>
                <w:szCs w:val="20"/>
                <w:color w:val="auto"/>
              </w:rPr>
            </w:pPr>
            <w:r>
              <w:rPr>
                <w:rFonts w:ascii="Arial" w:cs="Arial" w:eastAsia="Arial" w:hAnsi="Arial"/>
                <w:sz w:val="18"/>
                <w:szCs w:val="18"/>
                <w:color w:val="auto"/>
              </w:rPr>
              <w:t>Free Cash Flow</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196,464</w:t>
            </w:r>
          </w:p>
        </w:tc>
        <w:tc>
          <w:tcPr>
            <w:tcW w:w="100" w:type="dxa"/>
            <w:vAlign w:val="bottom"/>
            <w:tcBorders>
              <w:bottom w:val="single" w:sz="8" w:color="CCEEFF"/>
            </w:tcBorders>
            <w:shd w:val="clear" w:color="auto" w:fill="CCEEFF"/>
          </w:tcPr>
          <w:p>
            <w:pPr>
              <w:spacing w:after="0"/>
              <w:rPr>
                <w:sz w:val="22"/>
                <w:szCs w:val="22"/>
                <w:color w:val="auto"/>
              </w:rPr>
            </w:pPr>
          </w:p>
        </w:tc>
        <w:tc>
          <w:tcPr>
            <w:tcW w:w="440" w:type="dxa"/>
            <w:vAlign w:val="bottom"/>
            <w:tcBorders>
              <w:bottom w:val="single" w:sz="8" w:color="CCEEFF"/>
            </w:tcBorders>
            <w:shd w:val="clear" w:color="auto" w:fill="CCEEFF"/>
          </w:tcPr>
          <w:p>
            <w:pPr>
              <w:jc w:val="right"/>
              <w:ind w:right="23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53,169</w:t>
            </w:r>
          </w:p>
        </w:tc>
        <w:tc>
          <w:tcPr>
            <w:tcW w:w="12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113"/>
              <w:spacing w:after="0"/>
              <w:rPr>
                <w:sz w:val="20"/>
                <w:szCs w:val="20"/>
                <w:color w:val="auto"/>
              </w:rPr>
            </w:pPr>
            <w:r>
              <w:rPr>
                <w:rFonts w:ascii="Arial" w:cs="Arial" w:eastAsia="Arial" w:hAnsi="Arial"/>
                <w:sz w:val="18"/>
                <w:szCs w:val="18"/>
                <w:color w:val="auto"/>
              </w:rPr>
              <w:t>201,940</w:t>
            </w:r>
          </w:p>
        </w:tc>
        <w:tc>
          <w:tcPr>
            <w:tcW w:w="100" w:type="dxa"/>
            <w:vAlign w:val="bottom"/>
            <w:tcBorders>
              <w:bottom w:val="single" w:sz="8" w:color="CCEEFF"/>
            </w:tcBorders>
            <w:shd w:val="clear" w:color="auto" w:fill="CCEEFF"/>
          </w:tcPr>
          <w:p>
            <w:pPr>
              <w:spacing w:after="0"/>
              <w:rPr>
                <w:sz w:val="22"/>
                <w:szCs w:val="22"/>
                <w:color w:val="auto"/>
              </w:rPr>
            </w:pPr>
          </w:p>
        </w:tc>
        <w:tc>
          <w:tcPr>
            <w:tcW w:w="420" w:type="dxa"/>
            <w:vAlign w:val="bottom"/>
            <w:tcBorders>
              <w:bottom w:val="single" w:sz="8" w:color="CCEEFF"/>
            </w:tcBorders>
            <w:shd w:val="clear" w:color="auto" w:fill="CCEEFF"/>
          </w:tcPr>
          <w:p>
            <w:pPr>
              <w:jc w:val="right"/>
              <w:ind w:right="2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91"/>
              <w:spacing w:after="0"/>
              <w:rPr>
                <w:sz w:val="20"/>
                <w:szCs w:val="20"/>
                <w:color w:val="auto"/>
              </w:rPr>
            </w:pPr>
            <w:r>
              <w:rPr>
                <w:rFonts w:ascii="Arial" w:cs="Arial" w:eastAsia="Arial" w:hAnsi="Arial"/>
                <w:sz w:val="18"/>
                <w:szCs w:val="18"/>
                <w:color w:val="auto"/>
              </w:rPr>
              <w:t>59,125</w:t>
            </w:r>
          </w:p>
        </w:tc>
        <w:tc>
          <w:tcPr>
            <w:tcW w:w="0" w:type="dxa"/>
            <w:vAlign w:val="bottom"/>
          </w:tcPr>
          <w:p>
            <w:pPr>
              <w:spacing w:after="0"/>
              <w:rPr>
                <w:sz w:val="1"/>
                <w:szCs w:val="1"/>
                <w:color w:val="auto"/>
              </w:rPr>
            </w:pPr>
          </w:p>
        </w:tc>
      </w:tr>
      <w:tr>
        <w:trPr>
          <w:trHeight w:val="20"/>
        </w:trPr>
        <w:tc>
          <w:tcPr>
            <w:tcW w:w="49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amortization of intangible assets resulting from the Acquisition of our Company by The Carlyle Group.</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debt refinancing costs incurred in connection with the refinancing transaction consummated on July 13, 2016.</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Reflects tax effect of adjustments at an assumed marginal tax rate of 40%.</w:t>
      </w:r>
    </w:p>
    <w:p>
      <w:pPr>
        <w:spacing w:after="0" w:line="117" w:lineRule="exact"/>
        <w:rPr>
          <w:rFonts w:ascii="Arial" w:cs="Arial" w:eastAsia="Arial" w:hAnsi="Arial"/>
          <w:sz w:val="18"/>
          <w:szCs w:val="18"/>
          <w:color w:val="auto"/>
        </w:rPr>
      </w:pPr>
    </w:p>
    <w:p>
      <w:pPr>
        <w:ind w:left="660" w:right="440" w:hanging="652"/>
        <w:spacing w:after="0" w:line="312" w:lineRule="auto"/>
        <w:tabs>
          <w:tab w:leader="none" w:pos="660" w:val="left"/>
        </w:tabs>
        <w:numPr>
          <w:ilvl w:val="0"/>
          <w:numId w:val="13"/>
        </w:numPr>
        <w:rPr>
          <w:rFonts w:ascii="Arial" w:cs="Arial" w:eastAsia="Arial" w:hAnsi="Arial"/>
          <w:sz w:val="16"/>
          <w:szCs w:val="16"/>
          <w:color w:val="auto"/>
        </w:rPr>
      </w:pPr>
      <w:r>
        <w:rPr>
          <w:rFonts w:ascii="Arial" w:cs="Arial" w:eastAsia="Arial" w:hAnsi="Arial"/>
          <w:sz w:val="16"/>
          <w:szCs w:val="16"/>
          <w:color w:val="auto"/>
        </w:rPr>
        <w:t>Excludes an adjustment of approximately $0.7 million and $1.3 million of net earnings for the three and six months ended September 30, 2016, respectively, and excludes an adjustment of approximately $0.8 million and $1.6 million of net earnings for the three and six months ended September 30, 2015, respectively, associated with the application of the two-class method for computing diluted earnings per share.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881" w:right="23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Factors and Trends Affecting Our Results of Operations</w:t>
      </w:r>
    </w:p>
    <w:p>
      <w:pPr>
        <w:spacing w:after="0" w:line="121" w:lineRule="exact"/>
        <w:rPr>
          <w:sz w:val="20"/>
          <w:szCs w:val="20"/>
          <w:color w:val="auto"/>
        </w:rPr>
      </w:pPr>
    </w:p>
    <w:p>
      <w:pPr>
        <w:ind w:right="440" w:firstLine="405"/>
        <w:spacing w:after="0" w:line="277" w:lineRule="auto"/>
        <w:rPr>
          <w:sz w:val="20"/>
          <w:szCs w:val="20"/>
          <w:color w:val="auto"/>
        </w:rPr>
      </w:pPr>
      <w:r>
        <w:rPr>
          <w:rFonts w:ascii="Arial" w:cs="Arial" w:eastAsia="Arial" w:hAnsi="Arial"/>
          <w:sz w:val="18"/>
          <w:szCs w:val="18"/>
          <w:color w:val="auto"/>
        </w:rPr>
        <w:t>Our results of operations have been, and we expect them to continue to be, affected by the following factors, which may cause our future results of operations to differ from our historical results of operations discussed under “— Results of Operations.”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Business Environment and Key Trends in Our Markets</w:t>
      </w:r>
    </w:p>
    <w:p>
      <w:pPr>
        <w:spacing w:after="0" w:line="117" w:lineRule="exact"/>
        <w:rPr>
          <w:sz w:val="20"/>
          <w:szCs w:val="20"/>
          <w:color w:val="auto"/>
        </w:rPr>
      </w:pPr>
    </w:p>
    <w:p>
      <w:pPr>
        <w:ind w:right="320" w:firstLine="405"/>
        <w:spacing w:after="0" w:line="277" w:lineRule="auto"/>
        <w:rPr>
          <w:sz w:val="20"/>
          <w:szCs w:val="20"/>
          <w:color w:val="auto"/>
        </w:rPr>
      </w:pPr>
      <w:r>
        <w:rPr>
          <w:rFonts w:ascii="Arial" w:cs="Arial" w:eastAsia="Arial" w:hAnsi="Arial"/>
          <w:sz w:val="18"/>
          <w:szCs w:val="18"/>
          <w:color w:val="auto"/>
        </w:rPr>
        <w:t>We believe that the following trends and developments in the U.S. government services industry and our markets may influence our future results of operations:</w:t>
      </w:r>
    </w:p>
    <w:p>
      <w:pPr>
        <w:spacing w:after="0" w:line="62" w:lineRule="exact"/>
        <w:rPr>
          <w:sz w:val="20"/>
          <w:szCs w:val="20"/>
          <w:color w:val="auto"/>
        </w:rPr>
      </w:pPr>
    </w:p>
    <w:p>
      <w:pPr>
        <w:ind w:left="1300" w:right="60" w:hanging="644"/>
        <w:spacing w:after="0" w:line="291"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uncertainty around the timing, extent, nature and effect of Congressional and other U.S. government actions to address budgetary constraints, caps on the discretionary budget for defense non-defense departments and agencies, as established by the Bipartisan Budget Control Act of 2011 and subsequently adjusted by the American Tax Payer Relief Act of 2012, the Bipartisan Budget Act of 2013 and the Bipartisan Budget Act of 2015, and the ability of Congress to determine how to allocate the available budget authority and pass appropriations bills to fund both U.S. government departments and agencies that are, and those that are not, subject to the caps. It is unclear whether the U.S. government's fiscal year 2017, which began on October 1, 2016, will have a complete set of appropriations bills to fund the U.S. government, which is currently operating under a continuing resolution that is set to expire on December 9, 2016;</w:t>
      </w:r>
    </w:p>
    <w:p>
      <w:pPr>
        <w:spacing w:after="0" w:line="59" w:lineRule="exact"/>
        <w:rPr>
          <w:rFonts w:ascii="Arial" w:cs="Arial" w:eastAsia="Arial" w:hAnsi="Arial"/>
          <w:sz w:val="16"/>
          <w:szCs w:val="16"/>
          <w:color w:val="auto"/>
        </w:rPr>
      </w:pPr>
    </w:p>
    <w:p>
      <w:pPr>
        <w:ind w:left="1300" w:right="8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budget deficits and the growing U.S. national debt increasing pressure on the U.S. government to reduce federal spending across all federal agencies together with associated uncertainty about the size and timing of those reductions;</w:t>
      </w:r>
    </w:p>
    <w:p>
      <w:pPr>
        <w:spacing w:after="0" w:line="62" w:lineRule="exact"/>
        <w:rPr>
          <w:rFonts w:ascii="Arial" w:cs="Arial" w:eastAsia="Arial" w:hAnsi="Arial"/>
          <w:sz w:val="18"/>
          <w:szCs w:val="18"/>
          <w:color w:val="auto"/>
        </w:rPr>
      </w:pPr>
    </w:p>
    <w:p>
      <w:pPr>
        <w:ind w:left="1300" w:right="80" w:hanging="644"/>
        <w:spacing w:after="0" w:line="289" w:lineRule="auto"/>
        <w:tabs>
          <w:tab w:leader="none" w:pos="1300" w:val="left"/>
        </w:tabs>
        <w:numPr>
          <w:ilvl w:val="0"/>
          <w:numId w:val="14"/>
        </w:numPr>
        <w:rPr>
          <w:rFonts w:ascii="Arial" w:cs="Arial" w:eastAsia="Arial" w:hAnsi="Arial"/>
          <w:sz w:val="16"/>
          <w:szCs w:val="16"/>
          <w:color w:val="auto"/>
        </w:rPr>
      </w:pPr>
      <w:r>
        <w:rPr>
          <w:rFonts w:ascii="Arial" w:cs="Arial" w:eastAsia="Arial" w:hAnsi="Arial"/>
          <w:sz w:val="16"/>
          <w:szCs w:val="16"/>
          <w:color w:val="auto"/>
        </w:rPr>
        <w:t>cost cutting and efficiency initiatives, current and future budget restrictions, continued implementation of Congressionally mandated automatic spending cuts and other efforts to reduce U.S. government spending, could cause clients to reduce or delay funding for orders for services or invest appropriated funds on a less consistent or rapid basis or not at all, particularly when considering long-term initiatives and in light of uncertainty around Congressional efforts to approve funding of the U.S. government beyond December 9, 2016 and to craft a long-term agreement on the U.S. government's ability to incur indebtedness in excess of its current limits and generally in the current political environment, there is a risk that clients will not issue task orders in sufficient volume to reach current contract ceilings, alter historical patterns of contract awards, including the typical increase in the award of task orders or completion of other contract actions by the U.S. government in the period before the end of the U.S. government's fiscal year on September 30, delay requests for new proposals and contract awards, rely on short-term extensions and funding of current contracts, or reduce staffing levels and hours of operation;</w:t>
      </w:r>
    </w:p>
    <w:p>
      <w:pPr>
        <w:spacing w:after="0" w:line="58" w:lineRule="exact"/>
        <w:rPr>
          <w:rFonts w:ascii="Arial" w:cs="Arial" w:eastAsia="Arial" w:hAnsi="Arial"/>
          <w:sz w:val="16"/>
          <w:szCs w:val="16"/>
          <w:color w:val="auto"/>
        </w:rPr>
      </w:pPr>
    </w:p>
    <w:p>
      <w:pPr>
        <w:ind w:left="1300" w:right="6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delays in the completion of future U.S. government’s budget processes, which have in the past and could in the future delay procurement of the products, services, and solutions we provide;</w:t>
      </w:r>
    </w:p>
    <w:p>
      <w:pPr>
        <w:spacing w:after="0" w:line="62" w:lineRule="exact"/>
        <w:rPr>
          <w:rFonts w:ascii="Arial" w:cs="Arial" w:eastAsia="Arial" w:hAnsi="Arial"/>
          <w:sz w:val="18"/>
          <w:szCs w:val="18"/>
          <w:color w:val="auto"/>
        </w:rPr>
      </w:pPr>
    </w:p>
    <w:p>
      <w:pPr>
        <w:ind w:left="1300" w:right="6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changes in the relative mix of overall U.S. government spending and areas of spending growth, with lower spending on homeland security, intelligence and defense-related programs as certain overseas operations end, and continued increased spending on cyber-security, Command, Control, Communications, Computers, Intelligence, Surveillance, and Reconnaissance (C4ISR), advanced analytics, technology integration and healthcare;</w:t>
      </w:r>
    </w:p>
    <w:p>
      <w:pPr>
        <w:spacing w:after="0" w:line="78" w:lineRule="exact"/>
        <w:rPr>
          <w:rFonts w:ascii="Arial" w:cs="Arial" w:eastAsia="Arial" w:hAnsi="Arial"/>
          <w:sz w:val="18"/>
          <w:szCs w:val="18"/>
          <w:color w:val="auto"/>
        </w:rPr>
      </w:pPr>
    </w:p>
    <w:p>
      <w:pPr>
        <w:ind w:left="1300" w:hanging="644"/>
        <w:spacing w:after="0" w:line="259"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legislative and regulatory changes to limitations on the amount of allowable executive compensation permitted under flexibly priced contracts following implementation of interim rules adopted by federal agencies pursuant to the Bipartisan Budget Act of 2013 published on June 24, 2014, which substantially further reduce the amount of allowable executive compensation under these contracts and extend these limitations to a larger segment of our executives and our entire contract base;</w:t>
      </w:r>
    </w:p>
    <w:p>
      <w:pPr>
        <w:spacing w:after="0" w:line="78" w:lineRule="exact"/>
        <w:rPr>
          <w:rFonts w:ascii="Arial" w:cs="Arial" w:eastAsia="Arial" w:hAnsi="Arial"/>
          <w:sz w:val="18"/>
          <w:szCs w:val="18"/>
          <w:color w:val="auto"/>
        </w:rPr>
      </w:pPr>
    </w:p>
    <w:p>
      <w:pPr>
        <w:ind w:left="1300" w:right="4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efforts by the U.S. government to address organizational conflicts of interest and related issues and the impact of those efforts on us and our competitors;</w:t>
      </w:r>
    </w:p>
    <w:p>
      <w:pPr>
        <w:spacing w:after="0" w:line="62"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increased audit, review, investigation and general scrutiny by U.S. government agencies of government contractors' performance under U.S. government contracts and compliance with the terms of those contracts and applicable laws;</w:t>
      </w:r>
    </w:p>
    <w:p>
      <w:pPr>
        <w:spacing w:after="0" w:line="62" w:lineRule="exact"/>
        <w:rPr>
          <w:rFonts w:ascii="Arial" w:cs="Arial" w:eastAsia="Arial" w:hAnsi="Arial"/>
          <w:sz w:val="18"/>
          <w:szCs w:val="18"/>
          <w:color w:val="auto"/>
        </w:rPr>
      </w:pPr>
    </w:p>
    <w:p>
      <w:pPr>
        <w:ind w:left="1300" w:right="80" w:hanging="644"/>
        <w:spacing w:after="0" w:line="264" w:lineRule="auto"/>
        <w:tabs>
          <w:tab w:leader="none" w:pos="13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federal focus on refining the definition of “inherently governmental” work, including proposals to limit contractor access to sensitive or classified information and work assignments, which will continue to drive pockets of insourcing in various agencies, particularly in the intelligence market;</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877" w:right="239" w:bottom="1440" w:gutter="0" w:footer="0" w:header="0"/>
        </w:sectPr>
      </w:pPr>
    </w:p>
    <w:bookmarkStart w:id="21" w:name="page22"/>
    <w:bookmarkEnd w:id="21"/>
    <w:p>
      <w:pPr>
        <w:ind w:left="1300" w:right="1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negative publicity and increased scrutiny of government contractors in general, including us, relating to U.S. government expenditures for contractor services and incidents involving the mishandling of sensitive or classified information;</w:t>
      </w:r>
    </w:p>
    <w:p>
      <w:pPr>
        <w:spacing w:after="0" w:line="62" w:lineRule="exact"/>
        <w:rPr>
          <w:rFonts w:ascii="Arial" w:cs="Arial" w:eastAsia="Arial" w:hAnsi="Arial"/>
          <w:sz w:val="18"/>
          <w:szCs w:val="18"/>
          <w:color w:val="auto"/>
        </w:rPr>
      </w:pPr>
    </w:p>
    <w:p>
      <w:pPr>
        <w:ind w:left="1300" w:right="360" w:hanging="644"/>
        <w:spacing w:after="0" w:line="277"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U.S. government agencies awarding contracts on a technically acceptable/lowest cost basis, which could have a negative impact on our ability to win certain contracts;</w:t>
      </w:r>
    </w:p>
    <w:p>
      <w:pPr>
        <w:spacing w:after="0" w:line="62" w:lineRule="exact"/>
        <w:rPr>
          <w:rFonts w:ascii="Arial" w:cs="Arial" w:eastAsia="Arial" w:hAnsi="Arial"/>
          <w:sz w:val="18"/>
          <w:szCs w:val="18"/>
          <w:color w:val="auto"/>
        </w:rPr>
      </w:pPr>
    </w:p>
    <w:p>
      <w:pPr>
        <w:ind w:left="13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increased competition from other government contractors and market entrants seeking to take advantage of certain of the trends identified above, and industry trend towards consolidation, which may result in the emergence of companies that are better able to compete against us;</w:t>
      </w:r>
    </w:p>
    <w:p>
      <w:pPr>
        <w:spacing w:after="0" w:line="15" w:lineRule="exact"/>
        <w:rPr>
          <w:rFonts w:ascii="Arial" w:cs="Arial" w:eastAsia="Arial" w:hAnsi="Arial"/>
          <w:sz w:val="16"/>
          <w:szCs w:val="16"/>
          <w:color w:val="auto"/>
        </w:rPr>
      </w:pPr>
    </w:p>
    <w:p>
      <w:pPr>
        <w:ind w:left="1300" w:right="200" w:hanging="644"/>
        <w:spacing w:after="0" w:line="31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cost cutting and efficiency and effectiveness efforts by U.S. civilian agencies with a focus on increased use of performance measurement, “program integrity” efforts to reduce waste, fraud and abuse in entitlement programs, and renewed focus on improving procurement practices for and interagency use of IT services, including through the use of cloud based options and data center consolidation;</w:t>
      </w:r>
    </w:p>
    <w:p>
      <w:pPr>
        <w:spacing w:after="0" w:line="38" w:lineRule="exact"/>
        <w:rPr>
          <w:rFonts w:ascii="Arial" w:cs="Arial" w:eastAsia="Arial" w:hAnsi="Arial"/>
          <w:sz w:val="16"/>
          <w:szCs w:val="16"/>
          <w:color w:val="auto"/>
        </w:rPr>
      </w:pPr>
    </w:p>
    <w:p>
      <w:pPr>
        <w:ind w:left="1300" w:right="400" w:hanging="644"/>
        <w:spacing w:after="0" w:line="342" w:lineRule="auto"/>
        <w:tabs>
          <w:tab w:leader="none" w:pos="13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restrictions by the U.S. government on the ability of federal agencies to use lead system integrators, in response to cost, schedule and performance problems with large defense acquisition programs where contractors were performing the lead system integrator role; and</w:t>
      </w:r>
    </w:p>
    <w:p>
      <w:pPr>
        <w:spacing w:after="0" w:line="15" w:lineRule="exact"/>
        <w:rPr>
          <w:rFonts w:ascii="Arial" w:cs="Arial" w:eastAsia="Arial" w:hAnsi="Arial"/>
          <w:sz w:val="16"/>
          <w:szCs w:val="16"/>
          <w:color w:val="auto"/>
        </w:rPr>
      </w:pPr>
    </w:p>
    <w:p>
      <w:pPr>
        <w:ind w:left="1300" w:right="40" w:hanging="644"/>
        <w:spacing w:after="0" w:line="264" w:lineRule="auto"/>
        <w:tabs>
          <w:tab w:leader="none" w:pos="13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increasingly complex requirements of the Department of Defense and the U.S. Intelligence Community, including cyber-security, managing federal health care cost growth and focus on reforming existing government regulation of various sectors of the economy, such as financial regulation and healthcare.</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Sources of Revenue</w:t>
      </w:r>
    </w:p>
    <w:p>
      <w:pPr>
        <w:spacing w:after="0" w:line="117" w:lineRule="exact"/>
        <w:rPr>
          <w:sz w:val="20"/>
          <w:szCs w:val="20"/>
          <w:color w:val="auto"/>
        </w:rPr>
      </w:pPr>
    </w:p>
    <w:p>
      <w:pPr>
        <w:ind w:firstLine="405"/>
        <w:spacing w:after="0" w:line="287" w:lineRule="auto"/>
        <w:rPr>
          <w:sz w:val="20"/>
          <w:szCs w:val="20"/>
          <w:color w:val="auto"/>
        </w:rPr>
      </w:pPr>
      <w:r>
        <w:rPr>
          <w:rFonts w:ascii="Arial" w:cs="Arial" w:eastAsia="Arial" w:hAnsi="Arial"/>
          <w:sz w:val="16"/>
          <w:szCs w:val="16"/>
          <w:color w:val="auto"/>
        </w:rPr>
        <w:t>Substantially all of our revenue is derived from services provided under contracts and task orders with the U.S. government, primarily by our consulting staff and, to a lesser extent, our subcontractors. Funding for our contracts and task orders is generally linked to trends in budgets and spending across various U.S. government agencies and departments. We provide services under a large portfolio of contracts and contract vehicles to a broad client base, and we believe that our diversified contract and client base lessens potential volatility in our business; however, a reduction in the amount of services that we are contracted to provide to the U.S. government or any of our significant U.S. government clients could have a material adverse effect on our business and results of operations. In particular, the Department of Defense is one of our significant clients, and the Budget Control Act of 2011 (as amended by the American Taxpayer Relief Act of 2012, the Bipartisan Budget Act of 2013 and the Bipartisan Budget Act of 2015), provides for automatic spending cuts totaling approximately $1.2 trillion between 2013 and 2021, and requires an estimated $500 billion in federal defense spending cuts over this time period. The Bipartisan Budget Act of 2015 raised existing spending caps on defense spending by $25 billion and $15 billion for government fiscal years 2016 and 2017, respectively, but did not address spending caps beyond fiscal 2017. A reduction in the amount of services that we are contracted to provide to the Department of Defense could have a material adverse effect on our business and results of operations, and given the uncertainty of when and how these automatic reductions may be applied, we are unable to predict the nature or magnitude of the potential adverse effect.</w:t>
      </w:r>
    </w:p>
    <w:p>
      <w:pPr>
        <w:spacing w:after="0" w:line="61"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Types</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generate revenue under the following three basic types of contracts:</w:t>
      </w:r>
    </w:p>
    <w:p>
      <w:pPr>
        <w:spacing w:after="0" w:line="117" w:lineRule="exact"/>
        <w:rPr>
          <w:sz w:val="20"/>
          <w:szCs w:val="20"/>
          <w:color w:val="auto"/>
        </w:rPr>
      </w:pPr>
    </w:p>
    <w:p>
      <w:pPr>
        <w:ind w:left="1960" w:right="20" w:hanging="655"/>
        <w:spacing w:after="0" w:line="270" w:lineRule="auto"/>
        <w:tabs>
          <w:tab w:leader="none" w:pos="1960" w:val="left"/>
        </w:tabs>
        <w:numPr>
          <w:ilvl w:val="0"/>
          <w:numId w:val="16"/>
        </w:numPr>
        <w:rPr>
          <w:rFonts w:ascii="Arial" w:cs="Arial" w:eastAsia="Arial" w:hAnsi="Arial"/>
          <w:sz w:val="17"/>
          <w:szCs w:val="17"/>
          <w:color w:val="auto"/>
        </w:rPr>
      </w:pPr>
      <w:r>
        <w:rPr>
          <w:rFonts w:ascii="Arial" w:cs="Arial" w:eastAsia="Arial" w:hAnsi="Arial"/>
          <w:sz w:val="17"/>
          <w:szCs w:val="17"/>
          <w:i w:val="1"/>
          <w:iCs w:val="1"/>
          <w:color w:val="auto"/>
        </w:rPr>
        <w:t xml:space="preserve">Cost-Reimbursable Contracts. </w:t>
      </w:r>
      <w:r>
        <w:rPr>
          <w:rFonts w:ascii="Arial" w:cs="Arial" w:eastAsia="Arial" w:hAnsi="Arial"/>
          <w:sz w:val="17"/>
          <w:szCs w:val="17"/>
          <w:color w:val="auto"/>
        </w:rPr>
        <w:t>Cost-reimbursable contracts provide for the payment of allowable costs incurred during</w:t>
      </w:r>
      <w:r>
        <w:rPr>
          <w:rFonts w:ascii="Arial" w:cs="Arial" w:eastAsia="Arial" w:hAnsi="Arial"/>
          <w:sz w:val="17"/>
          <w:szCs w:val="17"/>
          <w:i w:val="1"/>
          <w:iCs w:val="1"/>
          <w:color w:val="auto"/>
        </w:rPr>
        <w:t xml:space="preserve"> </w:t>
      </w:r>
      <w:r>
        <w:rPr>
          <w:rFonts w:ascii="Arial" w:cs="Arial" w:eastAsia="Arial" w:hAnsi="Arial"/>
          <w:sz w:val="17"/>
          <w:szCs w:val="17"/>
          <w:color w:val="auto"/>
        </w:rPr>
        <w:t>performance of the contract, up to a ceiling based on the amount that has been funded, plus a fee. As we increase or decrease our spending on allowable costs, our revenue generated on cost-reimbursable contracts will increase, up to the ceiling and funded amounts, or decrease, respectively. We generate revenue under two general types of cost-reimbursable contracts: cost-plus-fixed-fee and cost-plus-award-fee, both of which reimburse allowable costs and provide for a fee. The fee under each type of cost-reimbursable contract is generally payable upon completion of services in accordance with the terms of the contract. Cost-plus-fixed-fee contracts offer no opportunity for payment beyond the fixed fee. Cost-plus-award-fee contracts also provide for an award fee that varies within specified limits based upon the client’s assessment of our performance against a predetermined set of criteria, such as targets for factors like cost, quality, schedule, and performance.</w:t>
      </w:r>
    </w:p>
    <w:p>
      <w:pPr>
        <w:spacing w:after="0" w:line="73" w:lineRule="exact"/>
        <w:rPr>
          <w:rFonts w:ascii="Arial" w:cs="Arial" w:eastAsia="Arial" w:hAnsi="Arial"/>
          <w:sz w:val="17"/>
          <w:szCs w:val="17"/>
          <w:color w:val="auto"/>
        </w:rPr>
      </w:pPr>
    </w:p>
    <w:p>
      <w:pPr>
        <w:ind w:left="1960" w:right="100" w:hanging="655"/>
        <w:spacing w:after="0" w:line="259" w:lineRule="auto"/>
        <w:tabs>
          <w:tab w:leader="none" w:pos="1960" w:val="left"/>
        </w:tabs>
        <w:numPr>
          <w:ilvl w:val="0"/>
          <w:numId w:val="16"/>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Time-and-Materials Contracts. </w:t>
      </w:r>
      <w:r>
        <w:rPr>
          <w:rFonts w:ascii="Arial" w:cs="Arial" w:eastAsia="Arial" w:hAnsi="Arial"/>
          <w:sz w:val="18"/>
          <w:szCs w:val="18"/>
          <w:color w:val="auto"/>
        </w:rPr>
        <w:t>Under a time-and-materials contract, we are paid a fixed hourly rate for each direct labor hour</w:t>
      </w:r>
      <w:r>
        <w:rPr>
          <w:rFonts w:ascii="Arial" w:cs="Arial" w:eastAsia="Arial" w:hAnsi="Arial"/>
          <w:sz w:val="18"/>
          <w:szCs w:val="18"/>
          <w:i w:val="1"/>
          <w:iCs w:val="1"/>
          <w:color w:val="auto"/>
        </w:rPr>
        <w:t xml:space="preserve"> </w:t>
      </w:r>
      <w:r>
        <w:rPr>
          <w:rFonts w:ascii="Arial" w:cs="Arial" w:eastAsia="Arial" w:hAnsi="Arial"/>
          <w:sz w:val="18"/>
          <w:szCs w:val="18"/>
          <w:color w:val="auto"/>
        </w:rPr>
        <w:t>expended, and we are reimbursed for billable material costs and billable out-of-pocket expenses inclusive of allocable indirect costs. To the extent our actual direct labor including allocated indirect costs, and associated billable expenses decrease or increase in relation to</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00"/>
          </w:cols>
          <w:pgMar w:left="240" w:top="881" w:right="259" w:bottom="1440" w:gutter="0" w:footer="0" w:header="0"/>
        </w:sectPr>
      </w:pPr>
    </w:p>
    <w:bookmarkStart w:id="22" w:name="page23"/>
    <w:bookmarkEnd w:id="22"/>
    <w:p>
      <w:pPr>
        <w:ind w:left="1960"/>
        <w:spacing w:after="0"/>
        <w:rPr>
          <w:sz w:val="20"/>
          <w:szCs w:val="20"/>
          <w:color w:val="auto"/>
        </w:rPr>
      </w:pPr>
      <w:r>
        <w:rPr>
          <w:rFonts w:ascii="Arial" w:cs="Arial" w:eastAsia="Arial" w:hAnsi="Arial"/>
          <w:sz w:val="17"/>
          <w:szCs w:val="17"/>
          <w:color w:val="auto"/>
        </w:rPr>
        <w:t>the fixed hourly billing rates provided in the contract, we will generate more or less profit, respectively, or could incur a loss.</w:t>
      </w:r>
    </w:p>
    <w:p>
      <w:pPr>
        <w:spacing w:after="0" w:line="142" w:lineRule="exact"/>
        <w:rPr>
          <w:sz w:val="20"/>
          <w:szCs w:val="20"/>
          <w:color w:val="auto"/>
        </w:rPr>
      </w:pPr>
    </w:p>
    <w:p>
      <w:pPr>
        <w:ind w:left="1960" w:right="140" w:hanging="655"/>
        <w:spacing w:after="0" w:line="255" w:lineRule="auto"/>
        <w:tabs>
          <w:tab w:leader="none" w:pos="1960" w:val="left"/>
        </w:tabs>
        <w:numPr>
          <w:ilvl w:val="0"/>
          <w:numId w:val="17"/>
        </w:numPr>
        <w:rPr>
          <w:rFonts w:ascii="Arial" w:cs="Arial" w:eastAsia="Arial" w:hAnsi="Arial"/>
          <w:sz w:val="18"/>
          <w:szCs w:val="18"/>
          <w:i w:val="1"/>
          <w:iCs w:val="1"/>
          <w:color w:val="auto"/>
        </w:rPr>
      </w:pPr>
      <w:r>
        <w:rPr>
          <w:rFonts w:ascii="Arial" w:cs="Arial" w:eastAsia="Arial" w:hAnsi="Arial"/>
          <w:sz w:val="18"/>
          <w:szCs w:val="18"/>
          <w:i w:val="1"/>
          <w:iCs w:val="1"/>
          <w:color w:val="auto"/>
        </w:rPr>
        <w:t xml:space="preserve">Fixed-Price Contracts. </w:t>
      </w:r>
      <w:r>
        <w:rPr>
          <w:rFonts w:ascii="Arial" w:cs="Arial" w:eastAsia="Arial" w:hAnsi="Arial"/>
          <w:sz w:val="18"/>
          <w:szCs w:val="18"/>
          <w:color w:val="auto"/>
        </w:rPr>
        <w:t>Under a fixed-price contract, we agree to perform the specified work for a pre-determined price. To the</w:t>
      </w:r>
      <w:r>
        <w:rPr>
          <w:rFonts w:ascii="Arial" w:cs="Arial" w:eastAsia="Arial" w:hAnsi="Arial"/>
          <w:sz w:val="18"/>
          <w:szCs w:val="18"/>
          <w:i w:val="1"/>
          <w:iCs w:val="1"/>
          <w:color w:val="auto"/>
        </w:rPr>
        <w:t xml:space="preserve"> </w:t>
      </w:r>
      <w:r>
        <w:rPr>
          <w:rFonts w:ascii="Arial" w:cs="Arial" w:eastAsia="Arial" w:hAnsi="Arial"/>
          <w:sz w:val="18"/>
          <w:szCs w:val="18"/>
          <w:color w:val="auto"/>
        </w:rPr>
        <w:t>extent our actual direct and allocated indirect costs decrease or increase from the estimates upon which the price was negotiated, we will generate more or less profit, respectively, or could incur a loss. Some fixed-price contracts have a performance-based component, pursuant to which we can earn incentive payments or incur financial penalties based on our performance. Fixed-price level of effort contracts require us to provide a specified level of effort (i.e., labor hours), over a stated period of time, for a fixed price.</w:t>
      </w:r>
    </w:p>
    <w:p>
      <w:pPr>
        <w:spacing w:after="0" w:line="301" w:lineRule="exact"/>
        <w:rPr>
          <w:sz w:val="20"/>
          <w:szCs w:val="20"/>
          <w:color w:val="auto"/>
        </w:rPr>
      </w:pPr>
    </w:p>
    <w:p>
      <w:pPr>
        <w:ind w:right="20" w:firstLine="648"/>
        <w:spacing w:after="0" w:line="288" w:lineRule="auto"/>
        <w:rPr>
          <w:sz w:val="20"/>
          <w:szCs w:val="20"/>
          <w:color w:val="auto"/>
        </w:rPr>
      </w:pPr>
      <w:r>
        <w:rPr>
          <w:rFonts w:ascii="Arial" w:cs="Arial" w:eastAsia="Arial" w:hAnsi="Arial"/>
          <w:sz w:val="16"/>
          <w:szCs w:val="16"/>
          <w:color w:val="auto"/>
        </w:rPr>
        <w:t>The amount of risk and potential reward varies under each type of contract. Under cost-reimbursable contracts, there is limited financial risk, because we are reimbursed for all allowable costs up to a ceiling. However, profit margins on this type of contract tend to be lower than on time-and-materials and fixed-price contracts. Under time-and-materials contracts, we are reimbursed for the hours worked using the predetermined hourly rates for each labor category. In addition, we are typically reimbursed for other contract direct costs and expenses at cost. We assume financial risk on time-and-materials contracts because our labor costs may exceed the negotiated billing rates. Profit margins on well-managed time-and-materials contracts tend to be higher than profit margins on cost-reimbursable contracts as long as we are able to staff those contracts with people who have an appropriate skill set. Under fixed-price contracts, we are required to deliver the objectives under the contract for a pre-determined price. Compared to time-and-materials and cost-reimbursable contracts, fixed-price contracts generally offer higher profit margin opportunities because we receive the full benefit of any cost savings but generally involve greater financial risk because we bear the impact of any cost overruns. In the aggregate, the contract type mix in our revenue for any given period will affect that period's profitability. Changes in contract type as a result of re-competes and new business could influence the percentage/mix in an unanticipated way.</w:t>
      </w:r>
    </w:p>
    <w:p>
      <w:pPr>
        <w:spacing w:after="0" w:line="6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table below presents the percentage of total revenue for each type of contract:</w:t>
      </w:r>
    </w:p>
    <w:p>
      <w:pPr>
        <w:spacing w:after="0" w:line="339" w:lineRule="exact"/>
        <w:rPr>
          <w:sz w:val="20"/>
          <w:szCs w:val="20"/>
          <w:color w:val="auto"/>
        </w:rPr>
      </w:pPr>
    </w:p>
    <w:tbl>
      <w:tblPr>
        <w:tblLayout w:type="fixed"/>
        <w:tblInd w:w="420" w:type="dxa"/>
        <w:tblCellMar>
          <w:top w:w="0" w:type="dxa"/>
          <w:left w:w="0" w:type="dxa"/>
          <w:bottom w:w="0" w:type="dxa"/>
          <w:right w:w="0" w:type="dxa"/>
        </w:tblCellMar>
      </w:tblPr>
      <w:tr>
        <w:trPr>
          <w:trHeight w:val="161"/>
        </w:trPr>
        <w:tc>
          <w:tcPr>
            <w:tcW w:w="4340" w:type="dxa"/>
            <w:vAlign w:val="bottom"/>
          </w:tcPr>
          <w:p>
            <w:pPr>
              <w:spacing w:after="0"/>
              <w:rPr>
                <w:sz w:val="14"/>
                <w:szCs w:val="14"/>
                <w:color w:val="auto"/>
              </w:rPr>
            </w:pPr>
          </w:p>
        </w:tc>
        <w:tc>
          <w:tcPr>
            <w:tcW w:w="3180" w:type="dxa"/>
            <w:vAlign w:val="bottom"/>
            <w:gridSpan w:val="5"/>
          </w:tcPr>
          <w:p>
            <w:pPr>
              <w:jc w:val="center"/>
              <w:ind w:right="120"/>
              <w:spacing w:after="0"/>
              <w:rPr>
                <w:sz w:val="20"/>
                <w:szCs w:val="20"/>
                <w:color w:val="auto"/>
              </w:rPr>
            </w:pPr>
            <w:r>
              <w:rPr>
                <w:rFonts w:ascii="Arial" w:cs="Arial" w:eastAsia="Arial" w:hAnsi="Arial"/>
                <w:sz w:val="14"/>
                <w:szCs w:val="14"/>
                <w:b w:val="1"/>
                <w:bCs w:val="1"/>
                <w:color w:val="auto"/>
                <w:w w:val="93"/>
              </w:rPr>
              <w:t>Three Months Ended</w:t>
            </w:r>
          </w:p>
        </w:tc>
        <w:tc>
          <w:tcPr>
            <w:tcW w:w="940" w:type="dxa"/>
            <w:vAlign w:val="bottom"/>
          </w:tcPr>
          <w:p>
            <w:pPr>
              <w:spacing w:after="0"/>
              <w:rPr>
                <w:sz w:val="14"/>
                <w:szCs w:val="14"/>
                <w:color w:val="auto"/>
              </w:rPr>
            </w:pPr>
          </w:p>
        </w:tc>
        <w:tc>
          <w:tcPr>
            <w:tcW w:w="214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2"/>
              </w:rPr>
              <w:t>Six Months Ended</w:t>
            </w:r>
          </w:p>
        </w:tc>
      </w:tr>
      <w:tr>
        <w:trPr>
          <w:trHeight w:val="192"/>
        </w:trPr>
        <w:tc>
          <w:tcPr>
            <w:tcW w:w="43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180" w:type="dxa"/>
            <w:vAlign w:val="bottom"/>
            <w:gridSpan w:val="4"/>
          </w:tcPr>
          <w:p>
            <w:pPr>
              <w:jc w:val="center"/>
              <w:ind w:right="1100"/>
              <w:spacing w:after="0"/>
              <w:rPr>
                <w:sz w:val="20"/>
                <w:szCs w:val="20"/>
                <w:color w:val="auto"/>
              </w:rPr>
            </w:pPr>
            <w:r>
              <w:rPr>
                <w:rFonts w:ascii="Arial" w:cs="Arial" w:eastAsia="Arial" w:hAnsi="Arial"/>
                <w:sz w:val="14"/>
                <w:szCs w:val="14"/>
                <w:b w:val="1"/>
                <w:bCs w:val="1"/>
                <w:color w:val="auto"/>
                <w:w w:val="91"/>
              </w:rPr>
              <w:t>September 30,</w:t>
            </w:r>
          </w:p>
        </w:tc>
        <w:tc>
          <w:tcPr>
            <w:tcW w:w="940" w:type="dxa"/>
            <w:vAlign w:val="bottom"/>
          </w:tcPr>
          <w:p>
            <w:pPr>
              <w:spacing w:after="0"/>
              <w:rPr>
                <w:sz w:val="16"/>
                <w:szCs w:val="16"/>
                <w:color w:val="auto"/>
              </w:rPr>
            </w:pPr>
          </w:p>
        </w:tc>
        <w:tc>
          <w:tcPr>
            <w:tcW w:w="2140" w:type="dxa"/>
            <w:vAlign w:val="bottom"/>
            <w:gridSpan w:val="3"/>
          </w:tcPr>
          <w:p>
            <w:pPr>
              <w:jc w:val="center"/>
              <w:ind w:right="868"/>
              <w:spacing w:after="0"/>
              <w:rPr>
                <w:sz w:val="20"/>
                <w:szCs w:val="20"/>
                <w:color w:val="auto"/>
              </w:rPr>
            </w:pPr>
            <w:r>
              <w:rPr>
                <w:rFonts w:ascii="Arial" w:cs="Arial" w:eastAsia="Arial" w:hAnsi="Arial"/>
                <w:sz w:val="14"/>
                <w:szCs w:val="14"/>
                <w:b w:val="1"/>
                <w:bCs w:val="1"/>
                <w:color w:val="auto"/>
                <w:w w:val="91"/>
              </w:rPr>
              <w:t>September 30,</w:t>
            </w:r>
          </w:p>
        </w:tc>
      </w:tr>
      <w:tr>
        <w:trPr>
          <w:trHeight w:val="264"/>
        </w:trPr>
        <w:tc>
          <w:tcPr>
            <w:tcW w:w="4340" w:type="dxa"/>
            <w:vAlign w:val="bottom"/>
            <w:tcBorders>
              <w:bottom w:val="single" w:sz="8" w:color="CCEEFF"/>
            </w:tcBorders>
          </w:tcPr>
          <w:p>
            <w:pPr>
              <w:spacing w:after="0"/>
              <w:rPr>
                <w:sz w:val="22"/>
                <w:szCs w:val="22"/>
                <w:color w:val="auto"/>
              </w:rPr>
            </w:pPr>
          </w:p>
        </w:tc>
        <w:tc>
          <w:tcPr>
            <w:tcW w:w="1000" w:type="dxa"/>
            <w:vAlign w:val="bottom"/>
            <w:tcBorders>
              <w:top w:val="single" w:sz="8" w:color="auto"/>
              <w:bottom w:val="single" w:sz="8" w:color="auto"/>
            </w:tcBorders>
          </w:tcPr>
          <w:p>
            <w:pPr>
              <w:jc w:val="center"/>
              <w:ind w:left="397"/>
              <w:spacing w:after="0"/>
              <w:rPr>
                <w:sz w:val="20"/>
                <w:szCs w:val="20"/>
                <w:color w:val="auto"/>
              </w:rPr>
            </w:pPr>
            <w:r>
              <w:rPr>
                <w:rFonts w:ascii="Arial" w:cs="Arial" w:eastAsia="Arial" w:hAnsi="Arial"/>
                <w:sz w:val="14"/>
                <w:szCs w:val="14"/>
                <w:b w:val="1"/>
                <w:bCs w:val="1"/>
                <w:color w:val="auto"/>
                <w:w w:val="89"/>
              </w:rPr>
              <w:t>2016</w:t>
            </w:r>
          </w:p>
        </w:tc>
        <w:tc>
          <w:tcPr>
            <w:tcW w:w="48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2015</w:t>
            </w:r>
          </w:p>
        </w:tc>
        <w:tc>
          <w:tcPr>
            <w:tcW w:w="100" w:type="dxa"/>
            <w:vAlign w:val="bottom"/>
            <w:tcBorders>
              <w:bottom w:val="single" w:sz="8" w:color="CCEEFF"/>
            </w:tcBorders>
          </w:tcPr>
          <w:p>
            <w:pPr>
              <w:spacing w:after="0"/>
              <w:rPr>
                <w:sz w:val="22"/>
                <w:szCs w:val="22"/>
                <w:color w:val="auto"/>
              </w:rPr>
            </w:pPr>
          </w:p>
        </w:tc>
        <w:tc>
          <w:tcPr>
            <w:tcW w:w="940" w:type="dxa"/>
            <w:vAlign w:val="bottom"/>
            <w:tcBorders>
              <w:top w:val="single" w:sz="8" w:color="auto"/>
              <w:bottom w:val="single" w:sz="8" w:color="auto"/>
            </w:tcBorders>
          </w:tcPr>
          <w:p>
            <w:pPr>
              <w:jc w:val="center"/>
              <w:ind w:left="454"/>
              <w:spacing w:after="0"/>
              <w:rPr>
                <w:sz w:val="20"/>
                <w:szCs w:val="20"/>
                <w:color w:val="auto"/>
              </w:rPr>
            </w:pPr>
            <w:r>
              <w:rPr>
                <w:rFonts w:ascii="Arial" w:cs="Arial" w:eastAsia="Arial" w:hAnsi="Arial"/>
                <w:sz w:val="14"/>
                <w:szCs w:val="14"/>
                <w:b w:val="1"/>
                <w:bCs w:val="1"/>
                <w:color w:val="auto"/>
                <w:w w:val="89"/>
              </w:rPr>
              <w:t>2016</w:t>
            </w:r>
          </w:p>
        </w:tc>
        <w:tc>
          <w:tcPr>
            <w:tcW w:w="56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CCEEFF"/>
            </w:tcBorders>
          </w:tcPr>
          <w:p>
            <w:pPr>
              <w:spacing w:after="0"/>
              <w:rPr>
                <w:sz w:val="22"/>
                <w:szCs w:val="22"/>
                <w:color w:val="auto"/>
              </w:rPr>
            </w:pPr>
          </w:p>
        </w:tc>
        <w:tc>
          <w:tcPr>
            <w:tcW w:w="14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2015</w:t>
            </w:r>
          </w:p>
        </w:tc>
      </w:tr>
      <w:tr>
        <w:trPr>
          <w:trHeight w:val="250"/>
        </w:trPr>
        <w:tc>
          <w:tcPr>
            <w:tcW w:w="4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Cost-reimbursable (1)</w:t>
            </w:r>
          </w:p>
        </w:tc>
        <w:tc>
          <w:tcPr>
            <w:tcW w:w="1000" w:type="dxa"/>
            <w:vAlign w:val="bottom"/>
            <w:tcBorders>
              <w:bottom w:val="single" w:sz="8" w:color="CCEEFF"/>
            </w:tcBorders>
            <w:shd w:val="clear" w:color="auto" w:fill="CCEEFF"/>
          </w:tcPr>
          <w:p>
            <w:pPr>
              <w:jc w:val="center"/>
              <w:ind w:left="397"/>
              <w:spacing w:after="0"/>
              <w:rPr>
                <w:sz w:val="20"/>
                <w:szCs w:val="20"/>
                <w:color w:val="auto"/>
              </w:rPr>
            </w:pPr>
            <w:r>
              <w:rPr>
                <w:rFonts w:ascii="Arial" w:cs="Arial" w:eastAsia="Arial" w:hAnsi="Arial"/>
                <w:sz w:val="18"/>
                <w:szCs w:val="18"/>
                <w:color w:val="auto"/>
                <w:w w:val="88"/>
              </w:rPr>
              <w:t>50%</w:t>
            </w:r>
          </w:p>
        </w:tc>
        <w:tc>
          <w:tcPr>
            <w:tcW w:w="2080" w:type="dxa"/>
            <w:vAlign w:val="bottom"/>
            <w:tcBorders>
              <w:bottom w:val="single" w:sz="8" w:color="CCEEFF"/>
            </w:tcBorders>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50%</w:t>
            </w:r>
          </w:p>
        </w:tc>
        <w:tc>
          <w:tcPr>
            <w:tcW w:w="1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center"/>
              <w:ind w:left="474"/>
              <w:spacing w:after="0"/>
              <w:rPr>
                <w:sz w:val="20"/>
                <w:szCs w:val="20"/>
                <w:color w:val="auto"/>
              </w:rPr>
            </w:pPr>
            <w:r>
              <w:rPr>
                <w:rFonts w:ascii="Arial" w:cs="Arial" w:eastAsia="Arial" w:hAnsi="Arial"/>
                <w:sz w:val="18"/>
                <w:szCs w:val="18"/>
                <w:color w:val="auto"/>
                <w:w w:val="94"/>
              </w:rPr>
              <w:t>50%</w:t>
            </w:r>
          </w:p>
        </w:tc>
        <w:tc>
          <w:tcPr>
            <w:tcW w:w="2140" w:type="dxa"/>
            <w:vAlign w:val="bottom"/>
            <w:tcBorders>
              <w:bottom w:val="single" w:sz="8" w:color="CCEEFF"/>
            </w:tcBorders>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52%</w:t>
            </w:r>
          </w:p>
        </w:tc>
      </w:tr>
      <w:tr>
        <w:trPr>
          <w:trHeight w:val="243"/>
        </w:trPr>
        <w:tc>
          <w:tcPr>
            <w:tcW w:w="4340" w:type="dxa"/>
            <w:vAlign w:val="bottom"/>
          </w:tcPr>
          <w:p>
            <w:pPr>
              <w:ind w:left="20"/>
              <w:spacing w:after="0"/>
              <w:rPr>
                <w:sz w:val="20"/>
                <w:szCs w:val="20"/>
                <w:color w:val="auto"/>
              </w:rPr>
            </w:pPr>
            <w:r>
              <w:rPr>
                <w:rFonts w:ascii="Arial" w:cs="Arial" w:eastAsia="Arial" w:hAnsi="Arial"/>
                <w:sz w:val="18"/>
                <w:szCs w:val="18"/>
                <w:color w:val="auto"/>
              </w:rPr>
              <w:t>Time-and-materials</w:t>
            </w:r>
          </w:p>
        </w:tc>
        <w:tc>
          <w:tcPr>
            <w:tcW w:w="1000" w:type="dxa"/>
            <w:vAlign w:val="bottom"/>
          </w:tcPr>
          <w:p>
            <w:pPr>
              <w:jc w:val="center"/>
              <w:ind w:left="397"/>
              <w:spacing w:after="0"/>
              <w:rPr>
                <w:sz w:val="20"/>
                <w:szCs w:val="20"/>
                <w:color w:val="auto"/>
              </w:rPr>
            </w:pPr>
            <w:r>
              <w:rPr>
                <w:rFonts w:ascii="Arial" w:cs="Arial" w:eastAsia="Arial" w:hAnsi="Arial"/>
                <w:sz w:val="18"/>
                <w:szCs w:val="18"/>
                <w:color w:val="auto"/>
                <w:w w:val="88"/>
              </w:rPr>
              <w:t>27%</w:t>
            </w:r>
          </w:p>
        </w:tc>
        <w:tc>
          <w:tcPr>
            <w:tcW w:w="2080" w:type="dxa"/>
            <w:vAlign w:val="bottom"/>
            <w:gridSpan w:val="3"/>
          </w:tcPr>
          <w:p>
            <w:pPr>
              <w:jc w:val="center"/>
              <w:ind w:left="494"/>
              <w:spacing w:after="0"/>
              <w:rPr>
                <w:sz w:val="20"/>
                <w:szCs w:val="20"/>
                <w:color w:val="auto"/>
              </w:rPr>
            </w:pPr>
            <w:r>
              <w:rPr>
                <w:rFonts w:ascii="Arial" w:cs="Arial" w:eastAsia="Arial" w:hAnsi="Arial"/>
                <w:sz w:val="18"/>
                <w:szCs w:val="18"/>
                <w:color w:val="auto"/>
                <w:w w:val="94"/>
              </w:rPr>
              <w:t>26%</w:t>
            </w:r>
          </w:p>
        </w:tc>
        <w:tc>
          <w:tcPr>
            <w:tcW w:w="100" w:type="dxa"/>
            <w:vAlign w:val="bottom"/>
          </w:tcPr>
          <w:p>
            <w:pPr>
              <w:spacing w:after="0"/>
              <w:rPr>
                <w:sz w:val="21"/>
                <w:szCs w:val="21"/>
                <w:color w:val="auto"/>
              </w:rPr>
            </w:pPr>
          </w:p>
        </w:tc>
        <w:tc>
          <w:tcPr>
            <w:tcW w:w="940" w:type="dxa"/>
            <w:vAlign w:val="bottom"/>
          </w:tcPr>
          <w:p>
            <w:pPr>
              <w:jc w:val="center"/>
              <w:ind w:left="474"/>
              <w:spacing w:after="0"/>
              <w:rPr>
                <w:sz w:val="20"/>
                <w:szCs w:val="20"/>
                <w:color w:val="auto"/>
              </w:rPr>
            </w:pPr>
            <w:r>
              <w:rPr>
                <w:rFonts w:ascii="Arial" w:cs="Arial" w:eastAsia="Arial" w:hAnsi="Arial"/>
                <w:sz w:val="18"/>
                <w:szCs w:val="18"/>
                <w:color w:val="auto"/>
                <w:w w:val="94"/>
              </w:rPr>
              <w:t>27%</w:t>
            </w:r>
          </w:p>
        </w:tc>
        <w:tc>
          <w:tcPr>
            <w:tcW w:w="2140" w:type="dxa"/>
            <w:vAlign w:val="bottom"/>
            <w:gridSpan w:val="3"/>
          </w:tcPr>
          <w:p>
            <w:pPr>
              <w:jc w:val="center"/>
              <w:ind w:left="577"/>
              <w:spacing w:after="0"/>
              <w:rPr>
                <w:sz w:val="20"/>
                <w:szCs w:val="20"/>
                <w:color w:val="auto"/>
              </w:rPr>
            </w:pPr>
            <w:r>
              <w:rPr>
                <w:rFonts w:ascii="Arial" w:cs="Arial" w:eastAsia="Arial" w:hAnsi="Arial"/>
                <w:sz w:val="18"/>
                <w:szCs w:val="18"/>
                <w:color w:val="auto"/>
                <w:w w:val="88"/>
              </w:rPr>
              <w:t>26%</w:t>
            </w:r>
          </w:p>
        </w:tc>
      </w:tr>
      <w:tr>
        <w:trPr>
          <w:trHeight w:val="27"/>
        </w:trPr>
        <w:tc>
          <w:tcPr>
            <w:tcW w:w="43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4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4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Fixed-price (2)</w:t>
            </w:r>
          </w:p>
        </w:tc>
        <w:tc>
          <w:tcPr>
            <w:tcW w:w="1000" w:type="dxa"/>
            <w:vAlign w:val="bottom"/>
            <w:shd w:val="clear" w:color="auto" w:fill="CCEEFF"/>
          </w:tcPr>
          <w:p>
            <w:pPr>
              <w:jc w:val="center"/>
              <w:ind w:left="397"/>
              <w:spacing w:after="0"/>
              <w:rPr>
                <w:sz w:val="20"/>
                <w:szCs w:val="20"/>
                <w:color w:val="auto"/>
              </w:rPr>
            </w:pPr>
            <w:r>
              <w:rPr>
                <w:rFonts w:ascii="Arial" w:cs="Arial" w:eastAsia="Arial" w:hAnsi="Arial"/>
                <w:sz w:val="18"/>
                <w:szCs w:val="18"/>
                <w:color w:val="auto"/>
                <w:w w:val="88"/>
              </w:rPr>
              <w:t>23%</w:t>
            </w:r>
          </w:p>
        </w:tc>
        <w:tc>
          <w:tcPr>
            <w:tcW w:w="2080" w:type="dxa"/>
            <w:vAlign w:val="bottom"/>
            <w:gridSpan w:val="3"/>
            <w:shd w:val="clear" w:color="auto" w:fill="CCEEFF"/>
          </w:tcPr>
          <w:p>
            <w:pPr>
              <w:jc w:val="center"/>
              <w:ind w:left="494"/>
              <w:spacing w:after="0"/>
              <w:rPr>
                <w:sz w:val="20"/>
                <w:szCs w:val="20"/>
                <w:color w:val="auto"/>
              </w:rPr>
            </w:pPr>
            <w:r>
              <w:rPr>
                <w:rFonts w:ascii="Arial" w:cs="Arial" w:eastAsia="Arial" w:hAnsi="Arial"/>
                <w:sz w:val="18"/>
                <w:szCs w:val="18"/>
                <w:color w:val="auto"/>
                <w:w w:val="94"/>
              </w:rPr>
              <w:t>24%</w:t>
            </w:r>
          </w:p>
        </w:tc>
        <w:tc>
          <w:tcPr>
            <w:tcW w:w="100" w:type="dxa"/>
            <w:vAlign w:val="bottom"/>
            <w:shd w:val="clear" w:color="auto" w:fill="CCEEFF"/>
          </w:tcPr>
          <w:p>
            <w:pPr>
              <w:spacing w:after="0"/>
              <w:rPr>
                <w:sz w:val="21"/>
                <w:szCs w:val="21"/>
                <w:color w:val="auto"/>
              </w:rPr>
            </w:pPr>
          </w:p>
        </w:tc>
        <w:tc>
          <w:tcPr>
            <w:tcW w:w="940" w:type="dxa"/>
            <w:vAlign w:val="bottom"/>
            <w:shd w:val="clear" w:color="auto" w:fill="CCEEFF"/>
          </w:tcPr>
          <w:p>
            <w:pPr>
              <w:jc w:val="center"/>
              <w:ind w:left="474"/>
              <w:spacing w:after="0"/>
              <w:rPr>
                <w:sz w:val="20"/>
                <w:szCs w:val="20"/>
                <w:color w:val="auto"/>
              </w:rPr>
            </w:pPr>
            <w:r>
              <w:rPr>
                <w:rFonts w:ascii="Arial" w:cs="Arial" w:eastAsia="Arial" w:hAnsi="Arial"/>
                <w:sz w:val="18"/>
                <w:szCs w:val="18"/>
                <w:color w:val="auto"/>
                <w:w w:val="94"/>
              </w:rPr>
              <w:t>23%</w:t>
            </w:r>
          </w:p>
        </w:tc>
        <w:tc>
          <w:tcPr>
            <w:tcW w:w="2140" w:type="dxa"/>
            <w:vAlign w:val="bottom"/>
            <w:gridSpan w:val="3"/>
            <w:shd w:val="clear" w:color="auto" w:fill="CCEEFF"/>
          </w:tcPr>
          <w:p>
            <w:pPr>
              <w:jc w:val="center"/>
              <w:ind w:left="577"/>
              <w:spacing w:after="0"/>
              <w:rPr>
                <w:sz w:val="20"/>
                <w:szCs w:val="20"/>
                <w:color w:val="auto"/>
              </w:rPr>
            </w:pPr>
            <w:r>
              <w:rPr>
                <w:rFonts w:ascii="Arial" w:cs="Arial" w:eastAsia="Arial" w:hAnsi="Arial"/>
                <w:sz w:val="18"/>
                <w:szCs w:val="18"/>
                <w:color w:val="auto"/>
                <w:w w:val="88"/>
              </w:rPr>
              <w:t>22%</w:t>
            </w:r>
          </w:p>
        </w:tc>
      </w:tr>
      <w:tr>
        <w:trPr>
          <w:trHeight w:val="27"/>
        </w:trPr>
        <w:tc>
          <w:tcPr>
            <w:tcW w:w="4340" w:type="dxa"/>
            <w:vAlign w:val="bottom"/>
            <w:shd w:val="clear" w:color="auto" w:fill="CCEEFF"/>
          </w:tcPr>
          <w:p>
            <w:pPr>
              <w:spacing w:after="0"/>
              <w:rPr>
                <w:sz w:val="2"/>
                <w:szCs w:val="2"/>
                <w:color w:val="auto"/>
              </w:rPr>
            </w:pPr>
          </w:p>
        </w:tc>
        <w:tc>
          <w:tcPr>
            <w:tcW w:w="10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94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310" w:lineRule="exact"/>
        <w:rPr>
          <w:sz w:val="20"/>
          <w:szCs w:val="20"/>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both cost-plus-fixed-fee and cost-plus-award-fee contracts.</w:t>
      </w:r>
    </w:p>
    <w:p>
      <w:pPr>
        <w:spacing w:after="0" w:line="117" w:lineRule="exact"/>
        <w:rPr>
          <w:rFonts w:ascii="Arial" w:cs="Arial" w:eastAsia="Arial" w:hAnsi="Arial"/>
          <w:sz w:val="18"/>
          <w:szCs w:val="18"/>
          <w:color w:val="auto"/>
        </w:rPr>
      </w:pPr>
    </w:p>
    <w:p>
      <w:pPr>
        <w:ind w:left="660" w:hanging="652"/>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Includes fixed-price level of effort contracts.</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Diversity and Revenue Mix</w:t>
      </w:r>
    </w:p>
    <w:p>
      <w:pPr>
        <w:spacing w:after="0" w:line="117" w:lineRule="exact"/>
        <w:rPr>
          <w:sz w:val="20"/>
          <w:szCs w:val="20"/>
          <w:color w:val="auto"/>
        </w:rPr>
      </w:pPr>
    </w:p>
    <w:p>
      <w:pPr>
        <w:ind w:right="80" w:firstLine="405"/>
        <w:spacing w:after="0" w:line="255" w:lineRule="auto"/>
        <w:rPr>
          <w:sz w:val="20"/>
          <w:szCs w:val="20"/>
          <w:color w:val="auto"/>
        </w:rPr>
      </w:pPr>
      <w:r>
        <w:rPr>
          <w:rFonts w:ascii="Arial" w:cs="Arial" w:eastAsia="Arial" w:hAnsi="Arial"/>
          <w:sz w:val="18"/>
          <w:szCs w:val="18"/>
          <w:color w:val="auto"/>
        </w:rPr>
        <w:t>We provide services to our clients through a large number of single award contracts and contract vehicles and multiple award contract vehicles. Most of our revenue is generated under indefinite delivery/indefinite quantity, or ID/IQ, contract vehicles, which include multiple award government wide acquisition contract vehicles, or GWACs, and General Services Administration Multiple Award Schedule Contracts, or GSA schedules, and certain single award contracts. GWACs and GSA schedules are available to all U.S. government agencies. Any number of contractors typically compete under multiple award ID/IQ contract vehicles for task orders to provide particular services, and we earn revenue under these contract vehicles only to the extent that we are successful in the bidding process for task orders.</w:t>
      </w:r>
    </w:p>
    <w:p>
      <w:pPr>
        <w:spacing w:after="0" w:line="85" w:lineRule="exact"/>
        <w:rPr>
          <w:sz w:val="20"/>
          <w:szCs w:val="20"/>
          <w:color w:val="auto"/>
        </w:rPr>
      </w:pPr>
    </w:p>
    <w:p>
      <w:pPr>
        <w:ind w:right="40" w:firstLine="405"/>
        <w:spacing w:after="0" w:line="297" w:lineRule="auto"/>
        <w:rPr>
          <w:sz w:val="20"/>
          <w:szCs w:val="20"/>
          <w:color w:val="auto"/>
        </w:rPr>
      </w:pPr>
      <w:r>
        <w:rPr>
          <w:rFonts w:ascii="Arial" w:cs="Arial" w:eastAsia="Arial" w:hAnsi="Arial"/>
          <w:sz w:val="16"/>
          <w:szCs w:val="16"/>
          <w:color w:val="auto"/>
        </w:rPr>
        <w:t>We generate revenue under our contracts and task orders through our provision of services as both a prime contractor and subcontractor, as well as from the provision of services by subcontractors under contracts and task orders for which we act as the prime contractor. The mix of these types of revenue affects our operating margin. Substantially all of our operating margin is derived from direct consulting staff labor, as the portion of our operating margin derived from fees we earn on services provided by our subcontractors is not significant. We view growth in direct consulting staff labor as the primary driver of earnings growth. Direct consulting staff labor growth is driven by consulting staff headcount growth, after attrition, and total backlog growth.</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Our People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Revenue from our contracts is derived from services delivered by consulting staff and, to a lesser extent, from our subcontractors. Our ability to hire, retain, and deploy talent with skills appropriately aligned with client needs is critical to our ability to grow our revenue. We continuously evaluate whether our talent base is properly sized and appropriately compensated, and contains an optimal mix of skills to be cost competitive and meet the rapidly evolving needs of our clients. We seek to</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420"/>
          </w:cols>
          <w:pgMar w:left="240" w:top="908" w:right="239" w:bottom="1440" w:gutter="0" w:footer="0" w:header="0"/>
        </w:sectPr>
      </w:pPr>
    </w:p>
    <w:bookmarkStart w:id="23" w:name="page24"/>
    <w:bookmarkEnd w:id="23"/>
    <w:p>
      <w:pPr>
        <w:ind w:right="1040"/>
        <w:spacing w:after="0" w:line="342" w:lineRule="auto"/>
        <w:rPr>
          <w:sz w:val="20"/>
          <w:szCs w:val="20"/>
          <w:color w:val="auto"/>
        </w:rPr>
      </w:pPr>
      <w:r>
        <w:rPr>
          <w:rFonts w:ascii="Arial" w:cs="Arial" w:eastAsia="Arial" w:hAnsi="Arial"/>
          <w:sz w:val="16"/>
          <w:szCs w:val="16"/>
          <w:color w:val="auto"/>
        </w:rPr>
        <w:t>achieve that result through recruitment and management of capacity and compensation. As of both September 30, 2016 and 2015, we employed approximately 22,800 and 22,200 people, respectively, of which approximately 20,500 and 20,000, respectively, were consulting staff.</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Contract Backlog</w:t>
      </w:r>
    </w:p>
    <w:p>
      <w:pPr>
        <w:spacing w:after="0" w:line="11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We define backlog to include the following three components:</w:t>
      </w:r>
    </w:p>
    <w:p>
      <w:pPr>
        <w:spacing w:after="0" w:line="117" w:lineRule="exact"/>
        <w:rPr>
          <w:sz w:val="20"/>
          <w:szCs w:val="20"/>
          <w:color w:val="auto"/>
        </w:rPr>
      </w:pPr>
    </w:p>
    <w:p>
      <w:pPr>
        <w:ind w:left="1300" w:right="74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Funded Backlog. </w:t>
      </w:r>
      <w:r>
        <w:rPr>
          <w:rFonts w:ascii="Arial" w:cs="Arial" w:eastAsia="Arial" w:hAnsi="Arial"/>
          <w:sz w:val="18"/>
          <w:szCs w:val="18"/>
          <w:color w:val="auto"/>
        </w:rPr>
        <w:t>Funded backlog represents the revenue value of orders for services under existing contracts for which funding is</w:t>
      </w:r>
      <w:r>
        <w:rPr>
          <w:rFonts w:ascii="Arial" w:cs="Arial" w:eastAsia="Arial" w:hAnsi="Arial"/>
          <w:sz w:val="18"/>
          <w:szCs w:val="18"/>
          <w:i w:val="1"/>
          <w:iCs w:val="1"/>
          <w:color w:val="auto"/>
        </w:rPr>
        <w:t xml:space="preserve"> </w:t>
      </w:r>
      <w:r>
        <w:rPr>
          <w:rFonts w:ascii="Arial" w:cs="Arial" w:eastAsia="Arial" w:hAnsi="Arial"/>
          <w:sz w:val="18"/>
          <w:szCs w:val="18"/>
          <w:color w:val="auto"/>
        </w:rPr>
        <w:t>appropriated or otherwise authorized less revenue previously recognized on these contracts.</w:t>
      </w:r>
    </w:p>
    <w:p>
      <w:pPr>
        <w:spacing w:after="0" w:line="62" w:lineRule="exact"/>
        <w:rPr>
          <w:rFonts w:ascii="Arial" w:cs="Arial" w:eastAsia="Arial" w:hAnsi="Arial"/>
          <w:sz w:val="18"/>
          <w:szCs w:val="18"/>
          <w:color w:val="auto"/>
        </w:rPr>
      </w:pPr>
    </w:p>
    <w:p>
      <w:pPr>
        <w:ind w:left="1300" w:hanging="644"/>
        <w:spacing w:after="0" w:line="277" w:lineRule="auto"/>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i w:val="1"/>
          <w:iCs w:val="1"/>
          <w:color w:val="auto"/>
        </w:rPr>
        <w:t xml:space="preserve">Unfunded Backlog. </w:t>
      </w:r>
      <w:r>
        <w:rPr>
          <w:rFonts w:ascii="Arial" w:cs="Arial" w:eastAsia="Arial" w:hAnsi="Arial"/>
          <w:sz w:val="18"/>
          <w:szCs w:val="18"/>
          <w:color w:val="auto"/>
        </w:rPr>
        <w:t>Unfunded backlog represents the revenue value of orders for services under existing contracts for which funding has not</w:t>
      </w:r>
      <w:r>
        <w:rPr>
          <w:rFonts w:ascii="Arial" w:cs="Arial" w:eastAsia="Arial" w:hAnsi="Arial"/>
          <w:sz w:val="18"/>
          <w:szCs w:val="18"/>
          <w:i w:val="1"/>
          <w:iCs w:val="1"/>
          <w:color w:val="auto"/>
        </w:rPr>
        <w:t xml:space="preserve"> </w:t>
      </w:r>
      <w:r>
        <w:rPr>
          <w:rFonts w:ascii="Arial" w:cs="Arial" w:eastAsia="Arial" w:hAnsi="Arial"/>
          <w:sz w:val="18"/>
          <w:szCs w:val="18"/>
          <w:color w:val="auto"/>
        </w:rPr>
        <w:t>been appropriated or otherwise authorized.</w:t>
      </w:r>
    </w:p>
    <w:p>
      <w:pPr>
        <w:spacing w:after="0" w:line="62" w:lineRule="exact"/>
        <w:rPr>
          <w:rFonts w:ascii="Arial" w:cs="Arial" w:eastAsia="Arial" w:hAnsi="Arial"/>
          <w:sz w:val="18"/>
          <w:szCs w:val="18"/>
          <w:color w:val="auto"/>
        </w:rPr>
      </w:pPr>
    </w:p>
    <w:p>
      <w:pPr>
        <w:ind w:left="1300" w:right="200" w:hanging="644"/>
        <w:spacing w:after="0" w:line="308" w:lineRule="auto"/>
        <w:tabs>
          <w:tab w:leader="none" w:pos="1300" w:val="left"/>
        </w:tabs>
        <w:numPr>
          <w:ilvl w:val="0"/>
          <w:numId w:val="19"/>
        </w:numPr>
        <w:rPr>
          <w:rFonts w:ascii="Arial" w:cs="Arial" w:eastAsia="Arial" w:hAnsi="Arial"/>
          <w:sz w:val="17"/>
          <w:szCs w:val="17"/>
          <w:color w:val="auto"/>
        </w:rPr>
      </w:pPr>
      <w:r>
        <w:rPr>
          <w:rFonts w:ascii="Arial" w:cs="Arial" w:eastAsia="Arial" w:hAnsi="Arial"/>
          <w:sz w:val="17"/>
          <w:szCs w:val="17"/>
          <w:i w:val="1"/>
          <w:iCs w:val="1"/>
          <w:color w:val="auto"/>
        </w:rPr>
        <w:t xml:space="preserve">Priced Options. </w:t>
      </w:r>
      <w:r>
        <w:rPr>
          <w:rFonts w:ascii="Arial" w:cs="Arial" w:eastAsia="Arial" w:hAnsi="Arial"/>
          <w:sz w:val="17"/>
          <w:szCs w:val="17"/>
          <w:color w:val="auto"/>
        </w:rPr>
        <w:t>Priced contract options represent 100% of the revenue value of all future contract option periods under existing contracts</w:t>
      </w:r>
      <w:r>
        <w:rPr>
          <w:rFonts w:ascii="Arial" w:cs="Arial" w:eastAsia="Arial" w:hAnsi="Arial"/>
          <w:sz w:val="17"/>
          <w:szCs w:val="17"/>
          <w:i w:val="1"/>
          <w:iCs w:val="1"/>
          <w:color w:val="auto"/>
        </w:rPr>
        <w:t xml:space="preserve"> </w:t>
      </w:r>
      <w:r>
        <w:rPr>
          <w:rFonts w:ascii="Arial" w:cs="Arial" w:eastAsia="Arial" w:hAnsi="Arial"/>
          <w:sz w:val="17"/>
          <w:szCs w:val="17"/>
          <w:color w:val="auto"/>
        </w:rPr>
        <w:t>that may be exercised at our clients’ option and for which funding has not been appropriated or otherwise authorized.</w:t>
      </w:r>
    </w:p>
    <w:p>
      <w:pPr>
        <w:spacing w:after="0" w:line="38" w:lineRule="exact"/>
        <w:rPr>
          <w:sz w:val="20"/>
          <w:szCs w:val="20"/>
          <w:color w:val="auto"/>
        </w:rPr>
      </w:pPr>
    </w:p>
    <w:p>
      <w:pPr>
        <w:ind w:right="120" w:firstLine="405"/>
        <w:spacing w:after="0" w:line="277" w:lineRule="auto"/>
        <w:rPr>
          <w:sz w:val="20"/>
          <w:szCs w:val="20"/>
          <w:color w:val="auto"/>
        </w:rPr>
      </w:pPr>
      <w:r>
        <w:rPr>
          <w:rFonts w:ascii="Arial" w:cs="Arial" w:eastAsia="Arial" w:hAnsi="Arial"/>
          <w:sz w:val="18"/>
          <w:szCs w:val="18"/>
          <w:color w:val="auto"/>
        </w:rPr>
        <w:t>Backlog does not include any task orders under ID/IQ contracts, including GWACs and GSA schedules, except to the extent that task orders have been awarded to us under those contracts.</w:t>
      </w:r>
    </w:p>
    <w:p>
      <w:pPr>
        <w:spacing w:after="0" w:line="62"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summarizes the value of our contract backlog at the respective dates presented:</w:t>
      </w:r>
    </w:p>
    <w:p>
      <w:pPr>
        <w:spacing w:after="0" w:line="271" w:lineRule="exact"/>
        <w:rPr>
          <w:sz w:val="20"/>
          <w:szCs w:val="20"/>
          <w:color w:val="auto"/>
        </w:rPr>
      </w:pPr>
    </w:p>
    <w:p>
      <w:pPr>
        <w:ind w:left="8220"/>
        <w:spacing w:after="0"/>
        <w:rPr>
          <w:sz w:val="20"/>
          <w:szCs w:val="20"/>
          <w:color w:val="auto"/>
        </w:rPr>
      </w:pPr>
      <w:r>
        <w:rPr>
          <w:rFonts w:ascii="Arial" w:cs="Arial" w:eastAsia="Arial" w:hAnsi="Arial"/>
          <w:sz w:val="14"/>
          <w:szCs w:val="14"/>
          <w:b w:val="1"/>
          <w:bCs w:val="1"/>
          <w:color w:val="auto"/>
        </w:rPr>
        <w:t>As of</w:t>
      </w:r>
    </w:p>
    <w:p>
      <w:pPr>
        <w:spacing w:after="0" w:line="4" w:lineRule="exact"/>
        <w:rPr>
          <w:sz w:val="20"/>
          <w:szCs w:val="20"/>
          <w:color w:val="auto"/>
        </w:rPr>
      </w:pPr>
    </w:p>
    <w:p>
      <w:pPr>
        <w:ind w:left="796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13335</wp:posOffset>
            </wp:positionV>
            <wp:extent cx="205803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87" w:lineRule="exact"/>
        <w:rPr>
          <w:sz w:val="20"/>
          <w:szCs w:val="20"/>
          <w:color w:val="auto"/>
        </w:rPr>
      </w:pPr>
    </w:p>
    <w:p>
      <w:pPr>
        <w:ind w:left="7400"/>
        <w:spacing w:after="0"/>
        <w:tabs>
          <w:tab w:leader="none" w:pos="9060" w:val="left"/>
        </w:tabs>
        <w:rPr>
          <w:sz w:val="20"/>
          <w:szCs w:val="20"/>
          <w:color w:val="auto"/>
        </w:rPr>
      </w:pPr>
      <w:r>
        <w:rPr>
          <w:rFonts w:ascii="Arial" w:cs="Arial" w:eastAsia="Arial" w:hAnsi="Arial"/>
          <w:sz w:val="14"/>
          <w:szCs w:val="14"/>
          <w:b w:val="1"/>
          <w:bCs w:val="1"/>
          <w:color w:val="auto"/>
        </w:rPr>
        <w:t>2016</w:t>
      </w:r>
      <w:r>
        <w:rPr>
          <w:sz w:val="20"/>
          <w:szCs w:val="20"/>
          <w:color w:val="auto"/>
        </w:rPr>
        <w:tab/>
      </w:r>
      <w:r>
        <w:rPr>
          <w:rFonts w:ascii="Arial" w:cs="Arial" w:eastAsia="Arial" w:hAnsi="Arial"/>
          <w:sz w:val="14"/>
          <w:szCs w:val="14"/>
          <w:b w:val="1"/>
          <w:bCs w:val="1"/>
          <w:color w:val="auto"/>
        </w:rPr>
        <w:t>2015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4301490</wp:posOffset>
            </wp:positionH>
            <wp:positionV relativeFrom="paragraph">
              <wp:posOffset>23495</wp:posOffset>
            </wp:positionV>
            <wp:extent cx="205803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058035" cy="8890"/>
                    </a:xfrm>
                    <a:prstGeom prst="rect">
                      <a:avLst/>
                    </a:prstGeom>
                    <a:noFill/>
                  </pic:spPr>
                </pic:pic>
              </a:graphicData>
            </a:graphic>
          </wp:anchor>
        </w:drawing>
      </w:r>
    </w:p>
    <w:p>
      <w:pPr>
        <w:spacing w:after="0" w:line="35" w:lineRule="exact"/>
        <w:rPr>
          <w:sz w:val="20"/>
          <w:szCs w:val="20"/>
          <w:color w:val="auto"/>
        </w:rPr>
      </w:pPr>
    </w:p>
    <w:p>
      <w:pPr>
        <w:ind w:left="8020"/>
        <w:spacing w:after="0"/>
        <w:rPr>
          <w:sz w:val="20"/>
          <w:szCs w:val="20"/>
          <w:color w:val="auto"/>
        </w:rPr>
      </w:pPr>
      <w:r>
        <w:rPr>
          <w:rFonts w:ascii="Arial" w:cs="Arial" w:eastAsia="Arial" w:hAnsi="Arial"/>
          <w:sz w:val="14"/>
          <w:szCs w:val="14"/>
          <w:b w:val="1"/>
          <w:b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905510</wp:posOffset>
            </wp:positionH>
            <wp:positionV relativeFrom="paragraph">
              <wp:posOffset>23495</wp:posOffset>
            </wp:positionV>
            <wp:extent cx="5454015" cy="1714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454015" cy="171450"/>
                    </a:xfrm>
                    <a:prstGeom prst="rect">
                      <a:avLst/>
                    </a:prstGeom>
                    <a:noFill/>
                  </pic:spPr>
                </pic:pic>
              </a:graphicData>
            </a:graphic>
          </wp:anchor>
        </w:drawing>
      </w:r>
    </w:p>
    <w:p>
      <w:pPr>
        <w:spacing w:after="0" w:line="30" w:lineRule="exact"/>
        <w:rPr>
          <w:sz w:val="20"/>
          <w:szCs w:val="20"/>
          <w:color w:val="auto"/>
        </w:rPr>
      </w:pPr>
    </w:p>
    <w:p>
      <w:pPr>
        <w:ind w:left="1440"/>
        <w:spacing w:after="0"/>
        <w:rPr>
          <w:sz w:val="20"/>
          <w:szCs w:val="20"/>
          <w:color w:val="auto"/>
        </w:rPr>
      </w:pPr>
      <w:r>
        <w:rPr>
          <w:rFonts w:ascii="Arial" w:cs="Arial" w:eastAsia="Arial" w:hAnsi="Arial"/>
          <w:sz w:val="18"/>
          <w:szCs w:val="18"/>
          <w:color w:val="auto"/>
        </w:rPr>
        <w:t>Backlog:</w:t>
      </w:r>
    </w:p>
    <w:p>
      <w:pPr>
        <w:spacing w:after="0" w:line="63" w:lineRule="exact"/>
        <w:rPr>
          <w:sz w:val="20"/>
          <w:szCs w:val="20"/>
          <w:color w:val="auto"/>
        </w:rPr>
      </w:pPr>
    </w:p>
    <w:tbl>
      <w:tblPr>
        <w:tblLayout w:type="fixed"/>
        <w:tblInd w:w="1420" w:type="dxa"/>
        <w:tblCellMar>
          <w:top w:w="0" w:type="dxa"/>
          <w:left w:w="0" w:type="dxa"/>
          <w:bottom w:w="0" w:type="dxa"/>
          <w:right w:w="0" w:type="dxa"/>
        </w:tblCellMar>
      </w:tblPr>
      <w:tr>
        <w:trPr>
          <w:trHeight w:val="230"/>
        </w:trPr>
        <w:tc>
          <w:tcPr>
            <w:tcW w:w="5360" w:type="dxa"/>
            <w:vAlign w:val="bottom"/>
          </w:tcPr>
          <w:p>
            <w:pPr>
              <w:ind w:left="380"/>
              <w:spacing w:after="0"/>
              <w:rPr>
                <w:sz w:val="20"/>
                <w:szCs w:val="20"/>
                <w:color w:val="auto"/>
              </w:rPr>
            </w:pPr>
            <w:r>
              <w:rPr>
                <w:rFonts w:ascii="Arial" w:cs="Arial" w:eastAsia="Arial" w:hAnsi="Arial"/>
                <w:sz w:val="18"/>
                <w:szCs w:val="18"/>
                <w:color w:val="auto"/>
              </w:rPr>
              <w:t>Funded</w:t>
            </w:r>
          </w:p>
        </w:tc>
        <w:tc>
          <w:tcPr>
            <w:tcW w:w="540" w:type="dxa"/>
            <w:vAlign w:val="bottom"/>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0"/>
                <w:szCs w:val="20"/>
                <w:color w:val="auto"/>
              </w:rPr>
            </w:pP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3,243</w:t>
            </w:r>
          </w:p>
        </w:tc>
      </w:tr>
      <w:tr>
        <w:trPr>
          <w:trHeight w:val="27"/>
        </w:trPr>
        <w:tc>
          <w:tcPr>
            <w:tcW w:w="5360" w:type="dxa"/>
            <w:vAlign w:val="bottom"/>
          </w:tcPr>
          <w:p>
            <w:pPr>
              <w:spacing w:after="0"/>
              <w:rPr>
                <w:sz w:val="2"/>
                <w:szCs w:val="2"/>
                <w:color w:val="auto"/>
              </w:rPr>
            </w:pPr>
          </w:p>
        </w:tc>
        <w:tc>
          <w:tcPr>
            <w:tcW w:w="5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53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Unfunded (1)</w:t>
            </w:r>
          </w:p>
        </w:tc>
        <w:tc>
          <w:tcPr>
            <w:tcW w:w="5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3,297</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2,906</w:t>
            </w:r>
          </w:p>
        </w:tc>
      </w:tr>
      <w:tr>
        <w:trPr>
          <w:trHeight w:val="243"/>
        </w:trPr>
        <w:tc>
          <w:tcPr>
            <w:tcW w:w="5360" w:type="dxa"/>
            <w:vAlign w:val="bottom"/>
          </w:tcPr>
          <w:p>
            <w:pPr>
              <w:ind w:left="380"/>
              <w:spacing w:after="0"/>
              <w:rPr>
                <w:sz w:val="20"/>
                <w:szCs w:val="20"/>
                <w:color w:val="auto"/>
              </w:rPr>
            </w:pPr>
            <w:r>
              <w:rPr>
                <w:rFonts w:ascii="Arial" w:cs="Arial" w:eastAsia="Arial" w:hAnsi="Arial"/>
                <w:sz w:val="18"/>
                <w:szCs w:val="18"/>
                <w:color w:val="auto"/>
              </w:rPr>
              <w:t>Priced options</w:t>
            </w:r>
          </w:p>
        </w:tc>
        <w:tc>
          <w:tcPr>
            <w:tcW w:w="5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7,015</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6,401</w:t>
            </w:r>
          </w:p>
        </w:tc>
      </w:tr>
      <w:tr>
        <w:trPr>
          <w:trHeight w:val="27"/>
        </w:trPr>
        <w:tc>
          <w:tcPr>
            <w:tcW w:w="536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69"/>
        </w:trPr>
        <w:tc>
          <w:tcPr>
            <w:tcW w:w="5360" w:type="dxa"/>
            <w:vAlign w:val="bottom"/>
            <w:tcBorders>
              <w:bottom w:val="single" w:sz="8" w:color="CCEEFF"/>
            </w:tcBorders>
            <w:shd w:val="clear" w:color="auto" w:fill="CCEEFF"/>
          </w:tcPr>
          <w:p>
            <w:pPr>
              <w:ind w:left="700"/>
              <w:spacing w:after="0"/>
              <w:rPr>
                <w:sz w:val="20"/>
                <w:szCs w:val="20"/>
                <w:color w:val="auto"/>
              </w:rPr>
            </w:pPr>
            <w:r>
              <w:rPr>
                <w:rFonts w:ascii="Arial" w:cs="Arial" w:eastAsia="Arial" w:hAnsi="Arial"/>
                <w:sz w:val="18"/>
                <w:szCs w:val="18"/>
                <w:color w:val="auto"/>
              </w:rPr>
              <w:t>Total backlog</w:t>
            </w:r>
          </w:p>
        </w:tc>
        <w:tc>
          <w:tcPr>
            <w:tcW w:w="54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13,644</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12,550</w:t>
            </w:r>
          </w:p>
        </w:tc>
      </w:tr>
      <w:tr>
        <w:trPr>
          <w:trHeight w:val="20"/>
        </w:trPr>
        <w:tc>
          <w:tcPr>
            <w:tcW w:w="536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both"/>
        <w:ind w:left="1300" w:right="160" w:hanging="644"/>
        <w:spacing w:after="0" w:line="264" w:lineRule="auto"/>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Amount as of September 30, 2015 reflects a reduction by management to the revenue value of orders for services under one then existing single award ID/IQ contract the Company had for several years, based on an established pattern of funding under this contract by the U.S. government.</w:t>
      </w:r>
    </w:p>
    <w:p>
      <w:pPr>
        <w:spacing w:after="0" w:line="73"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Our backlog includes orders under contracts that in some cases extend for several years. The U.S. Congress generally appropriates funds for our clients on a yearly basis, even though their contracts with us may call for performance that is expected to take a number of years. As a result, contracts typically are only partially funded at any point during their term and all or some of the work to be performed under the contracts may remain unfunded unless and until the U.S. Congress makes subsequent appropriations and the procuring agency allocates funding to the contract.</w:t>
      </w:r>
    </w:p>
    <w:p>
      <w:pPr>
        <w:spacing w:after="0" w:line="63" w:lineRule="exact"/>
        <w:rPr>
          <w:sz w:val="20"/>
          <w:szCs w:val="20"/>
          <w:color w:val="auto"/>
        </w:rPr>
      </w:pPr>
    </w:p>
    <w:p>
      <w:pPr>
        <w:ind w:right="100" w:firstLine="405"/>
        <w:spacing w:after="0" w:line="272" w:lineRule="auto"/>
        <w:rPr>
          <w:sz w:val="20"/>
          <w:szCs w:val="20"/>
          <w:color w:val="auto"/>
        </w:rPr>
      </w:pPr>
      <w:r>
        <w:rPr>
          <w:rFonts w:ascii="Arial" w:cs="Arial" w:eastAsia="Arial" w:hAnsi="Arial"/>
          <w:sz w:val="17"/>
          <w:szCs w:val="17"/>
          <w:color w:val="auto"/>
        </w:rPr>
        <w:t>We view growth in total backlog and consulting staff headcount as the two key measures of our potential business growth. Growing and deploying consulting staff is the primary means by which we are able to achieve profitable revenue growth. To the extent that we are able to hire additional consulting staff and deploy them against funded backlog, we generally recognize increased revenue. Total backlog increased by 8.7% from September 30, 2015 to September 30, 2016. Additions to funded backlog during the twelve months ended September 30, 2016 totaled $5.6 billion in comparison to $5.2 billion for the comparable period, as a result of the conversion of unfunded backlog to funded backlog, the award of new contracts and task orders under which funding was appropriated, and the exercise and subsequent funding of priced options. We report internally on our backlog on a monthly basis and review backlog upon occurrence of certain events to determine if any adjustments are necessary.</w:t>
      </w:r>
    </w:p>
    <w:p>
      <w:pPr>
        <w:spacing w:after="0" w:line="70" w:lineRule="exact"/>
        <w:rPr>
          <w:sz w:val="20"/>
          <w:szCs w:val="20"/>
          <w:color w:val="auto"/>
        </w:rPr>
      </w:pPr>
    </w:p>
    <w:p>
      <w:pPr>
        <w:ind w:right="20" w:firstLine="405"/>
        <w:spacing w:after="0" w:line="254" w:lineRule="auto"/>
        <w:rPr>
          <w:sz w:val="20"/>
          <w:szCs w:val="20"/>
          <w:color w:val="auto"/>
        </w:rPr>
      </w:pPr>
      <w:r>
        <w:rPr>
          <w:rFonts w:ascii="Arial" w:cs="Arial" w:eastAsia="Arial" w:hAnsi="Arial"/>
          <w:sz w:val="18"/>
          <w:szCs w:val="18"/>
          <w:color w:val="auto"/>
        </w:rPr>
        <w:t>We cannot predict with any certainty the portion of our backlog that we expect to recognize as revenue in any future period and we cannot guarantee that we will recognize any revenue from our backlog. The primary risks that could affect our ability to recognize such revenue on a timely basis or at all are: program schedule changes, contract modifications, and our ability to assimilate and deploy new consulting staff against funded backlog; cost cutting initiatives and other efforts to reduce U.S. government spending, which could reduce or delay funding for orders for services; and delayed funding of our contracts due to delays in the completion of the U.S. government's budgeting process and the use of continuing resolutions by the U.S. government to fund its operations. Funded backlog includes orders under contracts for which the period of performance has expired, and we may not recognize revenue on the funded backlog that includes such orders due to, among other reasons, the tardy submission of invoices by our subcontractors and the expiration of the relevant appropriated funding in accordance with a</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00"/>
          </w:cols>
          <w:pgMar w:left="240" w:top="881" w:right="259" w:bottom="1440" w:gutter="0" w:footer="0" w:header="0"/>
        </w:sectPr>
      </w:pPr>
    </w:p>
    <w:bookmarkStart w:id="24" w:name="page25"/>
    <w:bookmarkEnd w:id="24"/>
    <w:p>
      <w:pPr>
        <w:spacing w:after="0" w:line="273" w:lineRule="auto"/>
        <w:rPr>
          <w:sz w:val="20"/>
          <w:szCs w:val="20"/>
          <w:color w:val="auto"/>
        </w:rPr>
      </w:pPr>
      <w:r>
        <w:rPr>
          <w:rFonts w:ascii="Arial" w:cs="Arial" w:eastAsia="Arial" w:hAnsi="Arial"/>
          <w:sz w:val="17"/>
          <w:szCs w:val="17"/>
          <w:color w:val="auto"/>
        </w:rPr>
        <w:t>pre-determined expiration date such as the end of the U.S. government's fiscal year. The revenue value of orders included in funded backlog that has not been recognized as revenue due to period of performance expirations has not exceeded approximately 7.9% of funded backlog as of the end of any of the four fiscal quarters preceding the fiscal quarter ended September 30, 2016. In our recent experience, none of the following additional risks have had a material negative effect on our ability to realize revenue from our funded backlog: the unilateral right of the U.S. government to cancel multi-year contracts and related orders or to terminate existing contracts for convenience or default; in the case of unfunded backlog, the potential that funding will not be made available; and, in the case of priced options, the risk that our clients will not exercise their options.</w:t>
      </w:r>
    </w:p>
    <w:p>
      <w:pPr>
        <w:spacing w:after="0" w:line="70"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Operating Costs and Expenses</w:t>
      </w:r>
    </w:p>
    <w:p>
      <w:pPr>
        <w:spacing w:after="0" w:line="198" w:lineRule="exact"/>
        <w:rPr>
          <w:sz w:val="20"/>
          <w:szCs w:val="20"/>
          <w:color w:val="auto"/>
        </w:rPr>
      </w:pPr>
    </w:p>
    <w:p>
      <w:pPr>
        <w:ind w:right="20" w:firstLine="405"/>
        <w:spacing w:after="0" w:line="286" w:lineRule="auto"/>
        <w:rPr>
          <w:sz w:val="20"/>
          <w:szCs w:val="20"/>
          <w:color w:val="auto"/>
        </w:rPr>
      </w:pPr>
      <w:r>
        <w:rPr>
          <w:rFonts w:ascii="Arial" w:cs="Arial" w:eastAsia="Arial" w:hAnsi="Arial"/>
          <w:sz w:val="17"/>
          <w:szCs w:val="17"/>
          <w:color w:val="auto"/>
        </w:rPr>
        <w:t>Costs associated with compensation and related expenses for our people are the most significant component of our operating costs and expenses. The principal factors that affect our costs are additional people as we grow our business and are awarded new contracts, task orders, and additional work under our existing contracts, and the hiring of people with specific skill sets and security clearances as required by our additional work.</w:t>
      </w:r>
    </w:p>
    <w:p>
      <w:pPr>
        <w:spacing w:after="0" w:line="57" w:lineRule="exact"/>
        <w:rPr>
          <w:sz w:val="20"/>
          <w:szCs w:val="20"/>
          <w:color w:val="auto"/>
        </w:rPr>
      </w:pPr>
    </w:p>
    <w:p>
      <w:pPr>
        <w:ind w:left="420"/>
        <w:spacing w:after="0"/>
        <w:rPr>
          <w:sz w:val="20"/>
          <w:szCs w:val="20"/>
          <w:color w:val="auto"/>
        </w:rPr>
      </w:pPr>
      <w:r>
        <w:rPr>
          <w:rFonts w:ascii="Arial" w:cs="Arial" w:eastAsia="Arial" w:hAnsi="Arial"/>
          <w:sz w:val="18"/>
          <w:szCs w:val="18"/>
          <w:color w:val="auto"/>
        </w:rPr>
        <w:t>Our most significant operating costs and expenses are described below.</w:t>
      </w:r>
    </w:p>
    <w:p>
      <w:pPr>
        <w:spacing w:after="0" w:line="117" w:lineRule="exact"/>
        <w:rPr>
          <w:sz w:val="20"/>
          <w:szCs w:val="20"/>
          <w:color w:val="auto"/>
        </w:rPr>
      </w:pPr>
    </w:p>
    <w:p>
      <w:pPr>
        <w:ind w:left="1300" w:right="58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Cost of Revenue</w:t>
      </w:r>
      <w:r>
        <w:rPr>
          <w:rFonts w:ascii="Arial" w:cs="Arial" w:eastAsia="Arial" w:hAnsi="Arial"/>
          <w:sz w:val="18"/>
          <w:szCs w:val="18"/>
          <w:color w:val="auto"/>
        </w:rPr>
        <w:t>. Cost of revenue includes direct labor, related employee benefits, and overhead. Overhead consists of indirect costs,</w:t>
      </w:r>
      <w:r>
        <w:rPr>
          <w:rFonts w:ascii="Arial" w:cs="Arial" w:eastAsia="Arial" w:hAnsi="Arial"/>
          <w:sz w:val="18"/>
          <w:szCs w:val="18"/>
          <w:i w:val="1"/>
          <w:iCs w:val="1"/>
          <w:color w:val="auto"/>
        </w:rPr>
        <w:t xml:space="preserve"> </w:t>
      </w:r>
      <w:r>
        <w:rPr>
          <w:rFonts w:ascii="Arial" w:cs="Arial" w:eastAsia="Arial" w:hAnsi="Arial"/>
          <w:sz w:val="18"/>
          <w:szCs w:val="18"/>
          <w:color w:val="auto"/>
        </w:rPr>
        <w:t>including indirect labor relating to infrastructure, management and administration, and other expenses.</w:t>
      </w:r>
    </w:p>
    <w:p>
      <w:pPr>
        <w:spacing w:after="0" w:line="62" w:lineRule="exact"/>
        <w:rPr>
          <w:rFonts w:ascii="Arial" w:cs="Arial" w:eastAsia="Arial" w:hAnsi="Arial"/>
          <w:sz w:val="18"/>
          <w:szCs w:val="18"/>
          <w:color w:val="auto"/>
        </w:rPr>
      </w:pPr>
    </w:p>
    <w:p>
      <w:pPr>
        <w:ind w:left="1300" w:right="40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Billable Expenses. </w:t>
      </w:r>
      <w:r>
        <w:rPr>
          <w:rFonts w:ascii="Arial" w:cs="Arial" w:eastAsia="Arial" w:hAnsi="Arial"/>
          <w:sz w:val="18"/>
          <w:szCs w:val="18"/>
          <w:color w:val="auto"/>
        </w:rPr>
        <w:t>Billable expenses include direct subcontractor expenses, travel expenses, and other expenses incurred to perform on</w:t>
      </w:r>
      <w:r>
        <w:rPr>
          <w:rFonts w:ascii="Arial" w:cs="Arial" w:eastAsia="Arial" w:hAnsi="Arial"/>
          <w:sz w:val="18"/>
          <w:szCs w:val="18"/>
          <w:i w:val="1"/>
          <w:iCs w:val="1"/>
          <w:color w:val="auto"/>
        </w:rPr>
        <w:t xml:space="preserve"> </w:t>
      </w:r>
      <w:r>
        <w:rPr>
          <w:rFonts w:ascii="Arial" w:cs="Arial" w:eastAsia="Arial" w:hAnsi="Arial"/>
          <w:sz w:val="18"/>
          <w:szCs w:val="18"/>
          <w:color w:val="auto"/>
        </w:rPr>
        <w:t>contracts.</w:t>
      </w:r>
    </w:p>
    <w:p>
      <w:pPr>
        <w:spacing w:after="0" w:line="62" w:lineRule="exact"/>
        <w:rPr>
          <w:rFonts w:ascii="Arial" w:cs="Arial" w:eastAsia="Arial" w:hAnsi="Arial"/>
          <w:sz w:val="18"/>
          <w:szCs w:val="18"/>
          <w:color w:val="auto"/>
        </w:rPr>
      </w:pPr>
    </w:p>
    <w:p>
      <w:pPr>
        <w:ind w:left="1300" w:right="140" w:hanging="644"/>
        <w:spacing w:after="0" w:line="277"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General and Administrative Expenses. </w:t>
      </w:r>
      <w:r>
        <w:rPr>
          <w:rFonts w:ascii="Arial" w:cs="Arial" w:eastAsia="Arial" w:hAnsi="Arial"/>
          <w:sz w:val="18"/>
          <w:szCs w:val="18"/>
          <w:color w:val="auto"/>
        </w:rPr>
        <w:t>General and administrative expenses include indirect labor of executive management and corporate</w:t>
      </w:r>
      <w:r>
        <w:rPr>
          <w:rFonts w:ascii="Arial" w:cs="Arial" w:eastAsia="Arial" w:hAnsi="Arial"/>
          <w:sz w:val="18"/>
          <w:szCs w:val="18"/>
          <w:i w:val="1"/>
          <w:iCs w:val="1"/>
          <w:color w:val="auto"/>
        </w:rPr>
        <w:t xml:space="preserve"> </w:t>
      </w:r>
      <w:r>
        <w:rPr>
          <w:rFonts w:ascii="Arial" w:cs="Arial" w:eastAsia="Arial" w:hAnsi="Arial"/>
          <w:sz w:val="18"/>
          <w:szCs w:val="18"/>
          <w:color w:val="auto"/>
        </w:rPr>
        <w:t>administrative functions, marketing and bid and proposal costs, and other discretionary spending.</w:t>
      </w:r>
    </w:p>
    <w:p>
      <w:pPr>
        <w:spacing w:after="0" w:line="62" w:lineRule="exact"/>
        <w:rPr>
          <w:rFonts w:ascii="Arial" w:cs="Arial" w:eastAsia="Arial" w:hAnsi="Arial"/>
          <w:sz w:val="18"/>
          <w:szCs w:val="18"/>
          <w:color w:val="auto"/>
        </w:rPr>
      </w:pPr>
    </w:p>
    <w:p>
      <w:pPr>
        <w:ind w:left="1300" w:right="200" w:hanging="644"/>
        <w:spacing w:after="0" w:line="264" w:lineRule="auto"/>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i w:val="1"/>
          <w:iCs w:val="1"/>
          <w:color w:val="auto"/>
        </w:rPr>
        <w:t xml:space="preserve">Depreciation and Amortization. </w:t>
      </w:r>
      <w:r>
        <w:rPr>
          <w:rFonts w:ascii="Arial" w:cs="Arial" w:eastAsia="Arial" w:hAnsi="Arial"/>
          <w:sz w:val="18"/>
          <w:szCs w:val="18"/>
          <w:color w:val="auto"/>
        </w:rPr>
        <w:t>Depreciation and amortization includes the depreciation of computers, leasehold improvements, furniture</w:t>
      </w:r>
      <w:r>
        <w:rPr>
          <w:rFonts w:ascii="Arial" w:cs="Arial" w:eastAsia="Arial" w:hAnsi="Arial"/>
          <w:sz w:val="18"/>
          <w:szCs w:val="18"/>
          <w:i w:val="1"/>
          <w:iCs w:val="1"/>
          <w:color w:val="auto"/>
        </w:rPr>
        <w:t xml:space="preserve"> </w:t>
      </w:r>
      <w:r>
        <w:rPr>
          <w:rFonts w:ascii="Arial" w:cs="Arial" w:eastAsia="Arial" w:hAnsi="Arial"/>
          <w:sz w:val="18"/>
          <w:szCs w:val="18"/>
          <w:color w:val="auto"/>
        </w:rPr>
        <w:t>and other equipment, and the amortization of internally developed software, as well as third-party software that we use internally, and of identifiable long-lived intangible assets over their estimated useful lives.</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Seasonality</w:t>
      </w:r>
    </w:p>
    <w:p>
      <w:pPr>
        <w:spacing w:after="0" w:line="117" w:lineRule="exact"/>
        <w:rPr>
          <w:sz w:val="20"/>
          <w:szCs w:val="20"/>
          <w:color w:val="auto"/>
        </w:rPr>
      </w:pPr>
    </w:p>
    <w:p>
      <w:pPr>
        <w:ind w:right="40" w:firstLine="405"/>
        <w:spacing w:after="0" w:line="255" w:lineRule="auto"/>
        <w:rPr>
          <w:sz w:val="20"/>
          <w:szCs w:val="20"/>
          <w:color w:val="auto"/>
        </w:rPr>
      </w:pPr>
      <w:r>
        <w:rPr>
          <w:rFonts w:ascii="Arial" w:cs="Arial" w:eastAsia="Arial" w:hAnsi="Arial"/>
          <w:sz w:val="18"/>
          <w:szCs w:val="18"/>
          <w:color w:val="auto"/>
        </w:rPr>
        <w:t>The U.S. government's fiscal year ends on September 30 of each year. While not certain, it is not uncommon for U.S. government agencies to award extra tasks or complete other contract actions in the weeks before the end of its fiscal year in order to avoid the loss of unexpended fiscal year funds. In addition, we also have historically experienced higher bid and proposal costs in the months leading up to the U.S. government's fiscal year end as we pursue new contract opportunities being awarded shortly after the U.S. government fiscal year end as new opportunities are expected to have funding appropriated in the U.S. government's subsequent fiscal year. We may continue to experience this seasonality in future periods, and our future periods may be affected by it. While not certain, changes in the government's funding and spending patterns have altered historical seasonality trends, supporting our approach to managing the business on an annual basis.</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 and Policies</w:t>
      </w:r>
    </w:p>
    <w:p>
      <w:pPr>
        <w:spacing w:after="0" w:line="121" w:lineRule="exact"/>
        <w:rPr>
          <w:sz w:val="20"/>
          <w:szCs w:val="20"/>
          <w:color w:val="auto"/>
        </w:rPr>
      </w:pPr>
    </w:p>
    <w:p>
      <w:pPr>
        <w:ind w:right="240" w:firstLine="405"/>
        <w:spacing w:after="0" w:line="264" w:lineRule="auto"/>
        <w:rPr>
          <w:sz w:val="20"/>
          <w:szCs w:val="20"/>
          <w:color w:val="auto"/>
        </w:rPr>
      </w:pPr>
      <w:r>
        <w:rPr>
          <w:rFonts w:ascii="Arial" w:cs="Arial" w:eastAsia="Arial" w:hAnsi="Arial"/>
          <w:sz w:val="18"/>
          <w:szCs w:val="18"/>
          <w:color w:val="auto"/>
        </w:rPr>
        <w:t>There have been no material changes during the period covered by this Quarterly Report to the information disclosed in the Critical Accounting Estimates and Policies section in Part II, “Item 7. Management’s Discussion and Analysis of Financial Condition and Results of Operations” of our Annual Report.</w:t>
      </w:r>
    </w:p>
    <w:p>
      <w:pPr>
        <w:spacing w:after="0" w:line="73" w:lineRule="exact"/>
        <w:rPr>
          <w:sz w:val="20"/>
          <w:szCs w:val="20"/>
          <w:color w:val="auto"/>
        </w:rPr>
      </w:pPr>
    </w:p>
    <w:p>
      <w:pPr>
        <w:ind w:left="22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17" w:lineRule="exact"/>
        <w:rPr>
          <w:sz w:val="20"/>
          <w:szCs w:val="20"/>
          <w:color w:val="auto"/>
        </w:rPr>
      </w:pPr>
    </w:p>
    <w:p>
      <w:pPr>
        <w:ind w:right="100" w:firstLine="405"/>
        <w:spacing w:after="0" w:line="289" w:lineRule="auto"/>
        <w:rPr>
          <w:sz w:val="20"/>
          <w:szCs w:val="20"/>
          <w:color w:val="auto"/>
        </w:rPr>
      </w:pPr>
      <w:r>
        <w:rPr>
          <w:rFonts w:ascii="Arial" w:cs="Arial" w:eastAsia="Arial" w:hAnsi="Arial"/>
          <w:sz w:val="16"/>
          <w:szCs w:val="16"/>
          <w:color w:val="auto"/>
        </w:rPr>
        <w:t>In May 2014, the FASB issued a new standard that will replace existing revenue recognition standards and significantly expand the disclosure requirements for revenue arrangements. In July 2015, the FASB approved a one-year delay in the effective date of the standard to January 1, 2018, with an option that would permit companies to adopt the standard as early as the original effective date. Early adoption prior to the effective date is not permitted. With the one-year delay enacted, the new standard will be effective for the Company beginning on April 1, 2018 (i.e., beginning with the first quarter fiscal 2019 interim financial statements). The new standard may be adopted retrospectively for all periods presented, or adopted using a modified retrospective approach. Under the retrospective approach, the fiscal 2018 and 2017 financial statements would be adjusted to reflect the effects of adopting the new standard in those periods. Under the modified retrospective approach, the new standard would only be adopted for the period beginning April 1, 2018 to new contracts and those contracts that are not yet complete at April 1, 2018, with a cumulative catch-up adjustment recorded to beginning retained earnings for existing contracts that still require performance. Management is still in the process of determining which transition method to utilize in order to adopt the</w:t>
      </w:r>
    </w:p>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20"/>
          </w:cols>
          <w:pgMar w:left="240" w:top="881" w:right="239" w:bottom="1440" w:gutter="0" w:footer="0" w:header="0"/>
        </w:sectPr>
      </w:pPr>
    </w:p>
    <w:bookmarkStart w:id="25" w:name="page26"/>
    <w:bookmarkEnd w:id="25"/>
    <w:p>
      <w:pPr>
        <w:spacing w:after="0"/>
        <w:rPr>
          <w:sz w:val="20"/>
          <w:szCs w:val="20"/>
          <w:color w:val="auto"/>
        </w:rPr>
      </w:pPr>
      <w:r>
        <w:rPr>
          <w:rFonts w:ascii="Arial" w:cs="Arial" w:eastAsia="Arial" w:hAnsi="Arial"/>
          <w:sz w:val="16"/>
          <w:szCs w:val="16"/>
          <w:color w:val="auto"/>
        </w:rPr>
        <w:t>new standard and still assessing what effect the adoption of this standard may have on the timing of our revenue recognition and our financial statements.</w:t>
      </w:r>
    </w:p>
    <w:p>
      <w:pPr>
        <w:spacing w:after="0" w:line="140" w:lineRule="exact"/>
        <w:rPr>
          <w:sz w:val="20"/>
          <w:szCs w:val="20"/>
          <w:color w:val="auto"/>
        </w:rPr>
      </w:pPr>
    </w:p>
    <w:p>
      <w:pPr>
        <w:ind w:right="20" w:firstLine="405"/>
        <w:spacing w:after="0" w:line="308" w:lineRule="auto"/>
        <w:rPr>
          <w:sz w:val="20"/>
          <w:szCs w:val="20"/>
          <w:color w:val="auto"/>
        </w:rPr>
      </w:pPr>
      <w:r>
        <w:rPr>
          <w:rFonts w:ascii="Arial" w:cs="Arial" w:eastAsia="Arial" w:hAnsi="Arial"/>
          <w:sz w:val="17"/>
          <w:szCs w:val="17"/>
          <w:color w:val="auto"/>
        </w:rPr>
        <w:t>Other recent accounting pronouncements issued by the FASB during the six months ended September 30, 2016 and through the filing date did not or are not believed by management to have a material impact on the Company's present or historical condensed consolidated financial statements.</w:t>
      </w:r>
    </w:p>
    <w:p>
      <w:pPr>
        <w:spacing w:after="0" w:line="35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following table sets forth items from our condensed consolidated statements of operations for the periods indicated:</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right"/>
              <w:ind w:right="413"/>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1300" w:type="dxa"/>
            <w:vAlign w:val="bottom"/>
            <w:gridSpan w:val="2"/>
            <w:vMerge w:val="restart"/>
          </w:tcPr>
          <w:p>
            <w:pPr>
              <w:ind w:left="360"/>
              <w:spacing w:after="0"/>
              <w:rPr>
                <w:sz w:val="20"/>
                <w:szCs w:val="20"/>
                <w:color w:val="auto"/>
              </w:rPr>
            </w:pPr>
            <w:r>
              <w:rPr>
                <w:rFonts w:ascii="Arial" w:cs="Arial" w:eastAsia="Arial" w:hAnsi="Arial"/>
                <w:sz w:val="14"/>
                <w:szCs w:val="14"/>
                <w:b w:val="1"/>
                <w:bCs w:val="1"/>
                <w:color w:val="auto"/>
              </w:rPr>
              <w:t>Percent</w:t>
            </w:r>
          </w:p>
        </w:tc>
        <w:tc>
          <w:tcPr>
            <w:tcW w:w="140" w:type="dxa"/>
            <w:vAlign w:val="bottom"/>
          </w:tcPr>
          <w:p>
            <w:pPr>
              <w:spacing w:after="0"/>
              <w:rPr>
                <w:sz w:val="14"/>
                <w:szCs w:val="14"/>
                <w:color w:val="auto"/>
              </w:rPr>
            </w:pPr>
          </w:p>
        </w:tc>
        <w:tc>
          <w:tcPr>
            <w:tcW w:w="2180" w:type="dxa"/>
            <w:vAlign w:val="bottom"/>
            <w:tcBorders>
              <w:right w:val="single" w:sz="8" w:color="auto"/>
            </w:tcBorders>
            <w:gridSpan w:val="4"/>
          </w:tcPr>
          <w:p>
            <w:pPr>
              <w:jc w:val="right"/>
              <w:ind w:right="513"/>
              <w:spacing w:after="0"/>
              <w:rPr>
                <w:sz w:val="20"/>
                <w:szCs w:val="20"/>
                <w:color w:val="auto"/>
              </w:rPr>
            </w:pPr>
            <w:r>
              <w:rPr>
                <w:rFonts w:ascii="Arial" w:cs="Arial" w:eastAsia="Arial" w:hAnsi="Arial"/>
                <w:sz w:val="14"/>
                <w:szCs w:val="14"/>
                <w:b w:val="1"/>
                <w:bCs w:val="1"/>
                <w:color w:val="auto"/>
              </w:rPr>
              <w:t>Six Months Ended</w:t>
            </w:r>
          </w:p>
        </w:tc>
        <w:tc>
          <w:tcPr>
            <w:tcW w:w="100" w:type="dxa"/>
            <w:vAlign w:val="bottom"/>
          </w:tcPr>
          <w:p>
            <w:pPr>
              <w:spacing w:after="0"/>
              <w:rPr>
                <w:sz w:val="14"/>
                <w:szCs w:val="14"/>
                <w:color w:val="auto"/>
              </w:rPr>
            </w:pPr>
          </w:p>
        </w:tc>
        <w:tc>
          <w:tcPr>
            <w:tcW w:w="1180" w:type="dxa"/>
            <w:vAlign w:val="bottom"/>
            <w:vMerge w:val="restart"/>
          </w:tcPr>
          <w:p>
            <w:pPr>
              <w:jc w:val="right"/>
              <w:ind w:right="273"/>
              <w:spacing w:after="0"/>
              <w:rPr>
                <w:sz w:val="20"/>
                <w:szCs w:val="20"/>
                <w:color w:val="auto"/>
              </w:rPr>
            </w:pPr>
            <w:r>
              <w:rPr>
                <w:rFonts w:ascii="Arial" w:cs="Arial" w:eastAsia="Arial" w:hAnsi="Arial"/>
                <w:sz w:val="14"/>
                <w:szCs w:val="14"/>
                <w:b w:val="1"/>
                <w:bCs w:val="1"/>
                <w:color w:val="auto"/>
              </w:rPr>
              <w:t>Percent</w:t>
            </w:r>
          </w:p>
        </w:tc>
        <w:tc>
          <w:tcPr>
            <w:tcW w:w="0" w:type="dxa"/>
            <w:vAlign w:val="bottom"/>
          </w:tcPr>
          <w:p>
            <w:pPr>
              <w:spacing w:after="0"/>
              <w:rPr>
                <w:sz w:val="1"/>
                <w:szCs w:val="1"/>
                <w:color w:val="auto"/>
              </w:rPr>
            </w:pPr>
          </w:p>
        </w:tc>
      </w:tr>
      <w:tr>
        <w:trPr>
          <w:trHeight w:val="192"/>
        </w:trPr>
        <w:tc>
          <w:tcPr>
            <w:tcW w:w="36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300" w:type="dxa"/>
            <w:vAlign w:val="bottom"/>
            <w:gridSpan w:val="2"/>
            <w:vMerge w:val="continue"/>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2180" w:type="dxa"/>
            <w:vAlign w:val="bottom"/>
            <w:tcBorders>
              <w:bottom w:val="single" w:sz="8" w:color="auto"/>
              <w:right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September 30,</w:t>
            </w:r>
          </w:p>
        </w:tc>
        <w:tc>
          <w:tcPr>
            <w:tcW w:w="1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36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0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3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180" w:type="dxa"/>
            <w:vAlign w:val="bottom"/>
            <w:tcBorders>
              <w:bottom w:val="single" w:sz="8" w:color="auto"/>
            </w:tcBorders>
          </w:tcPr>
          <w:p>
            <w:pPr>
              <w:ind w:left="360"/>
              <w:spacing w:after="0"/>
              <w:rPr>
                <w:sz w:val="20"/>
                <w:szCs w:val="20"/>
                <w:color w:val="auto"/>
              </w:rPr>
            </w:pPr>
            <w:r>
              <w:rPr>
                <w:rFonts w:ascii="Arial" w:cs="Arial" w:eastAsia="Arial" w:hAnsi="Arial"/>
                <w:sz w:val="14"/>
                <w:szCs w:val="14"/>
                <w:b w:val="1"/>
                <w:bCs w:val="1"/>
                <w:color w:val="auto"/>
              </w:rPr>
              <w:t>Change</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2016</w:t>
            </w:r>
          </w:p>
        </w:tc>
        <w:tc>
          <w:tcPr>
            <w:tcW w:w="1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980" w:type="dxa"/>
            <w:vAlign w:val="bottom"/>
            <w:tcBorders>
              <w:bottom w:val="single" w:sz="8" w:color="auto"/>
              <w:right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2015</w:t>
            </w:r>
          </w:p>
        </w:tc>
        <w:tc>
          <w:tcPr>
            <w:tcW w:w="100" w:type="dxa"/>
            <w:vAlign w:val="bottom"/>
          </w:tcPr>
          <w:p>
            <w:pPr>
              <w:spacing w:after="0"/>
              <w:rPr>
                <w:sz w:val="22"/>
                <w:szCs w:val="22"/>
                <w:color w:val="auto"/>
              </w:rPr>
            </w:pPr>
          </w:p>
        </w:tc>
        <w:tc>
          <w:tcPr>
            <w:tcW w:w="11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244"/>
        </w:trPr>
        <w:tc>
          <w:tcPr>
            <w:tcW w:w="36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4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60" w:type="dxa"/>
            <w:vAlign w:val="bottom"/>
            <w:gridSpan w:val="2"/>
          </w:tcPr>
          <w:p>
            <w:pPr>
              <w:ind w:left="20"/>
              <w:spacing w:after="0"/>
              <w:rPr>
                <w:sz w:val="20"/>
                <w:szCs w:val="20"/>
                <w:color w:val="auto"/>
              </w:rPr>
            </w:pPr>
            <w:r>
              <w:rPr>
                <w:rFonts w:ascii="Arial" w:cs="Arial" w:eastAsia="Arial" w:hAnsi="Arial"/>
                <w:sz w:val="14"/>
                <w:szCs w:val="14"/>
                <w:b w:val="1"/>
                <w:bCs w:val="1"/>
                <w:color w:val="auto"/>
              </w:rPr>
              <w:t>(Unaudited)</w:t>
            </w: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113"/>
              <w:spacing w:after="0"/>
              <w:rPr>
                <w:sz w:val="20"/>
                <w:szCs w:val="20"/>
                <w:color w:val="auto"/>
              </w:rPr>
            </w:pPr>
            <w:r>
              <w:rPr>
                <w:rFonts w:ascii="Arial" w:cs="Arial" w:eastAsia="Arial" w:hAnsi="Arial"/>
                <w:sz w:val="14"/>
                <w:szCs w:val="14"/>
                <w:b w:val="1"/>
                <w:bCs w:val="1"/>
                <w:color w:val="auto"/>
                <w:w w:val="97"/>
              </w:rPr>
              <w:t>(Unaudited)</w:t>
            </w: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6"/>
        </w:trPr>
        <w:tc>
          <w:tcPr>
            <w:tcW w:w="3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180" w:type="dxa"/>
            <w:vAlign w:val="bottom"/>
            <w:tcBorders>
              <w:right w:val="single" w:sz="8" w:color="auto"/>
            </w:tcBorders>
            <w:gridSpan w:val="4"/>
          </w:tcPr>
          <w:p>
            <w:pPr>
              <w:jc w:val="right"/>
              <w:ind w:right="633"/>
              <w:spacing w:after="0"/>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Revenue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1,394,853</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1,322,154</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2,817,575</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2,673,758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Operating costs and expenses:</w:t>
            </w: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Cost of revenue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658,068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626,155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1,315,022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1,269,187</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3.6 %</w:t>
            </w:r>
          </w:p>
        </w:tc>
        <w:tc>
          <w:tcPr>
            <w:tcW w:w="0" w:type="dxa"/>
            <w:vAlign w:val="bottom"/>
          </w:tcPr>
          <w:p>
            <w:pPr>
              <w:spacing w:after="0"/>
              <w:rPr>
                <w:sz w:val="1"/>
                <w:szCs w:val="1"/>
                <w:color w:val="auto"/>
              </w:rPr>
            </w:pPr>
          </w:p>
        </w:tc>
      </w:tr>
      <w:tr>
        <w:trPr>
          <w:trHeight w:val="243"/>
        </w:trPr>
        <w:tc>
          <w:tcPr>
            <w:tcW w:w="3600" w:type="dxa"/>
            <w:vAlign w:val="bottom"/>
          </w:tcPr>
          <w:p>
            <w:pPr>
              <w:ind w:left="280"/>
              <w:spacing w:after="0"/>
              <w:rPr>
                <w:sz w:val="20"/>
                <w:szCs w:val="20"/>
                <w:color w:val="auto"/>
              </w:rPr>
            </w:pPr>
            <w:r>
              <w:rPr>
                <w:rFonts w:ascii="Arial" w:cs="Arial" w:eastAsia="Arial" w:hAnsi="Arial"/>
                <w:sz w:val="18"/>
                <w:szCs w:val="18"/>
                <w:color w:val="auto"/>
              </w:rPr>
              <w:t>Billable expenses</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409,991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363,690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12.7 %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842,256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742,340</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13.5 %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194,456</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208,141</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384,157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396,802</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43"/>
        </w:trPr>
        <w:tc>
          <w:tcPr>
            <w:tcW w:w="3600" w:type="dxa"/>
            <w:vAlign w:val="bottom"/>
          </w:tcPr>
          <w:p>
            <w:pPr>
              <w:ind w:left="280"/>
              <w:spacing w:after="0"/>
              <w:rPr>
                <w:sz w:val="20"/>
                <w:szCs w:val="20"/>
                <w:color w:val="auto"/>
              </w:rPr>
            </w:pPr>
            <w:r>
              <w:rPr>
                <w:rFonts w:ascii="Arial" w:cs="Arial" w:eastAsia="Arial" w:hAnsi="Arial"/>
                <w:sz w:val="18"/>
                <w:szCs w:val="18"/>
                <w:color w:val="auto"/>
              </w:rPr>
              <w:t>Depreciation and amortization</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14,677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15,352</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29,178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30,469</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6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operating costs and expenses</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1,277,192</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1,213,338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2,570,613</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2,438,798</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5.4 %</w:t>
            </w:r>
          </w:p>
        </w:tc>
        <w:tc>
          <w:tcPr>
            <w:tcW w:w="0" w:type="dxa"/>
            <w:vAlign w:val="bottom"/>
          </w:tcPr>
          <w:p>
            <w:pPr>
              <w:spacing w:after="0"/>
              <w:rPr>
                <w:sz w:val="1"/>
                <w:szCs w:val="1"/>
                <w:color w:val="auto"/>
              </w:rPr>
            </w:pPr>
          </w:p>
        </w:tc>
      </w:tr>
      <w:tr>
        <w:trPr>
          <w:trHeight w:val="237"/>
        </w:trPr>
        <w:tc>
          <w:tcPr>
            <w:tcW w:w="3600" w:type="dxa"/>
            <w:vAlign w:val="bottom"/>
          </w:tcPr>
          <w:p>
            <w:pPr>
              <w:ind w:left="40"/>
              <w:spacing w:after="0"/>
              <w:rPr>
                <w:sz w:val="20"/>
                <w:szCs w:val="20"/>
                <w:color w:val="auto"/>
              </w:rPr>
            </w:pPr>
            <w:r>
              <w:rPr>
                <w:rFonts w:ascii="Arial" w:cs="Arial" w:eastAsia="Arial" w:hAnsi="Arial"/>
                <w:sz w:val="18"/>
                <w:szCs w:val="18"/>
                <w:color w:val="auto"/>
              </w:rPr>
              <w:t>Operating income</w:t>
            </w:r>
          </w:p>
        </w:tc>
        <w:tc>
          <w:tcPr>
            <w:tcW w:w="1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ind w:right="35"/>
              <w:spacing w:after="0"/>
              <w:rPr>
                <w:sz w:val="20"/>
                <w:szCs w:val="20"/>
                <w:color w:val="auto"/>
              </w:rPr>
            </w:pPr>
            <w:r>
              <w:rPr>
                <w:rFonts w:ascii="Arial" w:cs="Arial" w:eastAsia="Arial" w:hAnsi="Arial"/>
                <w:sz w:val="18"/>
                <w:szCs w:val="18"/>
                <w:color w:val="auto"/>
              </w:rPr>
              <w:t>117,661</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108,816</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8.1 %</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40" w:type="dxa"/>
            <w:vAlign w:val="bottom"/>
            <w:tcBorders>
              <w:top w:val="single" w:sz="8" w:color="auto"/>
            </w:tcBorders>
          </w:tcPr>
          <w:p>
            <w:pPr>
              <w:jc w:val="right"/>
              <w:ind w:right="15"/>
              <w:spacing w:after="0"/>
              <w:rPr>
                <w:sz w:val="20"/>
                <w:szCs w:val="20"/>
                <w:color w:val="auto"/>
              </w:rPr>
            </w:pPr>
            <w:r>
              <w:rPr>
                <w:rFonts w:ascii="Arial" w:cs="Arial" w:eastAsia="Arial" w:hAnsi="Arial"/>
                <w:sz w:val="18"/>
                <w:szCs w:val="18"/>
                <w:color w:val="auto"/>
              </w:rPr>
              <w:t>246,962</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right w:val="single" w:sz="8" w:color="auto"/>
            </w:tcBorders>
          </w:tcPr>
          <w:p>
            <w:pPr>
              <w:jc w:val="right"/>
              <w:ind w:right="53"/>
              <w:spacing w:after="0"/>
              <w:rPr>
                <w:sz w:val="20"/>
                <w:szCs w:val="20"/>
                <w:color w:val="auto"/>
              </w:rPr>
            </w:pPr>
            <w:r>
              <w:rPr>
                <w:rFonts w:ascii="Arial" w:cs="Arial" w:eastAsia="Arial" w:hAnsi="Arial"/>
                <w:sz w:val="18"/>
                <w:szCs w:val="18"/>
                <w:color w:val="auto"/>
              </w:rPr>
              <w:t>234,960</w:t>
            </w:r>
          </w:p>
        </w:tc>
        <w:tc>
          <w:tcPr>
            <w:tcW w:w="100" w:type="dxa"/>
            <w:vAlign w:val="bottom"/>
          </w:tcPr>
          <w:p>
            <w:pPr>
              <w:spacing w:after="0"/>
              <w:rPr>
                <w:sz w:val="20"/>
                <w:szCs w:val="20"/>
                <w:color w:val="auto"/>
              </w:rPr>
            </w:pPr>
          </w:p>
        </w:tc>
        <w:tc>
          <w:tcPr>
            <w:tcW w:w="1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5.1 %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Borders>
              <w:right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(14,753)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(17,685)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(32,581)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(35,175)</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Other, net</w:t>
            </w:r>
          </w:p>
        </w:tc>
        <w:tc>
          <w:tcPr>
            <w:tcW w:w="14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(5,161)</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2,799.4 %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(3,270)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1,229.3 %</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before income taxes</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97,747</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90,953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7.5 %</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211,111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199,539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5.8 %</w:t>
            </w:r>
          </w:p>
        </w:tc>
        <w:tc>
          <w:tcPr>
            <w:tcW w:w="0" w:type="dxa"/>
            <w:vAlign w:val="bottom"/>
          </w:tcPr>
          <w:p>
            <w:pPr>
              <w:spacing w:after="0"/>
              <w:rPr>
                <w:sz w:val="1"/>
                <w:szCs w:val="1"/>
                <w:color w:val="auto"/>
              </w:rPr>
            </w:pPr>
          </w:p>
        </w:tc>
      </w:tr>
      <w:tr>
        <w:trPr>
          <w:trHeight w:val="243"/>
        </w:trPr>
        <w:tc>
          <w:tcPr>
            <w:tcW w:w="3600" w:type="dxa"/>
            <w:vAlign w:val="bottom"/>
          </w:tcPr>
          <w:p>
            <w:pPr>
              <w:ind w:left="40"/>
              <w:spacing w:after="0"/>
              <w:rPr>
                <w:sz w:val="20"/>
                <w:szCs w:val="20"/>
                <w:color w:val="auto"/>
              </w:rPr>
            </w:pPr>
            <w:r>
              <w:rPr>
                <w:rFonts w:ascii="Arial" w:cs="Arial" w:eastAsia="Arial" w:hAnsi="Arial"/>
                <w:sz w:val="18"/>
                <w:szCs w:val="18"/>
                <w:color w:val="auto"/>
              </w:rPr>
              <w:t>Income tax expense</w:t>
            </w:r>
          </w:p>
        </w:tc>
        <w:tc>
          <w:tcPr>
            <w:tcW w:w="140" w:type="dxa"/>
            <w:vAlign w:val="bottom"/>
          </w:tcPr>
          <w:p>
            <w:pPr>
              <w:spacing w:after="0"/>
              <w:rPr>
                <w:sz w:val="21"/>
                <w:szCs w:val="21"/>
                <w:color w:val="auto"/>
              </w:rPr>
            </w:pPr>
          </w:p>
        </w:tc>
        <w:tc>
          <w:tcPr>
            <w:tcW w:w="960" w:type="dxa"/>
            <w:vAlign w:val="bottom"/>
          </w:tcPr>
          <w:p>
            <w:pPr>
              <w:jc w:val="right"/>
              <w:ind w:right="35"/>
              <w:spacing w:after="0"/>
              <w:rPr>
                <w:sz w:val="20"/>
                <w:szCs w:val="20"/>
                <w:color w:val="auto"/>
              </w:rPr>
            </w:pPr>
            <w:r>
              <w:rPr>
                <w:rFonts w:ascii="Arial" w:cs="Arial" w:eastAsia="Arial" w:hAnsi="Arial"/>
                <w:sz w:val="18"/>
                <w:szCs w:val="18"/>
                <w:color w:val="auto"/>
              </w:rPr>
              <w:t>34,917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34,737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ind w:right="15"/>
              <w:spacing w:after="0"/>
              <w:rPr>
                <w:sz w:val="20"/>
                <w:szCs w:val="20"/>
                <w:color w:val="auto"/>
              </w:rPr>
            </w:pPr>
            <w:r>
              <w:rPr>
                <w:rFonts w:ascii="Arial" w:cs="Arial" w:eastAsia="Arial" w:hAnsi="Arial"/>
                <w:sz w:val="18"/>
                <w:szCs w:val="18"/>
                <w:color w:val="auto"/>
              </w:rPr>
              <w:t>80,464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80" w:type="dxa"/>
            <w:vAlign w:val="bottom"/>
            <w:tcBorders>
              <w:right w:val="single" w:sz="8" w:color="auto"/>
            </w:tcBorders>
          </w:tcPr>
          <w:p>
            <w:pPr>
              <w:jc w:val="right"/>
              <w:ind w:right="53"/>
              <w:spacing w:after="0"/>
              <w:rPr>
                <w:sz w:val="20"/>
                <w:szCs w:val="20"/>
                <w:color w:val="auto"/>
              </w:rPr>
            </w:pPr>
            <w:r>
              <w:rPr>
                <w:rFonts w:ascii="Arial" w:cs="Arial" w:eastAsia="Arial" w:hAnsi="Arial"/>
                <w:sz w:val="18"/>
                <w:szCs w:val="18"/>
                <w:color w:val="auto"/>
              </w:rPr>
              <w:t>79,017</w:t>
            </w:r>
          </w:p>
        </w:tc>
        <w:tc>
          <w:tcPr>
            <w:tcW w:w="10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1.8 %</w:t>
            </w:r>
          </w:p>
        </w:tc>
        <w:tc>
          <w:tcPr>
            <w:tcW w:w="0" w:type="dxa"/>
            <w:vAlign w:val="bottom"/>
          </w:tcPr>
          <w:p>
            <w:pPr>
              <w:spacing w:after="0"/>
              <w:rPr>
                <w:sz w:val="1"/>
                <w:szCs w:val="1"/>
                <w:color w:val="auto"/>
              </w:rPr>
            </w:pPr>
          </w:p>
        </w:tc>
      </w:tr>
      <w:tr>
        <w:trPr>
          <w:trHeight w:val="27"/>
        </w:trPr>
        <w:tc>
          <w:tcPr>
            <w:tcW w:w="36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right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36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income</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62,830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56,216</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11.8 %</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130,647</w:t>
            </w:r>
          </w:p>
        </w:tc>
        <w:tc>
          <w:tcPr>
            <w:tcW w:w="1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right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120,522</w:t>
            </w:r>
          </w:p>
        </w:tc>
        <w:tc>
          <w:tcPr>
            <w:tcW w:w="10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8.4 %</w:t>
            </w:r>
          </w:p>
        </w:tc>
        <w:tc>
          <w:tcPr>
            <w:tcW w:w="0" w:type="dxa"/>
            <w:vAlign w:val="bottom"/>
          </w:tcPr>
          <w:p>
            <w:pPr>
              <w:spacing w:after="0"/>
              <w:rPr>
                <w:sz w:val="1"/>
                <w:szCs w:val="1"/>
                <w:color w:val="auto"/>
              </w:rPr>
            </w:pPr>
          </w:p>
        </w:tc>
      </w:tr>
      <w:tr>
        <w:trPr>
          <w:trHeight w:val="20"/>
        </w:trPr>
        <w:tc>
          <w:tcPr>
            <w:tcW w:w="36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18"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Three Months Ended September 30, 2016 Compared to Three Months Ended September 30, 2015</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Revenue increased to $1,394.9 million from $1,322.2 million, or a 5.5% increase, primarily driven by increases in client staff headcount and staff billability, and therefore direct labor, to meet increased client demand. During the period, there was also an increase in billable expenses due to increased use of subcontractors on contracts, which includes the impact of an increase in small business procurement goals set by the government. In addition, contracts which require the Company to incur direct expenses on behalf of our clients increased over the prior year period.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firstLine="405"/>
        <w:spacing w:after="0" w:line="259" w:lineRule="auto"/>
        <w:rPr>
          <w:sz w:val="20"/>
          <w:szCs w:val="20"/>
          <w:color w:val="auto"/>
        </w:rPr>
      </w:pPr>
      <w:r>
        <w:rPr>
          <w:rFonts w:ascii="Arial" w:cs="Arial" w:eastAsia="Arial" w:hAnsi="Arial"/>
          <w:sz w:val="18"/>
          <w:szCs w:val="18"/>
          <w:color w:val="auto"/>
        </w:rPr>
        <w:t>Cost of revenue increased to $658.1 million from $626.2 million, or a 5.1% increase. The increase was primarily due to an increase in salaries and salary-related benefits of $22.8 million. The increase was primarily due to an increase in consulting staff headcount, general market salary increases, and consulting staff spending more time on direct contract activities. Cost of revenue as a percentage of revenue was 47.2% and 47.4% for the three months ended September 30, 2016 and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Billable expenses increased to $410.0 million from $363.7 million, or a 12.7% increase. The overall increase was primarily attributable to an increase in small business procurement goals set by the government which required the Company to utilize more subcontractors in the current year. In addition, contracts which require the Company to incur direct expenses on behalf of our clients has increased over the prior year period. Billable expenses as a percentage of revenue were 29.4% and 27.5% for the three months ended September 30, 2016 and 2015, respectively.</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881" w:right="259" w:bottom="1440" w:gutter="0" w:footer="0" w:header="0"/>
        </w:sectPr>
      </w:pPr>
    </w:p>
    <w:bookmarkStart w:id="26" w:name="page27"/>
    <w:bookmarkEnd w:id="26"/>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17" w:lineRule="exact"/>
        <w:rPr>
          <w:sz w:val="20"/>
          <w:szCs w:val="20"/>
          <w:color w:val="auto"/>
        </w:rPr>
      </w:pPr>
    </w:p>
    <w:p>
      <w:pPr>
        <w:ind w:right="60" w:firstLine="405"/>
        <w:spacing w:after="0" w:line="257" w:lineRule="auto"/>
        <w:rPr>
          <w:sz w:val="20"/>
          <w:szCs w:val="20"/>
          <w:color w:val="auto"/>
        </w:rPr>
      </w:pPr>
      <w:r>
        <w:rPr>
          <w:rFonts w:ascii="Arial" w:cs="Arial" w:eastAsia="Arial" w:hAnsi="Arial"/>
          <w:sz w:val="18"/>
          <w:szCs w:val="18"/>
          <w:color w:val="auto"/>
        </w:rPr>
        <w:t>General and administrative expenses decreased to $194.5 million from $208.1 million, or a 6.6% decrease. The overall decrease was primarily due to decreases in salary and salary related benefits of $4.4 million and other indirect business related expenses of $9.9 million, due primarily to consulting staff spending more time on direct contract activities and the Company's efforts to limit spending. This was partially offset by costs incurred due to the Company's July 2016 debt refinancing transaction. General and administrative expenses as a percentage of revenue were 13.9% and 15.7% for the three months ended September 30, 2016 and 2015, respectively.</w:t>
      </w:r>
    </w:p>
    <w:p>
      <w:pPr>
        <w:spacing w:after="0" w:line="8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Depreciation and amortization decreased to $14.7 million from $15.4 million, or a 4.4% decrease, primarily due to a decrease in depreciation expense resulting from the effect of lower capital expenditures in recent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117" w:lineRule="exact"/>
        <w:rPr>
          <w:sz w:val="20"/>
          <w:szCs w:val="20"/>
          <w:color w:val="auto"/>
        </w:rPr>
      </w:pPr>
    </w:p>
    <w:p>
      <w:pPr>
        <w:ind w:right="140" w:firstLine="405"/>
        <w:spacing w:after="0" w:line="342" w:lineRule="auto"/>
        <w:rPr>
          <w:sz w:val="20"/>
          <w:szCs w:val="20"/>
          <w:color w:val="auto"/>
        </w:rPr>
      </w:pPr>
      <w:r>
        <w:rPr>
          <w:rFonts w:ascii="Arial" w:cs="Arial" w:eastAsia="Arial" w:hAnsi="Arial"/>
          <w:sz w:val="16"/>
          <w:szCs w:val="16"/>
          <w:color w:val="auto"/>
        </w:rPr>
        <w:t>Interest expense decreased to $14.8 million from $17.7 million, or a 16.6% decrease, primarily as a result of the Third Amendment to the Credit Agreement consummated in July 2016, which reduced interest expense for the three months ended September 30, 2016 as compared to September 30, 2015.</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ind w:right="60" w:firstLine="405"/>
        <w:spacing w:after="0" w:line="308" w:lineRule="auto"/>
        <w:rPr>
          <w:sz w:val="20"/>
          <w:szCs w:val="20"/>
          <w:color w:val="auto"/>
        </w:rPr>
      </w:pPr>
      <w:r>
        <w:rPr>
          <w:rFonts w:ascii="Arial" w:cs="Arial" w:eastAsia="Arial" w:hAnsi="Arial"/>
          <w:sz w:val="17"/>
          <w:szCs w:val="17"/>
          <w:color w:val="auto"/>
        </w:rPr>
        <w:t>Income tax expense increased to $34.9 million from $34.7 million, or a 0.5% increase, primarily due to an increase in pre-tax income partially offset by a decrease in the effective tax rate due to the recognition of certain federal and state tax credits for which the Company qualified.</w:t>
      </w:r>
    </w:p>
    <w:p>
      <w:pPr>
        <w:spacing w:after="0" w:line="363" w:lineRule="exact"/>
        <w:rPr>
          <w:sz w:val="20"/>
          <w:szCs w:val="20"/>
          <w:color w:val="auto"/>
        </w:rPr>
      </w:pPr>
    </w:p>
    <w:p>
      <w:pPr>
        <w:ind w:left="260" w:right="4340"/>
        <w:spacing w:after="0" w:line="375" w:lineRule="auto"/>
        <w:rPr>
          <w:sz w:val="20"/>
          <w:szCs w:val="20"/>
          <w:color w:val="auto"/>
        </w:rPr>
      </w:pPr>
      <w:r>
        <w:rPr>
          <w:rFonts w:ascii="Arial" w:cs="Arial" w:eastAsia="Arial" w:hAnsi="Arial"/>
          <w:sz w:val="18"/>
          <w:szCs w:val="18"/>
          <w:b w:val="1"/>
          <w:bCs w:val="1"/>
          <w:i w:val="1"/>
          <w:iCs w:val="1"/>
          <w:color w:val="auto"/>
        </w:rPr>
        <w:t xml:space="preserve">Six Months Ended September 30, 2016 Compared to Six Months Ended September 30, 2015 </w:t>
      </w:r>
      <w:r>
        <w:rPr>
          <w:rFonts w:ascii="Arial" w:cs="Arial" w:eastAsia="Arial" w:hAnsi="Arial"/>
          <w:sz w:val="18"/>
          <w:szCs w:val="18"/>
          <w:i w:val="1"/>
          <w:iCs w:val="1"/>
          <w:color w:val="auto"/>
        </w:rPr>
        <w:t>Revenue</w:t>
      </w:r>
    </w:p>
    <w:p>
      <w:pPr>
        <w:spacing w:after="0" w:line="1" w:lineRule="exact"/>
        <w:rPr>
          <w:sz w:val="20"/>
          <w:szCs w:val="20"/>
          <w:color w:val="auto"/>
        </w:rPr>
      </w:pPr>
    </w:p>
    <w:p>
      <w:pPr>
        <w:ind w:right="100" w:firstLine="405"/>
        <w:spacing w:after="0" w:line="279" w:lineRule="auto"/>
        <w:rPr>
          <w:sz w:val="20"/>
          <w:szCs w:val="20"/>
          <w:color w:val="auto"/>
        </w:rPr>
      </w:pPr>
      <w:r>
        <w:rPr>
          <w:rFonts w:ascii="Arial" w:cs="Arial" w:eastAsia="Arial" w:hAnsi="Arial"/>
          <w:sz w:val="17"/>
          <w:szCs w:val="17"/>
          <w:color w:val="auto"/>
        </w:rPr>
        <w:t>Revenue increased to $2,817.6 million from $2,673.8 million, or a 5.4% increase primarily driven by increases in client staff headcount and staff billability, and therefore direct labor, to meet increased client demand. During the period, there was also an increase in billable expenses due to increased use of subcontractors on contracts, which includes the impact of an increase in small business procurement goals set by the government. In addition, contracts which require the Company to incur direct expenses on behalf of our clients increased over the prior year period.</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Cost of Revenue</w:t>
      </w:r>
    </w:p>
    <w:p>
      <w:pPr>
        <w:spacing w:after="0" w:line="117" w:lineRule="exact"/>
        <w:rPr>
          <w:sz w:val="20"/>
          <w:szCs w:val="20"/>
          <w:color w:val="auto"/>
        </w:rPr>
      </w:pPr>
    </w:p>
    <w:p>
      <w:pPr>
        <w:ind w:right="160" w:firstLine="405"/>
        <w:spacing w:after="0" w:line="259" w:lineRule="auto"/>
        <w:rPr>
          <w:sz w:val="20"/>
          <w:szCs w:val="20"/>
          <w:color w:val="auto"/>
        </w:rPr>
      </w:pPr>
      <w:r>
        <w:rPr>
          <w:rFonts w:ascii="Arial" w:cs="Arial" w:eastAsia="Arial" w:hAnsi="Arial"/>
          <w:sz w:val="18"/>
          <w:szCs w:val="18"/>
          <w:color w:val="auto"/>
        </w:rPr>
        <w:t>Cost of revenue increased to $1,315.0 million from $1,269.2 million, or a 3.6% increase. The increase was primarily due to an increase in salaries and salary-related benefits of $36.0 million. The increase was primarily due to general market salary increases as well as consulting staff spending more time on direct contract activities. Cost of revenue as a percentage of revenue was 46.7% and 47.5% for the six months ended September 30, 2016 and 2015, respectively.</w:t>
      </w:r>
    </w:p>
    <w:p>
      <w:pPr>
        <w:spacing w:after="0" w:line="79"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Billable Expenses</w:t>
      </w:r>
    </w:p>
    <w:p>
      <w:pPr>
        <w:spacing w:after="0" w:line="117"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Billable expenses increased to $842.3 million from $742.3 million, or a 13.5% increase. The overall increase was primarily attributable to an increase in small business procurement goals set by the government which required the Company to utilize more subcontractors in the current year. In addition, contracts which require the Company to incur direct expenses on behalf of our clients has increased over the prior year period. Billable expenses as a percentage of revenue were 29.9% and 27.8% for the six months ended September 30, 2016 and 2015, respectively.</w:t>
      </w:r>
    </w:p>
    <w:p>
      <w:pPr>
        <w:spacing w:after="0" w:line="6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General and Administrative Expenses</w:t>
      </w:r>
    </w:p>
    <w:p>
      <w:pPr>
        <w:spacing w:after="0" w:line="144" w:lineRule="exact"/>
        <w:rPr>
          <w:sz w:val="20"/>
          <w:szCs w:val="20"/>
          <w:color w:val="auto"/>
        </w:rPr>
      </w:pPr>
    </w:p>
    <w:p>
      <w:pPr>
        <w:jc w:val="both"/>
        <w:ind w:firstLine="405"/>
        <w:spacing w:after="0" w:line="334" w:lineRule="auto"/>
        <w:rPr>
          <w:sz w:val="20"/>
          <w:szCs w:val="20"/>
          <w:color w:val="auto"/>
        </w:rPr>
      </w:pPr>
      <w:r>
        <w:rPr>
          <w:rFonts w:ascii="Arial" w:cs="Arial" w:eastAsia="Arial" w:hAnsi="Arial"/>
          <w:sz w:val="17"/>
          <w:szCs w:val="17"/>
          <w:color w:val="auto"/>
        </w:rPr>
        <w:t>General and administrative expenses decreased to $384.2 million from $396.8 million, or a 3.2% decrease. The decrease was primarily due to a decrease in salary and salary related benefits of $5.6 million and a decrease in other indirect business related expenses of $4.8 million, due primarily to consulting staff spending more time on direct contract activities, and the Company's efforts to limit spending. General and administrative expenses as a percentage of revenue were 13.6% and 14.8% for the six months ended September 30, 2016 and 2015, respectively.</w:t>
      </w:r>
    </w:p>
    <w:p>
      <w:pPr>
        <w:spacing w:after="0" w:line="3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Depreciation and Amortization</w:t>
      </w:r>
    </w:p>
    <w:p>
      <w:pPr>
        <w:spacing w:after="0" w:line="117" w:lineRule="exact"/>
        <w:rPr>
          <w:sz w:val="20"/>
          <w:szCs w:val="20"/>
          <w:color w:val="auto"/>
        </w:rPr>
      </w:pPr>
    </w:p>
    <w:p>
      <w:pPr>
        <w:ind w:right="200" w:firstLine="405"/>
        <w:spacing w:after="0" w:line="277" w:lineRule="auto"/>
        <w:rPr>
          <w:sz w:val="20"/>
          <w:szCs w:val="20"/>
          <w:color w:val="auto"/>
        </w:rPr>
      </w:pPr>
      <w:r>
        <w:rPr>
          <w:rFonts w:ascii="Arial" w:cs="Arial" w:eastAsia="Arial" w:hAnsi="Arial"/>
          <w:sz w:val="18"/>
          <w:szCs w:val="18"/>
          <w:color w:val="auto"/>
        </w:rPr>
        <w:t>Depreciation and amortization decreased to $29.2 million from $30.5 million, or a 4.2% decrease, primarily due to a decrease in depreciation expense resulting from the effect of lower capital expenditures in recent years.</w:t>
      </w:r>
    </w:p>
    <w:p>
      <w:pPr>
        <w:spacing w:after="0" w:line="62"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Interest Expense</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00"/>
          </w:cols>
          <w:pgMar w:left="240" w:top="881" w:right="259" w:bottom="1440" w:gutter="0" w:footer="0" w:header="0"/>
        </w:sectPr>
      </w:pPr>
    </w:p>
    <w:bookmarkStart w:id="27" w:name="page28"/>
    <w:bookmarkEnd w:id="27"/>
    <w:p>
      <w:pPr>
        <w:jc w:val="center"/>
        <w:ind w:right="340"/>
        <w:spacing w:after="0" w:line="342" w:lineRule="auto"/>
        <w:rPr>
          <w:sz w:val="20"/>
          <w:szCs w:val="20"/>
          <w:color w:val="auto"/>
        </w:rPr>
      </w:pPr>
      <w:r>
        <w:rPr>
          <w:rFonts w:ascii="Arial" w:cs="Arial" w:eastAsia="Arial" w:hAnsi="Arial"/>
          <w:sz w:val="16"/>
          <w:szCs w:val="16"/>
          <w:color w:val="auto"/>
        </w:rPr>
        <w:t>Interest expense decreased to $32.6 million from $35.2 million, or a 7.4% decrease, primarily as a result of the Third Amendment to the Credit Agreement consummated in July 2016 which reduced interest expense for the six months ended September 30, 2016 as compared to September 30, 2015.</w:t>
      </w:r>
    </w:p>
    <w:p>
      <w:pPr>
        <w:spacing w:after="0" w:line="16"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Income Tax Expense</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Income tax expense increased to $80.5 million from $79.0 million, or a 1.8% increase. This increase was primarily due to an increase in pre-tax income partially offset by a decrease in the effective tax rate. The effective tax rate decreased to 38.1% from 39.6% primarily due to the recognition of certain federal and state tax credits for which the company qualified.</w:t>
      </w:r>
    </w:p>
    <w:p>
      <w:pPr>
        <w:spacing w:after="0" w:line="3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Indebtedness</w:t>
      </w:r>
    </w:p>
    <w:p>
      <w:pPr>
        <w:spacing w:after="0" w:line="121"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The following table presents selected financial information as of September 30, 2016 and March 31, 2016 and for the first six months of fiscal 2017 and 2016:</w:t>
      </w:r>
    </w:p>
    <w:p>
      <w:pPr>
        <w:spacing w:after="0" w:line="3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5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1"/>
              </w:rPr>
              <w:t>September 30,</w:t>
            </w:r>
          </w:p>
        </w:tc>
        <w:tc>
          <w:tcPr>
            <w:tcW w:w="600" w:type="dxa"/>
            <w:vAlign w:val="bottom"/>
          </w:tcPr>
          <w:p>
            <w:pPr>
              <w:spacing w:after="0"/>
              <w:rPr>
                <w:sz w:val="14"/>
                <w:szCs w:val="14"/>
                <w:color w:val="auto"/>
              </w:rPr>
            </w:pPr>
          </w:p>
        </w:tc>
        <w:tc>
          <w:tcPr>
            <w:tcW w:w="1340" w:type="dxa"/>
            <w:vAlign w:val="bottom"/>
          </w:tcPr>
          <w:p>
            <w:pPr>
              <w:jc w:val="center"/>
              <w:ind w:right="537"/>
              <w:spacing w:after="0"/>
              <w:rPr>
                <w:sz w:val="20"/>
                <w:szCs w:val="20"/>
                <w:color w:val="auto"/>
              </w:rPr>
            </w:pPr>
            <w:r>
              <w:rPr>
                <w:rFonts w:ascii="Arial" w:cs="Arial" w:eastAsia="Arial" w:hAnsi="Arial"/>
                <w:sz w:val="14"/>
                <w:szCs w:val="14"/>
                <w:b w:val="1"/>
                <w:bCs w:val="1"/>
                <w:color w:val="auto"/>
                <w:w w:val="99"/>
              </w:rPr>
              <w:t>March 31,</w:t>
            </w: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3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89"/>
              </w:rPr>
              <w:t>2016</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21"/>
                <w:szCs w:val="21"/>
                <w:color w:val="auto"/>
              </w:rPr>
            </w:pPr>
          </w:p>
        </w:tc>
        <w:tc>
          <w:tcPr>
            <w:tcW w:w="1340" w:type="dxa"/>
            <w:vAlign w:val="bottom"/>
          </w:tcPr>
          <w:p>
            <w:pPr>
              <w:spacing w:after="0"/>
              <w:rPr>
                <w:sz w:val="21"/>
                <w:szCs w:val="21"/>
                <w:color w:val="auto"/>
              </w:rPr>
            </w:pPr>
          </w:p>
        </w:tc>
      </w:tr>
      <w:tr>
        <w:trPr>
          <w:trHeight w:val="209"/>
        </w:trPr>
        <w:tc>
          <w:tcPr>
            <w:tcW w:w="75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18"/>
                <w:szCs w:val="18"/>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307,223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187,529</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Total debt</w:t>
            </w:r>
          </w:p>
        </w:tc>
        <w:tc>
          <w:tcPr>
            <w:tcW w:w="300" w:type="dxa"/>
            <w:vAlign w:val="bottom"/>
          </w:tcPr>
          <w:p>
            <w:pPr>
              <w:spacing w:after="0"/>
              <w:rPr>
                <w:sz w:val="21"/>
                <w:szCs w:val="21"/>
                <w:color w:val="auto"/>
              </w:rPr>
            </w:pPr>
          </w:p>
        </w:tc>
        <w:tc>
          <w:tcPr>
            <w:tcW w:w="1540" w:type="dxa"/>
            <w:vAlign w:val="bottom"/>
          </w:tcPr>
          <w:p>
            <w:pPr>
              <w:jc w:val="right"/>
              <w:ind w:right="21"/>
              <w:spacing w:after="0"/>
              <w:rPr>
                <w:sz w:val="20"/>
                <w:szCs w:val="20"/>
                <w:color w:val="auto"/>
              </w:rPr>
            </w:pPr>
            <w:r>
              <w:rPr>
                <w:rFonts w:ascii="Arial" w:cs="Arial" w:eastAsia="Arial" w:hAnsi="Arial"/>
                <w:sz w:val="18"/>
                <w:szCs w:val="18"/>
                <w:color w:val="auto"/>
              </w:rPr>
              <w:t>1,563,117</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ind w:right="17"/>
              <w:spacing w:after="0"/>
              <w:rPr>
                <w:sz w:val="20"/>
                <w:szCs w:val="20"/>
                <w:color w:val="auto"/>
              </w:rPr>
            </w:pPr>
            <w:r>
              <w:rPr>
                <w:rFonts w:ascii="Arial" w:cs="Arial" w:eastAsia="Arial" w:hAnsi="Arial"/>
                <w:sz w:val="18"/>
                <w:szCs w:val="18"/>
                <w:color w:val="auto"/>
              </w:rPr>
              <w:t>1,597,261</w:t>
            </w:r>
          </w:p>
        </w:tc>
      </w:tr>
      <w:tr>
        <w:trPr>
          <w:trHeight w:val="477"/>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Six Months Ended</w:t>
            </w:r>
          </w:p>
        </w:tc>
        <w:tc>
          <w:tcPr>
            <w:tcW w:w="1340" w:type="dxa"/>
            <w:vAlign w:val="bottom"/>
          </w:tcPr>
          <w:p>
            <w:pPr>
              <w:spacing w:after="0"/>
              <w:rPr>
                <w:sz w:val="24"/>
                <w:szCs w:val="24"/>
                <w:color w:val="auto"/>
              </w:rPr>
            </w:pPr>
          </w:p>
        </w:tc>
      </w:tr>
      <w:tr>
        <w:trPr>
          <w:trHeight w:val="192"/>
        </w:trPr>
        <w:tc>
          <w:tcPr>
            <w:tcW w:w="75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240" w:type="dxa"/>
            <w:vAlign w:val="bottom"/>
            <w:tcBorders>
              <w:bottom w:val="single" w:sz="8" w:color="auto"/>
            </w:tcBorders>
            <w:gridSpan w:val="3"/>
          </w:tcPr>
          <w:p>
            <w:pPr>
              <w:jc w:val="center"/>
              <w:ind w:left="1001"/>
              <w:spacing w:after="0"/>
              <w:rPr>
                <w:sz w:val="20"/>
                <w:szCs w:val="20"/>
                <w:color w:val="auto"/>
              </w:rPr>
            </w:pPr>
            <w:r>
              <w:rPr>
                <w:rFonts w:ascii="Arial" w:cs="Arial" w:eastAsia="Arial" w:hAnsi="Arial"/>
                <w:sz w:val="14"/>
                <w:szCs w:val="14"/>
                <w:b w:val="1"/>
                <w:bCs w:val="1"/>
                <w:color w:val="auto"/>
                <w:w w:val="91"/>
              </w:rPr>
              <w:t>September 30,</w:t>
            </w:r>
          </w:p>
        </w:tc>
        <w:tc>
          <w:tcPr>
            <w:tcW w:w="1340" w:type="dxa"/>
            <w:vAlign w:val="bottom"/>
            <w:tcBorders>
              <w:bottom w:val="single" w:sz="8" w:color="auto"/>
            </w:tcBorders>
          </w:tcPr>
          <w:p>
            <w:pPr>
              <w:spacing w:after="0"/>
              <w:rPr>
                <w:sz w:val="16"/>
                <w:szCs w:val="16"/>
                <w:color w:val="auto"/>
              </w:rPr>
            </w:pPr>
          </w:p>
        </w:tc>
      </w:tr>
      <w:tr>
        <w:trPr>
          <w:trHeight w:val="264"/>
        </w:trPr>
        <w:tc>
          <w:tcPr>
            <w:tcW w:w="7540" w:type="dxa"/>
            <w:vAlign w:val="bottom"/>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center"/>
              <w:ind w:right="221"/>
              <w:spacing w:after="0"/>
              <w:rPr>
                <w:sz w:val="20"/>
                <w:szCs w:val="20"/>
                <w:color w:val="auto"/>
              </w:rPr>
            </w:pPr>
            <w:r>
              <w:rPr>
                <w:rFonts w:ascii="Arial" w:cs="Arial" w:eastAsia="Arial" w:hAnsi="Arial"/>
                <w:sz w:val="14"/>
                <w:szCs w:val="14"/>
                <w:b w:val="1"/>
                <w:bCs w:val="1"/>
                <w:color w:val="auto"/>
                <w:w w:val="89"/>
              </w:rPr>
              <w:t>2016</w:t>
            </w:r>
          </w:p>
        </w:tc>
        <w:tc>
          <w:tcPr>
            <w:tcW w:w="100" w:type="dxa"/>
            <w:vAlign w:val="bottom"/>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center"/>
              <w:ind w:right="497"/>
              <w:spacing w:after="0"/>
              <w:rPr>
                <w:sz w:val="20"/>
                <w:szCs w:val="20"/>
                <w:color w:val="auto"/>
              </w:rPr>
            </w:pPr>
            <w:r>
              <w:rPr>
                <w:rFonts w:ascii="Arial" w:cs="Arial" w:eastAsia="Arial" w:hAnsi="Arial"/>
                <w:sz w:val="14"/>
                <w:szCs w:val="14"/>
                <w:b w:val="1"/>
                <w:bCs w:val="1"/>
                <w:color w:val="auto"/>
                <w:w w:val="89"/>
              </w:rPr>
              <w:t>2015</w:t>
            </w:r>
          </w:p>
        </w:tc>
      </w:tr>
      <w:tr>
        <w:trPr>
          <w:trHeight w:val="244"/>
        </w:trPr>
        <w:tc>
          <w:tcPr>
            <w:tcW w:w="7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6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5"/>
              </w:rPr>
              <w:t>(Unaudited)</w:t>
            </w:r>
          </w:p>
        </w:tc>
        <w:tc>
          <w:tcPr>
            <w:tcW w:w="600" w:type="dxa"/>
            <w:vAlign w:val="bottom"/>
          </w:tcPr>
          <w:p>
            <w:pPr>
              <w:spacing w:after="0"/>
              <w:rPr>
                <w:sz w:val="21"/>
                <w:szCs w:val="21"/>
                <w:color w:val="auto"/>
              </w:rPr>
            </w:pPr>
          </w:p>
        </w:tc>
        <w:tc>
          <w:tcPr>
            <w:tcW w:w="1340" w:type="dxa"/>
            <w:vAlign w:val="bottom"/>
          </w:tcPr>
          <w:p>
            <w:pPr>
              <w:jc w:val="center"/>
              <w:ind w:right="517"/>
              <w:spacing w:after="0"/>
              <w:rPr>
                <w:sz w:val="20"/>
                <w:szCs w:val="20"/>
                <w:color w:val="auto"/>
              </w:rPr>
            </w:pPr>
            <w:r>
              <w:rPr>
                <w:rFonts w:ascii="Arial" w:cs="Arial" w:eastAsia="Arial" w:hAnsi="Arial"/>
                <w:sz w:val="14"/>
                <w:szCs w:val="14"/>
                <w:b w:val="1"/>
                <w:bCs w:val="1"/>
                <w:color w:val="auto"/>
                <w:w w:val="95"/>
              </w:rPr>
              <w:t>(Unaudited)</w:t>
            </w:r>
          </w:p>
        </w:tc>
      </w:tr>
      <w:tr>
        <w:trPr>
          <w:trHeight w:val="276"/>
        </w:trPr>
        <w:tc>
          <w:tcPr>
            <w:tcW w:w="75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240" w:type="dxa"/>
            <w:vAlign w:val="bottom"/>
            <w:gridSpan w:val="3"/>
          </w:tcPr>
          <w:p>
            <w:pPr>
              <w:jc w:val="center"/>
              <w:ind w:left="981"/>
              <w:spacing w:after="0"/>
              <w:rPr>
                <w:sz w:val="20"/>
                <w:szCs w:val="20"/>
                <w:color w:val="auto"/>
              </w:rPr>
            </w:pPr>
            <w:r>
              <w:rPr>
                <w:rFonts w:ascii="Arial" w:cs="Arial" w:eastAsia="Arial" w:hAnsi="Arial"/>
                <w:sz w:val="14"/>
                <w:szCs w:val="14"/>
                <w:b w:val="1"/>
                <w:bCs w:val="1"/>
                <w:color w:val="auto"/>
                <w:w w:val="93"/>
              </w:rPr>
              <w:t>(In thousands)</w:t>
            </w:r>
          </w:p>
        </w:tc>
        <w:tc>
          <w:tcPr>
            <w:tcW w:w="1340" w:type="dxa"/>
            <w:vAlign w:val="bottom"/>
          </w:tcPr>
          <w:p>
            <w:pPr>
              <w:spacing w:after="0"/>
              <w:rPr>
                <w:sz w:val="24"/>
                <w:szCs w:val="24"/>
                <w:color w:val="auto"/>
              </w:rPr>
            </w:pPr>
          </w:p>
        </w:tc>
      </w:tr>
      <w:tr>
        <w:trPr>
          <w:trHeight w:val="256"/>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CCEEFF"/>
            </w:tcBorders>
            <w:shd w:val="clear" w:color="auto" w:fill="CCEEFF"/>
          </w:tcPr>
          <w:p>
            <w:pPr>
              <w:jc w:val="right"/>
              <w:ind w:right="21"/>
              <w:spacing w:after="0"/>
              <w:rPr>
                <w:sz w:val="20"/>
                <w:szCs w:val="20"/>
                <w:color w:val="auto"/>
              </w:rPr>
            </w:pPr>
            <w:r>
              <w:rPr>
                <w:rFonts w:ascii="Arial" w:cs="Arial" w:eastAsia="Arial" w:hAnsi="Arial"/>
                <w:sz w:val="18"/>
                <w:szCs w:val="18"/>
                <w:color w:val="auto"/>
              </w:rPr>
              <w:t>217,083</w:t>
            </w:r>
          </w:p>
        </w:tc>
        <w:tc>
          <w:tcPr>
            <w:tcW w:w="10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bottom w:val="single" w:sz="8" w:color="CCEEFF"/>
            </w:tcBorders>
            <w:shd w:val="clear" w:color="auto" w:fill="CCEEFF"/>
          </w:tcPr>
          <w:p>
            <w:pPr>
              <w:jc w:val="right"/>
              <w:ind w:right="17"/>
              <w:spacing w:after="0"/>
              <w:rPr>
                <w:sz w:val="20"/>
                <w:szCs w:val="20"/>
                <w:color w:val="auto"/>
              </w:rPr>
            </w:pPr>
            <w:r>
              <w:rPr>
                <w:rFonts w:ascii="Arial" w:cs="Arial" w:eastAsia="Arial" w:hAnsi="Arial"/>
                <w:sz w:val="18"/>
                <w:szCs w:val="18"/>
                <w:color w:val="auto"/>
              </w:rPr>
              <w:t>88,687</w:t>
            </w:r>
          </w:p>
        </w:tc>
      </w:tr>
      <w:tr>
        <w:trPr>
          <w:trHeight w:val="243"/>
        </w:trPr>
        <w:tc>
          <w:tcPr>
            <w:tcW w:w="7540" w:type="dxa"/>
            <w:vAlign w:val="bottom"/>
          </w:tcPr>
          <w:p>
            <w:pPr>
              <w:ind w:left="40"/>
              <w:spacing w:after="0"/>
              <w:rPr>
                <w:sz w:val="20"/>
                <w:szCs w:val="20"/>
                <w:color w:val="auto"/>
              </w:rPr>
            </w:pPr>
            <w:r>
              <w:rPr>
                <w:rFonts w:ascii="Arial" w:cs="Arial" w:eastAsia="Arial" w:hAnsi="Arial"/>
                <w:sz w:val="18"/>
                <w:szCs w:val="18"/>
                <w:color w:val="auto"/>
              </w:rPr>
              <w:t>Net cash used in investing activities</w:t>
            </w:r>
          </w:p>
        </w:tc>
        <w:tc>
          <w:tcPr>
            <w:tcW w:w="3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(15,344)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(30,562)</w:t>
            </w:r>
          </w:p>
        </w:tc>
      </w:tr>
      <w:tr>
        <w:trPr>
          <w:trHeight w:val="27"/>
        </w:trPr>
        <w:tc>
          <w:tcPr>
            <w:tcW w:w="75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70"/>
        </w:trPr>
        <w:tc>
          <w:tcPr>
            <w:tcW w:w="75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tcBorders>
              <w:bottom w:val="single" w:sz="8" w:color="CCEEFF"/>
            </w:tcBorders>
            <w:shd w:val="clear" w:color="auto" w:fill="CCEEFF"/>
          </w:tcPr>
          <w:p>
            <w:pPr>
              <w:spacing w:after="0"/>
              <w:rPr>
                <w:sz w:val="23"/>
                <w:szCs w:val="23"/>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(82,045)</w:t>
            </w:r>
          </w:p>
        </w:tc>
        <w:tc>
          <w:tcPr>
            <w:tcW w:w="10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(77,941)</w:t>
            </w:r>
          </w:p>
        </w:tc>
      </w:tr>
      <w:tr>
        <w:trPr>
          <w:trHeight w:val="237"/>
        </w:trPr>
        <w:tc>
          <w:tcPr>
            <w:tcW w:w="7540" w:type="dxa"/>
            <w:vAlign w:val="bottom"/>
          </w:tcPr>
          <w:p>
            <w:pPr>
              <w:ind w:left="40"/>
              <w:spacing w:after="0"/>
              <w:rPr>
                <w:sz w:val="20"/>
                <w:szCs w:val="20"/>
                <w:color w:val="auto"/>
              </w:rPr>
            </w:pPr>
            <w:r>
              <w:rPr>
                <w:rFonts w:ascii="Arial" w:cs="Arial" w:eastAsia="Arial" w:hAnsi="Arial"/>
                <w:sz w:val="18"/>
                <w:szCs w:val="18"/>
                <w:color w:val="auto"/>
              </w:rPr>
              <w:t>Total increase (decrease) in cash and cash equivalents</w:t>
            </w: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540" w:type="dxa"/>
            <w:vAlign w:val="bottom"/>
            <w:tcBorders>
              <w:top w:val="single" w:sz="8" w:color="auto"/>
            </w:tcBorders>
          </w:tcPr>
          <w:p>
            <w:pPr>
              <w:jc w:val="right"/>
              <w:ind w:right="21"/>
              <w:spacing w:after="0"/>
              <w:rPr>
                <w:sz w:val="20"/>
                <w:szCs w:val="20"/>
                <w:color w:val="auto"/>
              </w:rPr>
            </w:pPr>
            <w:r>
              <w:rPr>
                <w:rFonts w:ascii="Arial" w:cs="Arial" w:eastAsia="Arial" w:hAnsi="Arial"/>
                <w:sz w:val="18"/>
                <w:szCs w:val="18"/>
                <w:color w:val="auto"/>
              </w:rPr>
              <w:t>119,694</w:t>
            </w:r>
          </w:p>
        </w:tc>
        <w:tc>
          <w:tcPr>
            <w:tcW w:w="100" w:type="dxa"/>
            <w:vAlign w:val="bottom"/>
          </w:tcPr>
          <w:p>
            <w:pPr>
              <w:spacing w:after="0"/>
              <w:rPr>
                <w:sz w:val="20"/>
                <w:szCs w:val="20"/>
                <w:color w:val="auto"/>
              </w:rPr>
            </w:pPr>
          </w:p>
        </w:tc>
        <w:tc>
          <w:tcPr>
            <w:tcW w:w="600" w:type="dxa"/>
            <w:vAlign w:val="bottom"/>
            <w:tcBorders>
              <w:top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13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(19,816)</w:t>
            </w:r>
          </w:p>
        </w:tc>
      </w:tr>
      <w:tr>
        <w:trPr>
          <w:trHeight w:val="27"/>
        </w:trPr>
        <w:tc>
          <w:tcPr>
            <w:tcW w:w="75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0"/>
        </w:trPr>
        <w:tc>
          <w:tcPr>
            <w:tcW w:w="75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40" w:firstLine="405"/>
        <w:spacing w:after="0" w:line="259" w:lineRule="auto"/>
        <w:rPr>
          <w:sz w:val="20"/>
          <w:szCs w:val="20"/>
          <w:color w:val="auto"/>
        </w:rPr>
      </w:pPr>
      <w:r>
        <w:rPr>
          <w:rFonts w:ascii="Arial" w:cs="Arial" w:eastAsia="Arial" w:hAnsi="Arial"/>
          <w:sz w:val="18"/>
          <w:szCs w:val="18"/>
          <w:color w:val="auto"/>
        </w:rPr>
        <w:t>From time to time we evaluate alternative uses for excess cash resources once our operating cash flow needs and required debt amortization have been met. Some of the possible uses of our remaining excess cash at any point in time may include funding acquisitions, further investment in our business and voluntary debt prepayments, as well as initiatives intended to return value to shareholders in the form of payment of recurring and special dividends and share repurchases.</w:t>
      </w:r>
    </w:p>
    <w:p>
      <w:pPr>
        <w:spacing w:after="0" w:line="187"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We have historically been able to generate sufficient cash to fund our operations, debt payments, capital expenditures, and discretionary funding needs. However, due to fluctuations in cash flows, including as a result of the trends and developments described above under "—Factors and Trends Affecting Our Results of Operations" relating to U.S. government cost-cutting, reductions or delays in the U.S. government appropriations and spending process and other budgetary matters, it may be necessary from time-to-time in the future to borrow under our senior secured loan facilities to meet cash demands. We anticipate that cash provided by operating activities, existing cash and cash equivalents, and borrowing capacity under our revolving credit facility will be sufficient to meet our anticipated cash requirements for the next twelve months, which primarily include:</w:t>
      </w:r>
    </w:p>
    <w:p>
      <w:pPr>
        <w:spacing w:after="0" w:line="70" w:lineRule="exact"/>
        <w:rPr>
          <w:sz w:val="20"/>
          <w:szCs w:val="20"/>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operating expenses, including salaries;</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working capital requirements to fund the growth of our business;</w:t>
      </w:r>
    </w:p>
    <w:p>
      <w:pPr>
        <w:spacing w:after="0" w:line="117" w:lineRule="exact"/>
        <w:rPr>
          <w:rFonts w:ascii="Arial" w:cs="Arial" w:eastAsia="Arial" w:hAnsi="Arial"/>
          <w:sz w:val="18"/>
          <w:szCs w:val="18"/>
          <w:color w:val="auto"/>
        </w:rPr>
      </w:pPr>
    </w:p>
    <w:p>
      <w:pPr>
        <w:ind w:left="1300" w:right="580" w:hanging="644"/>
        <w:spacing w:after="0" w:line="277" w:lineRule="auto"/>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capital expenditures which primarily relate to the purchase of computers, business systems, furniture and leasehold improvements to support our operations;</w:t>
      </w:r>
    </w:p>
    <w:p>
      <w:pPr>
        <w:spacing w:after="0" w:line="62"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debt service requirements for borrowings under our senior secured loan facilities; and</w:t>
      </w:r>
    </w:p>
    <w:p>
      <w:pPr>
        <w:spacing w:after="0" w:line="117" w:lineRule="exact"/>
        <w:rPr>
          <w:rFonts w:ascii="Arial" w:cs="Arial" w:eastAsia="Arial" w:hAnsi="Arial"/>
          <w:sz w:val="18"/>
          <w:szCs w:val="18"/>
          <w:color w:val="auto"/>
        </w:rPr>
      </w:pPr>
    </w:p>
    <w:p>
      <w:pPr>
        <w:ind w:left="1300" w:hanging="64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cash taxes to be paid.</w:t>
      </w:r>
    </w:p>
    <w:p>
      <w:pPr>
        <w:spacing w:after="0" w:line="117"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Cash Flows</w:t>
      </w:r>
    </w:p>
    <w:p>
      <w:pPr>
        <w:spacing w:after="0" w:line="117" w:lineRule="exact"/>
        <w:rPr>
          <w:sz w:val="20"/>
          <w:szCs w:val="20"/>
          <w:color w:val="auto"/>
        </w:rPr>
      </w:pPr>
    </w:p>
    <w:p>
      <w:pPr>
        <w:ind w:right="40" w:firstLine="405"/>
        <w:spacing w:after="0" w:line="264" w:lineRule="auto"/>
        <w:rPr>
          <w:sz w:val="20"/>
          <w:szCs w:val="20"/>
          <w:color w:val="auto"/>
        </w:rPr>
      </w:pPr>
      <w:r>
        <w:rPr>
          <w:rFonts w:ascii="Arial" w:cs="Arial" w:eastAsia="Arial" w:hAnsi="Arial"/>
          <w:sz w:val="18"/>
          <w:szCs w:val="18"/>
          <w:color w:val="auto"/>
        </w:rPr>
        <w:t>Cash received from clients, either from the payment of invoices for work performed or for advances in excess of costs incurred, is our primary source of cash. We generally do not begin work on contracts until funding is appropriated by the client. Billing timetables and payment terms on our contracts vary based on a number of factors, including whether the contract type is</w:t>
      </w:r>
    </w:p>
    <w:p>
      <w:pPr>
        <w:sectPr>
          <w:pgSz w:w="11900" w:h="16838" w:orient="portrait"/>
          <w:cols w:equalWidth="0" w:num="1">
            <w:col w:w="11420"/>
          </w:cols>
          <w:pgMar w:left="240" w:top="881" w:right="239" w:bottom="1440" w:gutter="0" w:footer="0" w:header="0"/>
        </w:sect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881" w:right="239" w:bottom="1440" w:gutter="0" w:footer="0" w:header="0"/>
          <w:type w:val="continuous"/>
        </w:sectPr>
      </w:pPr>
    </w:p>
    <w:bookmarkStart w:id="28" w:name="page29"/>
    <w:bookmarkEnd w:id="28"/>
    <w:p>
      <w:pPr>
        <w:ind w:right="200"/>
        <w:spacing w:after="0" w:line="259" w:lineRule="auto"/>
        <w:rPr>
          <w:sz w:val="20"/>
          <w:szCs w:val="20"/>
          <w:color w:val="auto"/>
        </w:rPr>
      </w:pPr>
      <w:r>
        <w:rPr>
          <w:rFonts w:ascii="Arial" w:cs="Arial" w:eastAsia="Arial" w:hAnsi="Arial"/>
          <w:sz w:val="18"/>
          <w:szCs w:val="18"/>
          <w:color w:val="auto"/>
        </w:rPr>
        <w:t>cost-reimbursable, time-and-materials, or fixed-price. We generally bill and collect cash more frequently under cost-reimbursable and time-and-materials contracts, as we are authorized to bill as the costs are incurred or work is performed. In contrast, we may be limited to bill certain fixed-price contracts only when specified milestones, including deliveries, are achieved. In addition, a number of our contracts may provide for performance-based payments, which allow us to bill and collect cash prior to completing the work.</w:t>
      </w:r>
    </w:p>
    <w:p>
      <w:pPr>
        <w:spacing w:after="0" w:line="79" w:lineRule="exact"/>
        <w:rPr>
          <w:sz w:val="20"/>
          <w:szCs w:val="20"/>
          <w:color w:val="auto"/>
        </w:rPr>
      </w:pPr>
    </w:p>
    <w:p>
      <w:pPr>
        <w:ind w:firstLine="405"/>
        <w:spacing w:after="0" w:line="290" w:lineRule="auto"/>
        <w:rPr>
          <w:sz w:val="20"/>
          <w:szCs w:val="20"/>
          <w:color w:val="auto"/>
        </w:rPr>
      </w:pPr>
      <w:r>
        <w:rPr>
          <w:rFonts w:ascii="Arial" w:cs="Arial" w:eastAsia="Arial" w:hAnsi="Arial"/>
          <w:sz w:val="16"/>
          <w:szCs w:val="16"/>
          <w:color w:val="auto"/>
        </w:rPr>
        <w:t>Accounts receivable is the principal component of our working capital and is generally driven by revenue growth with other short-term fluctuations such as the payment practices of our clients, and the government's authorization to bill for indirect rates that have not yet been settled. Our accounts receivable reflect amounts billed to our clients as of each balance sheet date. Our clients generally pay our invoices within 30 days of the invoice date. At any month-end, we also include in accounts receivable the revenue that was recognized in the preceding month, which is generally billed early in the following month. Finally, we include in accounts receivable amounts related to revenue accrued in excess of amounts billed, primarily on our fixed-price and cost-plus-award-fee contracts. The total amount of our accounts receivable can vary significantly over time, but is generally sensitive to revenue levels. Total accounts receivable (billed and unbilled combined, net of allowance for doubtful accounts) days sales outstanding or DSO, which we calculate by dividing total accounts receivable by revenue per day during the relevant fiscal quarter, was 62 as of September 30, 2016 and 60 as of March 31, 2016.</w:t>
      </w:r>
    </w:p>
    <w:p>
      <w:pPr>
        <w:spacing w:after="0" w:line="58"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Operating Activities</w:t>
      </w:r>
    </w:p>
    <w:p>
      <w:pPr>
        <w:spacing w:after="0" w:line="117" w:lineRule="exact"/>
        <w:rPr>
          <w:sz w:val="20"/>
          <w:szCs w:val="20"/>
          <w:color w:val="auto"/>
        </w:rPr>
      </w:pPr>
    </w:p>
    <w:p>
      <w:pPr>
        <w:ind w:right="80" w:firstLine="405"/>
        <w:spacing w:after="0" w:line="297" w:lineRule="auto"/>
        <w:rPr>
          <w:sz w:val="20"/>
          <w:szCs w:val="20"/>
          <w:color w:val="auto"/>
        </w:rPr>
      </w:pPr>
      <w:r>
        <w:rPr>
          <w:rFonts w:ascii="Arial" w:cs="Arial" w:eastAsia="Arial" w:hAnsi="Arial"/>
          <w:sz w:val="16"/>
          <w:szCs w:val="16"/>
          <w:color w:val="auto"/>
        </w:rPr>
        <w:t>Net cash from operations is primarily affected by the overall profitability of our contracts, our ability to invoice and collect from clients in a timely manner, and our ability to manage our vendor payments. Net cash provided by operations was $217.1 million in the six months ended September 30, 2016 compared to $88.7 million in the prior year period, or a 144.8% increase. This was primarily due to revenue growth which drove increased receivables which in turn were collected in a timely manner, as well as a decline in indirect spending which resulted in a reduction in working capital needs. In addition the Company benefited from a reduction in the required tax payments in the six months ended September 30, 2016 as compared to the prior year period.</w:t>
      </w:r>
    </w:p>
    <w:p>
      <w:pPr>
        <w:spacing w:after="0" w:line="50"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Investing Activities</w:t>
      </w:r>
    </w:p>
    <w:p>
      <w:pPr>
        <w:spacing w:after="0" w:line="117" w:lineRule="exact"/>
        <w:rPr>
          <w:sz w:val="20"/>
          <w:szCs w:val="20"/>
          <w:color w:val="auto"/>
        </w:rPr>
      </w:pPr>
    </w:p>
    <w:p>
      <w:pPr>
        <w:jc w:val="both"/>
        <w:ind w:right="60" w:firstLine="405"/>
        <w:spacing w:after="0" w:line="264" w:lineRule="auto"/>
        <w:rPr>
          <w:sz w:val="20"/>
          <w:szCs w:val="20"/>
          <w:color w:val="auto"/>
        </w:rPr>
      </w:pPr>
      <w:r>
        <w:rPr>
          <w:rFonts w:ascii="Arial" w:cs="Arial" w:eastAsia="Arial" w:hAnsi="Arial"/>
          <w:sz w:val="18"/>
          <w:szCs w:val="18"/>
          <w:color w:val="auto"/>
        </w:rPr>
        <w:t>Net cash used in investing activities was $15.3 million in the six months ended September 30, 2016 compared to $30.6 million in the prior year period, or a 49.8% decrease. The decrease in net cash used in investing activities was due to a decrease in capital expenditures over the prior year primarily related to the timing of the leasehold improvements related to the reconfiguration of our facilities footprint.</w:t>
      </w:r>
    </w:p>
    <w:p>
      <w:pPr>
        <w:spacing w:after="0" w:line="73"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Net Cash from Financing Activities</w:t>
      </w:r>
    </w:p>
    <w:p>
      <w:pPr>
        <w:spacing w:after="0" w:line="117" w:lineRule="exact"/>
        <w:rPr>
          <w:sz w:val="20"/>
          <w:szCs w:val="20"/>
          <w:color w:val="auto"/>
        </w:rPr>
      </w:pPr>
    </w:p>
    <w:p>
      <w:pPr>
        <w:ind w:right="120" w:firstLine="405"/>
        <w:spacing w:after="0" w:line="255" w:lineRule="auto"/>
        <w:rPr>
          <w:sz w:val="20"/>
          <w:szCs w:val="20"/>
          <w:color w:val="auto"/>
        </w:rPr>
      </w:pPr>
      <w:r>
        <w:rPr>
          <w:rFonts w:ascii="Arial" w:cs="Arial" w:eastAsia="Arial" w:hAnsi="Arial"/>
          <w:sz w:val="18"/>
          <w:szCs w:val="18"/>
          <w:color w:val="auto"/>
        </w:rPr>
        <w:t>Net cash used in financing activities was $82.0 million in the six months ended September 30, 2016 compared to $77.9 million in the prior year period, or a 5.3% increase. In the first quarter of fiscal 2016 the Company repurchased 1.2 million shares of our Class A Common Stock for $30.5 million on the open market with no similar transaction occurring in the first quarter of fiscal 2017. In the second quarter of fiscal 2017, the Company repurchased 75,221 shares of our Class A Common Stock for $2.3 million on the open market. Conversely, as a result of the Third Amendment to the Credit Agreement consummated on July 13, 2016 there was an increase of debt payments net of proceeds of $20.5 million. Cash dividends paid as compared to the prior year period also increased $6.5 million.</w:t>
      </w:r>
    </w:p>
    <w:p>
      <w:pPr>
        <w:spacing w:after="0" w:line="85" w:lineRule="exact"/>
        <w:rPr>
          <w:sz w:val="20"/>
          <w:szCs w:val="20"/>
          <w:color w:val="auto"/>
        </w:rPr>
      </w:pPr>
    </w:p>
    <w:p>
      <w:pPr>
        <w:ind w:left="260"/>
        <w:spacing w:after="0"/>
        <w:rPr>
          <w:sz w:val="20"/>
          <w:szCs w:val="20"/>
          <w:color w:val="auto"/>
        </w:rPr>
      </w:pPr>
      <w:r>
        <w:rPr>
          <w:rFonts w:ascii="Arial" w:cs="Arial" w:eastAsia="Arial" w:hAnsi="Arial"/>
          <w:sz w:val="18"/>
          <w:szCs w:val="18"/>
          <w:b w:val="1"/>
          <w:bCs w:val="1"/>
          <w:i w:val="1"/>
          <w:iCs w:val="1"/>
          <w:color w:val="auto"/>
        </w:rPr>
        <w:t>Dividends and Share Repurchases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summarizes the cash distributions recognized in the condensed consolidated statement of cash flows: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860" w:type="dxa"/>
            <w:vAlign w:val="bottom"/>
            <w:gridSpan w:val="3"/>
          </w:tcPr>
          <w:p>
            <w:pPr>
              <w:jc w:val="right"/>
              <w:spacing w:after="0"/>
              <w:rPr>
                <w:sz w:val="20"/>
                <w:szCs w:val="20"/>
                <w:color w:val="auto"/>
              </w:rPr>
            </w:pPr>
            <w:r>
              <w:rPr>
                <w:rFonts w:ascii="Arial" w:cs="Arial" w:eastAsia="Arial" w:hAnsi="Arial"/>
                <w:sz w:val="14"/>
                <w:szCs w:val="14"/>
                <w:b w:val="1"/>
                <w:bCs w:val="1"/>
                <w:color w:val="auto"/>
              </w:rPr>
              <w:t>Three Months Ended</w:t>
            </w:r>
          </w:p>
        </w:tc>
        <w:tc>
          <w:tcPr>
            <w:tcW w:w="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780" w:type="dxa"/>
            <w:vAlign w:val="bottom"/>
            <w:gridSpan w:val="3"/>
          </w:tcPr>
          <w:p>
            <w:pPr>
              <w:jc w:val="right"/>
              <w:spacing w:after="0"/>
              <w:rPr>
                <w:sz w:val="20"/>
                <w:szCs w:val="20"/>
                <w:color w:val="auto"/>
              </w:rPr>
            </w:pPr>
            <w:r>
              <w:rPr>
                <w:rFonts w:ascii="Arial" w:cs="Arial" w:eastAsia="Arial" w:hAnsi="Arial"/>
                <w:sz w:val="14"/>
                <w:szCs w:val="14"/>
                <w:b w:val="1"/>
                <w:bCs w:val="1"/>
                <w:color w:val="auto"/>
              </w:rPr>
              <w:t>Six Months Ended</w:t>
            </w:r>
          </w:p>
        </w:tc>
        <w:tc>
          <w:tcPr>
            <w:tcW w:w="920" w:type="dxa"/>
            <w:vAlign w:val="bottom"/>
          </w:tcPr>
          <w:p>
            <w:pPr>
              <w:spacing w:after="0"/>
              <w:rPr>
                <w:sz w:val="14"/>
                <w:szCs w:val="14"/>
                <w:color w:val="auto"/>
              </w:rPr>
            </w:pPr>
          </w:p>
        </w:tc>
      </w:tr>
      <w:tr>
        <w:trPr>
          <w:trHeight w:val="192"/>
        </w:trPr>
        <w:tc>
          <w:tcPr>
            <w:tcW w:w="516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30"/>
              <w:spacing w:after="0"/>
              <w:rPr>
                <w:sz w:val="20"/>
                <w:szCs w:val="20"/>
                <w:color w:val="auto"/>
              </w:rPr>
            </w:pPr>
            <w:r>
              <w:rPr>
                <w:rFonts w:ascii="Arial" w:cs="Arial" w:eastAsia="Arial" w:hAnsi="Arial"/>
                <w:sz w:val="14"/>
                <w:szCs w:val="14"/>
                <w:b w:val="1"/>
                <w:bCs w:val="1"/>
                <w:color w:val="auto"/>
              </w:rPr>
              <w:t>September 30,</w:t>
            </w:r>
          </w:p>
        </w:tc>
        <w:tc>
          <w:tcPr>
            <w:tcW w:w="88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gridSpan w:val="3"/>
          </w:tcPr>
          <w:p>
            <w:pPr>
              <w:jc w:val="right"/>
              <w:ind w:right="70"/>
              <w:spacing w:after="0"/>
              <w:rPr>
                <w:sz w:val="20"/>
                <w:szCs w:val="20"/>
                <w:color w:val="auto"/>
              </w:rPr>
            </w:pPr>
            <w:r>
              <w:rPr>
                <w:rFonts w:ascii="Arial" w:cs="Arial" w:eastAsia="Arial" w:hAnsi="Arial"/>
                <w:sz w:val="14"/>
                <w:szCs w:val="14"/>
                <w:b w:val="1"/>
                <w:bCs w:val="1"/>
                <w:color w:val="auto"/>
              </w:rPr>
              <w:t>September 30,</w:t>
            </w:r>
          </w:p>
        </w:tc>
        <w:tc>
          <w:tcPr>
            <w:tcW w:w="920" w:type="dxa"/>
            <w:vAlign w:val="bottom"/>
            <w:tcBorders>
              <w:bottom w:val="single" w:sz="8" w:color="auto"/>
            </w:tcBorders>
          </w:tcPr>
          <w:p>
            <w:pPr>
              <w:spacing w:after="0"/>
              <w:rPr>
                <w:sz w:val="16"/>
                <w:szCs w:val="16"/>
                <w:color w:val="auto"/>
              </w:rPr>
            </w:pPr>
          </w:p>
        </w:tc>
      </w:tr>
      <w:tr>
        <w:trPr>
          <w:trHeight w:val="264"/>
        </w:trPr>
        <w:tc>
          <w:tcPr>
            <w:tcW w:w="516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20" w:type="dxa"/>
            <w:vAlign w:val="bottom"/>
            <w:tcBorders>
              <w:bottom w:val="single" w:sz="8" w:color="CCEEFF"/>
            </w:tcBorders>
          </w:tcPr>
          <w:p>
            <w:pPr>
              <w:spacing w:after="0"/>
              <w:rPr>
                <w:sz w:val="22"/>
                <w:szCs w:val="22"/>
                <w:color w:val="auto"/>
              </w:rPr>
            </w:pPr>
          </w:p>
        </w:tc>
        <w:tc>
          <w:tcPr>
            <w:tcW w:w="60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83"/>
              </w:rPr>
              <w:t>2015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519"/>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2"/>
                <w:szCs w:val="22"/>
                <w:color w:val="auto"/>
              </w:rPr>
            </w:pPr>
          </w:p>
        </w:tc>
        <w:tc>
          <w:tcPr>
            <w:tcW w:w="56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514"/>
              <w:spacing w:after="0"/>
              <w:rPr>
                <w:sz w:val="20"/>
                <w:szCs w:val="20"/>
                <w:color w:val="auto"/>
              </w:rPr>
            </w:pPr>
            <w:r>
              <w:rPr>
                <w:rFonts w:ascii="Arial" w:cs="Arial" w:eastAsia="Arial" w:hAnsi="Arial"/>
                <w:sz w:val="14"/>
                <w:szCs w:val="14"/>
                <w:b w:val="1"/>
                <w:bCs w:val="1"/>
                <w:color w:val="auto"/>
                <w:w w:val="96"/>
              </w:rPr>
              <w:t>2015</w:t>
            </w:r>
          </w:p>
        </w:tc>
      </w:tr>
      <w:tr>
        <w:trPr>
          <w:trHeight w:val="250"/>
        </w:trPr>
        <w:tc>
          <w:tcPr>
            <w:tcW w:w="51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Recurring dividends (1)</w:t>
            </w: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8"/>
                <w:szCs w:val="18"/>
                <w:color w:val="auto"/>
              </w:rPr>
              <w:t>22,440</w:t>
            </w:r>
          </w:p>
        </w:tc>
        <w:tc>
          <w:tcPr>
            <w:tcW w:w="12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19,217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8"/>
                <w:szCs w:val="18"/>
                <w:color w:val="auto"/>
              </w:rPr>
              <w:t>44,789</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38,269</w:t>
            </w:r>
          </w:p>
        </w:tc>
      </w:tr>
      <w:tr>
        <w:trPr>
          <w:trHeight w:val="243"/>
        </w:trPr>
        <w:tc>
          <w:tcPr>
            <w:tcW w:w="5160" w:type="dxa"/>
            <w:vAlign w:val="bottom"/>
          </w:tcPr>
          <w:p>
            <w:pPr>
              <w:ind w:left="40"/>
              <w:spacing w:after="0"/>
              <w:rPr>
                <w:sz w:val="20"/>
                <w:szCs w:val="20"/>
                <w:color w:val="auto"/>
              </w:rPr>
            </w:pPr>
            <w:r>
              <w:rPr>
                <w:rFonts w:ascii="Arial" w:cs="Arial" w:eastAsia="Arial" w:hAnsi="Arial"/>
                <w:sz w:val="18"/>
                <w:szCs w:val="18"/>
                <w:color w:val="auto"/>
              </w:rPr>
              <w:t>Dividend equivalents (2)</w:t>
            </w:r>
          </w:p>
        </w:tc>
        <w:tc>
          <w:tcPr>
            <w:tcW w:w="360" w:type="dxa"/>
            <w:vAlign w:val="bottom"/>
          </w:tcPr>
          <w:p>
            <w:pPr>
              <w:spacing w:after="0"/>
              <w:rPr>
                <w:sz w:val="21"/>
                <w:szCs w:val="21"/>
                <w:color w:val="auto"/>
              </w:rPr>
            </w:pPr>
          </w:p>
        </w:tc>
        <w:tc>
          <w:tcPr>
            <w:tcW w:w="12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1"/>
                <w:szCs w:val="21"/>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Arial" w:cs="Arial" w:eastAsia="Arial" w:hAnsi="Arial"/>
                <w:sz w:val="18"/>
                <w:szCs w:val="18"/>
                <w:color w:val="auto"/>
              </w:rPr>
              <w:t>2,157</w:t>
            </w:r>
          </w:p>
        </w:tc>
        <w:tc>
          <w:tcPr>
            <w:tcW w:w="1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20" w:type="dxa"/>
            <w:vAlign w:val="bottom"/>
          </w:tcPr>
          <w:p>
            <w:pPr>
              <w:jc w:val="right"/>
              <w:ind w:right="14"/>
              <w:spacing w:after="0"/>
              <w:rPr>
                <w:sz w:val="20"/>
                <w:szCs w:val="20"/>
                <w:color w:val="auto"/>
              </w:rPr>
            </w:pPr>
            <w:r>
              <w:rPr>
                <w:rFonts w:ascii="Arial" w:cs="Arial" w:eastAsia="Arial" w:hAnsi="Arial"/>
                <w:sz w:val="18"/>
                <w:szCs w:val="18"/>
                <w:color w:val="auto"/>
              </w:rPr>
              <w:t>3,593</w:t>
            </w:r>
          </w:p>
        </w:tc>
      </w:tr>
      <w:tr>
        <w:trPr>
          <w:trHeight w:val="27"/>
        </w:trPr>
        <w:tc>
          <w:tcPr>
            <w:tcW w:w="516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57"/>
        </w:trPr>
        <w:tc>
          <w:tcPr>
            <w:tcW w:w="51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Total distributions</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8"/>
                <w:szCs w:val="18"/>
                <w:color w:val="auto"/>
              </w:rPr>
              <w:t>22,440</w:t>
            </w:r>
          </w:p>
        </w:tc>
        <w:tc>
          <w:tcPr>
            <w:tcW w:w="120" w:type="dxa"/>
            <w:vAlign w:val="bottom"/>
            <w:tcBorders>
              <w:bottom w:val="single" w:sz="8" w:color="CCEEFF"/>
            </w:tcBorders>
            <w:shd w:val="clear" w:color="auto" w:fill="CCEEFF"/>
          </w:tcPr>
          <w:p>
            <w:pPr>
              <w:spacing w:after="0"/>
              <w:rPr>
                <w:sz w:val="22"/>
                <w:szCs w:val="22"/>
                <w:color w:val="auto"/>
              </w:rPr>
            </w:pPr>
          </w:p>
        </w:tc>
        <w:tc>
          <w:tcPr>
            <w:tcW w:w="600" w:type="dxa"/>
            <w:vAlign w:val="bottom"/>
            <w:tcBorders>
              <w:bottom w:val="single" w:sz="8" w:color="auto"/>
            </w:tcBorders>
            <w:shd w:val="clear" w:color="auto" w:fill="CCEEFF"/>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19,217</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8"/>
                <w:szCs w:val="18"/>
                <w:color w:val="auto"/>
              </w:rPr>
              <w:t>46,946</w:t>
            </w:r>
          </w:p>
        </w:tc>
        <w:tc>
          <w:tcPr>
            <w:tcW w:w="100" w:type="dxa"/>
            <w:vAlign w:val="bottom"/>
            <w:tcBorders>
              <w:bottom w:val="single" w:sz="8" w:color="CCEEFF"/>
            </w:tcBorders>
            <w:shd w:val="clear" w:color="auto" w:fill="CCEEFF"/>
          </w:tcPr>
          <w:p>
            <w:pPr>
              <w:spacing w:after="0"/>
              <w:rPr>
                <w:sz w:val="22"/>
                <w:szCs w:val="22"/>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41,862</w:t>
            </w:r>
          </w:p>
        </w:tc>
      </w:tr>
      <w:tr>
        <w:trPr>
          <w:trHeight w:val="20"/>
        </w:trPr>
        <w:tc>
          <w:tcPr>
            <w:tcW w:w="516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ind w:right="300" w:firstLine="8"/>
        <w:spacing w:after="0" w:line="277" w:lineRule="auto"/>
        <w:tabs>
          <w:tab w:leader="none" w:pos="255" w:val="left"/>
        </w:tabs>
        <w:numPr>
          <w:ilvl w:val="0"/>
          <w:numId w:val="23"/>
        </w:numPr>
        <w:rPr>
          <w:rFonts w:ascii="Arial" w:cs="Arial" w:eastAsia="Arial" w:hAnsi="Arial"/>
          <w:sz w:val="18"/>
          <w:szCs w:val="18"/>
          <w:color w:val="auto"/>
        </w:rPr>
      </w:pPr>
      <w:r>
        <w:rPr>
          <w:rFonts w:ascii="Arial" w:cs="Arial" w:eastAsia="Arial" w:hAnsi="Arial"/>
          <w:sz w:val="18"/>
          <w:szCs w:val="18"/>
          <w:color w:val="auto"/>
        </w:rPr>
        <w:t>Amounts represent recurring dividends of $0.15 per share and $0.13 per share that were declared and paid during the first and second quarters of fiscal 2017 and fiscal 2016, respectively.</w:t>
      </w:r>
    </w:p>
    <w:p>
      <w:pPr>
        <w:spacing w:after="0" w:line="62" w:lineRule="exact"/>
        <w:rPr>
          <w:rFonts w:ascii="Arial" w:cs="Arial" w:eastAsia="Arial" w:hAnsi="Arial"/>
          <w:sz w:val="18"/>
          <w:szCs w:val="18"/>
          <w:color w:val="auto"/>
        </w:rPr>
      </w:pPr>
    </w:p>
    <w:p>
      <w:pPr>
        <w:ind w:left="260" w:hanging="252"/>
        <w:spacing w:after="0"/>
        <w:tabs>
          <w:tab w:leader="none" w:pos="260" w:val="left"/>
        </w:tabs>
        <w:numPr>
          <w:ilvl w:val="0"/>
          <w:numId w:val="23"/>
        </w:numPr>
        <w:rPr>
          <w:rFonts w:ascii="Arial" w:cs="Arial" w:eastAsia="Arial" w:hAnsi="Arial"/>
          <w:sz w:val="18"/>
          <w:szCs w:val="18"/>
          <w:color w:val="auto"/>
        </w:rPr>
      </w:pPr>
      <w:r>
        <w:rPr>
          <w:rFonts w:ascii="Arial" w:cs="Arial" w:eastAsia="Arial" w:hAnsi="Arial"/>
          <w:sz w:val="18"/>
          <w:szCs w:val="18"/>
          <w:color w:val="auto"/>
        </w:rPr>
        <w:t>Dividend equivalents are distributions made to option holders equal to the previously declared special dividends.</w:t>
      </w:r>
    </w:p>
    <w:p>
      <w:pPr>
        <w:spacing w:after="0" w:line="117" w:lineRule="exact"/>
        <w:rPr>
          <w:sz w:val="20"/>
          <w:szCs w:val="20"/>
          <w:color w:val="auto"/>
        </w:rPr>
      </w:pPr>
    </w:p>
    <w:p>
      <w:pPr>
        <w:ind w:right="140" w:firstLine="405"/>
        <w:spacing w:after="0" w:line="277" w:lineRule="auto"/>
        <w:rPr>
          <w:sz w:val="20"/>
          <w:szCs w:val="20"/>
          <w:color w:val="auto"/>
        </w:rPr>
      </w:pPr>
      <w:r>
        <w:rPr>
          <w:rFonts w:ascii="Arial" w:cs="Arial" w:eastAsia="Arial" w:hAnsi="Arial"/>
          <w:sz w:val="18"/>
          <w:szCs w:val="18"/>
          <w:color w:val="auto"/>
        </w:rPr>
        <w:t>On November 2, 2016, the Company announced a regular quarterly cash dividend in the amount of $0.15 per share, payable on November 30, 2016 to stockholders of record on November 10, 2016.</w:t>
      </w: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881" w:right="239" w:bottom="1440" w:gutter="0" w:footer="0" w:header="0"/>
        </w:sectPr>
      </w:pPr>
    </w:p>
    <w:bookmarkStart w:id="29" w:name="page30"/>
    <w:bookmarkEnd w:id="29"/>
    <w:p>
      <w:pPr>
        <w:ind w:right="60" w:firstLine="405"/>
        <w:spacing w:after="0" w:line="276" w:lineRule="auto"/>
        <w:rPr>
          <w:sz w:val="20"/>
          <w:szCs w:val="20"/>
          <w:color w:val="auto"/>
        </w:rPr>
      </w:pPr>
      <w:r>
        <w:rPr>
          <w:rFonts w:ascii="Arial" w:cs="Arial" w:eastAsia="Arial" w:hAnsi="Arial"/>
          <w:sz w:val="17"/>
          <w:szCs w:val="17"/>
          <w:color w:val="auto"/>
        </w:rPr>
        <w:t>On December 12, 2011, the Board of Directors authorized the repurchase of up to $30.0 million of our shares. On January 27, 2015, the share repurchase authorization was increased to $180.0 million. The Company currently has $69.4 million remaining under the repurchase program. Any determination to pursue one or more of the above alternative uses for excess cash is subject to the discretion of our Board of Directors, and will depend upon various factors, including our results of operations, financial condition, liquidity requirements, restrictions that may be imposed by applicable law, our contracts, and our senior secured credit agreement, as amended, and other factors deemed relevant by our Board of Directors.</w:t>
      </w:r>
    </w:p>
    <w:p>
      <w:pPr>
        <w:spacing w:after="0" w:line="146" w:lineRule="exact"/>
        <w:rPr>
          <w:sz w:val="20"/>
          <w:szCs w:val="20"/>
          <w:color w:val="auto"/>
        </w:rPr>
      </w:pPr>
    </w:p>
    <w:p>
      <w:pPr>
        <w:ind w:left="420"/>
        <w:spacing w:after="0"/>
        <w:rPr>
          <w:sz w:val="20"/>
          <w:szCs w:val="20"/>
          <w:color w:val="auto"/>
        </w:rPr>
      </w:pPr>
      <w:r>
        <w:rPr>
          <w:rFonts w:ascii="Arial" w:cs="Arial" w:eastAsia="Arial" w:hAnsi="Arial"/>
          <w:sz w:val="18"/>
          <w:szCs w:val="18"/>
          <w:b w:val="1"/>
          <w:bCs w:val="1"/>
          <w:i w:val="1"/>
          <w:iCs w:val="1"/>
          <w:color w:val="auto"/>
        </w:rPr>
        <w:t>Indebtedness</w:t>
      </w:r>
    </w:p>
    <w:p>
      <w:pPr>
        <w:spacing w:after="0" w:line="198" w:lineRule="exact"/>
        <w:rPr>
          <w:sz w:val="20"/>
          <w:szCs w:val="20"/>
          <w:color w:val="auto"/>
        </w:rPr>
      </w:pPr>
    </w:p>
    <w:p>
      <w:pPr>
        <w:ind w:right="220" w:firstLine="405"/>
        <w:spacing w:after="0" w:line="285" w:lineRule="auto"/>
        <w:rPr>
          <w:sz w:val="20"/>
          <w:szCs w:val="20"/>
          <w:color w:val="auto"/>
        </w:rPr>
      </w:pPr>
      <w:r>
        <w:rPr>
          <w:rFonts w:ascii="Arial" w:cs="Arial" w:eastAsia="Arial" w:hAnsi="Arial"/>
          <w:sz w:val="16"/>
          <w:szCs w:val="16"/>
          <w:color w:val="auto"/>
        </w:rPr>
        <w:t>On July 13, 2016, Booz Allen Hamilton, Booz Allen Hamilton Investor Corporation, and certain wholly-owned subsidiaries of Booz Allen Hamilton entered into the Third Amendment (the "Third Amendment") to the Credit Agreement (the "Credit Agreement"), whereby Booz Allen Hamilton borrowed approximately $441 million of additional Term Loan A, with such funds used to pay off a portion of the outstanding principal of the Term Loan B facility. Under the Third Amendment, the interest rate on borrowings under Term Loan A was reduced to LIBOR plus a spread that ranges from 1.50% to 2.25% based on Booz Allen Hamilton's total leverage ratio. The revolving credit facility margin was reduced to LIBOR plus a spread that ranges from 1.50% to</w:t>
      </w:r>
    </w:p>
    <w:p>
      <w:pPr>
        <w:spacing w:after="0" w:line="2" w:lineRule="exact"/>
        <w:rPr>
          <w:sz w:val="20"/>
          <w:szCs w:val="20"/>
          <w:color w:val="auto"/>
        </w:rPr>
      </w:pPr>
    </w:p>
    <w:p>
      <w:pPr>
        <w:spacing w:after="0"/>
        <w:rPr>
          <w:sz w:val="20"/>
          <w:szCs w:val="20"/>
          <w:color w:val="auto"/>
        </w:rPr>
      </w:pPr>
      <w:r>
        <w:rPr>
          <w:rFonts w:ascii="Arial" w:cs="Arial" w:eastAsia="Arial" w:hAnsi="Arial"/>
          <w:sz w:val="16"/>
          <w:szCs w:val="16"/>
          <w:color w:val="auto"/>
        </w:rPr>
        <w:t>2.25% based on Booz Allen Hamilton's total leverage ratio, and the revolving credit facility commitment fee was reduced to a spread ranging from 0.300% to</w:t>
      </w:r>
    </w:p>
    <w:p>
      <w:pPr>
        <w:spacing w:after="0" w:line="32"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0.400%. The interest rate for borrowings under Term Loan B was reduced to LIBOR plus 2.75% with no LIBOR floor, with a spread that ranged from 1.75% to 2.75% based upon either an ABR or LIBOR borrowing.</w:t>
      </w:r>
    </w:p>
    <w:p>
      <w:pPr>
        <w:spacing w:after="0" w:line="157" w:lineRule="exact"/>
        <w:rPr>
          <w:sz w:val="20"/>
          <w:szCs w:val="20"/>
          <w:color w:val="auto"/>
        </w:rPr>
      </w:pPr>
    </w:p>
    <w:p>
      <w:pPr>
        <w:ind w:right="20" w:firstLine="405"/>
        <w:spacing w:after="0" w:line="259" w:lineRule="auto"/>
        <w:rPr>
          <w:sz w:val="20"/>
          <w:szCs w:val="20"/>
          <w:color w:val="auto"/>
        </w:rPr>
      </w:pPr>
      <w:r>
        <w:rPr>
          <w:rFonts w:ascii="Arial" w:cs="Arial" w:eastAsia="Arial" w:hAnsi="Arial"/>
          <w:sz w:val="18"/>
          <w:szCs w:val="18"/>
          <w:color w:val="auto"/>
        </w:rPr>
        <w:t>Under the Third Amendment, the maturity date of Term Loan A and the termination date for the revolving credit facility was extended to June 30, 2021 and the maturity date of Term Loan B was extended to to June 30, 2023. The Credit Agreement, as amended by the Third Amendment, requires quarterly principal payments of 1.25% of the stated principal amount of Term Loan A until maturity and quarterly principal payments of 0.25% of the stated principal amount of Term Loan B until maturity.</w:t>
      </w:r>
    </w:p>
    <w:p>
      <w:pPr>
        <w:spacing w:after="0" w:line="79" w:lineRule="exact"/>
        <w:rPr>
          <w:sz w:val="20"/>
          <w:szCs w:val="20"/>
          <w:color w:val="auto"/>
        </w:rPr>
      </w:pPr>
    </w:p>
    <w:p>
      <w:pPr>
        <w:jc w:val="both"/>
        <w:ind w:right="140" w:firstLine="405"/>
        <w:spacing w:after="0" w:line="312" w:lineRule="auto"/>
        <w:rPr>
          <w:sz w:val="20"/>
          <w:szCs w:val="20"/>
          <w:color w:val="auto"/>
        </w:rPr>
      </w:pPr>
      <w:r>
        <w:rPr>
          <w:rFonts w:ascii="Arial" w:cs="Arial" w:eastAsia="Arial" w:hAnsi="Arial"/>
          <w:sz w:val="16"/>
          <w:szCs w:val="16"/>
          <w:color w:val="auto"/>
        </w:rPr>
        <w:t>Booz Allen Hamilton occasionally borrows under our revolving credit facility in anticipation of cash demands. During the first and second quarters of fiscal 2017, Booz Allen Hamilton accessed a total of $185.0 million of its $500.0 million revolving credit facility. As of September 30, 2016 there were no amounts outstanding on the revolving credit facility. As of March 31, 2016, there was $35.0 million outstanding on the revolving credit facility.</w:t>
      </w:r>
    </w:p>
    <w:p>
      <w:pPr>
        <w:spacing w:after="0" w:line="39" w:lineRule="exact"/>
        <w:rPr>
          <w:sz w:val="20"/>
          <w:szCs w:val="20"/>
          <w:color w:val="auto"/>
        </w:rPr>
      </w:pPr>
    </w:p>
    <w:p>
      <w:pPr>
        <w:ind w:right="20" w:firstLine="405"/>
        <w:spacing w:after="0" w:line="279" w:lineRule="auto"/>
        <w:rPr>
          <w:sz w:val="20"/>
          <w:szCs w:val="20"/>
          <w:color w:val="auto"/>
        </w:rPr>
      </w:pPr>
      <w:r>
        <w:rPr>
          <w:rFonts w:ascii="Arial" w:cs="Arial" w:eastAsia="Arial" w:hAnsi="Arial"/>
          <w:sz w:val="17"/>
          <w:szCs w:val="17"/>
          <w:color w:val="auto"/>
        </w:rPr>
        <w:t>The Third Amendment increased the amount of additional secured indebtedness that we may incur under incremental credit facilities from $300 million to $400 million and amended our financial maintenance covenants by changing the maximum consolidated net total leverage ratio to (i) 4.50:1.00 through December 31, 2016 and (ii) 4.00:1:00 thereafter. Mandatory prepayments of Term Loan A were also reduced to 5.00% per annum. The Third Amendment also amended certain existing debt covenants to provide us with greater operational and financial flexibility.</w:t>
      </w:r>
    </w:p>
    <w:p>
      <w:pPr>
        <w:spacing w:after="0" w:line="63" w:lineRule="exact"/>
        <w:rPr>
          <w:sz w:val="20"/>
          <w:szCs w:val="20"/>
          <w:color w:val="auto"/>
        </w:rPr>
      </w:pPr>
    </w:p>
    <w:p>
      <w:pPr>
        <w:ind w:right="60" w:firstLine="405"/>
        <w:spacing w:after="0" w:line="273" w:lineRule="auto"/>
        <w:rPr>
          <w:sz w:val="20"/>
          <w:szCs w:val="20"/>
          <w:color w:val="auto"/>
        </w:rPr>
      </w:pPr>
      <w:r>
        <w:rPr>
          <w:rFonts w:ascii="Arial" w:cs="Arial" w:eastAsia="Arial" w:hAnsi="Arial"/>
          <w:sz w:val="17"/>
          <w:szCs w:val="17"/>
          <w:color w:val="auto"/>
        </w:rPr>
        <w:t>As of September 30, 2016 and March 31, 2016, we were contingently liable under open standby letters of credit and bank guarantees issued by our banks in favor of third parties that totaled $7.3 million and $6.6 million, respectively. These letters of credit and bank guarantees primarily support insurance and bid and performance obligations. At September 30, 2016 and March 31, 2016, approximately $1.7 million and $1.8 million, respectively, of these instruments reduce the available borrowings under the revolving credit facility. The remainder was guaranteed under a separate $10.0 million facility established in fiscal 2016 of which $4.4 million and $5.2 million, respectively, was available to us at September 30, 2016 and March 31, 2016. As of September 30, 2016, we had $498.3 million of capacity available for additional borrowings under the revolving credit facility.</w:t>
      </w:r>
    </w:p>
    <w:p>
      <w:pPr>
        <w:spacing w:after="0" w:line="70" w:lineRule="exact"/>
        <w:rPr>
          <w:sz w:val="20"/>
          <w:szCs w:val="20"/>
          <w:color w:val="auto"/>
        </w:rPr>
      </w:pPr>
    </w:p>
    <w:p>
      <w:pPr>
        <w:ind w:right="100" w:firstLine="405"/>
        <w:spacing w:after="0" w:line="276" w:lineRule="auto"/>
        <w:rPr>
          <w:sz w:val="20"/>
          <w:szCs w:val="20"/>
          <w:color w:val="auto"/>
        </w:rPr>
      </w:pPr>
      <w:r>
        <w:rPr>
          <w:rFonts w:ascii="Arial" w:cs="Arial" w:eastAsia="Arial" w:hAnsi="Arial"/>
          <w:sz w:val="17"/>
          <w:szCs w:val="17"/>
          <w:color w:val="auto"/>
        </w:rPr>
        <w:t>Based on the terms of the Third Amendment, the Company expects approximately $5 million to $10 million of interest expense savings during fiscal 2017, subject to future LIBOR movements. The Company accelerated the amortization of ratable portions of the debt issuance costs and original issue discount that did not qualify for deferral of $5.5 million. These expenses are reflected in other expense, net in the three and six months ended September 30, 2016. Furthermore, the Company expensed third party debt issuance costs and creditor fees of $3.4 million that did not qualify for deferral and will be reflected in general and administrative costs in the three and six months ended September 30, 2016.</w:t>
      </w:r>
    </w:p>
    <w:p>
      <w:pPr>
        <w:spacing w:after="0" w:line="64" w:lineRule="exact"/>
        <w:rPr>
          <w:sz w:val="20"/>
          <w:szCs w:val="20"/>
          <w:color w:val="auto"/>
        </w:rPr>
      </w:pPr>
    </w:p>
    <w:p>
      <w:pPr>
        <w:ind w:right="20" w:firstLine="405"/>
        <w:spacing w:after="0" w:line="290" w:lineRule="auto"/>
        <w:rPr>
          <w:sz w:val="20"/>
          <w:szCs w:val="20"/>
          <w:color w:val="auto"/>
        </w:rPr>
      </w:pPr>
      <w:r>
        <w:rPr>
          <w:rFonts w:ascii="Arial" w:cs="Arial" w:eastAsia="Arial" w:hAnsi="Arial"/>
          <w:sz w:val="16"/>
          <w:szCs w:val="16"/>
          <w:color w:val="auto"/>
        </w:rPr>
        <w:t>The loans under the Credit Agreement, as amended, are secured by substantially all of our assets and none of such assets will be available to satisfy the claims of our general creditors. The Credit Agreement, as amended, contains customary representations and warranties and customary affirmative and negative covenants. The negative covenants are limited to the following, in each case subject to certain exceptions: a maximum net total leverage ratio; a minimum net interest coverage ratio; limitations on indebtedness and liens; mergers, consolidations or amalgamations, or liquidations, wind-ups or dissolutions; dispositions of property; restricted payments; investments; transactions with affiliates; sale and lease back transactions; change in fiscal periods; negative pledges; restrictive agreements; limitations on line of business; limitations on speculative hedging and limitations on changes of names and jurisdictions. In addition, we are required to meet certain financial covenants at each quarter end, namely Consolidated Net Total Leverage and Consolidated Net Interest Coverage Ratios. As of September 30, 2016, we were compliant with these covenants.</w:t>
      </w:r>
    </w:p>
    <w:p>
      <w:pPr>
        <w:spacing w:after="0" w:line="19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360"/>
          </w:cols>
          <w:pgMar w:left="240" w:top="881" w:right="299" w:bottom="1440" w:gutter="0" w:footer="0" w:header="0"/>
        </w:sectPr>
      </w:pPr>
    </w:p>
    <w:bookmarkStart w:id="30" w:name="page31"/>
    <w:bookmarkEnd w:id="30"/>
    <w:p>
      <w:pPr>
        <w:spacing w:after="0"/>
        <w:rPr>
          <w:sz w:val="20"/>
          <w:szCs w:val="20"/>
          <w:color w:val="auto"/>
        </w:rPr>
      </w:pPr>
      <w:r>
        <w:rPr>
          <w:rFonts w:ascii="Arial" w:cs="Arial" w:eastAsia="Arial" w:hAnsi="Arial"/>
          <w:sz w:val="18"/>
          <w:szCs w:val="18"/>
          <w:b w:val="1"/>
          <w:bCs w:val="1"/>
          <w:color w:val="auto"/>
        </w:rPr>
        <w:t>Capital Structure and Resources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7"/>
          <w:szCs w:val="17"/>
          <w:color w:val="auto"/>
        </w:rPr>
        <w:t>Our stockholders’ equity amounted to $516.3 million as of September 30, 2016, an increase of $107.8 million compared to stockholders’ equity of</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$408.5 million as of March 31, 2016. The increase is primarily due to net income of $130.6 million in the six months ended September 30, 2016, stock-based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of $10.6 million, and stock option exercises of $6.8 million, partially offset by $44.8 million in recurring dividend payments and a $6.9</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million increase in treasury stock resulting from the repurchase of shares of our Class A Common Stock during the six months ended September 30, 2016.</w:t>
      </w:r>
    </w:p>
    <w:p>
      <w:pPr>
        <w:spacing w:after="0" w:line="12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As of September 30, 2016, we did not have any off-balance sheet arrangements.</w:t>
      </w:r>
    </w:p>
    <w:p>
      <w:pPr>
        <w:spacing w:after="0" w:line="11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Capital Expenditures</w:t>
      </w:r>
    </w:p>
    <w:p>
      <w:pPr>
        <w:spacing w:after="0" w:line="121" w:lineRule="exact"/>
        <w:rPr>
          <w:sz w:val="20"/>
          <w:szCs w:val="20"/>
          <w:color w:val="auto"/>
        </w:rPr>
      </w:pPr>
    </w:p>
    <w:p>
      <w:pPr>
        <w:ind w:right="160" w:firstLine="405"/>
        <w:spacing w:after="0" w:line="255" w:lineRule="auto"/>
        <w:rPr>
          <w:sz w:val="20"/>
          <w:szCs w:val="20"/>
          <w:color w:val="auto"/>
        </w:rPr>
      </w:pPr>
      <w:r>
        <w:rPr>
          <w:rFonts w:ascii="Arial" w:cs="Arial" w:eastAsia="Arial" w:hAnsi="Arial"/>
          <w:sz w:val="18"/>
          <w:szCs w:val="18"/>
          <w:color w:val="auto"/>
        </w:rPr>
        <w:t>Since we do not own any of our facilities, our capital expenditure requirements primarily relate to the purchase of computers, business systems, furniture, and leasehold improvements to support our operations. Direct facility and equipment costs billed to clients are not treated as capital expenses. Our capital expenditures for the six months ended September 30, 2016 and 2015 were $15.1 million and $29.6 million, respectively, and the majority of such capital expenditures related to facilities infrastructure, equipment, and information technology. Expenditures for facilities infrastructure and equipment are generally incurred to support new and existing programs across our business. We also incur capital expenditures for information technology to support programs and general enterprise information technology infrastructure.</w:t>
      </w:r>
    </w:p>
    <w:p>
      <w:pPr>
        <w:spacing w:after="0" w:line="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and Contingencies</w:t>
      </w:r>
    </w:p>
    <w:p>
      <w:pPr>
        <w:spacing w:after="0" w:line="121" w:lineRule="exact"/>
        <w:rPr>
          <w:sz w:val="20"/>
          <w:szCs w:val="20"/>
          <w:color w:val="auto"/>
        </w:rPr>
      </w:pPr>
    </w:p>
    <w:p>
      <w:pPr>
        <w:ind w:right="180" w:firstLine="405"/>
        <w:spacing w:after="0" w:line="277" w:lineRule="auto"/>
        <w:rPr>
          <w:sz w:val="20"/>
          <w:szCs w:val="20"/>
          <w:color w:val="auto"/>
        </w:rPr>
      </w:pPr>
      <w:r>
        <w:rPr>
          <w:rFonts w:ascii="Arial" w:cs="Arial" w:eastAsia="Arial" w:hAnsi="Arial"/>
          <w:sz w:val="18"/>
          <w:szCs w:val="18"/>
          <w:color w:val="auto"/>
        </w:rPr>
        <w:t>We are subject to a number of reviews, investigations, claims, lawsuits, and other uncertainties related to our business. For a discussion of these items, refer to Note 16 to our condensed consolidated financial statements.</w:t>
      </w:r>
    </w:p>
    <w:p>
      <w:pPr>
        <w:spacing w:after="0" w:line="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Special Note Regarding Forward Looking Statements</w:t>
      </w:r>
    </w:p>
    <w:p>
      <w:pPr>
        <w:spacing w:after="0" w:line="121" w:lineRule="exact"/>
        <w:rPr>
          <w:sz w:val="20"/>
          <w:szCs w:val="20"/>
          <w:color w:val="auto"/>
        </w:rPr>
      </w:pPr>
    </w:p>
    <w:p>
      <w:pPr>
        <w:ind w:right="200" w:firstLine="405"/>
        <w:spacing w:after="0" w:line="272" w:lineRule="auto"/>
        <w:rPr>
          <w:sz w:val="20"/>
          <w:szCs w:val="20"/>
          <w:color w:val="auto"/>
        </w:rPr>
      </w:pPr>
      <w:r>
        <w:rPr>
          <w:rFonts w:ascii="Arial" w:cs="Arial" w:eastAsia="Arial" w:hAnsi="Arial"/>
          <w:sz w:val="17"/>
          <w:szCs w:val="17"/>
          <w:color w:val="auto"/>
        </w:rPr>
        <w:t>This Quarterly Report on Form 10-Q, or Quarterly Report, contains forward-looking statements. In some cases, you can identify forward-looking statements by terminology such as “may,” “will,” “could,” “should,” “forecasts,” “expects,” “intends,” “plans,” “anticipates,” “projects,” “outlook,” “believes,” “estimates,” “predicts,” “potential,” “continue,” “preliminary,” or the negative of these terms or other comparable terminology. Although we believe that the expectations reflected in the forward-looking statements are reasonable, we can give you no assurance these expectations will prove to have been correct. These forward-looking statements relate to future events or our future financial performance and involve known and unknown risks, uncertainties and other factors that may cause our actual results, levels of activity, performance or achievements to differ materially from any future results, levels of activity, performance or achievements expressed or implied by these forward-looking statements.</w:t>
      </w:r>
    </w:p>
    <w:p>
      <w:pPr>
        <w:spacing w:after="0" w:line="70" w:lineRule="exact"/>
        <w:rPr>
          <w:sz w:val="20"/>
          <w:szCs w:val="20"/>
          <w:color w:val="auto"/>
        </w:rPr>
      </w:pPr>
    </w:p>
    <w:p>
      <w:pPr>
        <w:ind w:right="20" w:firstLine="405"/>
        <w:spacing w:after="0" w:line="267" w:lineRule="auto"/>
        <w:rPr>
          <w:sz w:val="20"/>
          <w:szCs w:val="20"/>
          <w:color w:val="auto"/>
        </w:rPr>
      </w:pPr>
      <w:r>
        <w:rPr>
          <w:rFonts w:ascii="Arial" w:cs="Arial" w:eastAsia="Arial" w:hAnsi="Arial"/>
          <w:sz w:val="17"/>
          <w:szCs w:val="17"/>
          <w:color w:val="auto"/>
        </w:rPr>
        <w:t>These risks and other factors include: cost cutting and efficiency initiatives, budget reductions, Congressionally mandated automatic spending cuts, and other efforts to reduce U.S. government spending, including automatic sequestration required by the Budget Control Act of 2011 (as amended by the American Taxpayer Relief Act of 2012 and the Bipartisan Budget Act of 2013 and the Bipartisan Budget Act of 2015)), which have reduced and delayed contract awards and funding for orders for services especially in the current political environment or otherwise negatively affect our ability to generate revenue under contract awards, including as a result of reduced staffing and hours of operation at U.S. government clients; delayed funding of our contracts due to uncertainty relating to and a possible failure of Congressional efforts to approve funding of the U.S. government beyond December 9, 2016 and to craft a long-term agreement on the U.S. government’s ability to incur indebtedness in excess of its current limits, or changes in the pattern or timing of government funding and spending (including those resulting from or related to cuts associated with sequestration or other budgetary cuts made in lieu of sequestration); current and continued uncertainty around the timing, extent, nature, and effect of ongoing Congressional and other U.S. government action to address budgetary constraints, including, but not limited to, uncertainty around the outcome of Congressional efforts to craft a long-term agreement on the U.S. government’s ability to incur indebtedness in excess of its current limits, and the U.S. deficit; any issue that compromises our relationships with the U.S. government or damages our professional reputation, including negative publicity concerning government contractors in general or us in particular; changes in U.S. government spending, including a continuation of efforts by the U.S. government to decrease spending for management support service contracts, and mission priorities that shift expenditures away from agencies or programs that we support; the size of our addressable markets and the amount of U.S. government spending on private contractors; failure to comply with numerous laws and regulations; our ability to compete effectively in the competitive bidding process and delays or losses of contract awards caused by competitors' protests of major contract awards received by us; the loss of General Services Administration Multiple Award schedule contracts, or GSA schedules, or our position as prime contractor on government-wide acquisition contract vehicles, or GWACs; changes in the mix of our contracts and our ability to accurately estimate or otherwise recover expenses, time, and resources for our contracts; our ability to generate revenue under certain of our contracts; our ability to realize the full value of and replenish our backlog and the timing of our receipt of revenue under contracts included in backlog; changes in estimates used in recognizing revenue; an inability to attract, train, or retain employees with the requisite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29</w:t>
      </w:r>
    </w:p>
    <w:p>
      <w:pPr>
        <w:sectPr>
          <w:pgSz w:w="11900" w:h="16838" w:orient="portrait"/>
          <w:cols w:equalWidth="0" w:num="1">
            <w:col w:w="11420"/>
          </w:cols>
          <w:pgMar w:left="240" w:top="877" w:right="239" w:bottom="1440" w:gutter="0" w:footer="0" w:header="0"/>
        </w:sectPr>
      </w:pPr>
    </w:p>
    <w:bookmarkStart w:id="31" w:name="page32"/>
    <w:bookmarkEnd w:id="31"/>
    <w:p>
      <w:pPr>
        <w:spacing w:after="0" w:line="285" w:lineRule="auto"/>
        <w:rPr>
          <w:sz w:val="20"/>
          <w:szCs w:val="20"/>
          <w:color w:val="auto"/>
        </w:rPr>
      </w:pPr>
      <w:r>
        <w:rPr>
          <w:rFonts w:ascii="Arial" w:cs="Arial" w:eastAsia="Arial" w:hAnsi="Arial"/>
          <w:sz w:val="16"/>
          <w:szCs w:val="16"/>
          <w:color w:val="auto"/>
        </w:rPr>
        <w:t>skills, experience, and security clearances; an inability to hire, assimilate, and deploy enough employees to serve our clients under existing contracts; an inability to timely and effectively utilize our employees; failure by us or our employees to obtain and maintain necessary security clearances; the loss of members of senior management or failure to develop new leaders; misconduct or other improper activities from our employees or subcontractors, including the improper use or release of our clients' sensitive or classified information; increased insourcing by various U.S. government agencies due to changes in the definition of “inherently governmental” work, including proposals to limit contractor access to sensitive or classified information and work assignments; increased competition from other companies in our industry; failure to maintain strong relationships with other contractors; inherent uncertainties and potential adverse developments in legal or regulatory proceedings, including litigation, audits, reviews, and investigations, which may result in materially adverse judgments, settlements, withheld payments, penalties, or other unfavorable outcomes including debarment, as well as disputes over the availability of insurance or indemnification; continued efforts to change how the U.S. government reimburses compensation related and other expenses or otherwise limit such reimbursements, including recent rules that expand the scope of existing reimbursement limitations, such as a reduction in allowable annual employee compensation to certain contractors as a result of the Bipartisan Budget Act of 2013, and an increased risk of compensation being deemed unallowable or payments being withheld as a result of U.S. government audit, review or investigation; internal system or service failures and security breaches, including, but not limited to, those resulting from external cyber attacks on our network and internal systems; risks related to changes to our operating structure, capabilities, or strategy intended to address client needs, grow our business or respond to market developments; risks associated with new relationships, clients, capabilities, and service offerings in our U.S. and international businesses; failure to comply with special U.S. government laws and regulations relating to our international operations; risks related to our indebtedness and credit facilities which contain financial and operating covenants; the adoption by the U.S. government of new laws, rules, and regulations, such as those relating to organizational conflicts of interest issues or limits; risks related to completed and future acquisitions, including our ability to realize the expected benefits from such acquisitions; an inability to utilize existing or future tax benefits, including those related to our stock-based compensation expense, for any reason, including a change in law; variable purchasing patterns under U.S. government GSA schedules, blanket purchase agreements and indefinite delivery, indefinite quantity, or ID/IQ, contracts; and other risks and factors described in Part II, “Item 1A. Risk Factors” and elsewhere in this Quarterly Report.</w:t>
      </w:r>
    </w:p>
    <w:p>
      <w:pPr>
        <w:spacing w:after="0" w:line="276" w:lineRule="exact"/>
        <w:rPr>
          <w:sz w:val="20"/>
          <w:szCs w:val="20"/>
          <w:color w:val="auto"/>
        </w:rPr>
      </w:pPr>
    </w:p>
    <w:p>
      <w:pPr>
        <w:jc w:val="both"/>
        <w:ind w:right="80" w:firstLine="405"/>
        <w:spacing w:after="0" w:line="286" w:lineRule="auto"/>
        <w:rPr>
          <w:sz w:val="20"/>
          <w:szCs w:val="20"/>
          <w:color w:val="auto"/>
        </w:rPr>
      </w:pPr>
      <w:r>
        <w:rPr>
          <w:rFonts w:ascii="Arial" w:cs="Arial" w:eastAsia="Arial" w:hAnsi="Arial"/>
          <w:sz w:val="17"/>
          <w:szCs w:val="17"/>
          <w:color w:val="auto"/>
        </w:rPr>
        <w:t>In light of these risks, uncertainties and other factors, the forward-looking statements contained in this Quarterly Report might not prove to be accurate and you should not place undue reliance upon them. All forward-looking statements speak only as of the date made and we undertake no obligation to update or revise publicly any forward-looking statements, whether as a result of new information, future events or otherwise.</w:t>
      </w:r>
    </w:p>
    <w:p>
      <w:pPr>
        <w:spacing w:after="0" w:line="378"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121" w:lineRule="exact"/>
        <w:rPr>
          <w:sz w:val="20"/>
          <w:szCs w:val="20"/>
          <w:color w:val="auto"/>
        </w:rPr>
      </w:pPr>
    </w:p>
    <w:p>
      <w:pPr>
        <w:ind w:right="120" w:firstLine="405"/>
        <w:spacing w:after="0" w:line="259" w:lineRule="auto"/>
        <w:rPr>
          <w:sz w:val="20"/>
          <w:szCs w:val="20"/>
          <w:color w:val="auto"/>
        </w:rPr>
      </w:pPr>
      <w:r>
        <w:rPr>
          <w:rFonts w:ascii="Arial" w:cs="Arial" w:eastAsia="Arial" w:hAnsi="Arial"/>
          <w:sz w:val="18"/>
          <w:szCs w:val="18"/>
          <w:color w:val="auto"/>
        </w:rPr>
        <w:t>There have been no material changes during the period covered by this Quarterly Report on Form 10-Q to the information disclosed in the Quantitative and Qualitative Disclosures about Market Risk section in Part II, “Item 7. Management’s Discussion and Analysis of Financial Condition and Results of Operations” of our Annual Report on Form 10-K for the fiscal year ended March 31, 2016 filed with the Securities and Exchange Commission on May 19, 2016.</w:t>
      </w:r>
    </w:p>
    <w:p>
      <w:pPr>
        <w:spacing w:after="0" w:line="183" w:lineRule="exact"/>
        <w:rPr>
          <w:sz w:val="20"/>
          <w:szCs w:val="20"/>
          <w:color w:val="auto"/>
        </w:rPr>
      </w:pPr>
    </w:p>
    <w:p>
      <w:pPr>
        <w:spacing w:after="0"/>
        <w:tabs>
          <w:tab w:leader="none" w:pos="7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Controls and Procedures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121" w:lineRule="exact"/>
        <w:rPr>
          <w:sz w:val="20"/>
          <w:szCs w:val="20"/>
          <w:color w:val="auto"/>
        </w:rPr>
      </w:pPr>
    </w:p>
    <w:p>
      <w:pPr>
        <w:ind w:right="120" w:firstLine="405"/>
        <w:spacing w:after="0" w:line="302" w:lineRule="auto"/>
        <w:rPr>
          <w:sz w:val="20"/>
          <w:szCs w:val="20"/>
          <w:color w:val="auto"/>
        </w:rPr>
      </w:pPr>
      <w:r>
        <w:rPr>
          <w:rFonts w:ascii="Arial" w:cs="Arial" w:eastAsia="Arial" w:hAnsi="Arial"/>
          <w:sz w:val="16"/>
          <w:szCs w:val="16"/>
          <w:color w:val="auto"/>
        </w:rPr>
        <w:t>Management, with the participation of our Chief Executive Officer and Chief Financial Officer, has evaluated the effectiveness of our disclosure controls and procedures, as defined in Rules 13a-15(e) and 15d-15(e) of the Securities Exchange Act of 1934, as amended, or Exchange Act, as of the end of the period covered by this Quarterly Report on Form 10-Q, or Quarterly Report. Based on that evaluation, our Chief Executive Officer and Chief Financial Officer concluded that, as of the end of the period covered by this Quarterly Report, our disclosure controls and procedures were effective.</w:t>
      </w:r>
    </w:p>
    <w:p>
      <w:pPr>
        <w:spacing w:after="0" w:line="4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121" w:lineRule="exact"/>
        <w:rPr>
          <w:sz w:val="20"/>
          <w:szCs w:val="20"/>
          <w:color w:val="auto"/>
        </w:rPr>
      </w:pPr>
    </w:p>
    <w:p>
      <w:pPr>
        <w:ind w:right="380" w:firstLine="405"/>
        <w:spacing w:after="0" w:line="264" w:lineRule="auto"/>
        <w:rPr>
          <w:sz w:val="20"/>
          <w:szCs w:val="20"/>
          <w:color w:val="auto"/>
        </w:rPr>
      </w:pPr>
      <w:r>
        <w:rPr>
          <w:rFonts w:ascii="Arial" w:cs="Arial" w:eastAsia="Arial" w:hAnsi="Arial"/>
          <w:sz w:val="18"/>
          <w:szCs w:val="18"/>
          <w:color w:val="auto"/>
        </w:rPr>
        <w:t>There have not been any changes in our internal control over financial reporting (as such term is defined in Rules 13a-15(f) and 15d-15(f) under the Exchange Act) during the last fiscal quarter that have materially affected, or are reasonably likely to materially affect, our internal control over financial reporting.</w:t>
      </w: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881" w:right="239" w:bottom="1440" w:gutter="0" w:footer="0" w:header="0"/>
        </w:sectPr>
      </w:pPr>
    </w:p>
    <w:bookmarkStart w:id="32" w:name="page33"/>
    <w:bookmarkEnd w:id="32"/>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306"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121" w:lineRule="exact"/>
        <w:rPr>
          <w:sz w:val="20"/>
          <w:szCs w:val="20"/>
          <w:color w:val="auto"/>
        </w:rPr>
      </w:pPr>
    </w:p>
    <w:p>
      <w:pPr>
        <w:ind w:firstLine="405"/>
        <w:spacing w:after="0" w:line="269" w:lineRule="auto"/>
        <w:rPr>
          <w:sz w:val="20"/>
          <w:szCs w:val="20"/>
          <w:color w:val="auto"/>
        </w:rPr>
      </w:pPr>
      <w:r>
        <w:rPr>
          <w:rFonts w:ascii="Arial" w:cs="Arial" w:eastAsia="Arial" w:hAnsi="Arial"/>
          <w:sz w:val="17"/>
          <w:szCs w:val="17"/>
          <w:color w:val="auto"/>
        </w:rPr>
        <w:t>Our performance under U.S. government contracts and compliance with the terms of those contracts and applicable laws and regulations are subject to continuous audit, review, and investigation by the U.S. government which may include such investigative techniques as subpoenas or civil investigative demands. Given the nature of our business, these audits, reviews, and investigations may focus, among other areas, on various aspects of procurement integrity, labor time reporting, sensitive and/or classified information access and control, executive compensation, and post government employment restrictions. We are not always aware of our status in such matters, but we are currently aware of certain pending audits and investigations involving labor time reporting, procurement integrity, and classified information access. In addition, from time to time, we are also involved in legal proceedings and investigations arising in the ordinary course of business, including those relating to employment matters, relationships with clients and contractors, intellectual property disputes, and other business matters. These legal proceedings seek various remedies, including claims for monetary damages in varying amounts, none of which are considered material, or are unspecified as to amount. Although the outcome of any such matter is inherently uncertain and may be materially adverse, based on current information, we do not expect any of the currently ongoing audits, reviews, investigations, or litigation to have a material adverse effect on our financial condition and results of operations. As of September 30, 2016 and March 31, 2016, there were no material amounts accrued in the condensed consolidated financial statements related to these proceedings.</w:t>
      </w:r>
    </w:p>
    <w:p>
      <w:pPr>
        <w:spacing w:after="0" w:line="153" w:lineRule="exact"/>
        <w:rPr>
          <w:sz w:val="20"/>
          <w:szCs w:val="20"/>
          <w:color w:val="auto"/>
        </w:rPr>
      </w:pPr>
    </w:p>
    <w:p>
      <w:pPr>
        <w:ind w:firstLine="405"/>
        <w:spacing w:after="0" w:line="268" w:lineRule="auto"/>
        <w:rPr>
          <w:sz w:val="20"/>
          <w:szCs w:val="20"/>
          <w:color w:val="auto"/>
        </w:rPr>
      </w:pPr>
      <w:r>
        <w:rPr>
          <w:rFonts w:ascii="Arial" w:cs="Arial" w:eastAsia="Arial" w:hAnsi="Arial"/>
          <w:sz w:val="17"/>
          <w:szCs w:val="17"/>
          <w:color w:val="auto"/>
        </w:rPr>
        <w:t>Six former officers and stockholders who had departed the company prior to the Acquisition have filed a total of nine suits in various jurisdictions, with original filing dates ranging from July 3, 2008 through December 15, 2009, against us and certain of our current and former directors and officers. Three of these suits were amended on July 2, 2010 and then further amended into one consolidated complaint on September 7, 2010. Another two of the original nine suits were consolidated into one complaint on September 24, 2014. Each of the suits arises out of the Acquisition and alleges that the former stockholders are entitled to certain payments that they would have received if they had held their stock at the time of the Acquisition. Some of the suits also allege that the acquisition price paid to stockholders was insufficient. The various suits assert claims for breach of contract, tortious interference with contract, breach of fiduciary duty, civil Racketeer Influenced and Corrupt Organizations Act, or RICO, violations, violations of the Employee Retirement Income Security Act, or ERISA, and/or securities and common law fraud. Three of these suits have been dismissed with all appeals exhausted. The two suits that were consolidated into one action on September 24, 2014 were settled on April 16, 2015. One of the remaining suits has been dismissed by the United States District Court for the Southern District of California and such dismissal was upheld by the United States Court of Appeals for the Ninth Circuit. On September 29, 2016, we received notice that the plaintiff in this suit filed a Petition for Writ of Certiorari to the United States Supreme Court. The other three remaining suits that were previously consolidated on September 7, 2010 have been dismissed by the United States District Court for the Southern District of New York and are on appeal before the United States Court of Appeals for the Second Circuit. The aggregate alleged damages sought in these four remaining suits is approximately $291.7 million (which is sought to be trebled pursuant to RICO), plus punitive damages, costs, and fees. Although the outcome of any of these cases is inherently uncertain and may be materially adverse, based on current information, we do not expect them to have a material adverse effect on our financial condition and results of operations.</w:t>
      </w:r>
    </w:p>
    <w:p>
      <w:pPr>
        <w:spacing w:after="0" w:line="150"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121" w:lineRule="exact"/>
        <w:rPr>
          <w:sz w:val="20"/>
          <w:szCs w:val="20"/>
          <w:color w:val="auto"/>
        </w:rPr>
      </w:pPr>
    </w:p>
    <w:p>
      <w:pPr>
        <w:ind w:right="180" w:firstLine="405"/>
        <w:spacing w:after="0" w:line="342" w:lineRule="auto"/>
        <w:rPr>
          <w:sz w:val="20"/>
          <w:szCs w:val="20"/>
          <w:color w:val="auto"/>
        </w:rPr>
      </w:pPr>
      <w:r>
        <w:rPr>
          <w:rFonts w:ascii="Arial" w:cs="Arial" w:eastAsia="Arial" w:hAnsi="Arial"/>
          <w:sz w:val="16"/>
          <w:szCs w:val="16"/>
          <w:color w:val="auto"/>
        </w:rPr>
        <w:t>There have been no material changes during the period covered by this Quarterly Report on Form 10-Q to the risk factors disclosed in Part I, Item 1A, of our Annual Report on Form 10-K for the fiscal year ended March 31, 2016 filed with the Securities and Exchange Commission on May 19, 2016.</w:t>
      </w:r>
    </w:p>
    <w:p>
      <w:pPr>
        <w:spacing w:after="0" w:line="12"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5"/>
          <w:szCs w:val="15"/>
          <w:b w:val="1"/>
          <w:bCs w:val="1"/>
          <w:color w:val="auto"/>
        </w:rPr>
        <w:t>Unregistered Sales of Equity Securities and Use of Proceeds</w:t>
      </w:r>
    </w:p>
    <w:p>
      <w:pPr>
        <w:spacing w:after="0" w:line="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 shows the share repurchase activity for each of the three months in the quarter ended September 30, 2016:</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420"/>
          </w:cols>
          <w:pgMar w:left="240" w:top="769" w:right="2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54"/>
              <w:spacing w:after="0"/>
              <w:rPr>
                <w:sz w:val="20"/>
                <w:szCs w:val="20"/>
                <w:color w:val="auto"/>
              </w:rPr>
            </w:pPr>
            <w:r>
              <w:rPr>
                <w:rFonts w:ascii="Arial" w:cs="Arial" w:eastAsia="Arial" w:hAnsi="Arial"/>
                <w:sz w:val="16"/>
                <w:szCs w:val="16"/>
                <w:b w:val="1"/>
                <w:bCs w:val="1"/>
                <w:color w:val="auto"/>
                <w:w w:val="94"/>
              </w:rPr>
              <w:t>Approximate Dollar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120" w:type="dxa"/>
            <w:vAlign w:val="bottom"/>
          </w:tcPr>
          <w:p>
            <w:pPr>
              <w:spacing w:after="0"/>
              <w:rPr>
                <w:sz w:val="17"/>
                <w:szCs w:val="17"/>
                <w:color w:val="auto"/>
              </w:rPr>
            </w:pPr>
          </w:p>
        </w:tc>
        <w:tc>
          <w:tcPr>
            <w:tcW w:w="1820" w:type="dxa"/>
            <w:vAlign w:val="bottom"/>
            <w:gridSpan w:val="2"/>
          </w:tcPr>
          <w:p>
            <w:pPr>
              <w:ind w:left="40"/>
              <w:spacing w:after="0"/>
              <w:rPr>
                <w:sz w:val="20"/>
                <w:szCs w:val="20"/>
                <w:color w:val="auto"/>
              </w:rPr>
            </w:pPr>
            <w:r>
              <w:rPr>
                <w:rFonts w:ascii="Arial" w:cs="Arial" w:eastAsia="Arial" w:hAnsi="Arial"/>
                <w:sz w:val="16"/>
                <w:szCs w:val="16"/>
                <w:b w:val="1"/>
                <w:bCs w:val="1"/>
                <w:color w:val="auto"/>
                <w:w w:val="92"/>
              </w:rPr>
              <w:t>Value of Shares that May</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 as Part of</w:t>
            </w:r>
          </w:p>
        </w:tc>
        <w:tc>
          <w:tcPr>
            <w:tcW w:w="120" w:type="dxa"/>
            <w:vAlign w:val="bottom"/>
          </w:tcPr>
          <w:p>
            <w:pPr>
              <w:spacing w:after="0"/>
              <w:rPr>
                <w:sz w:val="17"/>
                <w:szCs w:val="17"/>
                <w:color w:val="auto"/>
              </w:rPr>
            </w:pPr>
          </w:p>
        </w:tc>
        <w:tc>
          <w:tcPr>
            <w:tcW w:w="1820" w:type="dxa"/>
            <w:vAlign w:val="bottom"/>
            <w:gridSpan w:val="2"/>
          </w:tcPr>
          <w:p>
            <w:pPr>
              <w:jc w:val="center"/>
              <w:spacing w:after="0"/>
              <w:rPr>
                <w:sz w:val="20"/>
                <w:szCs w:val="20"/>
                <w:color w:val="auto"/>
              </w:rPr>
            </w:pPr>
            <w:r>
              <w:rPr>
                <w:rFonts w:ascii="Arial" w:cs="Arial" w:eastAsia="Arial" w:hAnsi="Arial"/>
                <w:sz w:val="16"/>
                <w:szCs w:val="16"/>
                <w:b w:val="1"/>
                <w:bCs w:val="1"/>
                <w:color w:val="auto"/>
                <w:w w:val="91"/>
              </w:rPr>
              <w:t>Yet Be Purchased Under</w:t>
            </w:r>
          </w:p>
        </w:tc>
      </w:tr>
      <w:tr>
        <w:trPr>
          <w:trHeight w:val="203"/>
        </w:trPr>
        <w:tc>
          <w:tcPr>
            <w:tcW w:w="3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1"/>
              </w:rPr>
              <w:t>Total Number of Shares</w:t>
            </w:r>
          </w:p>
        </w:tc>
        <w:tc>
          <w:tcPr>
            <w:tcW w:w="120" w:type="dxa"/>
            <w:vAlign w:val="bottom"/>
          </w:tcPr>
          <w:p>
            <w:pPr>
              <w:spacing w:after="0"/>
              <w:rPr>
                <w:sz w:val="17"/>
                <w:szCs w:val="17"/>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1"/>
              </w:rPr>
              <w:t>Average Price Paid per</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90"/>
              </w:rPr>
              <w:t>Publicly Announced</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700" w:type="dxa"/>
            <w:vAlign w:val="bottom"/>
          </w:tcPr>
          <w:p>
            <w:pPr>
              <w:jc w:val="center"/>
              <w:ind w:right="34"/>
              <w:spacing w:after="0"/>
              <w:rPr>
                <w:sz w:val="20"/>
                <w:szCs w:val="20"/>
                <w:color w:val="auto"/>
              </w:rPr>
            </w:pPr>
            <w:r>
              <w:rPr>
                <w:rFonts w:ascii="Arial" w:cs="Arial" w:eastAsia="Arial" w:hAnsi="Arial"/>
                <w:sz w:val="16"/>
                <w:szCs w:val="16"/>
                <w:b w:val="1"/>
                <w:bCs w:val="1"/>
                <w:color w:val="auto"/>
                <w:w w:val="90"/>
              </w:rPr>
              <w:t>the Plans or Programs</w:t>
            </w:r>
          </w:p>
        </w:tc>
      </w:tr>
      <w:tr>
        <w:trPr>
          <w:trHeight w:val="210"/>
        </w:trPr>
        <w:tc>
          <w:tcPr>
            <w:tcW w:w="3780" w:type="dxa"/>
            <w:vAlign w:val="bottom"/>
            <w:gridSpan w:val="2"/>
          </w:tcPr>
          <w:p>
            <w:pPr>
              <w:ind w:left="1600"/>
              <w:spacing w:after="0"/>
              <w:rPr>
                <w:sz w:val="20"/>
                <w:szCs w:val="20"/>
                <w:color w:val="auto"/>
              </w:rPr>
            </w:pPr>
            <w:r>
              <w:rPr>
                <w:rFonts w:ascii="Arial" w:cs="Arial" w:eastAsia="Arial" w:hAnsi="Arial"/>
                <w:sz w:val="16"/>
                <w:szCs w:val="16"/>
                <w:b w:val="1"/>
                <w:bCs w:val="1"/>
                <w:color w:val="auto"/>
              </w:rPr>
              <w:t>Period</w:t>
            </w:r>
          </w:p>
        </w:tc>
        <w:tc>
          <w:tcPr>
            <w:tcW w:w="1840" w:type="dxa"/>
            <w:vAlign w:val="bottom"/>
          </w:tcPr>
          <w:p>
            <w:pPr>
              <w:jc w:val="center"/>
              <w:spacing w:after="0"/>
              <w:rPr>
                <w:sz w:val="20"/>
                <w:szCs w:val="20"/>
                <w:color w:val="auto"/>
              </w:rPr>
            </w:pPr>
            <w:r>
              <w:rPr>
                <w:rFonts w:ascii="Arial" w:cs="Arial" w:eastAsia="Arial" w:hAnsi="Arial"/>
                <w:sz w:val="16"/>
                <w:szCs w:val="16"/>
                <w:b w:val="1"/>
                <w:bCs w:val="1"/>
                <w:color w:val="auto"/>
                <w:w w:val="90"/>
              </w:rPr>
              <w:t>Purchased</w:t>
            </w:r>
          </w:p>
        </w:tc>
        <w:tc>
          <w:tcPr>
            <w:tcW w:w="120" w:type="dxa"/>
            <w:vAlign w:val="bottom"/>
          </w:tcPr>
          <w:p>
            <w:pPr>
              <w:spacing w:after="0"/>
              <w:rPr>
                <w:sz w:val="18"/>
                <w:szCs w:val="18"/>
                <w:color w:val="auto"/>
              </w:rPr>
            </w:pPr>
          </w:p>
        </w:tc>
        <w:tc>
          <w:tcPr>
            <w:tcW w:w="192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89"/>
              </w:rPr>
              <w:t>Share</w:t>
            </w:r>
          </w:p>
        </w:tc>
        <w:tc>
          <w:tcPr>
            <w:tcW w:w="1820" w:type="dxa"/>
            <w:vAlign w:val="bottom"/>
          </w:tcPr>
          <w:p>
            <w:pPr>
              <w:jc w:val="center"/>
              <w:spacing w:after="0"/>
              <w:rPr>
                <w:sz w:val="20"/>
                <w:szCs w:val="20"/>
                <w:color w:val="auto"/>
              </w:rPr>
            </w:pPr>
            <w:r>
              <w:rPr>
                <w:rFonts w:ascii="Arial" w:cs="Arial" w:eastAsia="Arial" w:hAnsi="Arial"/>
                <w:sz w:val="16"/>
                <w:szCs w:val="16"/>
                <w:b w:val="1"/>
                <w:bCs w:val="1"/>
                <w:color w:val="auto"/>
                <w:w w:val="89"/>
              </w:rPr>
              <w:t>Plans or Programs</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700" w:type="dxa"/>
            <w:vAlign w:val="bottom"/>
          </w:tcPr>
          <w:p>
            <w:pPr>
              <w:jc w:val="center"/>
              <w:ind w:right="34"/>
              <w:spacing w:after="0"/>
              <w:rPr>
                <w:sz w:val="20"/>
                <w:szCs w:val="20"/>
                <w:color w:val="auto"/>
              </w:rPr>
            </w:pPr>
            <w:r>
              <w:rPr>
                <w:rFonts w:ascii="Arial" w:cs="Arial" w:eastAsia="Arial" w:hAnsi="Arial"/>
                <w:sz w:val="16"/>
                <w:szCs w:val="16"/>
                <w:b w:val="1"/>
                <w:bCs w:val="1"/>
                <w:color w:val="auto"/>
                <w:w w:val="91"/>
              </w:rPr>
              <w:t>(1)</w:t>
            </w:r>
          </w:p>
        </w:tc>
      </w:tr>
      <w:tr>
        <w:trPr>
          <w:trHeight w:val="33"/>
        </w:trPr>
        <w:tc>
          <w:tcPr>
            <w:tcW w:w="3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July 2016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71,670,717</w:t>
            </w:r>
          </w:p>
        </w:tc>
      </w:tr>
      <w:tr>
        <w:trPr>
          <w:trHeight w:val="243"/>
        </w:trPr>
        <w:tc>
          <w:tcPr>
            <w:tcW w:w="3780" w:type="dxa"/>
            <w:vAlign w:val="bottom"/>
            <w:gridSpan w:val="2"/>
          </w:tcPr>
          <w:p>
            <w:pPr>
              <w:ind w:left="40"/>
              <w:spacing w:after="0"/>
              <w:rPr>
                <w:sz w:val="20"/>
                <w:szCs w:val="20"/>
                <w:color w:val="auto"/>
              </w:rPr>
            </w:pPr>
            <w:r>
              <w:rPr>
                <w:rFonts w:ascii="Arial" w:cs="Arial" w:eastAsia="Arial" w:hAnsi="Arial"/>
                <w:sz w:val="18"/>
                <w:szCs w:val="18"/>
                <w:color w:val="auto"/>
              </w:rPr>
              <w:t>August 2016</w:t>
            </w:r>
          </w:p>
        </w:tc>
        <w:tc>
          <w:tcPr>
            <w:tcW w:w="1840" w:type="dxa"/>
            <w:vAlign w:val="bottom"/>
          </w:tcPr>
          <w:p>
            <w:pPr>
              <w:jc w:val="center"/>
              <w:spacing w:after="0"/>
              <w:rPr>
                <w:sz w:val="20"/>
                <w:szCs w:val="20"/>
                <w:color w:val="auto"/>
              </w:rPr>
            </w:pPr>
            <w:r>
              <w:rPr>
                <w:rFonts w:ascii="Arial" w:cs="Arial" w:eastAsia="Arial" w:hAnsi="Arial"/>
                <w:sz w:val="18"/>
                <w:szCs w:val="18"/>
                <w:color w:val="auto"/>
                <w:w w:val="90"/>
              </w:rPr>
              <w:t>75,221</w:t>
            </w:r>
          </w:p>
        </w:tc>
        <w:tc>
          <w:tcPr>
            <w:tcW w:w="1940" w:type="dxa"/>
            <w:vAlign w:val="bottom"/>
            <w:gridSpan w:val="2"/>
          </w:tcPr>
          <w:p>
            <w:pPr>
              <w:jc w:val="center"/>
              <w:ind w:left="10"/>
              <w:spacing w:after="0"/>
              <w:rPr>
                <w:sz w:val="20"/>
                <w:szCs w:val="20"/>
                <w:color w:val="auto"/>
              </w:rPr>
            </w:pPr>
            <w:r>
              <w:rPr>
                <w:rFonts w:ascii="Arial" w:cs="Arial" w:eastAsia="Arial" w:hAnsi="Arial"/>
                <w:sz w:val="18"/>
                <w:szCs w:val="18"/>
                <w:color w:val="auto"/>
                <w:w w:val="88"/>
              </w:rPr>
              <w:t>30.40</w:t>
            </w:r>
          </w:p>
        </w:tc>
        <w:tc>
          <w:tcPr>
            <w:tcW w:w="100" w:type="dxa"/>
            <w:vAlign w:val="bottom"/>
          </w:tcPr>
          <w:p>
            <w:pPr>
              <w:spacing w:after="0"/>
              <w:rPr>
                <w:sz w:val="21"/>
                <w:szCs w:val="21"/>
                <w:color w:val="auto"/>
              </w:rPr>
            </w:pPr>
          </w:p>
        </w:tc>
        <w:tc>
          <w:tcPr>
            <w:tcW w:w="1820" w:type="dxa"/>
            <w:vAlign w:val="bottom"/>
          </w:tcPr>
          <w:p>
            <w:pPr>
              <w:jc w:val="center"/>
              <w:spacing w:after="0"/>
              <w:rPr>
                <w:sz w:val="20"/>
                <w:szCs w:val="20"/>
                <w:color w:val="auto"/>
              </w:rPr>
            </w:pPr>
            <w:r>
              <w:rPr>
                <w:rFonts w:ascii="Arial" w:cs="Arial" w:eastAsia="Arial" w:hAnsi="Arial"/>
                <w:sz w:val="18"/>
                <w:szCs w:val="18"/>
                <w:color w:val="auto"/>
                <w:w w:val="90"/>
              </w:rPr>
              <w:t>75,221</w:t>
            </w:r>
          </w:p>
        </w:tc>
        <w:tc>
          <w:tcPr>
            <w:tcW w:w="240" w:type="dxa"/>
            <w:vAlign w:val="bottom"/>
            <w:gridSpan w:val="2"/>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Pr>
          <w:p>
            <w:pPr>
              <w:jc w:val="right"/>
              <w:ind w:right="14"/>
              <w:spacing w:after="0"/>
              <w:rPr>
                <w:sz w:val="20"/>
                <w:szCs w:val="20"/>
                <w:color w:val="auto"/>
              </w:rPr>
            </w:pPr>
            <w:r>
              <w:rPr>
                <w:rFonts w:ascii="Arial" w:cs="Arial" w:eastAsia="Arial" w:hAnsi="Arial"/>
                <w:sz w:val="18"/>
                <w:szCs w:val="18"/>
                <w:color w:val="auto"/>
              </w:rPr>
              <w:t>69,425,698</w:t>
            </w:r>
          </w:p>
        </w:tc>
      </w:tr>
      <w:tr>
        <w:trPr>
          <w:trHeight w:val="27"/>
        </w:trPr>
        <w:tc>
          <w:tcPr>
            <w:tcW w:w="3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70"/>
        </w:trPr>
        <w:tc>
          <w:tcPr>
            <w:tcW w:w="3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September 2016</w:t>
            </w:r>
          </w:p>
        </w:tc>
        <w:tc>
          <w:tcPr>
            <w:tcW w:w="18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9"/>
              </w:rPr>
              <w:t>—</w:t>
            </w:r>
          </w:p>
        </w:tc>
        <w:tc>
          <w:tcPr>
            <w:tcW w:w="18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240" w:type="dxa"/>
            <w:vAlign w:val="bottom"/>
            <w:tcBorders>
              <w:bottom w:val="single" w:sz="8" w:color="CCEEFF"/>
            </w:tcBorders>
            <w:gridSpan w:val="2"/>
            <w:shd w:val="clear" w:color="auto" w:fill="CCEEFF"/>
          </w:tcPr>
          <w:p>
            <w:pPr>
              <w:ind w:left="14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69,425,698</w:t>
            </w:r>
          </w:p>
        </w:tc>
      </w:tr>
      <w:tr>
        <w:trPr>
          <w:trHeight w:val="257"/>
        </w:trPr>
        <w:tc>
          <w:tcPr>
            <w:tcW w:w="3780" w:type="dxa"/>
            <w:vAlign w:val="bottom"/>
            <w:gridSpan w:val="2"/>
          </w:tcPr>
          <w:p>
            <w:pPr>
              <w:ind w:left="3280"/>
              <w:spacing w:after="0"/>
              <w:rPr>
                <w:sz w:val="20"/>
                <w:szCs w:val="20"/>
                <w:color w:val="auto"/>
              </w:rPr>
            </w:pPr>
            <w:r>
              <w:rPr>
                <w:rFonts w:ascii="Arial" w:cs="Arial" w:eastAsia="Arial" w:hAnsi="Arial"/>
                <w:sz w:val="18"/>
                <w:szCs w:val="18"/>
                <w:color w:val="auto"/>
              </w:rPr>
              <w:t>Total</w:t>
            </w:r>
          </w:p>
        </w:tc>
        <w:tc>
          <w:tcPr>
            <w:tcW w:w="18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75,221</w:t>
            </w:r>
          </w:p>
        </w:tc>
        <w:tc>
          <w:tcPr>
            <w:tcW w:w="120" w:type="dxa"/>
            <w:vAlign w:val="bottom"/>
          </w:tcPr>
          <w:p>
            <w:pPr>
              <w:spacing w:after="0"/>
              <w:rPr>
                <w:sz w:val="22"/>
                <w:szCs w:val="22"/>
                <w:color w:val="auto"/>
              </w:rPr>
            </w:pPr>
          </w:p>
        </w:tc>
        <w:tc>
          <w:tcPr>
            <w:tcW w:w="182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2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90"/>
              </w:rPr>
              <w:t>75,221</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700" w:type="dxa"/>
            <w:vAlign w:val="bottom"/>
          </w:tcPr>
          <w:p>
            <w:pPr>
              <w:spacing w:after="0"/>
              <w:rPr>
                <w:sz w:val="22"/>
                <w:szCs w:val="22"/>
                <w:color w:val="auto"/>
              </w:rPr>
            </w:pPr>
          </w:p>
        </w:tc>
      </w:tr>
      <w:tr>
        <w:trPr>
          <w:trHeight w:val="20"/>
        </w:trPr>
        <w:tc>
          <w:tcPr>
            <w:tcW w:w="3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r>
    </w:tbl>
    <w:p>
      <w:pPr>
        <w:spacing w:after="0" w:line="148" w:lineRule="exact"/>
        <w:rPr>
          <w:sz w:val="20"/>
          <w:szCs w:val="20"/>
          <w:color w:val="auto"/>
        </w:rPr>
      </w:pPr>
    </w:p>
    <w:p>
      <w:pPr>
        <w:ind w:left="660" w:right="160" w:hanging="652"/>
        <w:spacing w:after="0" w:line="302"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On December 12, 2011, the Board of Directors approved a $30.0 million share repurchase program. On January 27, 2015, the Board of Directors approved an increase to our share repurchase authorization from $30.0 million to up to $180.0 million. A special committee of the Board of Directors was appointed to evaluate market conditions and other relevant factors and initiate repurchases under the program from time to time. The share repurchase program may be suspended, modified or discontinued at any time at the Company’s discretion without prior notice.</w:t>
      </w:r>
    </w:p>
    <w:p>
      <w:pPr>
        <w:spacing w:after="0" w:line="12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Defaults Upon Senior Securities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Mine Safety Disclosures</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Not applicable.</w:t>
      </w:r>
    </w:p>
    <w:p>
      <w:pPr>
        <w:spacing w:after="0" w:line="113" w:lineRule="exact"/>
        <w:rPr>
          <w:sz w:val="20"/>
          <w:szCs w:val="20"/>
          <w:color w:val="auto"/>
        </w:rPr>
      </w:pPr>
    </w:p>
    <w:p>
      <w:pPr>
        <w:spacing w:after="0"/>
        <w:tabs>
          <w:tab w:leader="none" w:pos="96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7"/>
          <w:szCs w:val="17"/>
          <w:b w:val="1"/>
          <w:bCs w:val="1"/>
          <w:color w:val="auto"/>
        </w:rPr>
        <w:t>Other Information</w:t>
      </w:r>
    </w:p>
    <w:p>
      <w:pPr>
        <w:spacing w:after="0" w:line="121" w:lineRule="exact"/>
        <w:rPr>
          <w:sz w:val="20"/>
          <w:szCs w:val="20"/>
          <w:color w:val="auto"/>
        </w:rPr>
      </w:pPr>
    </w:p>
    <w:p>
      <w:pPr>
        <w:ind w:left="420"/>
        <w:spacing w:after="0"/>
        <w:rPr>
          <w:sz w:val="20"/>
          <w:szCs w:val="20"/>
          <w:color w:val="auto"/>
        </w:rPr>
      </w:pPr>
      <w:r>
        <w:rPr>
          <w:rFonts w:ascii="Arial" w:cs="Arial" w:eastAsia="Arial" w:hAnsi="Arial"/>
          <w:sz w:val="18"/>
          <w:szCs w:val="18"/>
          <w:color w:val="auto"/>
        </w:rPr>
        <w:t>None.</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420"/>
          </w:cols>
          <w:pgMar w:left="240" w:top="1017" w:right="239" w:bottom="1440" w:gutter="0" w:footer="0" w:header="0"/>
        </w:sectPr>
      </w:pPr>
    </w:p>
    <w:bookmarkStart w:id="34" w:name="page35"/>
    <w:bookmarkEnd w:id="34"/>
    <w:tbl>
      <w:tblPr>
        <w:tblLayout w:type="fixed"/>
        <w:tblInd w:w="0" w:type="dxa"/>
        <w:tblCellMar>
          <w:top w:w="0" w:type="dxa"/>
          <w:left w:w="0" w:type="dxa"/>
          <w:bottom w:w="0" w:type="dxa"/>
          <w:right w:w="0" w:type="dxa"/>
        </w:tblCellMar>
      </w:tblPr>
      <w:tr>
        <w:trPr>
          <w:trHeight w:val="234"/>
        </w:trPr>
        <w:tc>
          <w:tcPr>
            <w:tcW w:w="800" w:type="dxa"/>
            <w:vAlign w:val="bottom"/>
            <w:gridSpan w:val="4"/>
          </w:tcPr>
          <w:p>
            <w:pPr>
              <w:spacing w:after="0"/>
              <w:rPr>
                <w:sz w:val="20"/>
                <w:szCs w:val="20"/>
                <w:color w:val="auto"/>
              </w:rPr>
            </w:pPr>
            <w:r>
              <w:rPr>
                <w:rFonts w:ascii="Arial" w:cs="Arial" w:eastAsia="Arial" w:hAnsi="Arial"/>
                <w:sz w:val="18"/>
                <w:szCs w:val="18"/>
                <w:b w:val="1"/>
                <w:bCs w:val="1"/>
                <w:color w:val="auto"/>
              </w:rPr>
              <w:t>Item 6.</w:t>
            </w:r>
          </w:p>
        </w:tc>
        <w:tc>
          <w:tcPr>
            <w:tcW w:w="160" w:type="dxa"/>
            <w:vAlign w:val="bottom"/>
          </w:tcPr>
          <w:p>
            <w:pPr>
              <w:spacing w:after="0"/>
              <w:rPr>
                <w:sz w:val="20"/>
                <w:szCs w:val="20"/>
                <w:color w:val="auto"/>
              </w:rPr>
            </w:pPr>
          </w:p>
        </w:tc>
        <w:tc>
          <w:tcPr>
            <w:tcW w:w="1044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gridSpan w:val="2"/>
          </w:tcPr>
          <w:p>
            <w:pPr>
              <w:spacing w:after="0"/>
              <w:rPr>
                <w:sz w:val="20"/>
                <w:szCs w:val="20"/>
                <w:color w:val="auto"/>
              </w:rPr>
            </w:pPr>
            <w:r>
              <w:rPr>
                <w:rFonts w:ascii="Arial" w:cs="Arial" w:eastAsia="Arial" w:hAnsi="Arial"/>
                <w:sz w:val="14"/>
                <w:szCs w:val="14"/>
                <w:color w:val="auto"/>
              </w:rPr>
              <w:t>Exhibit</w:t>
            </w:r>
          </w:p>
        </w:tc>
        <w:tc>
          <w:tcPr>
            <w:tcW w:w="10600" w:type="dxa"/>
            <w:vAlign w:val="bottom"/>
            <w:gridSpan w:val="3"/>
            <w:vMerge w:val="restart"/>
          </w:tcPr>
          <w:p>
            <w:pPr>
              <w:ind w:left="160"/>
              <w:spacing w:after="0"/>
              <w:rPr>
                <w:sz w:val="20"/>
                <w:szCs w:val="20"/>
                <w:color w:val="auto"/>
              </w:rPr>
            </w:pPr>
            <w:r>
              <w:rPr>
                <w:rFonts w:ascii="Arial" w:cs="Arial" w:eastAsia="Arial" w:hAnsi="Arial"/>
                <w:sz w:val="14"/>
                <w:szCs w:val="14"/>
                <w:color w:val="auto"/>
              </w:rPr>
              <w:t>Description</w:t>
            </w:r>
          </w:p>
        </w:tc>
        <w:tc>
          <w:tcPr>
            <w:tcW w:w="0" w:type="dxa"/>
            <w:vAlign w:val="bottom"/>
          </w:tcPr>
          <w:p>
            <w:pPr>
              <w:spacing w:after="0"/>
              <w:rPr>
                <w:sz w:val="1"/>
                <w:szCs w:val="1"/>
                <w:color w:val="auto"/>
              </w:rPr>
            </w:pPr>
          </w:p>
        </w:tc>
      </w:tr>
      <w:tr>
        <w:trPr>
          <w:trHeight w:val="129"/>
        </w:trPr>
        <w:tc>
          <w:tcPr>
            <w:tcW w:w="1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40" w:type="dxa"/>
            <w:vAlign w:val="bottom"/>
            <w:tcBorders>
              <w:top w:val="single" w:sz="8" w:color="auto"/>
            </w:tcBorders>
          </w:tcPr>
          <w:p>
            <w:pPr>
              <w:spacing w:after="0" w:line="129" w:lineRule="exact"/>
              <w:rPr>
                <w:sz w:val="20"/>
                <w:szCs w:val="20"/>
                <w:color w:val="auto"/>
              </w:rPr>
            </w:pPr>
            <w:r>
              <w:rPr>
                <w:rFonts w:ascii="Arial" w:cs="Arial" w:eastAsia="Arial" w:hAnsi="Arial"/>
                <w:sz w:val="14"/>
                <w:szCs w:val="14"/>
                <w:color w:val="auto"/>
                <w:w w:val="80"/>
              </w:rPr>
              <w:t>Number</w:t>
            </w:r>
          </w:p>
        </w:tc>
        <w:tc>
          <w:tcPr>
            <w:tcW w:w="160" w:type="dxa"/>
            <w:vAlign w:val="bottom"/>
          </w:tcPr>
          <w:p>
            <w:pPr>
              <w:spacing w:after="0"/>
              <w:rPr>
                <w:sz w:val="11"/>
                <w:szCs w:val="11"/>
                <w:color w:val="auto"/>
              </w:rPr>
            </w:pPr>
          </w:p>
        </w:tc>
        <w:tc>
          <w:tcPr>
            <w:tcW w:w="1060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460" w:type="dxa"/>
            <w:vAlign w:val="bottom"/>
            <w:tcBorders>
              <w:right w:val="single" w:sz="8" w:color="auto"/>
            </w:tcBorders>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97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1"/>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Agreement and Plan of Merger, dated as of May 15, 2008, by and among Booz Allen Hamilton Inc., Booz Allen Hamilton Holding Corporation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(formerly known as Explorer Holding Corporation), Booz Allen Hamilton Investor Corporation (formerly known as Explorer Investor</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Corporation), Explorer Merger Sub Corporation and Booz &amp; Company Inc. (Incorporated by reference to Exhibit 2.1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333- 167645))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Spin Off Agreement, dated as of May 15, 2008, by and among Booz Allen Hamilton Inc., Booz &amp; Company Holdings, LLC, Booz &amp; Company</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 Booz &amp; Company Intermediate I Inc. and Booz &amp; Company Intermediate II Inc. (Incorporated by reference to Exhibit 2.2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2.3</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Amendment to the Agreement and Plan of Merger and the Spin Off Agreement, dated as of July 30, 2008, by and among Booz Allen Hamilton</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Inc., Booz Allen Hamilton Investor Corporation (formerly known as Explorer Investor Corporation), Explorer Merger Sub Corporation, Booz &amp;</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 Holdings, LLC, Booz &amp; Company Inc., Booz &amp; Company Intermediate I Inc. and Booz &amp; Company Intermediate II Inc.</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2.3 to the Company’s Registration Statement on Form S-1 (File No. 333-167645))</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Third Amended and Restated Certificate of Incorporation of Booz Allen Hamilton Holding Corporation (Incorporated by reference to Exhibit</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3.1 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9"/>
              </w:rPr>
              <w:t>Second Amended and Restated Bylaws of Booz Allen Hamilton Holding Corporation (Incorporated by reference to Exhibit 3.2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December 31, 2010 on Form 10-Q (File No. 001-34972))</w:t>
            </w:r>
          </w:p>
        </w:tc>
        <w:tc>
          <w:tcPr>
            <w:tcW w:w="0" w:type="dxa"/>
            <w:vAlign w:val="bottom"/>
          </w:tcPr>
          <w:p>
            <w:pPr>
              <w:spacing w:after="0"/>
              <w:rPr>
                <w:sz w:val="1"/>
                <w:szCs w:val="1"/>
                <w:color w:val="auto"/>
              </w:rPr>
            </w:pPr>
          </w:p>
        </w:tc>
      </w:tr>
      <w:tr>
        <w:trPr>
          <w:trHeight w:val="392"/>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24"/>
                <w:szCs w:val="24"/>
                <w:color w:val="auto"/>
              </w:rPr>
            </w:pPr>
          </w:p>
        </w:tc>
        <w:tc>
          <w:tcPr>
            <w:tcW w:w="10600" w:type="dxa"/>
            <w:vAlign w:val="bottom"/>
            <w:gridSpan w:val="3"/>
            <w:vMerge w:val="restart"/>
          </w:tcPr>
          <w:p>
            <w:pPr>
              <w:ind w:left="160"/>
              <w:spacing w:after="0"/>
              <w:rPr>
                <w:sz w:val="20"/>
                <w:szCs w:val="20"/>
                <w:color w:val="auto"/>
              </w:rPr>
            </w:pPr>
            <w:r>
              <w:rPr>
                <w:rFonts w:ascii="Arial" w:cs="Arial" w:eastAsia="Arial" w:hAnsi="Arial"/>
                <w:sz w:val="18"/>
                <w:szCs w:val="18"/>
                <w:color w:val="auto"/>
                <w:w w:val="91"/>
              </w:rPr>
              <w:t>Amended and Restated Stockholders Agreement (Incorporated by reference to Exhibit 10.1 to the Company’s Periodic Report on Form 8-K filed</w:t>
            </w:r>
          </w:p>
        </w:tc>
        <w:tc>
          <w:tcPr>
            <w:tcW w:w="0" w:type="dxa"/>
            <w:vAlign w:val="bottom"/>
          </w:tcPr>
          <w:p>
            <w:pPr>
              <w:spacing w:after="0"/>
              <w:rPr>
                <w:sz w:val="1"/>
                <w:szCs w:val="1"/>
                <w:color w:val="auto"/>
              </w:rPr>
            </w:pPr>
          </w:p>
        </w:tc>
      </w:tr>
      <w:tr>
        <w:trPr>
          <w:trHeight w:val="67"/>
        </w:trPr>
        <w:tc>
          <w:tcPr>
            <w:tcW w:w="180" w:type="dxa"/>
            <w:vAlign w:val="bottom"/>
          </w:tcPr>
          <w:p>
            <w:pPr>
              <w:spacing w:after="0"/>
              <w:rPr>
                <w:sz w:val="5"/>
                <w:szCs w:val="5"/>
                <w:color w:val="auto"/>
              </w:rPr>
            </w:pPr>
          </w:p>
        </w:tc>
        <w:tc>
          <w:tcPr>
            <w:tcW w:w="2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60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on January 30, 2015) (File No. 001-34972))</w:t>
            </w:r>
          </w:p>
        </w:tc>
        <w:tc>
          <w:tcPr>
            <w:tcW w:w="0" w:type="dxa"/>
            <w:vAlign w:val="bottom"/>
          </w:tcPr>
          <w:p>
            <w:pPr>
              <w:spacing w:after="0"/>
              <w:rPr>
                <w:sz w:val="1"/>
                <w:szCs w:val="1"/>
                <w:color w:val="auto"/>
              </w:rPr>
            </w:pPr>
          </w:p>
        </w:tc>
      </w:tr>
      <w:tr>
        <w:trPr>
          <w:trHeight w:val="458"/>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4.2</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6"/>
              </w:rPr>
              <w:t>Form of Stock Certificate (Incorporated by reference to Exhibit 4.5 to the Company’s Registration Statement on Form S-1 (File No. 333-</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20" w:type="dxa"/>
            <w:vAlign w:val="bottom"/>
            <w:gridSpan w:val="2"/>
          </w:tcPr>
          <w:p>
            <w:pPr>
              <w:ind w:left="160"/>
              <w:spacing w:after="0"/>
              <w:rPr>
                <w:sz w:val="20"/>
                <w:szCs w:val="20"/>
                <w:color w:val="auto"/>
              </w:rPr>
            </w:pPr>
            <w:r>
              <w:rPr>
                <w:rFonts w:ascii="Arial" w:cs="Arial" w:eastAsia="Arial" w:hAnsi="Arial"/>
                <w:sz w:val="18"/>
                <w:szCs w:val="18"/>
                <w:color w:val="auto"/>
                <w:w w:val="88"/>
              </w:rPr>
              <w:t>167645))</w:t>
            </w:r>
          </w:p>
        </w:tc>
        <w:tc>
          <w:tcPr>
            <w:tcW w:w="97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7"/>
        </w:trPr>
        <w:tc>
          <w:tcPr>
            <w:tcW w:w="640" w:type="dxa"/>
            <w:vAlign w:val="bottom"/>
            <w:gridSpan w:val="3"/>
          </w:tcPr>
          <w:p>
            <w:pPr>
              <w:ind w:left="40"/>
              <w:spacing w:after="0"/>
              <w:rPr>
                <w:sz w:val="20"/>
                <w:szCs w:val="20"/>
                <w:color w:val="auto"/>
              </w:rPr>
            </w:pPr>
            <w:r>
              <w:rPr>
                <w:rFonts w:ascii="Arial" w:cs="Arial" w:eastAsia="Arial" w:hAnsi="Arial"/>
                <w:sz w:val="18"/>
                <w:szCs w:val="18"/>
                <w:color w:val="auto"/>
              </w:rPr>
              <w:t>10.1</w:t>
            </w:r>
          </w:p>
        </w:tc>
        <w:tc>
          <w:tcPr>
            <w:tcW w:w="160" w:type="dxa"/>
            <w:vAlign w:val="bottom"/>
          </w:tcPr>
          <w:p>
            <w:pPr>
              <w:spacing w:after="0"/>
              <w:rPr>
                <w:sz w:val="24"/>
                <w:szCs w:val="24"/>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Management Agreement, by and among Booz Allen Hamilton Holding Corporation (formerly known as Explorer Holding Corporation), Booz</w:t>
            </w:r>
          </w:p>
        </w:tc>
        <w:tc>
          <w:tcPr>
            <w:tcW w:w="0" w:type="dxa"/>
            <w:vAlign w:val="bottom"/>
          </w:tcPr>
          <w:p>
            <w:pPr>
              <w:spacing w:after="0"/>
              <w:rPr>
                <w:sz w:val="1"/>
                <w:szCs w:val="1"/>
                <w:color w:val="auto"/>
              </w:rPr>
            </w:pPr>
          </w:p>
        </w:tc>
      </w:tr>
      <w:tr>
        <w:trPr>
          <w:trHeight w:val="216"/>
        </w:trPr>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8"/>
              </w:rPr>
              <w:t>Allen Hamilton Inc., and TC Group V US, LLC, dated as of July 31, 2008 (Incorporated by reference to Exhibit 10.6 to the Company’s</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10.2†</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Second Amended and Restated Equity Incentive Plan of Booz Allen Hamilton Holding Corporation (Incorporated by reference to Exhibit 10.2</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to the 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10.3†</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10.10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10.4†</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4"/>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Exhibit 10.11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10.5†</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Subscription Agreement (Incorporated by reference to Exhibit 10.12 to the Company’s Registration Statement on Form S-1 (File No.</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10.6†</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3"/>
              </w:rPr>
              <w:t>Form of Restricted Stock Agreement for Directors under the Equity Incentive Plan of Booz Allen Hamilton Holding Corporation (Incorporated</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by reference to Exhibit 10.13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10.7†</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Form of Restricted Stock Agreement for Employees under the Equity Incentive Plan of Booz Allen Hamilton Holding Corporation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(Incorporated by reference to Exhibit 10.14 to the Company’s Registration Statement on Form S-1 (File No. 333-167645))</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10.8†</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5"/>
              </w:rPr>
              <w:t>Amended and Restated Booz Allen Hamilton Holding Corporation Annual Incentive Plan (Incorporated by reference to Exhibit 10.10 to the</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Company’s Quarterly Report for the period ended September 30, 2014 on Form 10-Q (File No. 001-34972))</w:t>
            </w:r>
          </w:p>
        </w:tc>
        <w:tc>
          <w:tcPr>
            <w:tcW w:w="0" w:type="dxa"/>
            <w:vAlign w:val="bottom"/>
          </w:tcPr>
          <w:p>
            <w:pPr>
              <w:spacing w:after="0"/>
              <w:rPr>
                <w:sz w:val="1"/>
                <w:szCs w:val="1"/>
                <w:color w:val="auto"/>
              </w:rPr>
            </w:pPr>
          </w:p>
        </w:tc>
      </w:tr>
      <w:tr>
        <w:trPr>
          <w:trHeight w:val="377"/>
        </w:trPr>
        <w:tc>
          <w:tcPr>
            <w:tcW w:w="800" w:type="dxa"/>
            <w:vAlign w:val="bottom"/>
            <w:gridSpan w:val="4"/>
          </w:tcPr>
          <w:p>
            <w:pPr>
              <w:ind w:left="40"/>
              <w:spacing w:after="0"/>
              <w:rPr>
                <w:sz w:val="20"/>
                <w:szCs w:val="20"/>
                <w:color w:val="auto"/>
              </w:rPr>
            </w:pPr>
            <w:r>
              <w:rPr>
                <w:rFonts w:ascii="Arial" w:cs="Arial" w:eastAsia="Arial" w:hAnsi="Arial"/>
                <w:sz w:val="18"/>
                <w:szCs w:val="18"/>
                <w:color w:val="auto"/>
              </w:rPr>
              <w:t>10.9†</w:t>
            </w: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w w:val="92"/>
              </w:rPr>
              <w:t>Booz Allen Hamilton Holding Corporation Officers’ Retirement Plan (Incorporated by reference to Exhibit 10.16 to the Company’s Registration</w:t>
            </w:r>
          </w:p>
        </w:tc>
        <w:tc>
          <w:tcPr>
            <w:tcW w:w="0" w:type="dxa"/>
            <w:vAlign w:val="bottom"/>
          </w:tcPr>
          <w:p>
            <w:pPr>
              <w:spacing w:after="0"/>
              <w:rPr>
                <w:sz w:val="1"/>
                <w:szCs w:val="1"/>
                <w:color w:val="auto"/>
              </w:rPr>
            </w:pPr>
          </w:p>
        </w:tc>
      </w:tr>
      <w:tr>
        <w:trPr>
          <w:trHeight w:val="230"/>
        </w:trPr>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0" w:type="dxa"/>
            <w:vAlign w:val="bottom"/>
            <w:gridSpan w:val="3"/>
          </w:tcPr>
          <w:p>
            <w:pPr>
              <w:ind w:left="16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608"/>
        </w:trPr>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600" w:type="dxa"/>
            <w:vAlign w:val="bottom"/>
            <w:gridSpan w:val="3"/>
          </w:tcPr>
          <w:p>
            <w:pPr>
              <w:ind w:left="4820"/>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bl>
    <w:p>
      <w:pPr>
        <w:sectPr>
          <w:pgSz w:w="11900" w:h="16838" w:orient="portrait"/>
          <w:cols w:equalWidth="0" w:num="1">
            <w:col w:w="11400"/>
          </w:cols>
          <w:pgMar w:left="240" w:top="769" w:right="259" w:bottom="1440" w:gutter="0" w:footer="0" w:header="0"/>
        </w:sectPr>
      </w:pPr>
    </w:p>
    <w:bookmarkStart w:id="35" w:name="page36"/>
    <w:bookmarkEnd w:id="3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10.10†</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Officer’s Comprehensive Medical and Dental Choice Plans (Incorporated by reference to Exhibit 10.17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10.11†</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Retired Officer’s Comprehensive Medical and Dental Choice Plans (Incorporated by reference to Exhibit 10.18 to the Company’s Registration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10.12†</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Group Variable Universal Life Insurance (Incorporated by reference to Exhibit 10.14 to the Company’s Annual Report for the year ended March</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31, 2015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10.13†</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Group Personal Excess Liability Insurance (Incorporated by reference to Exhibit 10.21 to the Company’s Registration Statement on Form S-1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10.14†</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Annual Performance Bonus Program (Incorporated by reference to Exhibit 10.22 to the Company’s Registration Statement on Form S-1 (File</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10.15†</w:t>
            </w:r>
          </w:p>
        </w:tc>
        <w:tc>
          <w:tcPr>
            <w:tcW w:w="10640" w:type="dxa"/>
            <w:vAlign w:val="bottom"/>
          </w:tcPr>
          <w:p>
            <w:pPr>
              <w:ind w:left="220"/>
              <w:spacing w:after="0"/>
              <w:rPr>
                <w:sz w:val="20"/>
                <w:szCs w:val="20"/>
                <w:color w:val="auto"/>
              </w:rPr>
            </w:pPr>
            <w:r>
              <w:rPr>
                <w:rFonts w:ascii="Arial" w:cs="Arial" w:eastAsia="Arial" w:hAnsi="Arial"/>
                <w:sz w:val="18"/>
                <w:szCs w:val="18"/>
                <w:color w:val="auto"/>
                <w:w w:val="97"/>
              </w:rPr>
              <w:t>Form of Booz Allen Hamilton Holding Corporation Director and Officer Indemnification Agreement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10.23 to the Company’s Registration Statement on Form S-1 (File No. 333-167645))</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10.16†</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10.23 to the Company’s Annual Report for the year ended March 31, 2011 on 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10.17†</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Officer Transition Policy (Incorporated by reference to Exhibit 10.24 to the Company’s Annual Report for the year ended March 31, 2011 on</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Form 10-K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10.18†</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Stock Option Agreement under the Equity Incentive Plan of Booz Allen Hamilton Holding Corporation (Incorporated by reference to</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Exhibit 10.25 to the Company’s Quarterly Report for the period ended December 31, 2011 on Form 10-Q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10.19</w:t>
            </w: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Amendment No. 1 to the Amended and Restated Stockholders Agreement (Incorporated by reference to Exhibit 10.1 to the Company's Periodic</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Report on Form 8-K filed on June 14,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10.20</w:t>
            </w: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Credit Agreement, by and among Booz Allen Hamilton Inc., as the Borrower, the several lenders from time to time parties thereto, Bank of</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America, N.A., as Administrative Agent, Collateral Agent and Issuing Lender, Merrill Lynch, Pierce, Fenner &amp; Smith Incorporated and Credit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Suisse Securities (USA) LLC, as Joint Lead Arrangers, Merrill Lynch, Pierce, Fenner &amp; Smith Incorporated, Credit Suisse Securities (USA)</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LLC, Barclays Bank PLC, Citigroup Global Markets Inc., HSBC Securities (USA) Inc., J.P. Morgan Securities LLC, Morgan Stanley Senior</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4"/>
              </w:rPr>
              <w:t>Funding, Inc. and Sumimoto Mitsui Banking Corporation, as Joint Bookrunners, Credit Suisse Securities (USA) LLC, as Syndication Agent,</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Barclays Bank PLC, Citigroup Global Markets Inc., HSBC Securities (USA) Inc., J.P. Morgan Securities LLC, Morgan Stanley Senior Funding,</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 Sumimoto Mitsui Banking Corporation and The Bank of Tokyo-Mitsubishi UFJ, Ltd., as Co-Documentation Agents, dated as of July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2012 (Incorporated by reference to Exhibit 10.1 to the Company’s Periodic Report on Form 8-K filed on August 1, 2012 (File No. 001-34972))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10.21</w:t>
            </w:r>
          </w:p>
        </w:tc>
        <w:tc>
          <w:tcPr>
            <w:tcW w:w="10640" w:type="dxa"/>
            <w:vAlign w:val="bottom"/>
          </w:tcPr>
          <w:p>
            <w:pPr>
              <w:ind w:left="220"/>
              <w:spacing w:after="0"/>
              <w:rPr>
                <w:sz w:val="20"/>
                <w:szCs w:val="20"/>
                <w:color w:val="auto"/>
              </w:rPr>
            </w:pPr>
            <w:r>
              <w:rPr>
                <w:rFonts w:ascii="Arial" w:cs="Arial" w:eastAsia="Arial" w:hAnsi="Arial"/>
                <w:sz w:val="18"/>
                <w:szCs w:val="18"/>
                <w:color w:val="auto"/>
                <w:w w:val="98"/>
              </w:rPr>
              <w:t>Guarantee and Collateral Agreement, among Booz Allen Hamilton Investor Corporation, Booz Allen Hamilton Inc., and the Subsidiary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1"/>
              </w:rPr>
              <w:t>Guarantors party thereto, in favor of Bank of America, N.A., as Collateral Agent, dated as of July 31, 2012 (Incorporated by reference to Exhibit</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10.2 to the Company’s Periodic Report on Form 8-K filed on August 1, 2012 (File No. 001-34972))</w:t>
            </w:r>
          </w:p>
        </w:tc>
        <w:tc>
          <w:tcPr>
            <w:tcW w:w="0" w:type="dxa"/>
            <w:vAlign w:val="bottom"/>
          </w:tcPr>
          <w:p>
            <w:pPr>
              <w:spacing w:after="0"/>
              <w:rPr>
                <w:sz w:val="1"/>
                <w:szCs w:val="1"/>
                <w:color w:val="auto"/>
              </w:rPr>
            </w:pP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10.22</w:t>
            </w:r>
          </w:p>
        </w:tc>
        <w:tc>
          <w:tcPr>
            <w:tcW w:w="10640" w:type="dxa"/>
            <w:vAlign w:val="bottom"/>
            <w:vMerge w:val="restart"/>
          </w:tcPr>
          <w:p>
            <w:pPr>
              <w:ind w:left="220"/>
              <w:spacing w:after="0"/>
              <w:rPr>
                <w:sz w:val="20"/>
                <w:szCs w:val="20"/>
                <w:color w:val="auto"/>
              </w:rPr>
            </w:pPr>
            <w:r>
              <w:rPr>
                <w:rFonts w:ascii="Arial" w:cs="Arial" w:eastAsia="Arial" w:hAnsi="Arial"/>
                <w:sz w:val="18"/>
                <w:szCs w:val="18"/>
                <w:color w:val="auto"/>
                <w:w w:val="97"/>
              </w:rPr>
              <w:t>First Amendment to Credit Agreement, dated as of August 16, 2013, by and among Booz Allen Hamilton Inc., as Borrower, Booz Allen</w:t>
            </w:r>
          </w:p>
        </w:tc>
        <w:tc>
          <w:tcPr>
            <w:tcW w:w="0" w:type="dxa"/>
            <w:vAlign w:val="bottom"/>
          </w:tcPr>
          <w:p>
            <w:pPr>
              <w:spacing w:after="0"/>
              <w:rPr>
                <w:sz w:val="1"/>
                <w:szCs w:val="1"/>
                <w:color w:val="auto"/>
              </w:rPr>
            </w:pPr>
          </w:p>
        </w:tc>
      </w:tr>
      <w:tr>
        <w:trPr>
          <w:trHeight w:val="67"/>
        </w:trPr>
        <w:tc>
          <w:tcPr>
            <w:tcW w:w="700" w:type="dxa"/>
            <w:vAlign w:val="bottom"/>
          </w:tcPr>
          <w:p>
            <w:pPr>
              <w:spacing w:after="0"/>
              <w:rPr>
                <w:sz w:val="5"/>
                <w:szCs w:val="5"/>
                <w:color w:val="auto"/>
              </w:rPr>
            </w:pPr>
          </w:p>
        </w:tc>
        <w:tc>
          <w:tcPr>
            <w:tcW w:w="106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Hamilton Investor Corporation, Booz Allen Hamilton Engineering Holding Co., LLC, Booz Allen Hamilton Engineering Services, LLC, SDI</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Technology Corporation, ASE, Inc. and, Booz Allen Hamilton International, Inc., as Guarantors, Bank of America, N.A., as Administrative</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Agent, Collateral Agent and New Refinancing Tranche B Term Lender, and the other Lenders and financial institutions from time to time party</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thereto (Incorporated by reference to Exhibit 10.1 to the Company’s Periodic Report on Form 8-K filed on August 20, 2013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458"/>
        </w:trPr>
        <w:tc>
          <w:tcPr>
            <w:tcW w:w="700" w:type="dxa"/>
            <w:vAlign w:val="bottom"/>
          </w:tcPr>
          <w:p>
            <w:pPr>
              <w:spacing w:after="0"/>
              <w:rPr>
                <w:sz w:val="20"/>
                <w:szCs w:val="20"/>
                <w:color w:val="auto"/>
              </w:rPr>
            </w:pPr>
            <w:r>
              <w:rPr>
                <w:rFonts w:ascii="Arial" w:cs="Arial" w:eastAsia="Arial" w:hAnsi="Arial"/>
                <w:sz w:val="18"/>
                <w:szCs w:val="18"/>
                <w:color w:val="auto"/>
              </w:rPr>
              <w:t>10.23†</w:t>
            </w: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Form of Employment Agreement (Incorporated by reference to Exhibit 10.27 to the Company’s Annual Report for the year ended March 31,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2014 on Form 10-K (File No. 001-34972))</w:t>
            </w:r>
          </w:p>
        </w:tc>
        <w:tc>
          <w:tcPr>
            <w:tcW w:w="0" w:type="dxa"/>
            <w:vAlign w:val="bottom"/>
          </w:tcPr>
          <w:p>
            <w:pPr>
              <w:spacing w:after="0"/>
              <w:rPr>
                <w:sz w:val="1"/>
                <w:szCs w:val="1"/>
                <w:color w:val="auto"/>
              </w:rPr>
            </w:pPr>
          </w:p>
        </w:tc>
      </w:tr>
      <w:tr>
        <w:trPr>
          <w:trHeight w:val="593"/>
        </w:trPr>
        <w:tc>
          <w:tcPr>
            <w:tcW w:w="700" w:type="dxa"/>
            <w:vAlign w:val="bottom"/>
          </w:tcPr>
          <w:p>
            <w:pPr>
              <w:spacing w:after="0"/>
              <w:rPr>
                <w:sz w:val="20"/>
                <w:szCs w:val="20"/>
                <w:color w:val="auto"/>
              </w:rPr>
            </w:pPr>
            <w:r>
              <w:rPr>
                <w:rFonts w:ascii="Arial" w:cs="Arial" w:eastAsia="Arial" w:hAnsi="Arial"/>
                <w:sz w:val="18"/>
                <w:szCs w:val="18"/>
                <w:color w:val="auto"/>
              </w:rPr>
              <w:t>10.24†</w:t>
            </w:r>
          </w:p>
        </w:tc>
        <w:tc>
          <w:tcPr>
            <w:tcW w:w="10640" w:type="dxa"/>
            <w:vAlign w:val="bottom"/>
          </w:tcPr>
          <w:p>
            <w:pPr>
              <w:ind w:left="220"/>
              <w:spacing w:after="0"/>
              <w:rPr>
                <w:sz w:val="20"/>
                <w:szCs w:val="20"/>
                <w:color w:val="auto"/>
              </w:rPr>
            </w:pPr>
            <w:r>
              <w:rPr>
                <w:rFonts w:ascii="Arial" w:cs="Arial" w:eastAsia="Arial" w:hAnsi="Arial"/>
                <w:sz w:val="18"/>
                <w:szCs w:val="18"/>
                <w:color w:val="auto"/>
                <w:w w:val="95"/>
              </w:rPr>
              <w:t>Form of Restricted Stock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10.28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10.25†</w:t>
            </w:r>
          </w:p>
        </w:tc>
        <w:tc>
          <w:tcPr>
            <w:tcW w:w="10640" w:type="dxa"/>
            <w:vAlign w:val="bottom"/>
          </w:tcPr>
          <w:p>
            <w:pPr>
              <w:ind w:left="220"/>
              <w:spacing w:after="0"/>
              <w:rPr>
                <w:sz w:val="20"/>
                <w:szCs w:val="20"/>
                <w:color w:val="auto"/>
              </w:rPr>
            </w:pPr>
            <w:r>
              <w:rPr>
                <w:rFonts w:ascii="Arial" w:cs="Arial" w:eastAsia="Arial" w:hAnsi="Arial"/>
                <w:sz w:val="18"/>
                <w:szCs w:val="18"/>
                <w:color w:val="auto"/>
                <w:w w:val="92"/>
              </w:rPr>
              <w:t>Form of Restricted Stock Unit Agreement under the Amended and Restated Equity Incentive Plan of Booz Allen Hamilton Holding Corporation</w:t>
            </w:r>
          </w:p>
        </w:tc>
        <w:tc>
          <w:tcPr>
            <w:tcW w:w="0" w:type="dxa"/>
            <w:vAlign w:val="bottom"/>
          </w:tcPr>
          <w:p>
            <w:pPr>
              <w:spacing w:after="0"/>
              <w:rPr>
                <w:sz w:val="1"/>
                <w:szCs w:val="1"/>
                <w:color w:val="auto"/>
              </w:rPr>
            </w:pPr>
          </w:p>
        </w:tc>
      </w:tr>
      <w:tr>
        <w:trPr>
          <w:trHeight w:val="216"/>
        </w:trPr>
        <w:tc>
          <w:tcPr>
            <w:tcW w:w="700" w:type="dxa"/>
            <w:vAlign w:val="bottom"/>
          </w:tcPr>
          <w:p>
            <w:pPr>
              <w:spacing w:after="0"/>
              <w:rPr>
                <w:sz w:val="18"/>
                <w:szCs w:val="18"/>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w w:val="93"/>
              </w:rPr>
              <w:t>(Incorporated by reference to Exhibit 10.29 to the Company’s Annual Report for the year ended March 31, 2014 on Form 10-K (File No. 001-</w:t>
            </w:r>
          </w:p>
        </w:tc>
        <w:tc>
          <w:tcPr>
            <w:tcW w:w="0" w:type="dxa"/>
            <w:vAlign w:val="bottom"/>
          </w:tcPr>
          <w:p>
            <w:pPr>
              <w:spacing w:after="0"/>
              <w:rPr>
                <w:sz w:val="1"/>
                <w:szCs w:val="1"/>
                <w:color w:val="auto"/>
              </w:rPr>
            </w:pPr>
          </w:p>
        </w:tc>
      </w:tr>
      <w:tr>
        <w:trPr>
          <w:trHeight w:val="230"/>
        </w:trPr>
        <w:tc>
          <w:tcPr>
            <w:tcW w:w="700" w:type="dxa"/>
            <w:vAlign w:val="bottom"/>
          </w:tcPr>
          <w:p>
            <w:pPr>
              <w:spacing w:after="0"/>
              <w:rPr>
                <w:sz w:val="20"/>
                <w:szCs w:val="20"/>
                <w:color w:val="auto"/>
              </w:rPr>
            </w:pPr>
          </w:p>
        </w:tc>
        <w:tc>
          <w:tcPr>
            <w:tcW w:w="10640" w:type="dxa"/>
            <w:vAlign w:val="bottom"/>
          </w:tcPr>
          <w:p>
            <w:pPr>
              <w:ind w:left="220"/>
              <w:spacing w:after="0"/>
              <w:rPr>
                <w:sz w:val="20"/>
                <w:szCs w:val="20"/>
                <w:color w:val="auto"/>
              </w:rPr>
            </w:pPr>
            <w:r>
              <w:rPr>
                <w:rFonts w:ascii="Arial" w:cs="Arial" w:eastAsia="Arial" w:hAnsi="Arial"/>
                <w:sz w:val="18"/>
                <w:szCs w:val="18"/>
                <w:color w:val="auto"/>
              </w:rPr>
              <w:t>34972))</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40"/>
          </w:cols>
          <w:pgMar w:left="280" w:top="935" w:right="279" w:bottom="1440" w:gutter="0" w:footer="0" w:header="0"/>
        </w:sectPr>
      </w:pPr>
    </w:p>
    <w:p>
      <w:pPr>
        <w:spacing w:after="0" w:line="17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40"/>
          </w:cols>
          <w:pgMar w:left="280" w:top="935" w:right="279" w:bottom="1440" w:gutter="0" w:footer="0" w:header="0"/>
          <w:type w:val="continuous"/>
        </w:sectPr>
      </w:pPr>
    </w:p>
    <w:bookmarkStart w:id="36" w:name="page37"/>
    <w:bookmarkEnd w:id="36"/>
    <w:tbl>
      <w:tblPr>
        <w:tblLayout w:type="fixed"/>
        <w:tblInd w:w="40" w:type="dxa"/>
        <w:tblCellMar>
          <w:top w:w="0" w:type="dxa"/>
          <w:left w:w="0" w:type="dxa"/>
          <w:bottom w:w="0" w:type="dxa"/>
          <w:right w:w="0" w:type="dxa"/>
        </w:tblCellMar>
      </w:tblPr>
      <w:tr>
        <w:trPr>
          <w:trHeight w:val="216"/>
        </w:trPr>
        <w:tc>
          <w:tcPr>
            <w:tcW w:w="700" w:type="dxa"/>
            <w:vAlign w:val="bottom"/>
          </w:tcPr>
          <w:p>
            <w:pPr>
              <w:spacing w:after="0"/>
              <w:rPr>
                <w:sz w:val="20"/>
                <w:szCs w:val="20"/>
                <w:color w:val="auto"/>
              </w:rPr>
            </w:pPr>
            <w:r>
              <w:rPr>
                <w:rFonts w:ascii="Arial" w:cs="Arial" w:eastAsia="Arial" w:hAnsi="Arial"/>
                <w:sz w:val="18"/>
                <w:szCs w:val="18"/>
                <w:color w:val="auto"/>
              </w:rPr>
              <w:t>10.26</w:t>
            </w:r>
          </w:p>
        </w:tc>
        <w:tc>
          <w:tcPr>
            <w:tcW w:w="10620" w:type="dxa"/>
            <w:vAlign w:val="bottom"/>
          </w:tcPr>
          <w:p>
            <w:pPr>
              <w:ind w:left="220"/>
              <w:spacing w:after="0"/>
              <w:rPr>
                <w:sz w:val="20"/>
                <w:szCs w:val="20"/>
                <w:color w:val="auto"/>
              </w:rPr>
            </w:pPr>
            <w:r>
              <w:rPr>
                <w:rFonts w:ascii="Arial" w:cs="Arial" w:eastAsia="Arial" w:hAnsi="Arial"/>
                <w:sz w:val="18"/>
                <w:szCs w:val="18"/>
                <w:color w:val="auto"/>
                <w:w w:val="96"/>
              </w:rPr>
              <w:t>Second Amendment to Credit Agreement, dated as of May 7, 2014,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ASE, Inc. and Booz Allen Hamilton International, Inc., as Guarantors, Bank of America, N.A., as Administrative Agent, Collateral</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Agent and Issuing Lender, and the other Lenders and financial institutions from time to time party thereto. (Incorporated by reference to Exhibit</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10.1 to the Company’s Periodic Report on Form 8-K filed on May 13, 2014 (File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10.27†</w:t>
            </w:r>
          </w:p>
        </w:tc>
        <w:tc>
          <w:tcPr>
            <w:tcW w:w="10620" w:type="dxa"/>
            <w:vAlign w:val="bottom"/>
          </w:tcPr>
          <w:p>
            <w:pPr>
              <w:ind w:left="220"/>
              <w:spacing w:after="0"/>
              <w:rPr>
                <w:sz w:val="20"/>
                <w:szCs w:val="20"/>
                <w:color w:val="auto"/>
              </w:rPr>
            </w:pPr>
            <w:r>
              <w:rPr>
                <w:rFonts w:ascii="Arial" w:cs="Arial" w:eastAsia="Arial" w:hAnsi="Arial"/>
                <w:sz w:val="18"/>
                <w:szCs w:val="18"/>
                <w:color w:val="auto"/>
                <w:w w:val="94"/>
              </w:rPr>
              <w:t>Form of Restricted Stock Unit Agreement under the Second Amended and Restated Equity Incentive Plan of Booz Allen Hamilton Holding</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(Incorporated by reference to Exhibit 10.29 to the Company’s Quarterly Report for the period ended June 30, 2015 on Form 10-Q</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(File No. 001-34972))</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10.28</w:t>
            </w:r>
          </w:p>
        </w:tc>
        <w:tc>
          <w:tcPr>
            <w:tcW w:w="10620" w:type="dxa"/>
            <w:vAlign w:val="bottom"/>
          </w:tcPr>
          <w:p>
            <w:pPr>
              <w:ind w:left="220"/>
              <w:spacing w:after="0"/>
              <w:rPr>
                <w:sz w:val="20"/>
                <w:szCs w:val="20"/>
                <w:color w:val="auto"/>
              </w:rPr>
            </w:pPr>
            <w:r>
              <w:rPr>
                <w:rFonts w:ascii="Arial" w:cs="Arial" w:eastAsia="Arial" w:hAnsi="Arial"/>
                <w:sz w:val="18"/>
                <w:szCs w:val="18"/>
                <w:color w:val="auto"/>
                <w:w w:val="97"/>
              </w:rPr>
              <w:t>Third Amendment to Credit Agreement, dated as of July 13, 2016, among Booz Allen Hamilton Inc., as Borrower, Booz Allen Hamilton</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3"/>
              </w:rPr>
              <w:t>Investor Corporation, Booz Allen Hamilton Engineering Holding Co., LLC, Booz Allen Hamilton Engineering Services, LLC, SDI Technology</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2"/>
              </w:rPr>
              <w:t>Corporation and Booz Allen Hamilton International, Inc., as Guarantors, Bank of America, N.A., as Administrative Agent, Collateral Agent and</w:t>
            </w:r>
          </w:p>
        </w:tc>
      </w:tr>
      <w:tr>
        <w:trPr>
          <w:trHeight w:val="216"/>
        </w:trPr>
        <w:tc>
          <w:tcPr>
            <w:tcW w:w="700" w:type="dxa"/>
            <w:vAlign w:val="bottom"/>
          </w:tcPr>
          <w:p>
            <w:pPr>
              <w:spacing w:after="0"/>
              <w:rPr>
                <w:sz w:val="18"/>
                <w:szCs w:val="18"/>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w w:val="91"/>
              </w:rPr>
              <w:t>Issuing Lender, and the other Lenders and financial institutions from time to time party thereto (Incorporated by reference to Exhibit 10.1 to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Company’s Periodic Report on Form 8-K filed on July 18, 2016 (File No. 001-34972))</w:t>
            </w:r>
          </w:p>
        </w:tc>
      </w:tr>
      <w:tr>
        <w:trPr>
          <w:trHeight w:val="608"/>
        </w:trPr>
        <w:tc>
          <w:tcPr>
            <w:tcW w:w="700" w:type="dxa"/>
            <w:vAlign w:val="bottom"/>
          </w:tcPr>
          <w:p>
            <w:pPr>
              <w:spacing w:after="0"/>
              <w:rPr>
                <w:sz w:val="20"/>
                <w:szCs w:val="20"/>
                <w:color w:val="auto"/>
              </w:rPr>
            </w:pPr>
            <w:r>
              <w:rPr>
                <w:rFonts w:ascii="Arial" w:cs="Arial" w:eastAsia="Arial" w:hAnsi="Arial"/>
                <w:sz w:val="18"/>
                <w:szCs w:val="18"/>
                <w:color w:val="auto"/>
              </w:rPr>
              <w:t>31.1</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Executive Officer*</w:t>
            </w:r>
          </w:p>
        </w:tc>
      </w:tr>
      <w:tr>
        <w:trPr>
          <w:trHeight w:val="392"/>
        </w:trPr>
        <w:tc>
          <w:tcPr>
            <w:tcW w:w="700" w:type="dxa"/>
            <w:vAlign w:val="bottom"/>
          </w:tcPr>
          <w:p>
            <w:pPr>
              <w:spacing w:after="0"/>
              <w:rPr>
                <w:sz w:val="20"/>
                <w:szCs w:val="20"/>
                <w:color w:val="auto"/>
              </w:rPr>
            </w:pPr>
            <w:r>
              <w:rPr>
                <w:rFonts w:ascii="Arial" w:cs="Arial" w:eastAsia="Arial" w:hAnsi="Arial"/>
                <w:sz w:val="18"/>
                <w:szCs w:val="18"/>
                <w:color w:val="auto"/>
              </w:rPr>
              <w:t>31.2</w:t>
            </w:r>
          </w:p>
        </w:tc>
        <w:tc>
          <w:tcPr>
            <w:tcW w:w="10620" w:type="dxa"/>
            <w:vAlign w:val="bottom"/>
          </w:tcPr>
          <w:p>
            <w:pPr>
              <w:ind w:left="220"/>
              <w:spacing w:after="0"/>
              <w:rPr>
                <w:sz w:val="20"/>
                <w:szCs w:val="20"/>
                <w:color w:val="auto"/>
              </w:rPr>
            </w:pPr>
            <w:r>
              <w:rPr>
                <w:rFonts w:ascii="Arial" w:cs="Arial" w:eastAsia="Arial" w:hAnsi="Arial"/>
                <w:sz w:val="18"/>
                <w:szCs w:val="18"/>
                <w:color w:val="auto"/>
              </w:rPr>
              <w:t>Rule 13a-14(a)/15d-14(a) Certification of the Chief Financial Officer*</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32.1</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Executive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r>
        <w:trPr>
          <w:trHeight w:val="377"/>
        </w:trPr>
        <w:tc>
          <w:tcPr>
            <w:tcW w:w="700" w:type="dxa"/>
            <w:vAlign w:val="bottom"/>
          </w:tcPr>
          <w:p>
            <w:pPr>
              <w:spacing w:after="0"/>
              <w:rPr>
                <w:sz w:val="20"/>
                <w:szCs w:val="20"/>
                <w:color w:val="auto"/>
              </w:rPr>
            </w:pPr>
            <w:r>
              <w:rPr>
                <w:rFonts w:ascii="Arial" w:cs="Arial" w:eastAsia="Arial" w:hAnsi="Arial"/>
                <w:sz w:val="18"/>
                <w:szCs w:val="18"/>
                <w:color w:val="auto"/>
              </w:rPr>
              <w:t>32.2</w:t>
            </w:r>
          </w:p>
        </w:tc>
        <w:tc>
          <w:tcPr>
            <w:tcW w:w="10620" w:type="dxa"/>
            <w:vAlign w:val="bottom"/>
          </w:tcPr>
          <w:p>
            <w:pPr>
              <w:ind w:left="220"/>
              <w:spacing w:after="0"/>
              <w:rPr>
                <w:sz w:val="20"/>
                <w:szCs w:val="20"/>
                <w:color w:val="auto"/>
              </w:rPr>
            </w:pPr>
            <w:r>
              <w:rPr>
                <w:rFonts w:ascii="Arial" w:cs="Arial" w:eastAsia="Arial" w:hAnsi="Arial"/>
                <w:sz w:val="18"/>
                <w:szCs w:val="18"/>
                <w:color w:val="auto"/>
                <w:w w:val="95"/>
              </w:rPr>
              <w:t>Certification of the Chief Financial Officer required by Rule 13a-14(b) or Rule 15d-14(b) and Section 1350 of Chapter 63 of Title 18 of the</w:t>
            </w:r>
          </w:p>
        </w:tc>
      </w:tr>
      <w:tr>
        <w:trPr>
          <w:trHeight w:val="230"/>
        </w:trPr>
        <w:tc>
          <w:tcPr>
            <w:tcW w:w="700" w:type="dxa"/>
            <w:vAlign w:val="bottom"/>
          </w:tcPr>
          <w:p>
            <w:pPr>
              <w:spacing w:after="0"/>
              <w:rPr>
                <w:sz w:val="20"/>
                <w:szCs w:val="20"/>
                <w:color w:val="auto"/>
              </w:rPr>
            </w:pPr>
          </w:p>
        </w:tc>
        <w:tc>
          <w:tcPr>
            <w:tcW w:w="10620" w:type="dxa"/>
            <w:vAlign w:val="bottom"/>
          </w:tcPr>
          <w:p>
            <w:pPr>
              <w:ind w:left="220"/>
              <w:spacing w:after="0"/>
              <w:rPr>
                <w:sz w:val="20"/>
                <w:szCs w:val="20"/>
                <w:color w:val="auto"/>
              </w:rPr>
            </w:pPr>
            <w:r>
              <w:rPr>
                <w:rFonts w:ascii="Arial" w:cs="Arial" w:eastAsia="Arial" w:hAnsi="Arial"/>
                <w:sz w:val="18"/>
                <w:szCs w:val="18"/>
                <w:color w:val="auto"/>
              </w:rPr>
              <w:t>United States Code (18 U.S.C. 1350)*</w:t>
            </w:r>
          </w:p>
        </w:tc>
      </w:tr>
    </w:tbl>
    <w:p>
      <w:pPr>
        <w:spacing w:after="0" w:line="161" w:lineRule="exact"/>
        <w:rPr>
          <w:sz w:val="20"/>
          <w:szCs w:val="20"/>
          <w:color w:val="auto"/>
        </w:rPr>
      </w:pPr>
    </w:p>
    <w:p>
      <w:pPr>
        <w:ind w:left="960" w:right="140" w:hanging="925"/>
        <w:spacing w:after="0" w:line="255" w:lineRule="auto"/>
        <w:tabs>
          <w:tab w:leader="none" w:pos="960"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following materials from Booz Allen Hamilton Holding Corporation’s Quarterly Report on Form 10-Q for the three months ended September 30, 2016 formatted in XBRL (eXtensible Business Reporting Language): (i) Condensed Consolidated Balance Sheets at September 30, 2016 and March 31, 2016; (ii) Condensed Consolidated Statements of Operations for the three and six months ended September 30, 2016 and 2015; (iii) Condensed Consolidated Statements of Comprehensive Income for the three and six months ended September 30, 2016 and 2015; (iv) Condensed Consolidated Statements of Cash Flows for the six months ended September 30, 2016 and 2015; and (v) Notes to Condensed Consolidated Financial Statements.</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w:t>
      </w:r>
    </w:p>
    <w:p>
      <w:pPr>
        <w:spacing w:after="0" w:line="63" w:lineRule="exact"/>
        <w:rPr>
          <w:sz w:val="20"/>
          <w:szCs w:val="20"/>
          <w:color w:val="auto"/>
        </w:rPr>
      </w:pPr>
    </w:p>
    <w:p>
      <w:pPr>
        <w:ind w:left="660" w:hanging="652"/>
        <w:spacing w:after="0"/>
        <w:tabs>
          <w:tab w:leader="none" w:pos="660" w:val="left"/>
        </w:tabs>
        <w:numPr>
          <w:ilvl w:val="0"/>
          <w:numId w:val="26"/>
        </w:numPr>
        <w:rPr>
          <w:rFonts w:ascii="Arial" w:cs="Arial" w:eastAsia="Arial" w:hAnsi="Arial"/>
          <w:sz w:val="18"/>
          <w:szCs w:val="18"/>
          <w:color w:val="auto"/>
        </w:rPr>
      </w:pPr>
      <w:r>
        <w:rPr>
          <w:rFonts w:ascii="Arial" w:cs="Arial" w:eastAsia="Arial" w:hAnsi="Arial"/>
          <w:sz w:val="18"/>
          <w:szCs w:val="18"/>
          <w:color w:val="auto"/>
        </w:rPr>
        <w:t>Filed electronically herewith.</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color w:val="auto"/>
        </w:rPr>
        <w:t>† Management contract or compensatory arrangement.</w:t>
      </w:r>
    </w:p>
    <w:p>
      <w:pPr>
        <w:spacing w:after="0" w:line="200" w:lineRule="exact"/>
        <w:rPr>
          <w:sz w:val="20"/>
          <w:szCs w:val="20"/>
          <w:color w:val="auto"/>
        </w:rPr>
      </w:pPr>
    </w:p>
    <w:p>
      <w:pPr>
        <w:spacing w:after="0" w:line="26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360"/>
          </w:cols>
          <w:pgMar w:left="240" w:top="935" w:right="299" w:bottom="1440" w:gutter="0" w:footer="0" w:header="0"/>
        </w:sectPr>
      </w:pPr>
    </w:p>
    <w:bookmarkStart w:id="37" w:name="page38"/>
    <w:bookmarkEnd w:id="37"/>
    <w:p>
      <w:pPr>
        <w:jc w:val="center"/>
        <w:ind w:right="-379"/>
        <w:spacing w:after="0"/>
        <w:rPr>
          <w:sz w:val="20"/>
          <w:szCs w:val="20"/>
          <w:color w:val="auto"/>
        </w:rPr>
      </w:pPr>
      <w:r>
        <w:rPr>
          <w:rFonts w:ascii="Arial" w:cs="Arial" w:eastAsia="Arial" w:hAnsi="Arial"/>
          <w:sz w:val="18"/>
          <w:szCs w:val="18"/>
          <w:b w:val="1"/>
          <w:bCs w:val="1"/>
          <w:color w:val="auto"/>
        </w:rPr>
        <w:t>SIGNATURES</w:t>
      </w:r>
    </w:p>
    <w:p>
      <w:pPr>
        <w:spacing w:after="0" w:line="175" w:lineRule="exact"/>
        <w:rPr>
          <w:sz w:val="20"/>
          <w:szCs w:val="20"/>
          <w:color w:val="auto"/>
        </w:rPr>
      </w:pPr>
    </w:p>
    <w:p>
      <w:pPr>
        <w:ind w:firstLine="405"/>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hereunto duly authorized.</w:t>
      </w:r>
    </w:p>
    <w:p>
      <w:pPr>
        <w:spacing w:after="0" w:line="116" w:lineRule="exact"/>
        <w:rPr>
          <w:sz w:val="20"/>
          <w:szCs w:val="20"/>
          <w:color w:val="auto"/>
        </w:rPr>
      </w:pPr>
    </w:p>
    <w:p>
      <w:pPr>
        <w:jc w:val="center"/>
        <w:ind w:left="5380"/>
        <w:spacing w:after="0"/>
        <w:rPr>
          <w:sz w:val="20"/>
          <w:szCs w:val="20"/>
          <w:color w:val="auto"/>
        </w:rPr>
      </w:pPr>
      <w:r>
        <w:rPr>
          <w:rFonts w:ascii="Arial" w:cs="Arial" w:eastAsia="Arial" w:hAnsi="Arial"/>
          <w:sz w:val="18"/>
          <w:szCs w:val="18"/>
          <w:u w:val="single" w:color="auto"/>
          <w:color w:val="auto"/>
        </w:rPr>
        <w:t>Booz Allen Hamilton Holding Corporation</w:t>
      </w:r>
    </w:p>
    <w:p>
      <w:pPr>
        <w:spacing w:after="0" w:line="63" w:lineRule="exact"/>
        <w:rPr>
          <w:sz w:val="20"/>
          <w:szCs w:val="20"/>
          <w:color w:val="auto"/>
        </w:rPr>
      </w:pPr>
    </w:p>
    <w:p>
      <w:pPr>
        <w:jc w:val="center"/>
        <w:ind w:left="5380"/>
        <w:spacing w:after="0"/>
        <w:rPr>
          <w:sz w:val="20"/>
          <w:szCs w:val="20"/>
          <w:color w:val="auto"/>
        </w:rPr>
      </w:pPr>
      <w:r>
        <w:rPr>
          <w:rFonts w:ascii="Arial" w:cs="Arial" w:eastAsia="Arial" w:hAnsi="Arial"/>
          <w:sz w:val="18"/>
          <w:szCs w:val="18"/>
          <w:color w:val="auto"/>
        </w:rPr>
        <w:t>Registrant</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40"/>
        <w:spacing w:after="0"/>
        <w:tabs>
          <w:tab w:leader="none" w:pos="4940" w:val="left"/>
          <w:tab w:leader="none" w:pos="540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Lloyd W. Howell,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3418205</wp:posOffset>
            </wp:positionH>
            <wp:positionV relativeFrom="paragraph">
              <wp:posOffset>31750</wp:posOffset>
            </wp:positionV>
            <wp:extent cx="383349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833495" cy="8890"/>
                    </a:xfrm>
                    <a:prstGeom prst="rect">
                      <a:avLst/>
                    </a:prstGeom>
                    <a:noFill/>
                  </pic:spPr>
                </pic:pic>
              </a:graphicData>
            </a:graphic>
          </wp:anchor>
        </w:drawing>
      </w:r>
    </w:p>
    <w:p>
      <w:pPr>
        <w:spacing w:after="0" w:line="57"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5420"/>
        <w:spacing w:after="0"/>
        <w:rPr>
          <w:sz w:val="20"/>
          <w:szCs w:val="20"/>
          <w:color w:val="auto"/>
        </w:rPr>
      </w:pPr>
      <w:r>
        <w:rPr>
          <w:rFonts w:ascii="Arial" w:cs="Arial" w:eastAsia="Arial" w:hAnsi="Arial"/>
          <w:sz w:val="18"/>
          <w:szCs w:val="18"/>
          <w:color w:val="auto"/>
        </w:rPr>
        <w:t>(Principal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9" w:lineRule="exact"/>
        <w:rPr>
          <w:sz w:val="20"/>
          <w:szCs w:val="20"/>
          <w:color w:val="auto"/>
        </w:rPr>
      </w:pPr>
    </w:p>
    <w:p>
      <w:pPr>
        <w:jc w:val="center"/>
        <w:ind w:right="-379"/>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060"/>
          </w:cols>
          <w:pgMar w:left="240" w:top="769" w:right="599" w:bottom="1440" w:gutter="0" w:footer="0" w:header="0"/>
        </w:sectPr>
      </w:pPr>
    </w:p>
    <w:bookmarkStart w:id="38" w:name="page39"/>
    <w:bookmarkEnd w:id="38"/>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EXECUTIVE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Horacio Rozanski, certify that:</w:t>
      </w:r>
    </w:p>
    <w:p>
      <w:pPr>
        <w:spacing w:after="0" w:line="171" w:lineRule="exact"/>
        <w:rPr>
          <w:sz w:val="20"/>
          <w:szCs w:val="20"/>
          <w:color w:val="auto"/>
        </w:rPr>
      </w:pPr>
    </w:p>
    <w:p>
      <w:pPr>
        <w:ind w:left="180" w:hanging="172"/>
        <w:spacing w:after="0"/>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2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2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2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2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7100" w:val="left"/>
          <w:tab w:leader="none" w:pos="756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Horacio Rozanski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4790440</wp:posOffset>
            </wp:positionH>
            <wp:positionV relativeFrom="paragraph">
              <wp:posOffset>31750</wp:posOffset>
            </wp:positionV>
            <wp:extent cx="24612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61260" cy="8890"/>
                    </a:xfrm>
                    <a:prstGeom prst="rect">
                      <a:avLst/>
                    </a:prstGeom>
                    <a:noFill/>
                  </pic:spPr>
                </pic:pic>
              </a:graphicData>
            </a:graphic>
          </wp:anchor>
        </w:drawing>
      </w:r>
    </w:p>
    <w:p>
      <w:pPr>
        <w:spacing w:after="0" w:line="57"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58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580"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 CHIEF FINANCIAL OFFICER PURSUANT TO RULE 13A-14(A) OF THE</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SECURITIES EXCHANGE ACT OF 1934, AS AMENDED</w:t>
      </w:r>
    </w:p>
    <w:p>
      <w:pPr>
        <w:spacing w:after="0" w:line="157" w:lineRule="exact"/>
        <w:rPr>
          <w:sz w:val="20"/>
          <w:szCs w:val="20"/>
          <w:color w:val="auto"/>
        </w:rPr>
      </w:pPr>
    </w:p>
    <w:p>
      <w:pPr>
        <w:spacing w:after="0"/>
        <w:rPr>
          <w:sz w:val="20"/>
          <w:szCs w:val="20"/>
          <w:color w:val="auto"/>
        </w:rPr>
      </w:pPr>
      <w:r>
        <w:rPr>
          <w:rFonts w:ascii="Arial" w:cs="Arial" w:eastAsia="Arial" w:hAnsi="Arial"/>
          <w:sz w:val="18"/>
          <w:szCs w:val="18"/>
          <w:color w:val="auto"/>
        </w:rPr>
        <w:t>I, Lloyd W. Howell, Jr., certify that:</w:t>
      </w:r>
    </w:p>
    <w:p>
      <w:pPr>
        <w:spacing w:after="0" w:line="171" w:lineRule="exact"/>
        <w:rPr>
          <w:sz w:val="20"/>
          <w:szCs w:val="20"/>
          <w:color w:val="auto"/>
        </w:rPr>
      </w:pPr>
    </w:p>
    <w:p>
      <w:pPr>
        <w:ind w:left="180" w:hanging="172"/>
        <w:spacing w:after="0"/>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Booz Allen Hamilton Holding Corporation.</w:t>
      </w:r>
    </w:p>
    <w:p>
      <w:pPr>
        <w:spacing w:after="0" w:line="171" w:lineRule="exact"/>
        <w:rPr>
          <w:rFonts w:ascii="Arial" w:cs="Arial" w:eastAsia="Arial" w:hAnsi="Arial"/>
          <w:sz w:val="18"/>
          <w:szCs w:val="18"/>
          <w:color w:val="auto"/>
        </w:rPr>
      </w:pPr>
    </w:p>
    <w:p>
      <w:pPr>
        <w:ind w:right="440" w:firstLine="8"/>
        <w:spacing w:after="0" w:line="342" w:lineRule="auto"/>
        <w:tabs>
          <w:tab w:leader="none" w:pos="1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9" w:lineRule="exact"/>
        <w:rPr>
          <w:rFonts w:ascii="Arial" w:cs="Arial" w:eastAsia="Arial" w:hAnsi="Arial"/>
          <w:sz w:val="16"/>
          <w:szCs w:val="16"/>
          <w:color w:val="auto"/>
        </w:rPr>
      </w:pPr>
    </w:p>
    <w:p>
      <w:pPr>
        <w:ind w:right="60" w:firstLine="8"/>
        <w:spacing w:after="0" w:line="277"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16" w:lineRule="exact"/>
        <w:rPr>
          <w:rFonts w:ascii="Arial" w:cs="Arial" w:eastAsia="Arial" w:hAnsi="Arial"/>
          <w:sz w:val="18"/>
          <w:szCs w:val="18"/>
          <w:color w:val="auto"/>
        </w:rPr>
      </w:pPr>
    </w:p>
    <w:p>
      <w:pPr>
        <w:ind w:right="20" w:firstLine="8"/>
        <w:spacing w:after="0" w:line="264" w:lineRule="auto"/>
        <w:tabs>
          <w:tab w:leader="none" w:pos="18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7" w:lineRule="exact"/>
        <w:rPr>
          <w:sz w:val="20"/>
          <w:szCs w:val="20"/>
          <w:color w:val="auto"/>
        </w:rPr>
      </w:pPr>
    </w:p>
    <w:p>
      <w:pPr>
        <w:jc w:val="both"/>
        <w:ind w:right="120" w:firstLine="8"/>
        <w:spacing w:after="0" w:line="264"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7" w:lineRule="exact"/>
        <w:rPr>
          <w:rFonts w:ascii="Arial" w:cs="Arial" w:eastAsia="Arial" w:hAnsi="Arial"/>
          <w:sz w:val="18"/>
          <w:szCs w:val="18"/>
          <w:color w:val="auto"/>
        </w:rPr>
      </w:pPr>
    </w:p>
    <w:p>
      <w:pPr>
        <w:jc w:val="both"/>
        <w:ind w:right="2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7" w:lineRule="exact"/>
        <w:rPr>
          <w:rFonts w:ascii="Arial" w:cs="Arial" w:eastAsia="Arial" w:hAnsi="Arial"/>
          <w:sz w:val="18"/>
          <w:szCs w:val="18"/>
          <w:color w:val="auto"/>
        </w:rPr>
      </w:pPr>
    </w:p>
    <w:p>
      <w:pPr>
        <w:ind w:right="40" w:firstLine="8"/>
        <w:spacing w:after="0" w:line="277" w:lineRule="auto"/>
        <w:tabs>
          <w:tab w:leader="none" w:pos="245" w:val="left"/>
        </w:tabs>
        <w:numPr>
          <w:ilvl w:val="0"/>
          <w:numId w:val="3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16" w:lineRule="exact"/>
        <w:rPr>
          <w:rFonts w:ascii="Arial" w:cs="Arial" w:eastAsia="Arial" w:hAnsi="Arial"/>
          <w:sz w:val="18"/>
          <w:szCs w:val="18"/>
          <w:color w:val="auto"/>
        </w:rPr>
      </w:pPr>
    </w:p>
    <w:p>
      <w:pPr>
        <w:jc w:val="both"/>
        <w:ind w:right="540" w:firstLine="8"/>
        <w:spacing w:after="0" w:line="264" w:lineRule="auto"/>
        <w:tabs>
          <w:tab w:leader="none" w:pos="255" w:val="left"/>
        </w:tabs>
        <w:numPr>
          <w:ilvl w:val="0"/>
          <w:numId w:val="3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w:t>
      </w:r>
    </w:p>
    <w:p>
      <w:pPr>
        <w:spacing w:after="0" w:line="127" w:lineRule="exact"/>
        <w:rPr>
          <w:sz w:val="20"/>
          <w:szCs w:val="20"/>
          <w:color w:val="auto"/>
        </w:rPr>
      </w:pPr>
    </w:p>
    <w:p>
      <w:pPr>
        <w:ind w:right="660" w:firstLine="8"/>
        <w:spacing w:after="0" w:line="308" w:lineRule="auto"/>
        <w:tabs>
          <w:tab w:leader="none" w:pos="180" w:val="left"/>
        </w:tabs>
        <w:numPr>
          <w:ilvl w:val="0"/>
          <w:numId w:val="3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w:t>
      </w:r>
    </w:p>
    <w:p>
      <w:pPr>
        <w:spacing w:after="0" w:line="93" w:lineRule="exact"/>
        <w:rPr>
          <w:sz w:val="20"/>
          <w:szCs w:val="20"/>
          <w:color w:val="auto"/>
        </w:rPr>
      </w:pPr>
    </w:p>
    <w:p>
      <w:pPr>
        <w:ind w:right="220" w:firstLine="8"/>
        <w:spacing w:after="0" w:line="277" w:lineRule="auto"/>
        <w:tabs>
          <w:tab w:leader="none" w:pos="24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6" w:lineRule="exact"/>
        <w:rPr>
          <w:rFonts w:ascii="Arial" w:cs="Arial" w:eastAsia="Arial" w:hAnsi="Arial"/>
          <w:sz w:val="18"/>
          <w:szCs w:val="18"/>
          <w:color w:val="auto"/>
        </w:rPr>
      </w:pPr>
    </w:p>
    <w:p>
      <w:pPr>
        <w:ind w:right="460" w:firstLine="8"/>
        <w:spacing w:after="0" w:line="277" w:lineRule="auto"/>
        <w:tabs>
          <w:tab w:leader="none" w:pos="255"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306" w:lineRule="exact"/>
        <w:rPr>
          <w:sz w:val="20"/>
          <w:szCs w:val="20"/>
          <w:color w:val="auto"/>
        </w:rPr>
      </w:pPr>
    </w:p>
    <w:p>
      <w:pPr>
        <w:ind w:left="40"/>
        <w:spacing w:after="0"/>
        <w:tabs>
          <w:tab w:leader="none" w:pos="618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6"/>
          <w:szCs w:val="16"/>
          <w:color w:val="auto"/>
        </w:rPr>
        <w:t>/s/ Lloyd W. Howell, Jr.</w:t>
      </w:r>
    </w:p>
    <w:p>
      <w:pPr>
        <w:spacing w:after="0" w:line="23" w:lineRule="exact"/>
        <w:rPr>
          <w:sz w:val="20"/>
          <w:szCs w:val="20"/>
          <w:color w:val="auto"/>
        </w:rPr>
      </w:pPr>
    </w:p>
    <w:p>
      <w:pPr>
        <w:jc w:val="center"/>
        <w:ind w:left="34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22860</wp:posOffset>
            </wp:positionV>
            <wp:extent cx="33274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42"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Executive Vice President, Chief Financial Officer and Treasurer</w:t>
      </w:r>
    </w:p>
    <w:p>
      <w:pPr>
        <w:spacing w:after="0" w:line="9"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(Principal Financial Officer)</w:t>
      </w:r>
    </w:p>
    <w:p>
      <w:pPr>
        <w:sectPr>
          <w:pgSz w:w="11900" w:h="16838" w:orient="portrait"/>
          <w:cols w:equalWidth="0" w:num="1">
            <w:col w:w="11420"/>
          </w:cols>
          <w:pgMar w:left="240" w:top="580" w:right="239"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2016, as filed with the Securities and Exchange Commission on the date hereof (the “Report”), the undersigned President and Chief Executive Officer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5"/>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686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6"/>
          <w:szCs w:val="16"/>
          <w:color w:val="auto"/>
        </w:rPr>
        <w:t>/s/ Horacio Rozanski</w:t>
      </w:r>
    </w:p>
    <w:p>
      <w:pPr>
        <w:spacing w:after="0" w:line="23" w:lineRule="exact"/>
        <w:rPr>
          <w:sz w:val="20"/>
          <w:szCs w:val="20"/>
          <w:color w:val="auto"/>
        </w:rPr>
      </w:pPr>
    </w:p>
    <w:p>
      <w:pPr>
        <w:ind w:left="65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4352925</wp:posOffset>
            </wp:positionH>
            <wp:positionV relativeFrom="paragraph">
              <wp:posOffset>22860</wp:posOffset>
            </wp:positionV>
            <wp:extent cx="289877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42"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Horacio Rozanski</w:t>
      </w:r>
    </w:p>
    <w:p>
      <w:pPr>
        <w:spacing w:after="0" w:line="23"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6880"/>
        <w:spacing w:after="0"/>
        <w:rPr>
          <w:sz w:val="20"/>
          <w:szCs w:val="20"/>
          <w:color w:val="auto"/>
        </w:rPr>
      </w:pPr>
      <w:r>
        <w:rPr>
          <w:rFonts w:ascii="Arial" w:cs="Arial" w:eastAsia="Arial" w:hAnsi="Arial"/>
          <w:sz w:val="18"/>
          <w:szCs w:val="18"/>
          <w:color w:val="auto"/>
        </w:rPr>
        <w:t>(Principal Executive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p>
      <w:pPr>
        <w:sectPr>
          <w:pgSz w:w="11900" w:h="16838" w:orient="portrait"/>
          <w:cols w:equalWidth="0" w:num="1">
            <w:col w:w="11420"/>
          </w:cols>
          <w:pgMar w:left="240" w:top="580" w:right="239" w:bottom="1440" w:gutter="0" w:footer="0" w:header="0"/>
        </w:sectPr>
      </w:pPr>
    </w:p>
    <w:bookmarkStart w:id="41" w:name="page42"/>
    <w:bookmarkEnd w:id="41"/>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CERTIFICATIONS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157"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connection with the report on Form 10-Q of Booz Allen Hamilton Holding Corporation (the “Company”) for the fiscal quarter ended September 30, 2016, as filed with the Securities and Exchange Commission on the date hereof (the “Report”), the undersigned Executive Vice President, Chief Financial Officer and Treasurer of the Company certifies, to the best of his knowledge and belief pursuant to 18 U.S.C. Section 1350, as adopted pursuant to Section 906 of the Sarbanes-Oxley Act of 2002, that:</w:t>
      </w:r>
    </w:p>
    <w:p>
      <w:pPr>
        <w:spacing w:after="0" w:line="133" w:lineRule="exact"/>
        <w:rPr>
          <w:sz w:val="20"/>
          <w:szCs w:val="20"/>
          <w:color w:val="auto"/>
        </w:rPr>
      </w:pPr>
    </w:p>
    <w:p>
      <w:pPr>
        <w:ind w:left="260" w:hanging="252"/>
        <w:spacing w:after="0"/>
        <w:tabs>
          <w:tab w:leader="none" w:pos="26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w:t>
      </w:r>
    </w:p>
    <w:p>
      <w:pPr>
        <w:spacing w:after="0" w:line="171" w:lineRule="exact"/>
        <w:rPr>
          <w:rFonts w:ascii="Arial" w:cs="Arial" w:eastAsia="Arial" w:hAnsi="Arial"/>
          <w:sz w:val="18"/>
          <w:szCs w:val="18"/>
          <w:color w:val="auto"/>
        </w:rPr>
      </w:pPr>
    </w:p>
    <w:p>
      <w:pPr>
        <w:ind w:left="260" w:hanging="252"/>
        <w:spacing w:after="0"/>
        <w:tabs>
          <w:tab w:leader="none" w:pos="260" w:val="left"/>
        </w:tabs>
        <w:numPr>
          <w:ilvl w:val="0"/>
          <w:numId w:val="36"/>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372" w:lineRule="exact"/>
        <w:rPr>
          <w:sz w:val="20"/>
          <w:szCs w:val="20"/>
          <w:color w:val="auto"/>
        </w:rPr>
      </w:pPr>
    </w:p>
    <w:p>
      <w:pPr>
        <w:ind w:left="40"/>
        <w:spacing w:after="0"/>
        <w:tabs>
          <w:tab w:leader="none" w:pos="5960" w:val="left"/>
        </w:tabs>
        <w:rPr>
          <w:sz w:val="20"/>
          <w:szCs w:val="20"/>
          <w:color w:val="auto"/>
        </w:rPr>
      </w:pPr>
      <w:r>
        <w:rPr>
          <w:rFonts w:ascii="Arial" w:cs="Arial" w:eastAsia="Arial" w:hAnsi="Arial"/>
          <w:sz w:val="18"/>
          <w:szCs w:val="18"/>
          <w:color w:val="auto"/>
        </w:rPr>
        <w:t>Date: November 2, 2016</w:t>
      </w:r>
      <w:r>
        <w:rPr>
          <w:sz w:val="20"/>
          <w:szCs w:val="20"/>
          <w:color w:val="auto"/>
        </w:rPr>
        <w:tab/>
      </w:r>
      <w:r>
        <w:rPr>
          <w:rFonts w:ascii="Arial" w:cs="Arial" w:eastAsia="Arial" w:hAnsi="Arial"/>
          <w:sz w:val="16"/>
          <w:szCs w:val="16"/>
          <w:color w:val="auto"/>
        </w:rPr>
        <w:t>/s/ Lloyd W. Howell, Jr.</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3778250</wp:posOffset>
            </wp:positionH>
            <wp:positionV relativeFrom="paragraph">
              <wp:posOffset>22860</wp:posOffset>
            </wp:positionV>
            <wp:extent cx="347345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4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Lloyd W. Howell, Jr.</w:t>
      </w:r>
    </w:p>
    <w:p>
      <w:pPr>
        <w:spacing w:after="0" w:line="23" w:lineRule="exact"/>
        <w:rPr>
          <w:sz w:val="20"/>
          <w:szCs w:val="20"/>
          <w:color w:val="auto"/>
        </w:rPr>
      </w:pPr>
    </w:p>
    <w:p>
      <w:pPr>
        <w:ind w:left="5980"/>
        <w:spacing w:after="0"/>
        <w:rPr>
          <w:sz w:val="20"/>
          <w:szCs w:val="20"/>
          <w:color w:val="auto"/>
        </w:rPr>
      </w:pPr>
      <w:r>
        <w:rPr>
          <w:rFonts w:ascii="Arial" w:cs="Arial" w:eastAsia="Arial" w:hAnsi="Arial"/>
          <w:sz w:val="16"/>
          <w:szCs w:val="16"/>
          <w:color w:val="auto"/>
        </w:rPr>
        <w:t>Executive Vice President, Chief Financial Officer and Treasurer (Principal</w:t>
      </w:r>
    </w:p>
    <w:p>
      <w:pPr>
        <w:spacing w:after="0" w:line="32" w:lineRule="exact"/>
        <w:rPr>
          <w:sz w:val="20"/>
          <w:szCs w:val="20"/>
          <w:color w:val="auto"/>
        </w:rPr>
      </w:pPr>
    </w:p>
    <w:p>
      <w:pPr>
        <w:ind w:left="5980"/>
        <w:spacing w:after="0"/>
        <w:rPr>
          <w:sz w:val="20"/>
          <w:szCs w:val="20"/>
          <w:color w:val="auto"/>
        </w:rPr>
      </w:pPr>
      <w:r>
        <w:rPr>
          <w:rFonts w:ascii="Arial" w:cs="Arial" w:eastAsia="Arial" w:hAnsi="Arial"/>
          <w:sz w:val="18"/>
          <w:szCs w:val="18"/>
          <w:color w:val="auto"/>
        </w:rPr>
        <w:t>Financial Officer)</w:t>
      </w:r>
    </w:p>
    <w:p>
      <w:pPr>
        <w:spacing w:after="0" w:line="184"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Booz Allen Hamilton Holding Corporation and will be retained by Booz Allen Hamilton Holding Corporation and furnished to the Securities and Exchange Commission or its staff upon request.</w:t>
      </w:r>
    </w:p>
    <w:sectPr>
      <w:pgSz w:w="11900" w:h="16838" w:orient="portrait"/>
      <w:cols w:equalWidth="0" w:num="1">
        <w:col w:w="11420"/>
      </w:cols>
      <w:pgMar w:left="240" w:top="58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F2DBA31"/>
    <w:multiLevelType w:val="hybridMultilevel"/>
    <w:lvl w:ilvl="0">
      <w:lvlJc w:val="left"/>
      <w:lvlText w:val="☒"/>
      <w:numFmt w:val="bullet"/>
      <w:start w:val="1"/>
    </w:lvl>
  </w:abstractNum>
  <w:abstractNum w:abstractNumId="1">
    <w:nsid w:val="7C83E458"/>
    <w:multiLevelType w:val="hybridMultilevel"/>
    <w:lvl w:ilvl="0">
      <w:lvlJc w:val="left"/>
      <w:lvlText w:val="☐"/>
      <w:numFmt w:val="bullet"/>
      <w:start w:val="1"/>
    </w:lvl>
  </w:abstractNum>
  <w:abstractNum w:abstractNumId="2">
    <w:nsid w:val="257130A3"/>
    <w:multiLevelType w:val="hybridMultilevel"/>
    <w:lvl w:ilvl="0">
      <w:lvlJc w:val="left"/>
      <w:lvlText w:val="%1."/>
      <w:numFmt w:val="decimal"/>
      <w:start w:val="1"/>
    </w:lvl>
  </w:abstractNum>
  <w:abstractNum w:abstractNumId="3">
    <w:nsid w:val="62BBD95A"/>
    <w:multiLevelType w:val="hybridMultilevel"/>
    <w:lvl w:ilvl="0">
      <w:lvlJc w:val="left"/>
      <w:lvlText w:val="(%1)"/>
      <w:numFmt w:val="decimal"/>
      <w:start w:val="1"/>
    </w:lvl>
  </w:abstractNum>
  <w:abstractNum w:abstractNumId="4">
    <w:nsid w:val="436C6125"/>
    <w:multiLevelType w:val="hybridMultilevel"/>
    <w:lvl w:ilvl="0">
      <w:lvlJc w:val="left"/>
      <w:lvlText w:val="%1."/>
      <w:numFmt w:val="decimal"/>
      <w:start w:val="5"/>
    </w:lvl>
  </w:abstractNum>
  <w:abstractNum w:abstractNumId="5">
    <w:nsid w:val="628C895D"/>
    <w:multiLevelType w:val="hybridMultilevel"/>
    <w:lvl w:ilvl="0">
      <w:lvlJc w:val="left"/>
      <w:lvlText w:val="1"/>
      <w:numFmt w:val="bullet"/>
      <w:start w:val="1"/>
    </w:lvl>
  </w:abstractNum>
  <w:abstractNum w:abstractNumId="6">
    <w:nsid w:val="333AB105"/>
    <w:multiLevelType w:val="hybridMultilevel"/>
    <w:lvl w:ilvl="0">
      <w:lvlJc w:val="left"/>
      <w:lvlText w:val="2"/>
      <w:numFmt w:val="bullet"/>
      <w:start w:val="1"/>
    </w:lvl>
  </w:abstractNum>
  <w:abstractNum w:abstractNumId="7">
    <w:nsid w:val="721DA317"/>
    <w:multiLevelType w:val="hybridMultilevel"/>
    <w:lvl w:ilvl="0">
      <w:lvlJc w:val="left"/>
      <w:lvlText w:val="%1."/>
      <w:numFmt w:val="decimal"/>
      <w:start w:val="10"/>
    </w:lvl>
  </w:abstractNum>
  <w:abstractNum w:abstractNumId="8">
    <w:nsid w:val="2443A858"/>
    <w:multiLevelType w:val="hybridMultilevel"/>
    <w:lvl w:ilvl="0">
      <w:lvlJc w:val="left"/>
      <w:lvlText w:val="%1."/>
      <w:numFmt w:val="decimal"/>
      <w:start w:val="12"/>
    </w:lvl>
  </w:abstractNum>
  <w:abstractNum w:abstractNumId="9">
    <w:nsid w:val="2D1D5AE9"/>
    <w:multiLevelType w:val="hybridMultilevel"/>
    <w:lvl w:ilvl="0">
      <w:lvlJc w:val="left"/>
      <w:lvlText w:val="(%1)"/>
      <w:numFmt w:val="decimal"/>
      <w:start w:val="1"/>
    </w:lvl>
  </w:abstractNum>
  <w:abstractNum w:abstractNumId="10">
    <w:nsid w:val="6763845E"/>
    <w:multiLevelType w:val="hybridMultilevel"/>
    <w:lvl w:ilvl="0">
      <w:lvlJc w:val="left"/>
      <w:lvlText w:val="(%1)"/>
      <w:numFmt w:val="decimal"/>
      <w:start w:val="1"/>
    </w:lvl>
  </w:abstractNum>
  <w:abstractNum w:abstractNumId="11">
    <w:nsid w:val="75A2A8D4"/>
    <w:multiLevelType w:val="hybridMultilevel"/>
    <w:lvl w:ilvl="0">
      <w:lvlJc w:val="left"/>
      <w:lvlText w:val="•"/>
      <w:numFmt w:val="bullet"/>
      <w:start w:val="1"/>
    </w:lvl>
  </w:abstractNum>
  <w:abstractNum w:abstractNumId="12">
    <w:nsid w:val="8EDBDAB"/>
    <w:multiLevelType w:val="hybridMultilevel"/>
    <w:lvl w:ilvl="0">
      <w:lvlJc w:val="left"/>
      <w:lvlText w:val="(%1)"/>
      <w:numFmt w:val="lowerLetter"/>
      <w:start w:val="1"/>
    </w:lvl>
  </w:abstractNum>
  <w:abstractNum w:abstractNumId="13">
    <w:nsid w:val="79838CB2"/>
    <w:multiLevelType w:val="hybridMultilevel"/>
    <w:lvl w:ilvl="0">
      <w:lvlJc w:val="left"/>
      <w:lvlText w:val="•"/>
      <w:numFmt w:val="bullet"/>
      <w:start w:val="1"/>
    </w:lvl>
  </w:abstractNum>
  <w:abstractNum w:abstractNumId="14">
    <w:nsid w:val="4353D0CD"/>
    <w:multiLevelType w:val="hybridMultilevel"/>
    <w:lvl w:ilvl="0">
      <w:lvlJc w:val="left"/>
      <w:lvlText w:val="•"/>
      <w:numFmt w:val="bullet"/>
      <w:start w:val="1"/>
    </w:lvl>
  </w:abstractNum>
  <w:abstractNum w:abstractNumId="15">
    <w:nsid w:val="B03E0C6"/>
    <w:multiLevelType w:val="hybridMultilevel"/>
    <w:lvl w:ilvl="0">
      <w:lvlJc w:val="left"/>
      <w:lvlText w:val="•"/>
      <w:numFmt w:val="bullet"/>
      <w:start w:val="1"/>
    </w:lvl>
  </w:abstractNum>
  <w:abstractNum w:abstractNumId="16">
    <w:nsid w:val="189A769B"/>
    <w:multiLevelType w:val="hybridMultilevel"/>
    <w:lvl w:ilvl="0">
      <w:lvlJc w:val="left"/>
      <w:lvlText w:val="•"/>
      <w:numFmt w:val="bullet"/>
      <w:start w:val="1"/>
    </w:lvl>
  </w:abstractNum>
  <w:abstractNum w:abstractNumId="17">
    <w:nsid w:val="54E49EB4"/>
    <w:multiLevelType w:val="hybridMultilevel"/>
    <w:lvl w:ilvl="0">
      <w:lvlJc w:val="left"/>
      <w:lvlText w:val="(%1)"/>
      <w:numFmt w:val="decimal"/>
      <w:start w:val="1"/>
    </w:lvl>
  </w:abstractNum>
  <w:abstractNum w:abstractNumId="18">
    <w:nsid w:val="71F32454"/>
    <w:multiLevelType w:val="hybridMultilevel"/>
    <w:lvl w:ilvl="0">
      <w:lvlJc w:val="left"/>
      <w:lvlText w:val="•"/>
      <w:numFmt w:val="bullet"/>
      <w:start w:val="1"/>
    </w:lvl>
  </w:abstractNum>
  <w:abstractNum w:abstractNumId="19">
    <w:nsid w:val="2CA88611"/>
    <w:multiLevelType w:val="hybridMultilevel"/>
    <w:lvl w:ilvl="0">
      <w:lvlJc w:val="left"/>
      <w:lvlText w:val="(%1)"/>
      <w:numFmt w:val="decimal"/>
      <w:start w:val="1"/>
    </w:lvl>
  </w:abstractNum>
  <w:abstractNum w:abstractNumId="20">
    <w:nsid w:val="836C40E"/>
    <w:multiLevelType w:val="hybridMultilevel"/>
    <w:lvl w:ilvl="0">
      <w:lvlJc w:val="left"/>
      <w:lvlText w:val="•"/>
      <w:numFmt w:val="bullet"/>
      <w:start w:val="1"/>
    </w:lvl>
  </w:abstractNum>
  <w:abstractNum w:abstractNumId="21">
    <w:nsid w:val="2901D82"/>
    <w:multiLevelType w:val="hybridMultilevel"/>
    <w:lvl w:ilvl="0">
      <w:lvlJc w:val="left"/>
      <w:lvlText w:val="•"/>
      <w:numFmt w:val="bullet"/>
      <w:start w:val="1"/>
    </w:lvl>
  </w:abstractNum>
  <w:abstractNum w:abstractNumId="22">
    <w:nsid w:val="3A95F874"/>
    <w:multiLevelType w:val="hybridMultilevel"/>
    <w:lvl w:ilvl="0">
      <w:lvlJc w:val="left"/>
      <w:lvlText w:val="(%1)"/>
      <w:numFmt w:val="decimal"/>
      <w:start w:val="1"/>
    </w:lvl>
  </w:abstractNum>
  <w:abstractNum w:abstractNumId="23">
    <w:nsid w:val="8138641"/>
    <w:multiLevelType w:val="hybridMultilevel"/>
    <w:lvl w:ilvl="0">
      <w:lvlJc w:val="left"/>
      <w:lvlText w:val="(%1)"/>
      <w:numFmt w:val="decimal"/>
      <w:start w:val="1"/>
    </w:lvl>
  </w:abstractNum>
  <w:abstractNum w:abstractNumId="24">
    <w:nsid w:val="1E7FF521"/>
    <w:multiLevelType w:val="hybridMultilevel"/>
    <w:lvl w:ilvl="0">
      <w:lvlJc w:val="left"/>
      <w:lvlText w:val="%1"/>
      <w:numFmt w:val="decimal"/>
      <w:start w:val="101"/>
    </w:lvl>
  </w:abstractNum>
  <w:abstractNum w:abstractNumId="25">
    <w:nsid w:val="7C3DBD3D"/>
    <w:multiLevelType w:val="hybridMultilevel"/>
    <w:lvl w:ilvl="0">
      <w:lvlJc w:val="left"/>
      <w:lvlText w:val="*"/>
      <w:numFmt w:val="bullet"/>
      <w:start w:val="1"/>
    </w:lvl>
  </w:abstractNum>
  <w:abstractNum w:abstractNumId="26">
    <w:nsid w:val="737B8DDC"/>
    <w:multiLevelType w:val="hybridMultilevel"/>
    <w:lvl w:ilvl="0">
      <w:lvlJc w:val="left"/>
      <w:lvlText w:val="%1."/>
      <w:numFmt w:val="decimal"/>
      <w:start w:val="1"/>
    </w:lvl>
  </w:abstractNum>
  <w:abstractNum w:abstractNumId="27">
    <w:nsid w:val="6CEAF087"/>
    <w:multiLevelType w:val="hybridMultilevel"/>
    <w:lvl w:ilvl="0">
      <w:lvlJc w:val="left"/>
      <w:lvlText w:val="(%1)"/>
      <w:numFmt w:val="lowerLetter"/>
      <w:start w:val="1"/>
    </w:lvl>
  </w:abstractNum>
  <w:abstractNum w:abstractNumId="28">
    <w:nsid w:val="22221A70"/>
    <w:multiLevelType w:val="hybridMultilevel"/>
    <w:lvl w:ilvl="0">
      <w:lvlJc w:val="left"/>
      <w:lvlText w:val="%1."/>
      <w:numFmt w:val="decimal"/>
      <w:start w:val="5"/>
    </w:lvl>
  </w:abstractNum>
  <w:abstractNum w:abstractNumId="29">
    <w:nsid w:val="4516DDE9"/>
    <w:multiLevelType w:val="hybridMultilevel"/>
    <w:lvl w:ilvl="0">
      <w:lvlJc w:val="left"/>
      <w:lvlText w:val="(%1)"/>
      <w:numFmt w:val="lowerLetter"/>
      <w:start w:val="1"/>
    </w:lvl>
  </w:abstractNum>
  <w:abstractNum w:abstractNumId="30">
    <w:nsid w:val="3006C83E"/>
    <w:multiLevelType w:val="hybridMultilevel"/>
    <w:lvl w:ilvl="0">
      <w:lvlJc w:val="left"/>
      <w:lvlText w:val="%1."/>
      <w:numFmt w:val="decimal"/>
      <w:start w:val="1"/>
    </w:lvl>
  </w:abstractNum>
  <w:abstractNum w:abstractNumId="31">
    <w:nsid w:val="614FD4A1"/>
    <w:multiLevelType w:val="hybridMultilevel"/>
    <w:lvl w:ilvl="0">
      <w:lvlJc w:val="left"/>
      <w:lvlText w:val="(%1)"/>
      <w:numFmt w:val="lowerLetter"/>
      <w:start w:val="1"/>
    </w:lvl>
  </w:abstractNum>
  <w:abstractNum w:abstractNumId="32">
    <w:nsid w:val="419AC241"/>
    <w:multiLevelType w:val="hybridMultilevel"/>
    <w:lvl w:ilvl="0">
      <w:lvlJc w:val="left"/>
      <w:lvlText w:val="%1."/>
      <w:numFmt w:val="decimal"/>
      <w:start w:val="5"/>
    </w:lvl>
  </w:abstractNum>
  <w:abstractNum w:abstractNumId="33">
    <w:nsid w:val="5577F8E1"/>
    <w:multiLevelType w:val="hybridMultilevel"/>
    <w:lvl w:ilvl="0">
      <w:lvlJc w:val="left"/>
      <w:lvlText w:val="(%1)"/>
      <w:numFmt w:val="lowerLetter"/>
      <w:start w:val="1"/>
    </w:lvl>
  </w:abstractNum>
  <w:abstractNum w:abstractNumId="34">
    <w:nsid w:val="440BADFC"/>
    <w:multiLevelType w:val="hybridMultilevel"/>
    <w:lvl w:ilvl="0">
      <w:lvlJc w:val="left"/>
      <w:lvlText w:val="(%1)"/>
      <w:numFmt w:val="decimal"/>
      <w:start w:val="1"/>
    </w:lvl>
  </w:abstractNum>
  <w:abstractNum w:abstractNumId="35">
    <w:nsid w:val="507236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2019-12-29T08:43:57Z</dcterms:created>
  <dcterms:modified xsi:type="dcterms:W3CDTF">2019-12-29T08:43:57Z</dcterms:modified>
</cp:coreProperties>
</file>