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474980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2420" w:val="left"/>
          <w:tab w:leader="none" w:pos="8020" w:val="left"/>
          <w:tab w:leader="none" w:pos="109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40"/>
        <w:spacing w:after="0" w:line="207" w:lineRule="exact"/>
        <w:tabs>
          <w:tab w:leader="none" w:pos="2420" w:val="left"/>
          <w:tab w:leader="none" w:pos="8020" w:val="left"/>
          <w:tab w:leader="none" w:pos="109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right="18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2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20" w:type="dxa"/>
            <w:vAlign w:val="bottom"/>
          </w:tcPr>
          <w:p>
            <w:pPr>
              <w:spacing w:after="0"/>
              <w:rPr>
                <w:sz w:val="16"/>
                <w:szCs w:val="16"/>
                <w:color w:val="auto"/>
              </w:rPr>
            </w:pPr>
          </w:p>
        </w:tc>
        <w:tc>
          <w:tcPr>
            <w:tcW w:w="4240" w:type="dxa"/>
            <w:vAlign w:val="bottom"/>
          </w:tcPr>
          <w:p>
            <w:pPr>
              <w:jc w:val="right"/>
              <w:ind w:right="296"/>
              <w:spacing w:after="0"/>
              <w:rPr>
                <w:sz w:val="20"/>
                <w:szCs w:val="20"/>
                <w:color w:val="auto"/>
              </w:rPr>
            </w:pPr>
            <w:r>
              <w:rPr>
                <w:rFonts w:ascii="Arial" w:cs="Arial" w:eastAsia="Arial" w:hAnsi="Arial"/>
                <w:sz w:val="14"/>
                <w:szCs w:val="14"/>
                <w:b w:val="1"/>
                <w:bCs w:val="1"/>
                <w:color w:val="auto"/>
              </w:rPr>
              <w:t>as of October 29, 2012</w:t>
            </w: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132,045,531</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2,350,854</w:t>
            </w:r>
          </w:p>
        </w:tc>
      </w:tr>
      <w:tr>
        <w:trPr>
          <w:trHeight w:val="27"/>
        </w:trPr>
        <w:tc>
          <w:tcPr>
            <w:tcW w:w="532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1,372,336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8,942,319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7058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197485</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6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20" w:type="dxa"/>
            <w:vAlign w:val="bottom"/>
            <w:gridSpan w:val="17"/>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7"/>
          </w:tcPr>
          <w:p>
            <w:pPr>
              <w:ind w:left="4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2</w:t>
              </w:r>
            </w:hyperlink>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700" w:type="dxa"/>
            <w:vAlign w:val="bottom"/>
            <w:gridSpan w:val="15"/>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2</w:t>
              </w:r>
            </w:hyperlink>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700" w:type="dxa"/>
            <w:vAlign w:val="bottom"/>
            <w:gridSpan w:val="15"/>
          </w:tcPr>
          <w:p>
            <w:pPr>
              <w:spacing w:after="0"/>
              <w:rPr>
                <w:rFonts w:ascii="Arial" w:cs="Arial" w:eastAsia="Arial" w:hAnsi="Arial"/>
                <w:sz w:val="18"/>
                <w:szCs w:val="18"/>
                <w:b w:val="1"/>
                <w:bCs w:val="1"/>
                <w:color w:val="0000FF"/>
              </w:rPr>
            </w:pPr>
            <w:hyperlink w:anchor="page15">
              <w:r>
                <w:rPr>
                  <w:rFonts w:ascii="Arial" w:cs="Arial" w:eastAsia="Arial" w:hAnsi="Arial"/>
                  <w:sz w:val="18"/>
                  <w:szCs w:val="18"/>
                  <w:b w:val="1"/>
                  <w:bCs w:val="1"/>
                  <w:color w:val="0000FF"/>
                </w:rPr>
                <w:t>MANAGEMENT’S DISCUSSION AND ANALYSIS OF FINANCIAL CONDITION AND RESULTS OF</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15">
              <w:r>
                <w:rPr>
                  <w:rFonts w:ascii="Arial" w:cs="Arial" w:eastAsia="Arial" w:hAnsi="Arial"/>
                  <w:sz w:val="18"/>
                  <w:szCs w:val="18"/>
                  <w:b w:val="1"/>
                  <w:bCs w:val="1"/>
                  <w:color w:val="0000FF"/>
                  <w:w w:val="79"/>
                </w:rPr>
                <w:t>15</w:t>
              </w:r>
            </w:hyperlink>
          </w:p>
        </w:tc>
      </w:tr>
      <w:tr>
        <w:trPr>
          <w:trHeight w:val="196"/>
        </w:trPr>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b w:val="1"/>
                <w:bCs w:val="1"/>
                <w:color w:val="0000FF"/>
                <w:w w:val="97"/>
              </w:rPr>
            </w:pPr>
            <w:hyperlink w:anchor="page15">
              <w:r>
                <w:rPr>
                  <w:rFonts w:ascii="Arial" w:cs="Arial" w:eastAsia="Arial" w:hAnsi="Arial"/>
                  <w:sz w:val="18"/>
                  <w:szCs w:val="18"/>
                  <w:b w:val="1"/>
                  <w:bCs w:val="1"/>
                  <w:color w:val="0000FF"/>
                  <w:w w:val="97"/>
                </w:rPr>
                <w:t>OPERATIONS</w:t>
              </w:r>
            </w:hyperlink>
          </w:p>
        </w:tc>
        <w:tc>
          <w:tcPr>
            <w:tcW w:w="6900" w:type="dxa"/>
            <w:vAlign w:val="bottom"/>
            <w:tcBorders>
              <w:top w:val="single" w:sz="8" w:color="0000FF"/>
            </w:tcBorders>
            <w:gridSpan w:val="12"/>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6460" w:type="dxa"/>
            <w:vAlign w:val="bottom"/>
            <w:tcBorders>
              <w:bottom w:val="single" w:sz="8" w:color="0000FF"/>
            </w:tcBorders>
            <w:gridSpan w:val="13"/>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QUANTITATIVE AND QUALITATIVE DISCLOSURES ABOUT MARKET RISK</w:t>
              </w:r>
            </w:hyperlink>
          </w:p>
        </w:tc>
        <w:tc>
          <w:tcPr>
            <w:tcW w:w="32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0">
              <w:r>
                <w:rPr>
                  <w:rFonts w:ascii="Arial" w:cs="Arial" w:eastAsia="Arial" w:hAnsi="Arial"/>
                  <w:sz w:val="18"/>
                  <w:szCs w:val="18"/>
                  <w:b w:val="1"/>
                  <w:bCs w:val="1"/>
                  <w:color w:val="0000FF"/>
                  <w:w w:val="79"/>
                </w:rPr>
                <w:t>29</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2740" w:type="dxa"/>
            <w:vAlign w:val="bottom"/>
            <w:tcBorders>
              <w:bottom w:val="single" w:sz="8" w:color="0000FF"/>
            </w:tcBorders>
            <w:gridSpan w:val="10"/>
          </w:tcPr>
          <w:p>
            <w:pPr>
              <w:spacing w:after="0"/>
              <w:rPr>
                <w:rFonts w:ascii="Arial" w:cs="Arial" w:eastAsia="Arial" w:hAnsi="Arial"/>
                <w:sz w:val="18"/>
                <w:szCs w:val="18"/>
                <w:b w:val="1"/>
                <w:bCs w:val="1"/>
                <w:color w:val="0000FF"/>
                <w:w w:val="98"/>
              </w:rPr>
            </w:pPr>
            <w:hyperlink w:anchor="page31">
              <w:r>
                <w:rPr>
                  <w:rFonts w:ascii="Arial" w:cs="Arial" w:eastAsia="Arial" w:hAnsi="Arial"/>
                  <w:sz w:val="18"/>
                  <w:szCs w:val="18"/>
                  <w:b w:val="1"/>
                  <w:bCs w:val="1"/>
                  <w:color w:val="0000FF"/>
                  <w:w w:val="98"/>
                </w:rPr>
                <w:t>CONTROLS AND PROCEDURES</w:t>
              </w:r>
            </w:hyperlink>
          </w:p>
        </w:tc>
        <w:tc>
          <w:tcPr>
            <w:tcW w:w="6960" w:type="dxa"/>
            <w:vAlign w:val="bottom"/>
            <w:gridSpan w:val="5"/>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1">
              <w:r>
                <w:rPr>
                  <w:rFonts w:ascii="Arial" w:cs="Arial" w:eastAsia="Arial" w:hAnsi="Arial"/>
                  <w:sz w:val="18"/>
                  <w:szCs w:val="18"/>
                  <w:b w:val="1"/>
                  <w:bCs w:val="1"/>
                  <w:color w:val="0000FF"/>
                  <w:w w:val="79"/>
                </w:rPr>
                <w:t>30</w:t>
              </w:r>
            </w:hyperlink>
          </w:p>
        </w:tc>
      </w:tr>
      <w:tr>
        <w:trPr>
          <w:trHeight w:val="372"/>
        </w:trPr>
        <w:tc>
          <w:tcPr>
            <w:tcW w:w="11220" w:type="dxa"/>
            <w:vAlign w:val="bottom"/>
            <w:gridSpan w:val="17"/>
          </w:tcPr>
          <w:p>
            <w:pPr>
              <w:ind w:left="40"/>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1">
              <w:r>
                <w:rPr>
                  <w:rFonts w:ascii="Arial" w:cs="Arial" w:eastAsia="Arial" w:hAnsi="Arial"/>
                  <w:sz w:val="18"/>
                  <w:szCs w:val="18"/>
                  <w:b w:val="1"/>
                  <w:bCs w:val="1"/>
                  <w:color w:val="0000FF"/>
                  <w:w w:val="79"/>
                </w:rPr>
                <w:t>31</w:t>
              </w:r>
            </w:hyperlink>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2000" w:type="dxa"/>
            <w:vAlign w:val="bottom"/>
            <w:tcBorders>
              <w:bottom w:val="single" w:sz="8" w:color="0000FF"/>
            </w:tcBorders>
            <w:gridSpan w:val="6"/>
          </w:tcPr>
          <w:p>
            <w:pPr>
              <w:spacing w:after="0"/>
              <w:rPr>
                <w:rFonts w:ascii="Arial" w:cs="Arial" w:eastAsia="Arial" w:hAnsi="Arial"/>
                <w:sz w:val="18"/>
                <w:szCs w:val="18"/>
                <w:b w:val="1"/>
                <w:bCs w:val="1"/>
                <w:color w:val="0000FF"/>
                <w:w w:val="99"/>
              </w:rPr>
            </w:pPr>
            <w:hyperlink w:anchor="page32">
              <w:r>
                <w:rPr>
                  <w:rFonts w:ascii="Arial" w:cs="Arial" w:eastAsia="Arial" w:hAnsi="Arial"/>
                  <w:sz w:val="18"/>
                  <w:szCs w:val="18"/>
                  <w:b w:val="1"/>
                  <w:bCs w:val="1"/>
                  <w:color w:val="0000FF"/>
                  <w:w w:val="99"/>
                </w:rPr>
                <w:t>LEGAL PROCEEDINGS</w:t>
              </w:r>
            </w:hyperlink>
          </w:p>
        </w:tc>
        <w:tc>
          <w:tcPr>
            <w:tcW w:w="770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31</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700" w:type="dxa"/>
            <w:vAlign w:val="bottom"/>
            <w:gridSpan w:val="15"/>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RISK FACTORS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31</w:t>
              </w:r>
            </w:hyperlink>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400" w:type="dxa"/>
            <w:vAlign w:val="bottom"/>
            <w:tcBorders>
              <w:bottom w:val="single" w:sz="8" w:color="0000FF"/>
            </w:tcBorders>
            <w:gridSpan w:val="12"/>
          </w:tcPr>
          <w:p>
            <w:pPr>
              <w:spacing w:after="0"/>
              <w:rPr>
                <w:rFonts w:ascii="Arial" w:cs="Arial" w:eastAsia="Arial" w:hAnsi="Arial"/>
                <w:sz w:val="18"/>
                <w:szCs w:val="18"/>
                <w:b w:val="1"/>
                <w:bCs w:val="1"/>
                <w:color w:val="0000FF"/>
                <w:w w:val="98"/>
              </w:rPr>
            </w:pPr>
            <w:hyperlink w:anchor="page32">
              <w:r>
                <w:rPr>
                  <w:rFonts w:ascii="Arial" w:cs="Arial" w:eastAsia="Arial" w:hAnsi="Arial"/>
                  <w:sz w:val="18"/>
                  <w:szCs w:val="18"/>
                  <w:b w:val="1"/>
                  <w:bCs w:val="1"/>
                  <w:color w:val="0000FF"/>
                  <w:w w:val="98"/>
                </w:rPr>
                <w:t>UNREGISTERED SALES OF EQUITY SECURITIES AND USE OF PROCEEDS</w:t>
              </w:r>
            </w:hyperlink>
          </w:p>
        </w:tc>
        <w:tc>
          <w:tcPr>
            <w:tcW w:w="3300" w:type="dxa"/>
            <w:vAlign w:val="bottom"/>
            <w:gridSpan w:val="3"/>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31</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3360" w:type="dxa"/>
            <w:vAlign w:val="bottom"/>
            <w:tcBorders>
              <w:bottom w:val="single" w:sz="8" w:color="0000FF"/>
            </w:tcBorders>
            <w:gridSpan w:val="11"/>
          </w:tcPr>
          <w:p>
            <w:pPr>
              <w:spacing w:after="0"/>
              <w:rPr>
                <w:rFonts w:ascii="Arial" w:cs="Arial" w:eastAsia="Arial" w:hAnsi="Arial"/>
                <w:sz w:val="18"/>
                <w:szCs w:val="18"/>
                <w:b w:val="1"/>
                <w:bCs w:val="1"/>
                <w:color w:val="0000FF"/>
                <w:w w:val="98"/>
              </w:rPr>
            </w:pPr>
            <w:hyperlink w:anchor="page32">
              <w:r>
                <w:rPr>
                  <w:rFonts w:ascii="Arial" w:cs="Arial" w:eastAsia="Arial" w:hAnsi="Arial"/>
                  <w:sz w:val="18"/>
                  <w:szCs w:val="18"/>
                  <w:b w:val="1"/>
                  <w:bCs w:val="1"/>
                  <w:color w:val="0000FF"/>
                  <w:w w:val="98"/>
                </w:rPr>
                <w:t>DEFAULTS UPON SENIOR SECURITIES</w:t>
              </w:r>
            </w:hyperlink>
          </w:p>
        </w:tc>
        <w:tc>
          <w:tcPr>
            <w:tcW w:w="634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31</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9700" w:type="dxa"/>
            <w:vAlign w:val="bottom"/>
            <w:gridSpan w:val="15"/>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MINE SAFETY DISCLOSURES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31</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2560" w:type="dxa"/>
            <w:vAlign w:val="bottom"/>
            <w:tcBorders>
              <w:top w:val="single" w:sz="8" w:color="0000FF"/>
            </w:tcBorders>
            <w:gridSpan w:val="9"/>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OTHER INFORMATION</w:t>
              </w:r>
            </w:hyperlink>
          </w:p>
        </w:tc>
        <w:tc>
          <w:tcPr>
            <w:tcW w:w="7140" w:type="dxa"/>
            <w:vAlign w:val="bottom"/>
            <w:gridSpan w:val="6"/>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31</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880" w:type="dxa"/>
            <w:vAlign w:val="bottom"/>
            <w:tcBorders>
              <w:top w:val="single" w:sz="8" w:color="0000FF"/>
              <w:bottom w:val="single" w:sz="8" w:color="0000FF"/>
            </w:tcBorders>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EXHIBITS</w:t>
              </w:r>
            </w:hyperlink>
          </w:p>
        </w:tc>
        <w:tc>
          <w:tcPr>
            <w:tcW w:w="1140" w:type="dxa"/>
            <w:vAlign w:val="bottom"/>
            <w:tcBorders>
              <w:top w:val="single" w:sz="8" w:color="0000FF"/>
            </w:tcBorders>
            <w:gridSpan w:val="6"/>
          </w:tcPr>
          <w:p>
            <w:pPr>
              <w:spacing w:after="0"/>
              <w:rPr>
                <w:sz w:val="24"/>
                <w:szCs w:val="24"/>
                <w:color w:val="auto"/>
              </w:rPr>
            </w:pPr>
          </w:p>
        </w:tc>
        <w:tc>
          <w:tcPr>
            <w:tcW w:w="7680" w:type="dxa"/>
            <w:vAlign w:val="bottom"/>
            <w:gridSpan w:val="8"/>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35">
              <w:r>
                <w:rPr>
                  <w:rFonts w:ascii="Arial" w:cs="Arial" w:eastAsia="Arial" w:hAnsi="Arial"/>
                  <w:sz w:val="18"/>
                  <w:szCs w:val="18"/>
                  <w:b w:val="1"/>
                  <w:bCs w:val="1"/>
                  <w:color w:val="0000FF"/>
                  <w:w w:val="79"/>
                </w:rPr>
                <w:t>35</w:t>
              </w:r>
            </w:hyperlink>
          </w:p>
        </w:tc>
      </w:tr>
      <w:tr>
        <w:trPr>
          <w:trHeight w:val="723"/>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0" w:type="dxa"/>
            <w:vAlign w:val="bottom"/>
            <w:gridSpan w:val="12"/>
          </w:tcPr>
          <w:p>
            <w:pPr>
              <w:ind w:left="4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607"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4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3"/>
                <w:szCs w:val="13"/>
                <w:color w:val="auto"/>
              </w:rPr>
            </w:pPr>
          </w:p>
        </w:tc>
        <w:tc>
          <w:tcPr>
            <w:tcW w:w="1220" w:type="dxa"/>
            <w:vAlign w:val="bottom"/>
          </w:tcPr>
          <w:p>
            <w:pPr>
              <w:jc w:val="right"/>
              <w:ind w:right="351"/>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6"/>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488,979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484,368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839,647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1,077,315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114,036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95,980</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1,442,662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1,657,663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191,079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217,576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223,834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1,187,715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1,188,004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67,485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54,211</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3,090,078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3,314,791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46,500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443,951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396,407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357,872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70,123</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969,054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914,446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1,691,088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922,925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310,402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292,235</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2,970,544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2,129,606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132,209,076 shares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6"/>
              </w:rPr>
              <w:t>September 30, 2012 and 128,726,324 shares at March 31, 2012; outstanding, 131,819,755 shares at</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September 30, 2012 and 128,392,549 shares at March 31, 2012</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 2,401,854 shares at September 30, 2012 and 2,487,125 shares at March 31, 2012</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outstanding, 1,401,803 shares at September 30, 2012 and 1,533,020 shares at March 31, 2012</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8,942,319 shares at September 30, 2012 and 10,140,067 shares at March 31, 2012</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5"/>
              </w:rPr>
              <w:t>Treasury stock, at cost — 389,321 shares at September 30, 2012 and 333,775 shares at March 31, 2012</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898,541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38,473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299,379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119,534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1,185,185</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3,090,078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3,314,791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ind w:right="119"/>
        <w:spacing w:after="0" w:line="384" w:lineRule="auto"/>
        <w:rPr>
          <w:sz w:val="20"/>
          <w:szCs w:val="20"/>
          <w:color w:val="auto"/>
        </w:rPr>
      </w:pPr>
      <w:r>
        <w:rPr>
          <w:rFonts w:ascii="Arial" w:cs="Arial" w:eastAsia="Arial" w:hAnsi="Arial"/>
          <w:sz w:val="18"/>
          <w:szCs w:val="18"/>
          <w:b w:val="1"/>
          <w:bCs w:val="1"/>
          <w:color w:val="auto"/>
        </w:rPr>
        <w:t>BOOZ ALLEN HAMILTON HOLDING CORPORATION CONDENSED CONSOLIDATED STATEMENTS OF OPERATIONS (UNAUDITED)</w:t>
      </w:r>
    </w:p>
    <w:tbl>
      <w:tblPr>
        <w:tblLayout w:type="fixed"/>
        <w:tblInd w:w="0" w:type="dxa"/>
        <w:tblCellMar>
          <w:top w:w="0" w:type="dxa"/>
          <w:left w:w="0" w:type="dxa"/>
          <w:bottom w:w="0" w:type="dxa"/>
          <w:right w:w="0" w:type="dxa"/>
        </w:tblCellMar>
      </w:tblPr>
      <w:tr>
        <w:trPr>
          <w:trHeight w:val="150"/>
        </w:trPr>
        <w:tc>
          <w:tcPr>
            <w:tcW w:w="4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3"/>
                <w:szCs w:val="13"/>
                <w:color w:val="auto"/>
              </w:rPr>
            </w:pPr>
          </w:p>
        </w:tc>
        <w:tc>
          <w:tcPr>
            <w:tcW w:w="1720" w:type="dxa"/>
            <w:vAlign w:val="bottom"/>
            <w:gridSpan w:val="3"/>
          </w:tcPr>
          <w:p>
            <w:pPr>
              <w:jc w:val="center"/>
              <w:ind w:left="474"/>
              <w:spacing w:after="0" w:line="150" w:lineRule="exact"/>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40" w:type="dxa"/>
            <w:vAlign w:val="bottom"/>
          </w:tcPr>
          <w:p>
            <w:pPr>
              <w:spacing w:after="0"/>
              <w:rPr>
                <w:sz w:val="13"/>
                <w:szCs w:val="13"/>
                <w:color w:val="auto"/>
              </w:rPr>
            </w:pPr>
          </w:p>
        </w:tc>
        <w:tc>
          <w:tcPr>
            <w:tcW w:w="2600" w:type="dxa"/>
            <w:vAlign w:val="bottom"/>
            <w:gridSpan w:val="4"/>
          </w:tcPr>
          <w:p>
            <w:pPr>
              <w:jc w:val="center"/>
              <w:ind w:right="25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40" w:type="dxa"/>
            <w:vAlign w:val="bottom"/>
          </w:tcPr>
          <w:p>
            <w:pPr>
              <w:spacing w:after="0"/>
              <w:rPr>
                <w:sz w:val="16"/>
                <w:szCs w:val="16"/>
                <w:color w:val="auto"/>
              </w:rPr>
            </w:pPr>
          </w:p>
        </w:tc>
        <w:tc>
          <w:tcPr>
            <w:tcW w:w="26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1,387,650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1,429,044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2,820,074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2,875,880</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702,066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715,642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1,429,436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1,442,473</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353,444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380,911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731,904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773,101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212,498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405,853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432,125</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18,536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36,116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36,394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1,285,621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1,335,379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2,603,309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2,684,093</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102,029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216,765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191,787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(24,488)</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179,882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170,908</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30,759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10,190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71,821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108,061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126,468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Dividends declared per share</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823" w:right="1440" w:bottom="1440" w:gutter="0" w:footer="0" w:header="0"/>
        </w:sectPr>
      </w:pPr>
    </w:p>
    <w:bookmarkStart w:id="4" w:name="page5"/>
    <w:bookmarkEnd w:id="4"/>
    <w:p>
      <w:pPr>
        <w:jc w:val="center"/>
        <w:spacing w:after="0" w:line="384"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0"/>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3"/>
                <w:szCs w:val="13"/>
                <w:color w:val="auto"/>
              </w:rPr>
            </w:pPr>
          </w:p>
        </w:tc>
        <w:tc>
          <w:tcPr>
            <w:tcW w:w="1760" w:type="dxa"/>
            <w:vAlign w:val="bottom"/>
            <w:gridSpan w:val="3"/>
          </w:tcPr>
          <w:p>
            <w:pPr>
              <w:jc w:val="center"/>
              <w:ind w:left="500"/>
              <w:spacing w:after="0" w:line="150" w:lineRule="exact"/>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3"/>
                <w:szCs w:val="13"/>
                <w:color w:val="auto"/>
              </w:rPr>
            </w:pPr>
          </w:p>
        </w:tc>
      </w:tr>
      <w:tr>
        <w:trPr>
          <w:trHeight w:val="192"/>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4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(Amounts in thousands)</w:t>
            </w:r>
          </w:p>
        </w:tc>
        <w:tc>
          <w:tcPr>
            <w:tcW w:w="340" w:type="dxa"/>
            <w:vAlign w:val="bottom"/>
          </w:tcPr>
          <w:p>
            <w:pPr>
              <w:spacing w:after="0"/>
              <w:rPr>
                <w:sz w:val="21"/>
                <w:szCs w:val="21"/>
                <w:color w:val="auto"/>
              </w:rPr>
            </w:pPr>
          </w:p>
        </w:tc>
        <w:tc>
          <w:tcPr>
            <w:tcW w:w="266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46,116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108,061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126,468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215</w:t>
            </w:r>
          </w:p>
        </w:tc>
      </w:tr>
      <w:tr>
        <w:trPr>
          <w:trHeight w:val="27"/>
        </w:trPr>
        <w:tc>
          <w:tcPr>
            <w:tcW w:w="4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46,497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108,541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126,683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40"/>
          </w:cols>
          <w:pgMar w:left="240" w:top="661" w:right="1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108,061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126,468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Gain on sale of state and local transportation business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Transaction costs on sale of state and local transportation business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36,394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Amortization of original issuance discount on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 on disposition of property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237,668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71,045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(49,198)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(28,116)</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389,748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177,117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state and local transportation business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23,332</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Dividend equivalents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proceeds from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1,710,143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163,589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484,368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192,631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488,979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356,220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17,622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17,085</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50,072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66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661" w:right="239" w:bottom="1440" w:gutter="0" w:footer="0" w:header="0"/>
          <w:type w:val="continuous"/>
        </w:sectPr>
      </w:pPr>
    </w:p>
    <w:bookmarkStart w:id="6" w:name="page7"/>
    <w:bookmarkEnd w:id="6"/>
    <w:p>
      <w:pPr>
        <w:ind w:left="344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 or unless otherwise noted)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services primarily to the U.S. government and its agencies in the defense, intelligence, and civil markets. The Company offers clients functional knowledge spanning strategy and organization, analytics, technology, and operations, which it combines with specialized expertise in clients’ mission and domain areas to help solve critical problems. The Company reports operating results and financial data in one operating segment. The Company is headquartered in McLean, Virginia, with approximately 24,000 employees as of September 30,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prepared the unaudited condensed consolidated financial statements in this Quarterly Report on Form 10-Q, or Quarterly Report, in accordance with accounting principles generally accepted in the United States, or GAAP, for interim financial information and with the instructions to Form 10-Q and Article 10 of Regulation S-X. As a result, certain information and footnote disclosures normally included in financial statements prepared in accordance with GAAP have been condensed or omitted. The Company followed the accounting policies used and disclosed in the consolidated financial statements included in the Annual Report on Form 10-K for the fiscal year ended March 31, 2012 filed with the Securities and Exchange Commission on May 30, 2012, or Annual Report. The Company’s fiscal year ends on March 31 and unless otherwise noted, references to fiscal year or fiscal are for fiscal years ended March 31.</w:t>
      </w:r>
    </w:p>
    <w:p>
      <w:pPr>
        <w:spacing w:after="0" w:line="13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six months ended September 30, 2012 are not necessarily indicative of results to be expected for the full fiscal year.</w:t>
      </w:r>
    </w:p>
    <w:p>
      <w:pPr>
        <w:spacing w:after="0" w:line="12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Recent accounting pronouncements issued by the FASB during the three months ended September 30, 2012 and through the filing date did not or are not believed by management to have a material impact on the Company's present or historical condensed consolidated financial statements.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9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 Unvested Class A Restricted Common Stock and unvested Class C Restricted Common Stock holders are entitled to participate in dividends or other distributions. These unvested shares participated in the Company's dividends declared and paid in the first and second quarters of fiscal 2013, and as such, EPS is calculated using the two-class method,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64" w:right="279" w:bottom="1440" w:gutter="0" w:footer="0" w:header="0"/>
        </w:sectPr>
      </w:pPr>
    </w:p>
    <w:bookmarkStart w:id="7" w:name="page8"/>
    <w:bookmarkEnd w:id="7"/>
    <w:p>
      <w:pPr>
        <w:ind w:right="160"/>
        <w:spacing w:after="0" w:line="264" w:lineRule="auto"/>
        <w:rPr>
          <w:sz w:val="20"/>
          <w:szCs w:val="20"/>
          <w:color w:val="auto"/>
        </w:rPr>
      </w:pPr>
      <w:r>
        <w:rPr>
          <w:rFonts w:ascii="Arial" w:cs="Arial" w:eastAsia="Arial" w:hAnsi="Arial"/>
          <w:sz w:val="18"/>
          <w:szCs w:val="18"/>
          <w:color w:val="auto"/>
        </w:rPr>
        <w:t>whereby earnings are reduced by the dividends declared and paid to the restricted shareholders. No such dividends were paid in the first and second quarters of fiscal 2012, as such EPS is calculated using the treasury stock method. A reconciliation of the income used to compute basic and diluted EPS for the periods presented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54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254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9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99,205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126,468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5"/>
              </w:rPr>
              <w:t>129,686,292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w w:val="93"/>
              </w:rPr>
              <w:t>125,883,669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w w:val="93"/>
              </w:rPr>
              <w:t>128,809,548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w w:val="99"/>
              </w:rPr>
              <w:t>124,432,403</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Class B Non-Voting Common Stock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2,431,003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2,833,324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2,452,728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2,929,808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1,319,600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1,739,986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1,358,210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1,863,790</w:t>
            </w: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Total weighted-average common shares outstanding for basic computations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133,436,895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130,456,979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132,620,486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129,226,001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Earnings for diluted computations (a)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38,511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75,332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99,205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126,468</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10,812,267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10,802,985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11,027,991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11,374,985</w:t>
            </w: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w w:val="95"/>
              </w:rPr>
              <w:t>Average number of common shares outstanding for diluted computations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144,249,162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141,259,964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3"/>
              </w:rPr>
              <w:t>143,648,477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140,600,986</w:t>
            </w: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0.98</w:t>
            </w:r>
          </w:p>
        </w:tc>
      </w:tr>
      <w:tr>
        <w:trPr>
          <w:trHeight w:val="67"/>
        </w:trPr>
        <w:tc>
          <w:tcPr>
            <w:tcW w:w="59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59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8"/>
        <w:spacing w:after="0" w:line="342"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three and six months ended September 30, 2012 approximately 1.2 million participating securities were paid dividends totaling $7.6 million and $8.9 million, respectively, that comprises the difference from net income presented on the condensed consolidated statements of operations.</w:t>
      </w:r>
    </w:p>
    <w:p>
      <w:pPr>
        <w:spacing w:after="0" w:line="286"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 the EPS calculation for the three and six months ended September 30, 2012, 219,000 and 13,000 options, respectively, were not included in the EPS calculation as their impact was anti-dilutive. For the three and six months ended September 30, 2011, 2.2 million options were not included in the EPS calculation as their impact was anti-dilutive.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331,169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436,314</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641,800</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1,077,315</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 related to retainage and holdbacks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24,163</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859,174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1,101,478</w:t>
            </w:r>
          </w:p>
        </w:tc>
      </w:tr>
      <w:tr>
        <w:trPr>
          <w:trHeight w:val="27"/>
        </w:trPr>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recognized a provision for doubtful accounts of $150,000 and $2.3 million for the three months ended September 30, 2012 and 2011, respectively, and $890,000 and $2.9 million for the six months ended September 30, 2012 and 2011, respectively. Long-term unbilled receivables related to retainage, holdbacks, and long-term rate settlements to be billed at contract closeout are included in other long-term assets as accounts receivable in the accompanying condensed consolidated balance sheets.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5. ACCRUED COMPENSATION AND BENEFITS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83,464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134,256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86,723</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143,154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10)</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59,388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8,936</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35,595</w:t>
            </w: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396,407</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357,872</w:t>
            </w:r>
          </w:p>
        </w:tc>
      </w:tr>
      <w:tr>
        <w:trPr>
          <w:trHeight w:val="27"/>
        </w:trPr>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Total accrued compensation and benefits includes a restructuring liability of $3.7 million at September 30, 2012 and $11.1 million at March 31, 2012, respectively.</w:t>
      </w:r>
    </w:p>
    <w:p>
      <w:pPr>
        <w:sectPr>
          <w:pgSz w:w="11900" w:h="16838" w:orient="portrait"/>
          <w:cols w:equalWidth="0" w:num="1">
            <w:col w:w="11420"/>
          </w:cols>
          <w:pgMar w:left="240" w:top="36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Tranche A Loans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Tranche B Loans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Less: Current portion of long-term debt</w:t>
      </w:r>
    </w:p>
    <w:p>
      <w:pPr>
        <w:spacing w:after="0" w:line="63"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Long-term debt, net of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2012</w:t>
            </w:r>
          </w:p>
        </w:tc>
      </w:tr>
      <w:tr>
        <w:trPr>
          <w:trHeight w:val="152"/>
        </w:trPr>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Pr>
          <w:p>
            <w:pPr>
              <w:spacing w:after="0"/>
              <w:rPr>
                <w:sz w:val="16"/>
                <w:szCs w:val="16"/>
                <w:color w:val="auto"/>
              </w:rPr>
            </w:pPr>
          </w:p>
        </w:tc>
        <w:tc>
          <w:tcPr>
            <w:tcW w:w="1220" w:type="dxa"/>
            <w:vAlign w:val="bottom"/>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000" w:type="dxa"/>
            <w:vAlign w:val="bottom"/>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43"/>
        </w:trPr>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724,165</w:t>
            </w: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472,870</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1,013,423</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3.75%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492,555</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1,737,588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965,425</w:t>
            </w:r>
          </w:p>
        </w:tc>
      </w:tr>
      <w:tr>
        <w:trPr>
          <w:trHeight w:val="270"/>
        </w:trPr>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(46,500)</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(42,500)</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1,691,088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922,925</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-908685</wp:posOffset>
            </wp:positionV>
            <wp:extent cx="703199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18034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-556895</wp:posOffset>
            </wp:positionV>
            <wp:extent cx="703199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18034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-205105</wp:posOffset>
            </wp:positionV>
            <wp:extent cx="703199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18859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360" w:space="720"/>
            <w:col w:w="6340"/>
          </w:cols>
          <w:pgMar w:left="240" w:top="364" w:right="239" w:bottom="1440" w:gutter="0" w:footer="0" w:header="0"/>
          <w:type w:val="continuous"/>
        </w:sectPr>
      </w:pPr>
    </w:p>
    <w:p>
      <w:pPr>
        <w:ind w:right="240" w:firstLine="648"/>
        <w:spacing w:after="0" w:line="255" w:lineRule="auto"/>
        <w:rPr>
          <w:sz w:val="20"/>
          <w:szCs w:val="20"/>
          <w:color w:val="auto"/>
        </w:rPr>
      </w:pPr>
      <w:r>
        <w:rPr>
          <w:rFonts w:ascii="Arial" w:cs="Arial" w:eastAsia="Arial" w:hAnsi="Arial"/>
          <w:sz w:val="18"/>
          <w:szCs w:val="18"/>
          <w:color w:val="auto"/>
        </w:rPr>
        <w:t>On July 31, 2012, the Company consummated a recapitalization transaction, or Recapitalization Transaction, which included the refinancing and termination of the Company's existing senior secured credit agreement with the proceeds of the borrowings under the Company's new senior secured credit agreement, or Credit Agreement. The Credit Agreement provided the Company with a $725.0 million Term Loan A tranche and a $1,025.0 million Term Loan B tranche, and a $500.0 million revolving credit facility, with a sublimit for letters of credit of $100.0 million. The outstanding obligations under the Credit Agreement are secured by a security interest in substantially all of the assets of the Company, subject to certain exceptions set forth in the Credit Agreement and related documentation.</w:t>
      </w:r>
    </w:p>
    <w:p>
      <w:pPr>
        <w:spacing w:after="0" w:line="35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connection with the Recapitalization Transaction, the Company accelerated the amortization of ratable portions of the Debt Issuance Costs, or DIC, and Original Issuance Discount, or OID, associated with the prior senior secured term loan facilities and portions of the DIC and OID of the Credit Agreement that do not qualify for deferral of $7.2 million. These amounts are reflected in other expense, net in the three months ended September 30, 2012. Furthermore, the Company expensed third party debt issuance costs of $2.7 million that did not qualify for deferral, which are reflected in general and administrative costs in the three months ended September 30, 2012.</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Tranche A Loans, with annual incremental increases to 1.875%, 2.50%, 3.125%, and 13.0%, prior to the Tranche A Loans' maturity date of December 31, 2017, and 0.25% of the stated principal amount of Tranche B Loans, with the remaining balance payable on the Tranche B Loans' maturity date of July 31, 2019. The revolving credit facility matures on December 31, 2017, at which time any outstanding principal balance is due in full. As of September 30, 2012 and March 31, 2012, there were no amounts outstanding on the revolving credit facility.</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interest rate on borrowings under Tranche A is LIBOR plus 2.75%, and will range from 2.00% to 2.75% based on the Company's total leverage ratio. The interest rate on borrowings under Tranche B is LIBOR plus 3.5% with a 1% floor. The revolving credit facility margin and commitment fee are subject to the leveraged based pricing grid, as set forth in the Credit 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type w:val="continuous"/>
        </w:sectPr>
      </w:pPr>
    </w:p>
    <w:bookmarkStart w:id="9" w:name="page10"/>
    <w:bookmarkEnd w:id="9"/>
    <w:p>
      <w:pPr>
        <w:ind w:right="180" w:firstLine="648"/>
        <w:spacing w:after="0" w:line="259" w:lineRule="auto"/>
        <w:rPr>
          <w:sz w:val="20"/>
          <w:szCs w:val="20"/>
          <w:color w:val="auto"/>
        </w:rPr>
      </w:pPr>
      <w:r>
        <w:rPr>
          <w:rFonts w:ascii="Arial" w:cs="Arial" w:eastAsia="Arial" w:hAnsi="Arial"/>
          <w:sz w:val="18"/>
          <w:szCs w:val="18"/>
          <w:color w:val="auto"/>
        </w:rPr>
        <w:t>Prior to the Recapitalization Transaction, the Company maintained a senior secured credit agreement, as amended, with a syndicate of lenders. The senior secured credit agreement, as amended, provided for $1.0 billion in term loans ($500.0 million of Tranche A Loans and $500.0 million of Tranche B Loans) and a $275.0 million revolving credit facility. The loans under the senior secured credit agreement, as amended, were secured by substantially all of the Company’s assets.</w:t>
      </w:r>
    </w:p>
    <w:p>
      <w:pPr>
        <w:spacing w:after="0" w:line="13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$12.4 million and $4.6 million as of September 30, 2012 and March 31, 2012, respectively.</w:t>
      </w:r>
    </w:p>
    <w:p>
      <w:pPr>
        <w:spacing w:after="0" w:line="11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Both the Credit Agreement and the senior secured credit agreement, as amended, require the maintenance of certain financial and non-financial covenants. The loans under the Credit Agreement are secured by substantially all of our assets and none of such assets will be available to satisfy the claims of our general creditors. The Credit Agreement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September 30, 2012 and March 31, 2012, the Company was in compliance with all of its covenants.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effective income tax rate was 40.0% and 11.9% for the three months ended September 30, 2012 and 2011, respectively, and 39.9% and 26.0% for the six months ended September 30, 2012 and 2011, respectively. The three and six month effective tax rates of 40.0% and 39.9%, respectively, differ from the statutory rate of 35.0% due to state and foreign taxes and the effect of permanent rate differences, which primarily relate to meals and entertainment.</w:t>
      </w:r>
    </w:p>
    <w:p>
      <w:pPr>
        <w:spacing w:after="0" w:line="13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is also subject to taxes imposed by various taxing authorities including state and foreign jurisdictions. Tax years related to state and foreign jurisdictions that remain open and subject to examination are not considered to be material, or will be indemnified under the merger agreement as described in the Company's Annual Report.</w:t>
      </w:r>
    </w:p>
    <w:p>
      <w:pPr>
        <w:spacing w:after="0" w:line="177" w:lineRule="exact"/>
        <w:rPr>
          <w:sz w:val="20"/>
          <w:szCs w:val="20"/>
          <w:color w:val="auto"/>
        </w:rPr>
      </w:pPr>
    </w:p>
    <w:p>
      <w:pPr>
        <w:ind w:left="340" w:right="8740" w:hanging="332"/>
        <w:spacing w:after="0" w:line="346" w:lineRule="auto"/>
        <w:tabs>
          <w:tab w:leader="none" w:pos="19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spacing w:after="0" w:line="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recognized under ECAP for the three months ended September 30, 2012 and 2011 was $59.3 million and $55.5 million, respectively, and $118.8 million and $114.7 million for the six months ended September 30, 2012 and 2011, respectively. The Company-paid contributions for the three months ended September 30, 2012 and 2011 were $30.0 million and $28.3 million, respectively, and $71.3 million and $70.0 million for the six months ended September 30, 2012 and 2011, respectively.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maintains and administers a postretirement medical plan and a defined benefit retirement plan for current, retired, and resigned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33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Six Months Ended</w:t>
            </w:r>
          </w:p>
        </w:tc>
        <w:tc>
          <w:tcPr>
            <w:tcW w:w="940" w:type="dxa"/>
            <w:vAlign w:val="bottom"/>
          </w:tcPr>
          <w:p>
            <w:pPr>
              <w:spacing w:after="0"/>
              <w:rPr>
                <w:sz w:val="14"/>
                <w:szCs w:val="14"/>
                <w:color w:val="auto"/>
              </w:rPr>
            </w:pPr>
          </w:p>
        </w:tc>
      </w:tr>
      <w:tr>
        <w:trPr>
          <w:trHeight w:val="192"/>
        </w:trPr>
        <w:tc>
          <w:tcPr>
            <w:tcW w:w="3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36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1,956</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1,493</w:t>
            </w:r>
          </w:p>
        </w:tc>
      </w:tr>
      <w:tr>
        <w:trPr>
          <w:trHeight w:val="27"/>
        </w:trPr>
        <w:tc>
          <w:tcPr>
            <w:tcW w:w="3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postretirement medical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1,724</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3,449</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September 30, 2012 and March 31, 2012, the unfunded status of the Officer Medical Plan was $66.6 million and $63.6 million, respectively, which is included in other long-term liabilities in the accompanying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0" w:name="page11"/>
    <w:bookmarkEnd w:id="10"/>
    <w:p>
      <w:pPr>
        <w:ind w:right="160" w:firstLine="648"/>
        <w:spacing w:after="0" w:line="302" w:lineRule="auto"/>
        <w:rPr>
          <w:sz w:val="20"/>
          <w:szCs w:val="20"/>
          <w:color w:val="auto"/>
        </w:rPr>
      </w:pPr>
      <w:r>
        <w:rPr>
          <w:rFonts w:ascii="Arial" w:cs="Arial" w:eastAsia="Arial" w:hAnsi="Arial"/>
          <w:sz w:val="16"/>
          <w:szCs w:val="16"/>
          <w:color w:val="auto"/>
        </w:rPr>
        <w:t>Total expense for the Company’s Retired Officers’ Bonus Plan was $186,000 and $217,000 for the three months ended September 30, 2012 and 2011, respectively, and $371,000 and $434,000 for the six months ended September 30, 2012 and 2011, respectively. The Retired Officers’ Bonus Plan is an unfunded plan and contributions are made as benefits are paid. As of September 30, 2012 and March 31, 2012, the accumulated liability of $4.8 million and $4.6 million, respectively, is included in other long-term liabilities in the accompanying condensed consolidated balance sheets is unfunded.</w:t>
      </w:r>
    </w:p>
    <w:p>
      <w:pPr>
        <w:spacing w:after="0" w:line="150" w:lineRule="exact"/>
        <w:rPr>
          <w:sz w:val="20"/>
          <w:szCs w:val="20"/>
          <w:color w:val="auto"/>
        </w:rPr>
      </w:pPr>
    </w:p>
    <w:p>
      <w:pPr>
        <w:ind w:left="340" w:right="8900" w:hanging="332"/>
        <w:spacing w:after="0" w:line="346" w:lineRule="auto"/>
        <w:tabs>
          <w:tab w:leader="none" w:pos="19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Non-Voting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2011</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122,784,835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3,053,130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2,028,270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12,348,860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1,080,245</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3,799,989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(2,208,793)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1,061,255</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(566,005)</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(495,250)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(1)</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333,775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2012</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128,726,324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2,487,125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1,533,020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10,140,067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333,775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950,268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2,315,996</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(1,197,748)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216,488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(85,271)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55,546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132,209,076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2,401,854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1,401,803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8,942,319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389,321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40" w:hanging="652"/>
        <w:spacing w:after="0" w:line="27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shares repurchased during the three months ended September 30, 2011 associated with the share surrender program that was limited to Rollover Options (defined below) that were required to be exercised between June 30, 2011 and September 15, 2011.</w:t>
      </w:r>
    </w:p>
    <w:p>
      <w:pPr>
        <w:ind w:left="66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shares repurchased on July 2, 2012 to cover for the withholding taxes on restricted stock awards that vested on June 30, 2012.</w:t>
      </w:r>
    </w:p>
    <w:p>
      <w:pPr>
        <w:spacing w:after="0" w:line="16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quarterly offering period that closed on September 30, 2012, 122,004 Class A Common Stock shares were purchased by employees under the ESPP. As of the program's inception, 786,805 shares have been purchased by employees.</w:t>
      </w:r>
    </w:p>
    <w:p>
      <w:pPr>
        <w:spacing w:after="0" w:line="10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July 30, 2012 our Board of Directors authorized and declared a special cash dividend of $6.50 per share and a regular quarterly cash dividend in the amount of $0.09 per share. Both the special dividend and quarterly dividends were paid on August 31, 2012. The dividends were accounted for on July 31, 2012, the declaration date, by reducing retained earnings to zero with the remainder being recorded as a reduction to additional paid-in capital. The total payout of the dividend has been presented as a financing activity within the Condensed Consolidated Statement of Cash Flows. Additionally, the Company paid $9.0 million to holders of Rollover Options (described below in Note 10) and $28.7 million to holders of Amended and Restated Equity Incentive Plan, or EIP, Options (described below in Note 10.) The $37.7 million is presented as a financing activity within the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10. STOCK-BASED COMPENSATION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35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44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92"/>
        </w:trPr>
        <w:tc>
          <w:tcPr>
            <w:tcW w:w="34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34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5,437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5,558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10,272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13,179</w:t>
            </w:r>
          </w:p>
        </w:tc>
      </w:tr>
      <w:tr>
        <w:trPr>
          <w:trHeight w:val="27"/>
        </w:trPr>
        <w:tc>
          <w:tcPr>
            <w:tcW w:w="3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7,605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7,771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18,448</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September 30, 2012, there was $30.3 million of total unrecognized compensation cost related to unvested stock-based compensation agreements. The unrecognized compensation cost as of September 30, 2012 is expected to be amortized over 4.75 years.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Officers’ Rollover Stock Plan</w:t>
      </w:r>
    </w:p>
    <w:p>
      <w:pPr>
        <w:spacing w:after="0" w:line="9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the three and six months ended September 30, 2012, 0 and 136,200 shares of Class C Restricted Common Stock, or Class C Restricted Stock, vested. Total compensation expense recorded in conjunction with all Class C Restricted Stock for the three months ended September 30, 2012 and 2011 was $59,000 and $148,000, respectively, and $192,000 and $740,000 for the six months ended September 30, 2012 and 2011, respectively. Future compensation cost related to non-vested Class C Restricted Stock not yet recognized in the condensed consolidated statements of operations was $178,000, and is expected to be fully recognized by June 30, 2013.</w:t>
      </w:r>
    </w:p>
    <w:p>
      <w:pPr>
        <w:spacing w:after="0" w:line="2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portion of the old stock rights held by Booz Allen Hamilton Inc.’s U.S. government consulting partners issued under the stock rights plan that existed for Booz Allen Hamilton Inc.’s officers prior to the merger transaction, as described in the Company’s Annual Report, were exchanged for new options, or Rollover Options. As of September 30, 2012, there were 8,239,293 Rollover Options outstanding, of which 1,879,375 were unvested. Total compensation expense recorded in conjunction with all Rollover Options for the three months ended September 30, 2012 and 2011 was $578,000 and $2.0 million, respectively, and $1.8 million and $7.1 million for the six months ended September 30, 2012 and 2011, respectively. Future compensation cost related to non-vested Rollover Options not yet recognized in the condensed consolidated statements of operations was $1.7 million, and is expected to be fully recognized by June 30, 2013.</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9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August 2, 2012, 20,000 options were granted under the EIP. The estimated fair value of our Class A Common Stock on August 2, 2012 at the time of the option grant, was $17.32.</w:t>
      </w:r>
    </w:p>
    <w:p>
      <w:pPr>
        <w:spacing w:after="0" w:line="11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of September 30, 2012, there were 10,860,741 EIP options outstanding, of which 5,486,402 were unvested. Total compensation expense recorded in conjunction with EIP options for the three months ended September 30, 2012 and 2011 was $2.2 million and $3.1 million, respectively, and $6.4 million and $8.0 million for the six months ended September 30, 2012 and 2011, respectively. Future compensation cost related to non-vested EIP options not yet recognized in the condensed consolidated statements of operations was $15.5 million, and is expected to be recognized over 4.75 years.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Grants of Class A Restricted Common Stock</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June 29, 2012, the Board of Directors granted 674,456 shares of Class A Restricted Stock in conjunction with the Annual Incentive Plan adopted on October 1, 2010. The amount of the annual incentive payment was determined based on performance targets established by the Compensation Committee and a portion of the bonus was paid in the form of Class A Restricted Stock.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and the aggregate value was estimated at $10.3 million based on the stock price of $15.28 on the grant date. On August 2, 2012, the Board of Directors granted 24,251 shares of Class A Restricted Stock to certain members of the Board of Directors.</w:t>
      </w:r>
    </w:p>
    <w:p>
      <w:pPr>
        <w:spacing w:after="0" w:line="13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Total compensation expense recorded in conjunction with Class A Restricted Stock for the three and six months ended September 30, 2012 was $2.5 million and $3.8 million, respectively. Future compensation cost related to this award not yet recognized in the condensed consolidated statements of operations was $11.3 million and is expected to be recognized over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2.75 years.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May 29, 2012, our Board of Directors authorized and declared a regular quarterly cash dividend in the amount of $0.09 per share. In addition, the Board of Directors declared a special cash dividend of $1.50 per share. Both the quarterly and special dividend were paid on June 29, 2012 to stockholders of record on June 11, 2012. The Compensation Committee, as the Administrator of the Officers' Rollover Stock Plan and the EIP, made a required adjustment to the outstanding options under each plan by granting holders of the Rollover Options a cash payment equal to the amount of the special dividend on the options' mandatory exercise date and by granting the holders of EIP options a dividend equivalent equal to the special dividend and payable on June 29, 2012 or the vesting of the EIP option, whichever is later.</w:t>
      </w:r>
    </w:p>
    <w:p>
      <w:pPr>
        <w:spacing w:after="0" w:line="27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July 30, 2012, our Board of Directors authorized and declared a special cash dividend of $6.50 per share and a regular quarterly cash dividend in the amount of $0.09 per share. The dividends were paid on August 31, 2012 to stockholders of record on August 13, 2012 for the special cash dividend and August 14, 2012 for the regular quarterly cash dividend. The Board of Directors, as the Administrator of the Officers' Rollover Stock Plan and the EIP, made a determination to adjust the outstanding options under each plan.</w:t>
      </w:r>
    </w:p>
    <w:p>
      <w:pPr>
        <w:spacing w:after="0" w:line="26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Holders of the Rollover Options received a cash payment equal to the amount of the special dividend on the options' mandatory exercise date. On August 31, 2012, Rollover options holders received a dividend equivalent payment of $9.0 million related to the special dividend. Holders of EIP options with a pre-dividend exercise price less than $11.00 per share received a dividend equivalent equal to the amount of the special dividend payable on August 31, 2012 or the vesting of the EIP option, whichever is later. On August 31, 2012, vested outstanding EIP options received a dividend equivalent payment of $28.7 million related to the August 2012 special dividend. All other EIP options were adjusted, based on authorization from the Board of Directors, by reducing the exercise price by $6.36 which is equal to the difference between the pre-dividend closing fair market value of our Class A Common Stock and the post-dividend opening fair market value of our Class A Common Stock as noted on the New York Stock Exchange. Payment of the dividend equivalents and adjustments to option exercise prices were accounted for as modifications resulting in incremental benefit to the option holders resulting in additional compensation expense of $3.8 million. Total compensation expense recorded in conjunction with the payment of the dividend equivalent to holders of unvested EIP options for the six months ended September 30, 2012 was $2.2 million. Future compensation cost related to payment of the dividend equivalents to holders of EIP options not yet recognized in the statement of operations is $1.6 million and is expected to be recognized over 4.75 years.</w:t>
      </w:r>
    </w:p>
    <w:p>
      <w:pPr>
        <w:spacing w:after="0" w:line="254"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As of September 30, 2012 and March 31, 2012, the Company calculated a total recorded and unrecorded stock-based compensation liability of $119.3 million and $38.3 million, respectively, related to the special dividends paid in December 2009, June 2012, and August 2012, as follows: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w w:val="90"/>
              </w:rPr>
              <w:t>September 30, 2012</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2012</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Rollover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Rollover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EIP Options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Options</w:t>
            </w: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1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Current portion of liability</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8,939</w:t>
            </w:r>
          </w:p>
        </w:tc>
      </w:tr>
      <w:tr>
        <w:trPr>
          <w:trHeight w:val="270"/>
        </w:trPr>
        <w:tc>
          <w:tcPr>
            <w:tcW w:w="31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Long-term portion of liability</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45,223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45,223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27,724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27,724</w:t>
            </w: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13,311</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Included in accrued compensation and benefits (Note 5).</w:t>
      </w:r>
    </w:p>
    <w:p>
      <w:pPr>
        <w:spacing w:after="0" w:line="8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Included in other long-term liabilities.</w:t>
      </w:r>
    </w:p>
    <w:p>
      <w:pPr>
        <w:spacing w:after="0" w:line="29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September 30, 2012, $8.1 million related to Rollover Options and $6.6 million related to EIP Options will be recorded as liabilities as the related compensation expense is recognized over the next three quarters for Rollover Options and 4.75 years for EIP Options. As of March 31, 2012, there was a similar unrecognized liability of $1.6 million related to Rollover Options .</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2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fair value of the Company's cash and cash equivalents, trade accounts receivable, and accounts payable approximates its carrying value at September 30, 2012 and March 31, 2012 because of the short-term nature of these amounts. The fair value of the Company's debt instruments approximates its carrying value at September 30, 2012 and March 31, 2012.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fair value of debt is determined based on interest rates available for debt with terms and maturities similar to the Company's existing debt arrangements.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TRANSACTIONS</w:t>
      </w:r>
    </w:p>
    <w:p>
      <w:pPr>
        <w:spacing w:after="0" w:line="9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is an affiliate of Carlyle, and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September 30, 2012 were $195,000 and $185,000, respectively, and $345,000 and $329,000 for the six months ended September 30, 2012, respectively. Revenue and cost associated with these related parties for the three months ended September 30, 2011 were $343,000 and $305,000, respectively, and $946,000 and $852,000 for the six months ended September 30, 2011, respectively.</w:t>
      </w:r>
    </w:p>
    <w:p>
      <w:pPr>
        <w:spacing w:after="0" w:line="13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For the three months ended September 30, 2012 and 2011, the Company incurred $250,000 in advisory fees. For the six months ended September 30, 2012 and 2011, the Company incurred $500,000 in advisory fees.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July 2008 merger transaction, as described in the Company’s Annual Report, the Company assigned a total of nine leases to Booz &amp; Co. The facilities are located in New York, New York; Troy, Michigan; Florham Park, New Jersey; Parsippany, New Jersey; Houston, Texas; Chicago, Illinois; Cleveland, Ohio; Dallas, Texas; and London, England. Except for the Houston, Cleveland and Dallas leases, which expired, the Company remains liable under the terms of the original leases should Booz &amp; Co. default on its obligations. There were no events of default under these leases as of September 30, 2012 and March 31, 2012. The maximum potential amount of undiscounted future payments is $30.4 million, and the leases expire at different dates between February 2013 and March 2017. Based on the Company’s assessment of the likelihood of future payment, no amounts have been recorded related to the Company’s contingent liability on such leases.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For the three and six months ended September 30, 2012, approximately 99% of the Company’s revenue was generated from contracts with U.S. government agencies or other U.S. government contractors, and approximately 98% for the three and six months ended September 30, 2011.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2006. Audits of subsequent years may result in cost reductions and/or penalties. Management believes it has adequately reserved for any losses that may be experienced from any such reductions and/or penalties. As of September 30, 2012 and March 31, 2012, the Company has recorded a liability of approximately $143.7 million and $127.2 million, respectively, for its current best estimate of amounts to be refunded to customers for potential adjustments from such audits or reviews of contract costs incurred subsequent to fiscal year 2006.</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have a reasonably estimated outcome within that range,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Six former officers and stockholders who had departed the firm prior to the acquisition, as described in the Company’s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692" w:right="299" w:bottom="1440" w:gutter="0" w:footer="0" w:header="0"/>
        </w:sectPr>
      </w:pPr>
    </w:p>
    <w:bookmarkStart w:id="14" w:name="page15"/>
    <w:bookmarkEnd w:id="14"/>
    <w:p>
      <w:pPr>
        <w:ind w:right="20"/>
        <w:spacing w:after="0" w:line="269" w:lineRule="auto"/>
        <w:rPr>
          <w:sz w:val="20"/>
          <w:szCs w:val="20"/>
          <w:color w:val="auto"/>
        </w:rPr>
      </w:pPr>
      <w:r>
        <w:rPr>
          <w:rFonts w:ascii="Arial" w:cs="Arial" w:eastAsia="Arial" w:hAnsi="Arial"/>
          <w:sz w:val="17"/>
          <w:szCs w:val="17"/>
          <w:color w:val="auto"/>
        </w:rPr>
        <w:t>Annual Report,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As of September 30, 2012 and March 31, 2012, the aggregate alleged damages sought in the seven remaining suits was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31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October 16, 2012, the Company announced that it had entered into a definitive agreement to acquire the Defense Systems Engineering and Support, or DSES, division of ARINC Incorporated. The Company expects to complete the acquisition of 100% of the membership interests of the entity that owns DSES in the third quarter of fiscal 2013.</w:t>
      </w:r>
    </w:p>
    <w:p>
      <w:pPr>
        <w:spacing w:after="0" w:line="4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terms of the definitive agreement, the Company will pay approximately $154 million in cash to ARINC Incorporated. The acquisition of DSES will be accounted for under the purchase method of accounting which requires the total purchase consideration to be allocated to the assets acquired and liabilities assumed based on estimates of fair value. The excess of the purchase consideration over the amounts assigned to tangible and intangible assets acquired and liabilities assumed will be recognized as goodwill. Of the total transaction costs of $3.5 million to $4.0 million expected to be incurred during fiscal 2013, $2.6 million has been accrued and recognized as a component of general and administrative expenses as of September 30, 2012.</w:t>
      </w:r>
    </w:p>
    <w:p>
      <w:pPr>
        <w:spacing w:after="0" w:line="2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On October 29, 2012, our Board of Directors authorized and declared a regular quarterly cash dividend in the amount of $0.09 per share. The quarterly dividend is payable on November 30, 2012 to shareholders of record on November 13,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2012 filed with the Securities and Exchange Commission on May 30, 2012,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Our fiscal year ends March 31 and, unless otherwise noted, references to years or fiscal are for fiscal years ended March 31. See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 leading provider of management and technology consulting services to the U.S. government in the defense, intelligence, and civil markets. Additionally, we provide management and technology consulting services to major corporations, institutions, and not for profit organizations. As the needs of our clients have grown more complex, we have developed deep expertise in technology, engineering, and analytics. Leveraging our 98-year consulting heritage and a talent base of approximately 24,000 people, we deploy our deep domain knowledge, functional expertise, and experience to help our clients achieve their objectives.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w:t>
      </w:r>
    </w:p>
    <w:p>
      <w:pPr>
        <w:spacing w:after="0" w:line="12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a collaborative culture, supported by our operating model, which helps our professionals identify and respond to emerging trends across the markets we serve and deliver enduring results for our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decreased 2.9% from the three months ended September 30, 2011 to the three months ended September 30, 2012 and decreased 1.9% from the six months ended September 30, 2011 to the six months ended September 30, 2012, primarily due to a reduction in billable expenses and a lower rate of indirect costs to direct labor. Reductions in billable expenses and indirect costs have a direct correlation to the amount of revenue recognized on cost reimbursable contracts. The lower rate of indirect expenses is primarily attributable to the cost reduction actions the Company implemented in late fiscal 2012. The negative impact on revenue attributable to these two factors was partially offset by continued modest growth in direct consulting staff labor sold. Direct consulting staff labor represents our consulting staff’s labor under contracts for which we act as a prime contractor or subcontractor. Substantially all of our revenue and backlog is derived from services and solutions provided to client organizations across the U.S. government, primarily by our consulting staff and, to a lesser extent, our subcontractors. The mix of revenue generated by consulting staff and subcontractors affects our operating margin, substantially all of which is derived from direct consulting staff labor, as the portion of our revenue derived from fees we earn on services provided by our subcontractors is not significant.</w:t>
      </w:r>
    </w:p>
    <w:p>
      <w:pPr>
        <w:spacing w:after="0" w:line="14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Operating income grew 8.9% to $102.0 million in the three months ended September 30, 2012 from $93.7 million in the three months ended September 30, 2011, which reflects a 80 basis point increase in operating margin to 7.4% from 6.6% in the comparable periods. Operating income grew 13.0% to $216.8 million in the six months ended September 30, 2012 from $191.8 million in the six months ended September 30, 2011, which reflects a 100 basis point increase in operating margin to 7.7% from 6.7% in the comparable period. The improvement in operating margin was due to increased contract profitability due to disciplined cost management of indirect spending, as well as decreases in stock-based compensation costs and lower amortization of our intangible assets. The factors contributing to the increased operating margin were partially offset by increases in depreciation expense due to facility expansion in previous years, causing a higher increase in depreciation for fiscal 2013.</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provided by operations increased $212.6 million to $389.7 million from $177.1 million. The increase in cash provided by operations was a result of overall profitability of our contracts, our ability to invoice and collect from clients in a more timely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64" w:right="25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8"/>
          <w:szCs w:val="18"/>
          <w:color w:val="auto"/>
        </w:rPr>
        <w:t>manner, and our effective management of vendor payments. We experienced a higher than normal cash collection during the U.S. government's fiscal 2012 year end as U.S. government agencies were more aggressive in completing payment actions before the end of its fiscal year. This behavior was in part due to the U.S. Government's Office of Management and Budget's July 2012 temporary requirement to pay Department of Defense prime contractors within 15 days, which allows small business contractors and subcontractors to receive payments earlier. As a result, we experienced earlier receipt of monies than in the comparable prior year period.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200" w:lineRule="exact"/>
        <w:rPr>
          <w:sz w:val="20"/>
          <w:szCs w:val="20"/>
          <w:color w:val="auto"/>
        </w:rPr>
      </w:pPr>
    </w:p>
    <w:p>
      <w:pPr>
        <w:spacing w:after="0" w:line="244" w:lineRule="exact"/>
        <w:rPr>
          <w:sz w:val="20"/>
          <w:szCs w:val="20"/>
          <w:color w:val="auto"/>
        </w:rPr>
      </w:pPr>
    </w:p>
    <w:p>
      <w:pPr>
        <w:ind w:left="1300" w:right="40" w:hanging="644"/>
        <w:spacing w:after="0" w:line="302"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08" w:lineRule="exact"/>
        <w:rPr>
          <w:rFonts w:ascii="Arial" w:cs="Arial" w:eastAsia="Arial" w:hAnsi="Arial"/>
          <w:sz w:val="16"/>
          <w:szCs w:val="16"/>
          <w:color w:val="auto"/>
        </w:rPr>
      </w:pPr>
    </w:p>
    <w:p>
      <w:pPr>
        <w:ind w:left="1300" w:right="20" w:hanging="644"/>
        <w:spacing w:after="0" w:line="297"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212" w:lineRule="exact"/>
        <w:rPr>
          <w:rFonts w:ascii="Arial" w:cs="Arial" w:eastAsia="Arial" w:hAnsi="Arial"/>
          <w:sz w:val="16"/>
          <w:szCs w:val="16"/>
          <w:color w:val="auto"/>
        </w:rPr>
      </w:pPr>
    </w:p>
    <w:p>
      <w:pPr>
        <w:ind w:left="1300" w:right="140" w:hanging="644"/>
        <w:spacing w:after="0" w:line="293"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218"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7" w:name="page18"/>
    <w:bookmarkEnd w:id="17"/>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920" w:type="dxa"/>
            <w:vAlign w:val="bottom"/>
            <w:gridSpan w:val="3"/>
          </w:tcPr>
          <w:p>
            <w:pPr>
              <w:jc w:val="center"/>
              <w:ind w:left="632"/>
              <w:spacing w:after="0"/>
              <w:rPr>
                <w:sz w:val="20"/>
                <w:szCs w:val="20"/>
                <w:color w:val="auto"/>
              </w:rPr>
            </w:pPr>
            <w:r>
              <w:rPr>
                <w:rFonts w:ascii="Arial" w:cs="Arial" w:eastAsia="Arial" w:hAnsi="Arial"/>
                <w:sz w:val="14"/>
                <w:szCs w:val="14"/>
                <w:b w:val="1"/>
                <w:bCs w:val="1"/>
                <w:color w:val="auto"/>
                <w:w w:val="92"/>
              </w:rPr>
              <w:t>Six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632"/>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5"/>
              </w:rPr>
              <w:t>(Unaudited)</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gridSpan w:val="3"/>
          </w:tcPr>
          <w:p>
            <w:pPr>
              <w:jc w:val="center"/>
              <w:ind w:left="632"/>
              <w:spacing w:after="0"/>
              <w:rPr>
                <w:sz w:val="20"/>
                <w:szCs w:val="20"/>
                <w:color w:val="auto"/>
              </w:rPr>
            </w:pPr>
            <w:r>
              <w:rPr>
                <w:rFonts w:ascii="Arial" w:cs="Arial" w:eastAsia="Arial" w:hAnsi="Arial"/>
                <w:sz w:val="14"/>
                <w:szCs w:val="14"/>
                <w:b w:val="1"/>
                <w:bCs w:val="1"/>
                <w:color w:val="auto"/>
                <w:w w:val="97"/>
              </w:rPr>
              <w:t>(Unaudited)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102,029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93,665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216,765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191,787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6,259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80" w:type="dxa"/>
            <w:vAlign w:val="bottom"/>
          </w:tcPr>
          <w:p>
            <w:pPr>
              <w:ind w:left="7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109,345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100,030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229,607</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209,140</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EBITDA &amp; Adjusted EBITDA</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46,116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75,332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108,061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126,468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Interest and other, net</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25,154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36,883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20,879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36,394</w:t>
            </w:r>
          </w:p>
        </w:tc>
        <w:tc>
          <w:tcPr>
            <w:tcW w:w="0" w:type="dxa"/>
            <w:vAlign w:val="bottom"/>
          </w:tcPr>
          <w:p>
            <w:pPr>
              <w:spacing w:after="0"/>
              <w:rPr>
                <w:sz w:val="1"/>
                <w:szCs w:val="1"/>
                <w:color w:val="auto"/>
              </w:rPr>
            </w:pPr>
          </w:p>
        </w:tc>
      </w:tr>
      <w:tr>
        <w:trPr>
          <w:trHeight w:val="237"/>
        </w:trPr>
        <w:tc>
          <w:tcPr>
            <w:tcW w:w="4680" w:type="dxa"/>
            <w:vAlign w:val="bottom"/>
          </w:tcPr>
          <w:p>
            <w:pPr>
              <w:ind w:left="72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119,642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112,201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252,881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228,181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123,832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259,464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237,352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108,061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126,468</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6,259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Amortization or write-off of debt issuance costs and write-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 of original issue discount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9,826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9"/>
        </w:trPr>
        <w:tc>
          <w:tcPr>
            <w:tcW w:w="4680" w:type="dxa"/>
            <w:vAlign w:val="bottom"/>
          </w:tcPr>
          <w:p>
            <w:pPr>
              <w:ind w:left="380"/>
              <w:spacing w:after="0"/>
              <w:rPr>
                <w:sz w:val="20"/>
                <w:szCs w:val="20"/>
                <w:color w:val="auto"/>
              </w:rPr>
            </w:pPr>
            <w:r>
              <w:rPr>
                <w:rFonts w:ascii="Arial" w:cs="Arial" w:eastAsia="Arial" w:hAnsi="Arial"/>
                <w:sz w:val="18"/>
                <w:szCs w:val="18"/>
                <w:color w:val="auto"/>
                <w:w w:val="92"/>
              </w:rPr>
              <w:t>Net gain on sale of state and local transportation business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380"/>
              <w:spacing w:after="0"/>
              <w:rPr>
                <w:sz w:val="20"/>
                <w:szCs w:val="20"/>
                <w:color w:val="auto"/>
              </w:rPr>
            </w:pPr>
            <w:r>
              <w:rPr>
                <w:rFonts w:ascii="Arial" w:cs="Arial" w:eastAsia="Arial" w:hAnsi="Arial"/>
                <w:sz w:val="18"/>
                <w:szCs w:val="18"/>
                <w:color w:val="auto"/>
              </w:rPr>
              <w:t>(d)</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 of income tax reserves (e)</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(24,048)</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Adjustments for tax effect (f)</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55,682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121,661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108,591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Weighted-average number of diluted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144,249,162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141,259,964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143,648,477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140,600,986</w:t>
            </w:r>
          </w:p>
        </w:tc>
        <w:tc>
          <w:tcPr>
            <w:tcW w:w="0" w:type="dxa"/>
            <w:vAlign w:val="bottom"/>
          </w:tcPr>
          <w:p>
            <w:pPr>
              <w:spacing w:after="0"/>
              <w:rPr>
                <w:sz w:val="1"/>
                <w:szCs w:val="1"/>
                <w:color w:val="auto"/>
              </w:rPr>
            </w:pP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Adjusted Net Income Per Diluted Share (g)</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0.39</w:t>
            </w: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0.85</w:t>
            </w: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315,705</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123,273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389,748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177,117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(43,640)</w:t>
            </w:r>
          </w:p>
        </w:tc>
        <w:tc>
          <w:tcPr>
            <w:tcW w:w="0" w:type="dxa"/>
            <w:vAlign w:val="bottom"/>
          </w:tcPr>
          <w:p>
            <w:pPr>
              <w:spacing w:after="0"/>
              <w:rPr>
                <w:sz w:val="1"/>
                <w:szCs w:val="1"/>
                <w:color w:val="auto"/>
              </w:rPr>
            </w:pPr>
          </w:p>
        </w:tc>
      </w:tr>
      <w:tr>
        <w:trPr>
          <w:trHeight w:val="237"/>
        </w:trPr>
        <w:tc>
          <w:tcPr>
            <w:tcW w:w="468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305,299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97,234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375,373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133,477</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ectPr>
          <w:pgSz w:w="11900" w:h="16838" w:orient="portrait"/>
          <w:cols w:equalWidth="0" w:num="1">
            <w:col w:w="11400"/>
          </w:cols>
          <w:pgMar w:left="240" w:top="638" w:right="25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638" w:right="259" w:bottom="1440" w:gutter="0" w:footer="0" w:header="0"/>
          <w:type w:val="continuous"/>
        </w:sectPr>
      </w:pPr>
    </w:p>
    <w:bookmarkStart w:id="18" w:name="page19"/>
    <w:bookmarkEnd w:id="18"/>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Recapitalization Transaction consummated on July 31, 2012.</w:t>
      </w:r>
    </w:p>
    <w:p>
      <w:pPr>
        <w:spacing w:after="0" w:line="23" w:lineRule="exact"/>
        <w:rPr>
          <w:rFonts w:ascii="Arial" w:cs="Arial" w:eastAsia="Arial" w:hAnsi="Arial"/>
          <w:sz w:val="18"/>
          <w:szCs w:val="18"/>
          <w:color w:val="auto"/>
        </w:rPr>
      </w:pPr>
    </w:p>
    <w:p>
      <w:pPr>
        <w:ind w:left="660" w:right="44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and six months ended September 30, 2011 reflects the gain on sale of our state and local transportation business, net of the associated tax benefit of $1.6 million.</w:t>
      </w: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the release of income tax reserves.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9" w:lineRule="exact"/>
        <w:rPr>
          <w:rFonts w:ascii="Arial" w:cs="Arial" w:eastAsia="Arial" w:hAnsi="Arial"/>
          <w:sz w:val="18"/>
          <w:szCs w:val="18"/>
          <w:color w:val="auto"/>
        </w:rPr>
      </w:pPr>
    </w:p>
    <w:p>
      <w:pPr>
        <w:ind w:left="660" w:right="440" w:hanging="652"/>
        <w:spacing w:after="0" w:line="29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Excludes an adjustment of approximately $7.6 million and $8.9 million of net earnings for the three and six months ended September 30, 2012, respectively, associated with the application of the two-class method for computing diluted 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recent developments occurred after September 30, 2012, which may cause our future results of operations to differ from our historical results of operations discussed under “— Results of Operations.”</w:t>
      </w:r>
    </w:p>
    <w:p>
      <w:pPr>
        <w:spacing w:after="0" w:line="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16, 2012, the Company announced that it had entered into a definitive agreement to acquire the Defense Systems Engineering and Support, or DSES, division of ARINC Incorporated. The Company expects to complete the acquisition of 100% of the membership interests of the entity that owns DSES in the third quarter of fiscal 2013.</w:t>
      </w:r>
    </w:p>
    <w:p>
      <w:pPr>
        <w:spacing w:after="0" w:line="4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Pursuant to the terms of the definitive agreement, the Company will pay approximately $154 million in cash to ARINC Incorporated. The acquisition of DSES will be accounted for under the purchase method of accounting which requires the total purchase consideration to be allocated to the assets acquired and liabilities assumed based on estimates of fair value. The excess of the purchase consideration over the amounts assigned to tangible and intangible assets acquired and liabilities assumed will be recognized as goodwill. Of the total transaction costs of $3.5 million to $4.0 million expected to be incurred during fiscal 2013, $2.6 million has been accrued and recognized as a component of general and administrative expenses as of September 30, 2012.</w:t>
      </w:r>
    </w:p>
    <w:p>
      <w:pPr>
        <w:spacing w:after="0" w:line="2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October 29, 2012, our Board of Directors authorized and declared a regular quarterly cash dividend in the amount of $0.09 per share. The quarterly dividend is payable on November 30, 2012 to shareholders of record on November 13,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cutting and efficiency initiatives and other efforts to streamline the U.S. defense and intelligence infrastructure, including the initiatives implemented by the Secretary of Defense or reductions in defense budgets resulting from Congressional action;</w:t>
      </w:r>
    </w:p>
    <w:p>
      <w:pPr>
        <w:spacing w:after="0" w:line="116"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absence of Congressional action to the contrary, material reductions in defense budgets resulting from the commencement on January 2, 2013 of automatic sequestration as required under the Budget Control Act of 2011;</w:t>
      </w:r>
    </w:p>
    <w:p>
      <w:pPr>
        <w:spacing w:after="0" w:line="116"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completion of the U.S. government’s budget process, which has in the past and could in the future delay procurement of the products, services, and solutions we provide;</w:t>
      </w:r>
    </w:p>
    <w:p>
      <w:pPr>
        <w:spacing w:after="0" w:line="116"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existing and proposed fiscal constraints by the U.S. government and uncertainty about the size of future budget reductions may cause clients to invest appropriated funds on a less consistent or rapid basis, or not at all, particularly when considering long-term initiatives, not issue task orders in sufficient volume to reach current contract ceilings, and delay requests for new proposals and contract awards, relying on short-term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9" w:name="page20"/>
    <w:bookmarkEnd w:id="19"/>
    <w:p>
      <w:pPr>
        <w:ind w:left="1300"/>
        <w:spacing w:after="0"/>
        <w:rPr>
          <w:sz w:val="20"/>
          <w:szCs w:val="20"/>
          <w:color w:val="auto"/>
        </w:rPr>
      </w:pPr>
      <w:r>
        <w:rPr>
          <w:rFonts w:ascii="Arial" w:cs="Arial" w:eastAsia="Arial" w:hAnsi="Arial"/>
          <w:sz w:val="18"/>
          <w:szCs w:val="18"/>
          <w:color w:val="auto"/>
        </w:rPr>
        <w:t>extensions of current contracts instead;</w:t>
      </w:r>
    </w:p>
    <w:p>
      <w:pPr>
        <w:spacing w:after="0" w:line="185" w:lineRule="exact"/>
        <w:rPr>
          <w:sz w:val="20"/>
          <w:szCs w:val="20"/>
          <w:color w:val="auto"/>
        </w:rPr>
      </w:pPr>
    </w:p>
    <w:p>
      <w:pPr>
        <w:ind w:left="1300" w:right="5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will continue to drive pockets of insourcing in various agencies, particularly in the intelligence market;</w:t>
      </w:r>
    </w:p>
    <w:p>
      <w:pPr>
        <w:spacing w:after="0" w:line="116" w:lineRule="exact"/>
        <w:rPr>
          <w:rFonts w:ascii="Arial" w:cs="Arial" w:eastAsia="Arial" w:hAnsi="Arial"/>
          <w:sz w:val="18"/>
          <w:szCs w:val="18"/>
          <w:color w:val="auto"/>
        </w:rPr>
      </w:pPr>
    </w:p>
    <w:p>
      <w:pPr>
        <w:ind w:left="1300" w:right="220" w:hanging="644"/>
        <w:spacing w:after="0" w:line="31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92" w:lineRule="exact"/>
        <w:rPr>
          <w:rFonts w:ascii="Arial" w:cs="Arial" w:eastAsia="Arial" w:hAnsi="Arial"/>
          <w:sz w:val="16"/>
          <w:szCs w:val="16"/>
          <w:color w:val="auto"/>
        </w:rPr>
      </w:pPr>
    </w:p>
    <w:p>
      <w:pPr>
        <w:ind w:left="1300" w:right="3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54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6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the trends identified above; and</w:t>
      </w:r>
    </w:p>
    <w:p>
      <w:pPr>
        <w:spacing w:after="0" w:line="194"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could impose an estimated $500 billion to $600 billion in automatic federal defense spending cuts between 2013 and 2021 to the extent that automatic sequestration required by the act commences on January 2, 2013. A reduction in the amount of services that we are contracted to provide to the Department of Defense could have a material adverse effect on our business and results of operations, and given the uncertainty of how these automatic reductions may be applied, we are unable to predict the nature or magnitude of the potential adverse effect.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60" w:hanging="655"/>
        <w:spacing w:after="0" w:line="291" w:lineRule="auto"/>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contract, up to a ceiling based on the amount that has been funded, plus a fee.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9" w:lineRule="exact"/>
        <w:rPr>
          <w:rFonts w:ascii="Arial" w:cs="Arial" w:eastAsia="Arial" w:hAnsi="Arial"/>
          <w:sz w:val="16"/>
          <w:szCs w:val="16"/>
          <w:color w:val="auto"/>
        </w:rPr>
      </w:pPr>
    </w:p>
    <w:p>
      <w:pPr>
        <w:ind w:left="1960" w:hanging="655"/>
        <w:spacing w:after="0" w:line="259" w:lineRule="auto"/>
        <w:tabs>
          <w:tab w:leader="none" w:pos="19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57" w:right="239" w:bottom="1440" w:gutter="0" w:footer="0" w:header="0"/>
        </w:sectPr>
      </w:pPr>
    </w:p>
    <w:bookmarkStart w:id="20" w:name="page21"/>
    <w:bookmarkEnd w:id="20"/>
    <w:p>
      <w:pPr>
        <w:ind w:left="1960" w:hanging="655"/>
        <w:spacing w:after="0" w:line="276" w:lineRule="auto"/>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Fixed-Price Contracts. </w:t>
      </w:r>
      <w:r>
        <w:rPr>
          <w:rFonts w:ascii="Arial" w:cs="Arial" w:eastAsia="Arial" w:hAnsi="Arial"/>
          <w:sz w:val="17"/>
          <w:szCs w:val="17"/>
          <w:color w:val="auto"/>
        </w:rPr>
        <w:t>Under a fixed-price contract, we agree to perform the specified work for a pre-determined price.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our actual costs vary from the estimates 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 However, over the last twelve months we have experienced a shift from time-and-materials contracts to cost-reimbursable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220980</wp:posOffset>
            </wp:positionV>
            <wp:extent cx="39535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33"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19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2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680" w:type="dxa"/>
            <w:vAlign w:val="bottom"/>
            <w:gridSpan w:val="3"/>
          </w:tcPr>
          <w:p>
            <w:pPr>
              <w:ind w:left="1280"/>
              <w:spacing w:after="0"/>
              <w:rPr>
                <w:sz w:val="20"/>
                <w:szCs w:val="20"/>
                <w:color w:val="auto"/>
              </w:rPr>
            </w:pPr>
            <w:r>
              <w:rPr>
                <w:rFonts w:ascii="Arial" w:cs="Arial" w:eastAsia="Arial" w:hAnsi="Arial"/>
                <w:sz w:val="14"/>
                <w:szCs w:val="14"/>
                <w:b w:val="1"/>
                <w:bCs w:val="1"/>
                <w:color w:val="auto"/>
              </w:rPr>
              <w:t>2011</w:t>
            </w:r>
          </w:p>
        </w:tc>
        <w:tc>
          <w:tcPr>
            <w:tcW w:w="1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Cost-reimbursable (1)</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4"/>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2840" w:type="dxa"/>
            <w:vAlign w:val="bottom"/>
            <w:gridSpan w:val="2"/>
          </w:tcPr>
          <w:p>
            <w:pPr>
              <w:ind w:left="40"/>
              <w:spacing w:after="0"/>
              <w:rPr>
                <w:sz w:val="20"/>
                <w:szCs w:val="20"/>
                <w:color w:val="auto"/>
              </w:rPr>
            </w:pPr>
            <w:r>
              <w:rPr>
                <w:rFonts w:ascii="Arial" w:cs="Arial" w:eastAsia="Arial" w:hAnsi="Arial"/>
                <w:sz w:val="18"/>
                <w:szCs w:val="18"/>
                <w:color w:val="auto"/>
              </w:rPr>
              <w:t>Time-and-materials</w:t>
            </w:r>
          </w:p>
        </w:tc>
        <w:tc>
          <w:tcPr>
            <w:tcW w:w="580" w:type="dxa"/>
            <w:vAlign w:val="bottom"/>
          </w:tcPr>
          <w:p>
            <w:pPr>
              <w:ind w:left="220"/>
              <w:spacing w:after="0"/>
              <w:rPr>
                <w:sz w:val="20"/>
                <w:szCs w:val="20"/>
                <w:color w:val="auto"/>
              </w:rPr>
            </w:pPr>
            <w:r>
              <w:rPr>
                <w:rFonts w:ascii="Arial" w:cs="Arial" w:eastAsia="Arial" w:hAnsi="Arial"/>
                <w:sz w:val="18"/>
                <w:szCs w:val="18"/>
                <w:color w:val="auto"/>
                <w:w w:val="94"/>
              </w:rPr>
              <w:t>29%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w w:val="94"/>
              </w:rPr>
              <w:t>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1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Fixed-price (2)</w:t>
            </w: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14%</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14%</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19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and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contains an optimal mix of skills to meet the rapidly evolving needs of our clients and we seek to achieve that result through recruitment and capacity management. As of September 30, 2012 and 2011, we employed approximately 24,000 and 25,800 people, respectively, of which approximately 21,600 and 23,300, respectively, were consulting staff.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92"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333" w:lineRule="exact"/>
        <w:rPr>
          <w:sz w:val="20"/>
          <w:szCs w:val="20"/>
          <w:color w:val="auto"/>
        </w:rPr>
      </w:pPr>
    </w:p>
    <w:p>
      <w:pPr>
        <w:ind w:left="1300" w:right="7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278"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352"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20"/>
        <w:spacing w:after="0"/>
        <w:tabs>
          <w:tab w:leader="none" w:pos="90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23495</wp:posOffset>
            </wp:positionV>
            <wp:extent cx="54629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6290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Funded</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3,438</w:t>
            </w: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6,068</w:t>
            </w:r>
          </w:p>
        </w:tc>
      </w:tr>
      <w:tr>
        <w:trPr>
          <w:trHeight w:val="27"/>
        </w:trPr>
        <w:tc>
          <w:tcPr>
            <w:tcW w:w="5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a reduction by management to the revenue value of orders for services under two existing single award ID/IQ contracts based on an established pattern of funding under these contracts by the U.S. government.</w:t>
      </w:r>
    </w:p>
    <w:p>
      <w:pPr>
        <w:spacing w:after="0" w:line="1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decreased by 3.2% from September 30, 2011 to September 30, 2012, while funded backlog increased by 2.3% from September 30, 2011 to September 30, 2012. Additions to funded backlog during the twelve months ended September 30, 2012 totaled $5.9 billion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11" w:right="239" w:bottom="1440" w:gutter="0" w:footer="0" w:header="0"/>
        </w:sectPr>
      </w:pPr>
    </w:p>
    <w:bookmarkStart w:id="22" w:name="page23"/>
    <w:bookmarkEnd w:id="22"/>
    <w:p>
      <w:pPr>
        <w:ind w:right="20"/>
        <w:spacing w:after="0" w:line="255" w:lineRule="auto"/>
        <w:rPr>
          <w:sz w:val="20"/>
          <w:szCs w:val="20"/>
          <w:color w:val="auto"/>
        </w:rPr>
      </w:pPr>
      <w:r>
        <w:rPr>
          <w:rFonts w:ascii="Arial" w:cs="Arial" w:eastAsia="Arial" w:hAnsi="Arial"/>
          <w:sz w:val="18"/>
          <w:szCs w:val="18"/>
          <w:color w:val="auto"/>
        </w:rPr>
        <w:t>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4.9% of funded backlog as of the end of any of the eight fiscal quarters preceding the fiscal quarter ended September 30, 2012.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 In conjunction with our initial public offering, our Board of Directors adopted a new equity compensation plan. The equity compensation component of the new plan has reduced officer-related compensation expense included in cost of revenue and general and administrative expenses over the near term with such expense reduction to reverse over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6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224"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224"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68"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4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254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3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1,387,650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1,429,044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2,820,074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2,875,880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702,066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715,642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1,429,436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1,442,473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278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353,444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380,911</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731,904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773,101</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212,498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220,290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405,853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432,125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780" w:type="dxa"/>
            <w:vAlign w:val="bottom"/>
          </w:tcPr>
          <w:p>
            <w:pPr>
              <w:ind w:left="380"/>
              <w:spacing w:after="0"/>
              <w:rPr>
                <w:sz w:val="20"/>
                <w:szCs w:val="20"/>
                <w:color w:val="auto"/>
              </w:rPr>
            </w:pPr>
            <w:r>
              <w:rPr>
                <w:rFonts w:ascii="Arial" w:cs="Arial" w:eastAsia="Arial" w:hAnsi="Arial"/>
                <w:sz w:val="18"/>
                <w:szCs w:val="18"/>
                <w:color w:val="auto"/>
                <w:w w:val="99"/>
              </w:rPr>
              <w:t>Depreciation and amortization</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18,536</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36,116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36,394</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costs and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1,285,621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1,335,379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2,603,309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2,684,093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2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102,029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93,665</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216,765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191,787</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4,051</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3,609</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85,522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170,908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30,759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10,190</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201.9 %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71,821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44,440</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61.6 %</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75,332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108,061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126,468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220"/>
        <w:spacing w:after="0" w:line="305" w:lineRule="auto"/>
        <w:rPr>
          <w:sz w:val="20"/>
          <w:szCs w:val="20"/>
          <w:color w:val="auto"/>
        </w:rPr>
      </w:pPr>
      <w:r>
        <w:rPr>
          <w:rFonts w:ascii="Arial" w:cs="Arial" w:eastAsia="Arial" w:hAnsi="Arial"/>
          <w:sz w:val="18"/>
          <w:szCs w:val="18"/>
          <w:b w:val="1"/>
          <w:bCs w:val="1"/>
          <w:i w:val="1"/>
          <w:iCs w:val="1"/>
          <w:color w:val="auto"/>
        </w:rPr>
        <w:t xml:space="preserve">Three Months Ended September 30, 2012 Compared to Three Months Ended September 30, 2011 </w:t>
      </w:r>
      <w:r>
        <w:rPr>
          <w:rFonts w:ascii="Arial" w:cs="Arial" w:eastAsia="Arial" w:hAnsi="Arial"/>
          <w:sz w:val="18"/>
          <w:szCs w:val="18"/>
          <w:i w:val="1"/>
          <w:iCs w:val="1"/>
          <w:color w:val="auto"/>
        </w:rPr>
        <w:t>Revenue</w:t>
      </w:r>
    </w:p>
    <w:p>
      <w:pPr>
        <w:spacing w:after="0" w:line="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Revenue decreased to $1,387.7 million from $1,429.0 million, or a 2.9% decrease. The decrease was primarily driven by a decrease in revenue attributable to billable expenses and a lower rate of indirect expenses which reduces revenue under cost reimbursable contracts. The lower rate of indirect expenses is primarily attributable to the cost reduction actions the Company implemented in late fiscal 2012. The negative impact on revenue attributable to these two factors was partially offset by continued modest growth in direct consulting staff labor sold. Additions to funded backlog during the twelve months ended September 30, 2012 totaled $5.9 billion, as a result of the conversion of unfunded backlog to funded backlog, the award of new contracts and task orders under which funding was appropriated, and the exercise and subsequent funding of priced options.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Cost of revenue decreased to $702.1 million from $715.6 million, or a 1.9% decrease. This decrease was primarily due to decrease in salaries and salary related benefits of $21.7 million. The cost of revenue decrease was offset by increases in incentive compensation costs of $6.4 million, employer retirement plan contributions of $1.2 million, and other direct consulting staff expenses of $0.6 million attributable to the modest growth in direct consulting staff labor sold. The increase in incentive compensation costs was due to higher incentive compensation accrual rates in fiscal 2013 as compared to fiscal 2012 offset by reduced headcount in the senior ranks associated with the cost restructuring plan that was implemented during fiscal 2012. The increase in employer retirement plan contributions was due to an increase in the number of employees who completed one year of service and became eligible to participate in our defined contribution plan, the Employees' Capital Accumulation Plan, or ECAP. Cost of revenue as a percentage of revenue was 50.6% and 50.1% in the three months ended September 30, 2012 and 2011,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Billable expenses decreased to $353.4 million from $380.9 million, or a 7.2% decrease. This decrease was primarily due to decreases in travel and material expenses of $10.0 million incurred to perform on contracts and by decreases in subcontractor-related expenses of $25.5 million. The decrease in direct subcontractor-related expenses reflected the reduced amount of government funding available against which to deploy subcontractors. Billable expenses as a percentage of revenue were 25.5% and 26.7% in the three months ended September 30, 2012 and 2011,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07" w:right="239" w:bottom="1440" w:gutter="0" w:footer="0" w:header="0"/>
        </w:sectPr>
      </w:pPr>
    </w:p>
    <w:bookmarkStart w:id="24" w:name="page25"/>
    <w:bookmarkEnd w:id="24"/>
    <w:p>
      <w:pPr>
        <w:ind w:right="20"/>
        <w:spacing w:after="0" w:line="270" w:lineRule="auto"/>
        <w:rPr>
          <w:sz w:val="20"/>
          <w:szCs w:val="20"/>
          <w:color w:val="auto"/>
        </w:rPr>
      </w:pPr>
      <w:r>
        <w:rPr>
          <w:rFonts w:ascii="Arial" w:cs="Arial" w:eastAsia="Arial" w:hAnsi="Arial"/>
          <w:sz w:val="17"/>
          <w:szCs w:val="17"/>
          <w:color w:val="auto"/>
        </w:rPr>
        <w:t>General and administrative expenses decreased to $212.5 million from $220.3 million, or a 3.5% decrease. This decrease was primarily due to a decrease of $9.5 million in other business-related expenses and professional fees attributable to the Company's disciplined management of corporate-related expenditures and a decrease in salaries and salary-related benefits of $7.9 million. These decreases were offset by transaction costs for the pending acquisition of DSES of $2.6 million and increases in incentive compensation costs of $4.6 million and employer retirement plan contributions of $2.5 million. The increase in incentive compensation costs was due to higher incentive compensation accrual rates in fiscal 2013 as compared to fiscal 2012 offset by reduced headcount in the senior ranks associated with the cost restructuring plan that was implemented during fiscal 2012. The increase in employer retirement plan contributions was due to an increase in the number of employees who completed one year of service and became eligible to participate in our defined contribution plan, the ECAP. General and administrative expenses as a percentage of revenue were 15.3% and 15.4% for the three months ended September 30, 2012 and 2011,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Depreciation and amortization decreased to $17.6 million from $18.5 million, or a 5.0% decrease. This decrease was primarily due to a decrease of $1.0 million in the amortization of our intangible assets, which includes below market rate leases and contract backlog that were recorded in connection with the Acquisition, as described in our Annual Report, and are amortized based on contractual lease terms and projected future cash flows, respectively, thereby reflecting higher amortization expense initially and declining expense in subsequent periods. Intangible asset amortization expense decreased to $3.1 million for the three months ended September 30, 2012 compared to $4.1 million for the three months ended September 30,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Interest expense increased to $17.8 million from $12.2 million, or a 46.1% increase, primarily due to debt incurred in connection with the Recapitalization Transaction consummated on July 31, 2012, offset slightly by a decrease in the interest expense related to the deferred payment obligation due to payments made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jc w:val="both"/>
        <w:ind w:right="240"/>
        <w:spacing w:after="0" w:line="261" w:lineRule="auto"/>
        <w:rPr>
          <w:sz w:val="20"/>
          <w:szCs w:val="20"/>
          <w:color w:val="auto"/>
        </w:rPr>
      </w:pPr>
      <w:r>
        <w:rPr>
          <w:rFonts w:ascii="Arial" w:cs="Arial" w:eastAsia="Arial" w:hAnsi="Arial"/>
          <w:sz w:val="18"/>
          <w:szCs w:val="18"/>
          <w:color w:val="auto"/>
        </w:rPr>
        <w:t>Income tax expense increased to $30.8 million from $10.2 million or a 201.9% increase. The effective tax rate increased from 11.9% to 40.0% respectively primarily due to the release of uncertain tax position reserves in the prior year.</w:t>
      </w:r>
    </w:p>
    <w:p>
      <w:pPr>
        <w:spacing w:after="0" w:line="184" w:lineRule="exact"/>
        <w:rPr>
          <w:sz w:val="20"/>
          <w:szCs w:val="20"/>
          <w:color w:val="auto"/>
        </w:rPr>
      </w:pPr>
    </w:p>
    <w:p>
      <w:pPr>
        <w:ind w:right="4620"/>
        <w:spacing w:after="0" w:line="305" w:lineRule="auto"/>
        <w:rPr>
          <w:sz w:val="20"/>
          <w:szCs w:val="20"/>
          <w:color w:val="auto"/>
        </w:rPr>
      </w:pPr>
      <w:r>
        <w:rPr>
          <w:rFonts w:ascii="Arial" w:cs="Arial" w:eastAsia="Arial" w:hAnsi="Arial"/>
          <w:sz w:val="18"/>
          <w:szCs w:val="18"/>
          <w:b w:val="1"/>
          <w:bCs w:val="1"/>
          <w:i w:val="1"/>
          <w:iCs w:val="1"/>
          <w:color w:val="auto"/>
        </w:rPr>
        <w:t xml:space="preserve">Six Months Ended September 30, 2012 Compared to Six Months Ended September 30, 2011 </w:t>
      </w:r>
      <w:r>
        <w:rPr>
          <w:rFonts w:ascii="Arial" w:cs="Arial" w:eastAsia="Arial" w:hAnsi="Arial"/>
          <w:sz w:val="18"/>
          <w:szCs w:val="18"/>
          <w:i w:val="1"/>
          <w:iCs w:val="1"/>
          <w:color w:val="auto"/>
        </w:rPr>
        <w:t>Revenue</w:t>
      </w:r>
    </w:p>
    <w:p>
      <w:pPr>
        <w:spacing w:after="0" w:line="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Revenue decreased to $2,820.1 million from $2,875.9 million, or a 1.9% decrease. The decrease was primarily driven by a decrease in revenue attributable to billable expenses and a lower rate of indirect expenses which reduces revenue under cost reimbursable contracts. The lower rate of indirect expenses is primarily attributable to the cost reduction actions the Company implemented in late fiscal 2012. The negative impact on revenue attributable to these two factors was partially offset by continued modest growth in direct consulting staff labor sold. Additions to funded backlog during the twelve months ended September 30, 2012 totaled $5.9 billion, as a result of the conversion of unfunded backlog to funded backlog, the award of new contracts and task orders under which funding was appropriated, and the exercise and subsequent funding of priced options.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Cost of revenue decreased to $1,429.4 million from $1,442.5 million, or a 0.9% decrease. This decrease was primarily due to decrease in salaries and salary related benefits of $21.8 million and $1.2 million in stock-based compensation expense. The cost of revenue decrease was offset by increases in employer retirement plan contributions of $2.1 million, and other direct consulting staff expenses of $7.9 million attributable to the modest growth in direct consulting staff labor sold. The increase in employer retirement plan contributions was due to an increase in the number of employees who completed one year of service and became eligible to participate in our defined contribution plan, the ECAP. Cost of revenue as a percentage of revenue was 50.7% and 50.2% in the six months ended September 30, 2012 and 2011,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Billable expenses decreased to $731.9 million from $773.1 million, or a 5.3% decrease. This decrease was primarily due to decreases in travel and material expenses of $19.1 million incurred to perform on contracts and by decreases in subcontractor-related expenses of $24.0 million. The decrease in direct subcontractor-related expenses reflected the reduced amount of government funding available against which to deploy subcontractors. Billable expenses as a percentage of revenue were 26.0% and 26.9% in the six months ended September 30, 2012 and 2011,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ind w:right="80"/>
        <w:spacing w:after="0" w:line="289" w:lineRule="auto"/>
        <w:rPr>
          <w:sz w:val="20"/>
          <w:szCs w:val="20"/>
          <w:color w:val="auto"/>
        </w:rPr>
      </w:pPr>
      <w:r>
        <w:rPr>
          <w:rFonts w:ascii="Arial" w:cs="Arial" w:eastAsia="Arial" w:hAnsi="Arial"/>
          <w:sz w:val="16"/>
          <w:szCs w:val="16"/>
          <w:color w:val="auto"/>
        </w:rPr>
        <w:t>General and administrative expenses decreased to $405.9 million from $432.1 million, or a 6.1% decrease. This decrease was primarily due to a decrease of $24.1 million in other business-related expenses and professional fees attributable to the Company's disciplined management of corporate-related expenditures, a decrease of $5.6 million in salaries and salary-related benefits, and a decrease in stock-based compensation of $2.9 million. These decreases were offset by transaction costs for the pending acquisition of DSES of $2.6 million, increases of $2.0 million in employer retirement plan contributions and incentive compensation costs of $1.8 million. The increase in incentive compensation costs was due to increased incentive compensation accrual rates in fiscal 2013 as compared to fiscal 2012 despite reduced headcount in the senior ranks associated with the cost restructuring plan that was implemented in late fiscal 2012. The increase in employer retirement plan contributions was due to an increase in the number of employees who completed one year of service and became eligible to participate in our defined contribution plan, the ECAP. General and administrative expenses as a percentage of revenue were 14.4% and 15.0% for the six months ended September 30, 2012 and 2011,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Depreciation and amortization decreased to $36.1 million from $36.4 million, or an 0.8% decrease. This decrease in depreciation and amortization expense was primarily due to a decrease of $1.9 million in the amortization of our intangible assets, which includes below market rate leases and contract backlog that were recorded in connection with the Acquisition, as described in our Annual Report, and are amortized based on contractual lease terms and projected future cash flows, respectively, thereby reflecting higher amortization expense initially and declining expense in subsequent periods. Intangible asset amortization expense decreased to $6.3 million for the six months ended September 30, 2012 compared to $8.2 million for the six months ended September 30,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Interest expense increased to $29.1 million from $24.5 million, or an 18.7% increase, primarily due to debt incurred in connection with the Recapitalization Transaction consummated on July 31, 2012, offset slightly by a decrease in the interest expense related to the deferred payment obligation due to payments made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Income tax expense increased to $71.8 million from $44.4 million or a 61.6% increase. The effective tax rate increased from 26.0% to 39.9% respectively primarily due to the release of uncertain tax position reserves in the prior year.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$489.0 million and $484.4 million in cash and cash equivalents as of September 30, 2012 and March 31, 2012 respectively, and our debt totaled $1,737.6 million and $965.4 million as of September 30, 2012 and March 31, 2012 respectively. Due to fluctuations in cash flows and the growth in operations, it may be necessary from time to time in the future to borrow under our senior secured loan facilities to meet cash demands. We anticipate that cash provided by operating activities, cash and cash equivalents, and borrowing capacity under our revolving credit facility will be sufficient to meet our anticipated cash requirements for the next twelve months, which primarily include:</w:t>
      </w:r>
    </w:p>
    <w:p>
      <w:pPr>
        <w:spacing w:after="0" w:line="232"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79"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7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Effective July 31, 2012, the Company consummated the Recapitalization Transaction whereby our debt under the new senior credit facilities total $1.75 billion ($725 million Tranche A and $1,025 million Tranche B) and includes a $500 million revolving credit facility. See "-- Indebtedness."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evaluate alternative uses for excess cash resources including debt prepayments, payment of dividends,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49" w:right="299" w:bottom="1440" w:gutter="0" w:footer="0" w:header="0"/>
        </w:sectPr>
      </w:pPr>
    </w:p>
    <w:bookmarkStart w:id="26" w:name="page27"/>
    <w:bookmarkEnd w:id="26"/>
    <w:p>
      <w:pPr>
        <w:ind w:right="20"/>
        <w:spacing w:after="0" w:line="259" w:lineRule="auto"/>
        <w:rPr>
          <w:sz w:val="20"/>
          <w:szCs w:val="20"/>
          <w:color w:val="auto"/>
        </w:rPr>
      </w:pPr>
      <w:r>
        <w:rPr>
          <w:rFonts w:ascii="Arial" w:cs="Arial" w:eastAsia="Arial" w:hAnsi="Arial"/>
          <w:sz w:val="18"/>
          <w:szCs w:val="18"/>
          <w:color w:val="auto"/>
        </w:rPr>
        <w:t>share repurchases or funding acquisitions.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December 12, 2011, the Board of Directors approved a $30.0 million share repurchase program, to be funded from cash on hand. As of September 30, 2012, no shares have been repurchased under the program.</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three and six months ended September 30, 2012, we declared recurring cash dividends totaling $12.1 million ($0.09 per share) and $24.0 million ($0.18 per share). Additionally, during the three and six months ended September 30, 2012, we declared special dividends totaling $903.7 million ($6.50 per share) and $1,112.1 million ($8.00 per share). No other cash dividends were declared for the same periods in fiscal 2012.</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each special dividend declared, the Compensation Committee, as Administrator of the Officers' Rollover Stock Plan and the Equity Incentive Plan, as amended, is required to make a determination under the respective plan's antidilution provision to adjust the outstanding options. For both the $1.50 and $6.50 special dividends, holders of the Rollover Options received a cash payment equal to the amount of the special dividend on the options' mandatory exercise date. For the $1.50 special dividend, holders of EIP options were granted a dividend equivalent equal to the special dividend payable on June 29, 2012 or the vesting of the EIP option, whichever is later. For the $6.50 special dividend, holders of EIP options with a pre-dividend exercise price less than $11.00 per share received a dividend equivalent equal to the amount of the special dividend payable on August 31, 2012 or the vesting of the EIP option, whichever is later. All other EIP options were adjusted by reducing the exercise price by $6.36 which is equal to the difference between the pre-dividend closing fair market value of our Class A Common Stock and the post-dividend opening fair market value of our Class A Common Stock as noted on the New York Stock Exchange.</w:t>
      </w:r>
    </w:p>
    <w:p>
      <w:pPr>
        <w:spacing w:after="0" w:line="12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Associated with the payment of the dividends, and in connection with the authorization of the special dividends, the Company paid accrued interest on the Deferred Payment Obligation, or DPO, of $4.0 million for the three and six months ended September 30, 2012. No such payments were made for the same periods in fiscal 2012.</w:t>
      </w:r>
    </w:p>
    <w:p>
      <w:pPr>
        <w:spacing w:after="0" w:line="127" w:lineRule="exact"/>
        <w:rPr>
          <w:sz w:val="20"/>
          <w:szCs w:val="20"/>
          <w:color w:val="auto"/>
        </w:rPr>
      </w:pPr>
    </w:p>
    <w:p>
      <w:pPr>
        <w:ind w:right="340"/>
        <w:spacing w:after="0" w:line="334" w:lineRule="auto"/>
        <w:rPr>
          <w:sz w:val="20"/>
          <w:szCs w:val="20"/>
          <w:color w:val="auto"/>
        </w:rPr>
      </w:pPr>
      <w:r>
        <w:rPr>
          <w:rFonts w:ascii="Arial" w:cs="Arial" w:eastAsia="Arial" w:hAnsi="Arial"/>
          <w:sz w:val="16"/>
          <w:szCs w:val="16"/>
          <w:color w:val="auto"/>
        </w:rPr>
        <w:t xml:space="preserve">As described above in </w:t>
      </w:r>
      <w:r>
        <w:rPr>
          <w:rFonts w:ascii="Arial" w:cs="Arial" w:eastAsia="Arial" w:hAnsi="Arial"/>
          <w:sz w:val="16"/>
          <w:szCs w:val="16"/>
          <w:i w:val="1"/>
          <w:iCs w:val="1"/>
          <w:color w:val="auto"/>
        </w:rPr>
        <w:t>Recent Developments</w:t>
      </w:r>
      <w:r>
        <w:rPr>
          <w:rFonts w:ascii="Arial" w:cs="Arial" w:eastAsia="Arial" w:hAnsi="Arial"/>
          <w:sz w:val="16"/>
          <w:szCs w:val="16"/>
          <w:color w:val="auto"/>
        </w:rPr>
        <w:t>, pursuant to the terms of the definitive agreement, the Company expects to close the acquisition of the DSES division in the third quarter of fiscal 2013 and will pay approximately $154 million in cash, funded by available cash on hand, to ARINC Incorporated.</w:t>
      </w:r>
    </w:p>
    <w:p>
      <w:pPr>
        <w:spacing w:after="0" w:line="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October 29, 2012, our Board of Directors authorized and declared a regular quarterly cash dividend in the amount of $0.09 per share. The quarterly dividend is payable on November 30, 2012 to shareholders of record on November 13,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57 as of September 30, 2012 and 65 as of March 31, 2012.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30" w:right="239" w:bottom="1440" w:gutter="0" w:footer="0" w:header="0"/>
        </w:sectPr>
      </w:pPr>
    </w:p>
    <w:bookmarkStart w:id="27" w:name="page28"/>
    <w:bookmarkEnd w:id="27"/>
    <w:p>
      <w:pPr>
        <w:jc w:val="center"/>
        <w:ind w:left="66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2011</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389,748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177,117</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(14,375)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(20,308)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(370,762)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6,780</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increase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163,589</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from clients in a timely manner, and our ability to manage our vendor payments. Net cash provided by operations was $389.7 million in the six months ended September 30, 2012 compared to $177.1 million in the same prior year period, or a 120.1% increase. The increase in net cash provided by operations was primarily due to a higher volume in cash collections during the U.S. government's fiscal year end, which resulted in a decrease in DSO. Our higher cash collections was due to more timely payments by our customers that in the comparable prior year period, due in part to the U.S. Government's Office of Management and Budget's July 2012 temporary requirement to pay Department of Defense prime contractors within 15 days, which allows small business contractors and subcontractors to receive payments earlier. As a result, we experienced earlier receipt of monies than in the comparable prior year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9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investing activities was $14.4 million in the six months ended September 30, 2012 compared to $20.3 million in the same prior year period, or a 29.2% decrease. The decrease in net cash used in investing activities was due to a decrease in capital expenditures. The decrease in capital expenditures was primarily due to the additional facility expansion and computer equipment to support the increase in headcount in fiscal 2012. This decrease was partially offset by proceeds from the sale of the Company's state and local transportation business during fiscal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Net cash used in financing activities was $370.8 million in the six months ended September 30, 2012 compared to net cash provided by financing activities of $6.8 million in the same prior year period. The increase in net cash used in financing activities was primarily due to the payment of regular and special dividends and associated dividend equivalents, partially offset by the net proceeds of the Recapitalization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debt totaled $1,737.6 million and $965.4 million as of September 30, 2012 and March 31, 2012 respectively. The interest rate in effect for Tranche A was 2.97% and for Tranche B was 4.50% as of September 30, 2012, respectively, and 2.49% and 3.75% as of March 31, 2012, respectively. As of September 30, 2012 and March 31, 2012, there were no amounts outstanding on the revolving credit facilities of $500 million and $275 million respectively. As of September 30, 2012 the Company was in compliance with all of its financial covenants.</w:t>
      </w:r>
    </w:p>
    <w:p>
      <w:pPr>
        <w:spacing w:after="0" w:line="13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July 31, 2012, the Company consummated a recapitalization transaction, which included the refinancing and termination of the Company's existing senior secured credit agreement with the proceeds of the borrowings under the Company's new senior secured credit agreement. Additionally the net proceeds of the recapitalization were used to pay the special dividend on August 31, 2012, as described above in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The new senior secured credit agreement, or the Credit Agreement, provided the Company with a $725.0 million Term Loan A tranche and a $1,025.0 million Term Loan B tranche, and a $500.0 million revolving credit facility with a sublimit for letters of credit.</w:t>
      </w:r>
    </w:p>
    <w:p>
      <w:pPr>
        <w:spacing w:after="0" w:line="3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recapitalization, the Company accelerated the amortization of ratable portions of the Debt Issuance Costs, or DIC, and Original Issuance Discount, or OID, associated with the prior senior secured term loan facilities and portions of the DIC and OID of the Credit Agreement that do not qualify for deferral of $7.2 million. These amounts are reflected in other expense, net in the three months ended September 30, 2012. Furthermore, the Company expensed third party debt issuance costs of $2.7 million that did not qualify for deferral, which are reflected in general and administrative costs in the three months ended September 30, 2012.</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Absent any prepayment accelerations of DIC or the effect of changes in interest rates, the following table summarizes the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2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estimated annual amortization expense of DIC using the effective interest rate method: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Tranche A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12,818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2,839</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675</w:t>
            </w:r>
          </w:p>
        </w:tc>
      </w:tr>
      <w:tr>
        <w:trPr>
          <w:trHeight w:val="27"/>
        </w:trPr>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Tranche B Loans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4,417</w:t>
            </w: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10,283</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976</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1,957</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1,962</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w:t>
            </w:r>
          </w:p>
        </w:tc>
        <w:tc>
          <w:tcPr>
            <w:tcW w:w="2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1,474</w:t>
            </w:r>
          </w:p>
        </w:tc>
      </w:tr>
      <w:tr>
        <w:trPr>
          <w:trHeight w:val="27"/>
        </w:trPr>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35,011</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6,566</w:t>
            </w:r>
          </w:p>
        </w:tc>
      </w:tr>
      <w:tr>
        <w:trPr>
          <w:trHeight w:val="20"/>
        </w:trPr>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Tranche A Loans, with annual incremental increases to 1.875%, 2.50%, 3.125%, and 13%, prior to the Tranche A Loans maturity date of December 31, 2017, and 0.25% of the stated principal amount of Tranche B Loans, with the remaining balance payable on the Tranche B Loans maturity date of July 31, 2019. The revolving credit facility matures on December 31, 2017, at which time any outstanding principal balance is due in full.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 rate on borrowings under Tranche A is LIBOR plus 2.75%, and will range from 2.00% to 2.75% based on the Company's total leverage ratio. The interest rate on borrowings under Tranche B is LIBOR plus 3.5% with a 1% floor. The revolving credit facility margin and commitment fee are subject to the leveraged based pricing grid, as set forth in the Credit Agreement.</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loans under the Credit Agreement are secured by substantially all of our assets and none of such assets will be available to satisfy the claims of our general creditors. The Credit Agreement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September 30, 2012 we were compliant with these covenants.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stockholders’ equity amounted to $119.5 million as of September 30, 2012, a decrease of $1,065.7 million compared to stockholders’ equity of $1,185.2 million as of March 31, 2012, primarily due to the payment of special dividends on June 29, 2012 and August 31, 2012, offset by the net increase for the six month period from common stock issuances, stock option exercises, net income of $108.1 million in the six months ended September 30, 2012, and stock-based compensation expense of $14.4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we did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six months ended September 30, 2012 and 2011 were $14.4 million and $43.6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30" w:right="25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13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1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These risks and other factors include: cost cutting and efficiency initiatives and other efforts to reduce U.S. government spending, including automatic sequestration required by the Budget Control Act of 2011, which could reduce or delay funding for orders for services especially in the current political environment; delayed funding of our contracts due to delays in the completion of the U.S. government's budgeting process and the use of continuing resolutions by the U.S. government to fund its operations or related changes in the pattern or timing of government funding and spending; any issue that compromises our relationships with the U.S. government or damages our professional reputation; changes in U.S. government spending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our ability to realize the expected benefits from our acquisition of the DSES division of ARINC Incorporated; risks related to future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11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1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for the fiscal year ended March 31, 2012 filed with the Securities and Exchange Commission on May 30, 2012.</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449" w:right="3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On April 13, 2012, we entered into an Administrative Agreement with the U.S. Air Force, which lifted the proposed debarment of our San Antonio office and removed it from the U.S. government’s Excluded Parties List System. See our Form 10-K for the fiscal year ended March 31, 2012 for additional information.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121"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Six former officers and stockholders who had departed the firm prior to the acquisition, as described in our Annual Report,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w:t>
      </w:r>
    </w:p>
    <w:p>
      <w:pPr>
        <w:spacing w:after="0" w:line="268" w:lineRule="auto"/>
        <w:rPr>
          <w:sz w:val="20"/>
          <w:szCs w:val="20"/>
          <w:color w:val="auto"/>
        </w:rPr>
      </w:pPr>
      <w:r>
        <w:rPr>
          <w:rFonts w:ascii="Arial" w:cs="Arial" w:eastAsia="Arial" w:hAnsi="Arial"/>
          <w:sz w:val="17"/>
          <w:szCs w:val="17"/>
          <w:color w:val="auto"/>
        </w:rPr>
        <w:t>Each of the suits arises out of the acquisition, as described in our Annual Report,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The aggregate alleged damages sought in these seven remaining suits is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during the period covered by this Quarterly Report on Form 10-Q to the risk factors disclosed in Part 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Item 1A, of our Annual Report on Form 10-K for the fiscal year ended March 31, 2012 filed with the Securities and Exchange Commission on May 30, 2012.</w:t>
      </w: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64"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Amended and Restated Stockholders Agreement (Incorporated by reference to Exhibit 4.3 to the Company’s Quarterly Report for the period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5"/>
              </w:rPr>
              <w:t>Management Agreement, among Booz Allen Hamilton Holding Corporation (formerly known as Explorer Holding Corporation), Booz Allen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Hamilton Inc., and TC Group V US, LLC, dated as of July 31, 2008 (Incorporated by reference to Exhibit 10.6 to the Company’s Registration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Equity Incentive Plan of Booz Allen Hamilton Holding Corporation (Incorporated by reference to Exhibit 10.7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3"/>
          </w:tcPr>
          <w:p>
            <w:pPr>
              <w:ind w:left="48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360"/>
          </w:cols>
          <w:pgMar w:left="240" w:top="364" w:right="29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Booz Allen Hamilton Holding Corporation Annual Incentive Plan (Incorporated by reference to Exhibit 10.15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Officer’s Comprehensive Medical and Dental Plans (Incorporated by reference to Exhibit 10.17 to the Company’s Registration Statement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Retired Officer’s Comprehensive Medical and Dental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Excess ECAP Payment Program (Incorporated by reference to Exhibit 10.19 to the Company’s Registration Statement on Form S-1 (File No.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Annual Performance Program (Incorporated by reference to Exhibit 10.22 to the Company’s Registration Statement on Form S-1 (File No. 333-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vMerge w:val="restart"/>
          </w:tcPr>
          <w:p>
            <w:pPr>
              <w:ind w:left="260"/>
              <w:spacing w:after="0"/>
              <w:rPr>
                <w:sz w:val="20"/>
                <w:szCs w:val="20"/>
                <w:color w:val="auto"/>
              </w:rPr>
            </w:pPr>
            <w:r>
              <w:rPr>
                <w:rFonts w:ascii="Arial" w:cs="Arial" w:eastAsia="Arial" w:hAnsi="Arial"/>
                <w:sz w:val="18"/>
                <w:szCs w:val="18"/>
                <w:color w:val="auto"/>
                <w:w w:val="94"/>
              </w:rPr>
              <w:t>Administrative Agreement, dated as of April 13, 2012, between Booz Allen Hamilton Inc. and the United States Department of the Air Force</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 to the Company’s Periodic Report on Form 8-K filed on April 13, 2012 (File No. 001-34972))</w:t>
            </w:r>
          </w:p>
        </w:tc>
        <w:tc>
          <w:tcPr>
            <w:tcW w:w="0" w:type="dxa"/>
            <w:vAlign w:val="bottom"/>
          </w:tcPr>
          <w:p>
            <w:pPr>
              <w:spacing w:after="0"/>
              <w:rPr>
                <w:sz w:val="1"/>
                <w:szCs w:val="1"/>
                <w:color w:val="auto"/>
              </w:rPr>
            </w:pPr>
          </w:p>
        </w:tc>
      </w:tr>
      <w:tr>
        <w:trPr>
          <w:trHeight w:val="674"/>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Credit Agreement among Booz Allen Hamilton Inc., as the Borrower, the several lenders from time to time parties thereto, Bank of America,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N.A., as Administrative Agent, Collateral Agent and Issuing Lender, Merrill Lynch, Pierce, Fenner &amp; Smith Incorporated and Credit Suisse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Securities (USA) LLC, as Joint Lead Arrangers, Merrill Lynch, Pierce, Fenner &amp; Smith Incorporated, Credit Suisse Securities (USA) LLC,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Inc. and Sumimoto Mitsui Banking Corporation, as Joint Bookrunners, Credit Suisse Securities (USA) LLC, as Syndication Agent, Barclays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Bank PLC, Citigroup Global Markets Inc., HSBC Securities (USA) Inc., J.P. Morgan Securities LLC, Morgan Stanley Senior Funding, Inc.,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Sumimoto Mitsui Banking Corporation and The Bank of Tokyo-Mitsubishi UFJ, Ltd., as Co-Documentation Agents, dated as of July 31, 2012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530"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40"/>
          </w:cols>
          <w:pgMar w:left="280" w:top="530" w:right="279" w:bottom="1440" w:gutter="0" w:footer="0" w:header="0"/>
          <w:type w:val="continuous"/>
        </w:sectPr>
      </w:pPr>
    </w:p>
    <w:bookmarkStart w:id="34" w:name="page35"/>
    <w:bookmarkEnd w:id="34"/>
    <w:p>
      <w:pPr>
        <w:ind w:left="960" w:hanging="925"/>
        <w:spacing w:after="0" w:line="255"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months ended June 30, 2012, formatted in XBRL (eXtensible Business Reporting Language): (i) Condensed Consolidated Statements of Operations for the three and six months ended September 30, 2012 and 2011; (ii) Condensed Consolidated Statements of Comprehensive Income for the three and six months ended September 30, 2012 and 2011; (iii) Condensed Consolidated Balance Sheets at September 30, 2012 and March 31, 2012; (iv) Condensed Consolidated Statements of Cash Flows for the six months ended September 30, 2012 and 2011;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right="20" w:hanging="652"/>
        <w:spacing w:after="0" w:line="277"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530" w:right="359" w:bottom="1440"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364"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16" w:lineRule="exact"/>
        <w:rPr>
          <w:rFonts w:ascii="Arial" w:cs="Arial" w:eastAsia="Arial" w:hAnsi="Arial"/>
          <w:sz w:val="18"/>
          <w:szCs w:val="18"/>
          <w:color w:val="auto"/>
        </w:rPr>
      </w:pPr>
    </w:p>
    <w:p>
      <w:pPr>
        <w:ind w:right="540" w:firstLine="8"/>
        <w:spacing w:after="0" w:line="308" w:lineRule="auto"/>
        <w:tabs>
          <w:tab w:leader="none" w:pos="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3" w:lineRule="exact"/>
        <w:rPr>
          <w:sz w:val="20"/>
          <w:szCs w:val="20"/>
          <w:color w:val="auto"/>
        </w:rPr>
      </w:pPr>
    </w:p>
    <w:p>
      <w:pPr>
        <w:ind w:right="660" w:firstLine="8"/>
        <w:spacing w:after="0" w:line="308" w:lineRule="auto"/>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7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16" w:lineRule="exact"/>
        <w:rPr>
          <w:rFonts w:ascii="Arial" w:cs="Arial" w:eastAsia="Arial" w:hAnsi="Arial"/>
          <w:sz w:val="18"/>
          <w:szCs w:val="18"/>
          <w:color w:val="auto"/>
        </w:rPr>
      </w:pPr>
    </w:p>
    <w:p>
      <w:pPr>
        <w:ind w:right="540" w:firstLine="8"/>
        <w:spacing w:after="0" w:line="308"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3" w:lineRule="exact"/>
        <w:rPr>
          <w:sz w:val="20"/>
          <w:szCs w:val="20"/>
          <w:color w:val="auto"/>
        </w:rPr>
      </w:pPr>
    </w:p>
    <w:p>
      <w:pPr>
        <w:ind w:right="66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2012,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4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2012,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Chief Administrative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decimal"/>
      <w:start w:val="8"/>
    </w:lvl>
  </w:abstractNum>
  <w:abstractNum w:abstractNumId="4">
    <w:nsid w:val="7C83E458"/>
    <w:multiLevelType w:val="hybridMultilevel"/>
    <w:lvl w:ilvl="0">
      <w:lvlJc w:val="left"/>
      <w:lvlText w:val="%1."/>
      <w:numFmt w:val="decimal"/>
      <w:start w:val="9"/>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3"/>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0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2019-12-09T19:57:26Z</dcterms:created>
  <dcterms:modified xsi:type="dcterms:W3CDTF">2019-12-09T19:57:26Z</dcterms:modified>
</cp:coreProperties>
</file>